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61A5D" w14:textId="36F85987" w:rsidR="00713454" w:rsidRPr="004853EB" w:rsidRDefault="00713454" w:rsidP="00713454">
      <w:pPr>
        <w:keepNext/>
        <w:spacing w:after="0" w:line="240" w:lineRule="auto"/>
        <w:jc w:val="right"/>
        <w:outlineLvl w:val="0"/>
        <w:rPr>
          <w:rFonts w:eastAsia="Times New Roman" w:cstheme="minorHAnsi"/>
          <w:b/>
          <w:bCs/>
          <w:color w:val="000000" w:themeColor="text1"/>
          <w:sz w:val="24"/>
          <w:szCs w:val="24"/>
          <w:lang w:eastAsia="pl-PL"/>
        </w:rPr>
      </w:pPr>
      <w:bookmarkStart w:id="0" w:name="_Toc190774653"/>
      <w:bookmarkStart w:id="1" w:name="_Toc190777794"/>
      <w:bookmarkStart w:id="2" w:name="_Toc194476442"/>
      <w:bookmarkStart w:id="3" w:name="_Toc227759784"/>
      <w:bookmarkStart w:id="4" w:name="_Toc227824931"/>
      <w:r w:rsidRPr="004853EB">
        <w:rPr>
          <w:rFonts w:eastAsia="Times New Roman" w:cstheme="minorHAnsi"/>
          <w:b/>
          <w:bCs/>
          <w:color w:val="000000" w:themeColor="text1"/>
          <w:sz w:val="24"/>
          <w:szCs w:val="24"/>
          <w:lang w:eastAsia="pl-PL"/>
        </w:rPr>
        <w:t>Załącznik nr 10 do SWZ</w:t>
      </w:r>
      <w:bookmarkEnd w:id="0"/>
      <w:bookmarkEnd w:id="1"/>
      <w:bookmarkEnd w:id="2"/>
      <w:bookmarkEnd w:id="3"/>
      <w:bookmarkEnd w:id="4"/>
    </w:p>
    <w:p w14:paraId="19EE1231" w14:textId="4F6062F3" w:rsidR="00713454" w:rsidRPr="004853EB" w:rsidRDefault="00713454" w:rsidP="00713454">
      <w:pPr>
        <w:spacing w:after="0" w:line="240" w:lineRule="auto"/>
        <w:ind w:right="-1"/>
        <w:jc w:val="right"/>
        <w:rPr>
          <w:rFonts w:eastAsia="Times New Roman" w:cstheme="minorHAnsi"/>
          <w:color w:val="000000" w:themeColor="text1"/>
          <w:sz w:val="20"/>
          <w:szCs w:val="20"/>
          <w:lang w:eastAsia="pl-PL"/>
        </w:rPr>
      </w:pPr>
      <w:r w:rsidRPr="004853EB">
        <w:rPr>
          <w:rFonts w:eastAsia="Times New Roman" w:cstheme="minorHAnsi"/>
          <w:b/>
          <w:bCs/>
          <w:color w:val="000000" w:themeColor="text1"/>
          <w:sz w:val="24"/>
          <w:szCs w:val="24"/>
          <w:lang w:eastAsia="pl-PL"/>
        </w:rPr>
        <w:t>Nr sprawy PZD.T.262.0</w:t>
      </w:r>
      <w:r w:rsidR="00E50679" w:rsidRPr="004853EB">
        <w:rPr>
          <w:rFonts w:eastAsia="Times New Roman" w:cstheme="minorHAnsi"/>
          <w:b/>
          <w:bCs/>
          <w:color w:val="000000" w:themeColor="text1"/>
          <w:sz w:val="24"/>
          <w:szCs w:val="24"/>
          <w:lang w:eastAsia="pl-PL"/>
        </w:rPr>
        <w:t>3</w:t>
      </w:r>
      <w:r w:rsidRPr="004853EB">
        <w:rPr>
          <w:rFonts w:eastAsia="Times New Roman" w:cstheme="minorHAnsi"/>
          <w:b/>
          <w:bCs/>
          <w:color w:val="000000" w:themeColor="text1"/>
          <w:sz w:val="24"/>
          <w:szCs w:val="24"/>
          <w:lang w:eastAsia="pl-PL"/>
        </w:rPr>
        <w:t>.202</w:t>
      </w:r>
      <w:r w:rsidR="00E50679" w:rsidRPr="004853EB">
        <w:rPr>
          <w:rFonts w:eastAsia="Times New Roman" w:cstheme="minorHAnsi"/>
          <w:b/>
          <w:bCs/>
          <w:color w:val="000000" w:themeColor="text1"/>
          <w:sz w:val="24"/>
          <w:szCs w:val="24"/>
          <w:lang w:eastAsia="pl-PL"/>
        </w:rPr>
        <w:t>6</w:t>
      </w:r>
    </w:p>
    <w:p w14:paraId="5D3CA250" w14:textId="77777777" w:rsidR="00713454" w:rsidRPr="004853EB" w:rsidRDefault="00713454" w:rsidP="00713454">
      <w:pPr>
        <w:spacing w:after="0" w:line="240" w:lineRule="auto"/>
        <w:jc w:val="both"/>
        <w:rPr>
          <w:rFonts w:eastAsia="Times New Roman" w:cstheme="minorHAnsi"/>
          <w:color w:val="000000"/>
          <w:sz w:val="20"/>
          <w:szCs w:val="20"/>
          <w:lang w:eastAsia="pl-PL"/>
        </w:rPr>
      </w:pPr>
    </w:p>
    <w:p w14:paraId="7A2BBFF5" w14:textId="77777777" w:rsidR="00713454" w:rsidRPr="004853EB" w:rsidRDefault="00713454" w:rsidP="00713454">
      <w:pPr>
        <w:spacing w:after="0" w:line="240" w:lineRule="auto"/>
        <w:jc w:val="both"/>
        <w:rPr>
          <w:rFonts w:eastAsia="Times New Roman" w:cstheme="minorHAnsi"/>
          <w:color w:val="000000"/>
          <w:sz w:val="20"/>
          <w:szCs w:val="20"/>
          <w:lang w:eastAsia="pl-PL"/>
        </w:rPr>
      </w:pPr>
    </w:p>
    <w:p w14:paraId="7B702598" w14:textId="77777777" w:rsidR="00713454" w:rsidRPr="004853EB" w:rsidRDefault="00713454" w:rsidP="00713454">
      <w:pPr>
        <w:spacing w:after="0" w:line="240" w:lineRule="auto"/>
        <w:jc w:val="both"/>
        <w:rPr>
          <w:rFonts w:eastAsia="Times New Roman" w:cstheme="minorHAnsi"/>
          <w:color w:val="000000"/>
          <w:sz w:val="36"/>
          <w:szCs w:val="36"/>
          <w:lang w:eastAsia="pl-PL"/>
        </w:rPr>
      </w:pPr>
    </w:p>
    <w:p w14:paraId="185F2159" w14:textId="77777777" w:rsidR="00713454" w:rsidRPr="004853EB" w:rsidRDefault="00713454" w:rsidP="00713454">
      <w:pPr>
        <w:spacing w:after="0" w:line="240" w:lineRule="auto"/>
        <w:jc w:val="both"/>
        <w:rPr>
          <w:rFonts w:eastAsia="Times New Roman" w:cstheme="minorHAnsi"/>
          <w:color w:val="000000"/>
          <w:sz w:val="36"/>
          <w:szCs w:val="36"/>
          <w:lang w:eastAsia="pl-PL"/>
        </w:rPr>
      </w:pPr>
    </w:p>
    <w:p w14:paraId="148F00D1" w14:textId="77777777" w:rsidR="00713454" w:rsidRPr="004853EB" w:rsidRDefault="00713454" w:rsidP="00713454">
      <w:pPr>
        <w:spacing w:after="0" w:line="240" w:lineRule="auto"/>
        <w:jc w:val="both"/>
        <w:rPr>
          <w:rFonts w:eastAsia="Times New Roman" w:cstheme="minorHAnsi"/>
          <w:color w:val="000000"/>
          <w:sz w:val="36"/>
          <w:szCs w:val="36"/>
          <w:lang w:eastAsia="pl-PL"/>
        </w:rPr>
      </w:pPr>
    </w:p>
    <w:p w14:paraId="4D1F0F37" w14:textId="77777777" w:rsidR="00713454" w:rsidRPr="004853EB" w:rsidRDefault="00713454" w:rsidP="00713454">
      <w:pPr>
        <w:spacing w:after="0" w:line="240" w:lineRule="auto"/>
        <w:jc w:val="both"/>
        <w:rPr>
          <w:rFonts w:eastAsia="Times New Roman" w:cstheme="minorHAnsi"/>
          <w:color w:val="000000"/>
          <w:sz w:val="36"/>
          <w:szCs w:val="36"/>
          <w:lang w:eastAsia="pl-PL"/>
        </w:rPr>
      </w:pPr>
    </w:p>
    <w:p w14:paraId="3B97A126" w14:textId="77777777" w:rsidR="00713454" w:rsidRPr="004853EB" w:rsidRDefault="00713454" w:rsidP="00713454">
      <w:pPr>
        <w:spacing w:after="0" w:line="240" w:lineRule="auto"/>
        <w:jc w:val="both"/>
        <w:rPr>
          <w:rFonts w:eastAsia="Times New Roman" w:cstheme="minorHAnsi"/>
          <w:color w:val="000000"/>
          <w:sz w:val="36"/>
          <w:szCs w:val="36"/>
          <w:lang w:eastAsia="pl-PL"/>
        </w:rPr>
      </w:pPr>
    </w:p>
    <w:p w14:paraId="430E056C" w14:textId="77777777" w:rsidR="00713454" w:rsidRPr="004853EB" w:rsidRDefault="00713454" w:rsidP="00713454">
      <w:pPr>
        <w:spacing w:after="0" w:line="240" w:lineRule="auto"/>
        <w:jc w:val="both"/>
        <w:rPr>
          <w:rFonts w:eastAsia="Times New Roman" w:cstheme="minorHAnsi"/>
          <w:color w:val="000000"/>
          <w:sz w:val="36"/>
          <w:szCs w:val="36"/>
          <w:lang w:eastAsia="pl-PL"/>
        </w:rPr>
      </w:pPr>
    </w:p>
    <w:p w14:paraId="0BF2D92E" w14:textId="77777777" w:rsidR="00713454" w:rsidRPr="004853EB" w:rsidRDefault="00713454" w:rsidP="00713454">
      <w:pPr>
        <w:spacing w:after="0" w:line="240" w:lineRule="auto"/>
        <w:jc w:val="both"/>
        <w:rPr>
          <w:rFonts w:eastAsia="Times New Roman" w:cstheme="minorHAnsi"/>
          <w:color w:val="000000"/>
          <w:sz w:val="36"/>
          <w:szCs w:val="36"/>
          <w:lang w:eastAsia="pl-PL"/>
        </w:rPr>
      </w:pPr>
    </w:p>
    <w:p w14:paraId="7E825E1F" w14:textId="77777777" w:rsidR="00713454" w:rsidRPr="004853EB" w:rsidRDefault="00713454" w:rsidP="00713454">
      <w:pPr>
        <w:spacing w:after="0" w:line="240" w:lineRule="auto"/>
        <w:jc w:val="both"/>
        <w:rPr>
          <w:rFonts w:eastAsia="Times New Roman" w:cstheme="minorHAnsi"/>
          <w:color w:val="000000"/>
          <w:sz w:val="36"/>
          <w:szCs w:val="36"/>
          <w:lang w:eastAsia="pl-PL"/>
        </w:rPr>
      </w:pPr>
    </w:p>
    <w:p w14:paraId="6A61D61A" w14:textId="77777777" w:rsidR="00713454" w:rsidRPr="004853EB" w:rsidRDefault="00713454" w:rsidP="00713454">
      <w:pPr>
        <w:spacing w:after="0" w:line="240" w:lineRule="auto"/>
        <w:jc w:val="both"/>
        <w:rPr>
          <w:rFonts w:eastAsia="Times New Roman" w:cstheme="minorHAnsi"/>
          <w:color w:val="000000"/>
          <w:sz w:val="36"/>
          <w:szCs w:val="36"/>
          <w:lang w:eastAsia="pl-PL"/>
        </w:rPr>
      </w:pPr>
    </w:p>
    <w:p w14:paraId="465F939D" w14:textId="77777777" w:rsidR="00713454" w:rsidRPr="004853EB" w:rsidRDefault="00713454" w:rsidP="00713454">
      <w:pPr>
        <w:spacing w:after="0" w:line="240" w:lineRule="auto"/>
        <w:jc w:val="both"/>
        <w:rPr>
          <w:rFonts w:eastAsia="Times New Roman" w:cstheme="minorHAnsi"/>
          <w:color w:val="000000"/>
          <w:sz w:val="36"/>
          <w:szCs w:val="36"/>
          <w:lang w:eastAsia="pl-PL"/>
        </w:rPr>
      </w:pPr>
    </w:p>
    <w:p w14:paraId="5BAEC4A7" w14:textId="77777777" w:rsidR="00713454" w:rsidRPr="004853EB" w:rsidRDefault="00713454" w:rsidP="00713454">
      <w:pPr>
        <w:spacing w:after="0" w:line="240" w:lineRule="auto"/>
        <w:jc w:val="center"/>
        <w:rPr>
          <w:rFonts w:eastAsia="Times New Roman" w:cstheme="minorHAnsi"/>
          <w:b/>
          <w:bCs/>
          <w:color w:val="000000"/>
          <w:sz w:val="36"/>
          <w:szCs w:val="36"/>
          <w:lang w:eastAsia="pl-PL"/>
        </w:rPr>
      </w:pPr>
      <w:r w:rsidRPr="004853EB">
        <w:rPr>
          <w:rFonts w:eastAsia="Times New Roman" w:cstheme="minorHAnsi"/>
          <w:b/>
          <w:bCs/>
          <w:color w:val="000000"/>
          <w:sz w:val="36"/>
          <w:szCs w:val="36"/>
          <w:lang w:eastAsia="pl-PL"/>
        </w:rPr>
        <w:t>Specyfikacja techniczna</w:t>
      </w:r>
    </w:p>
    <w:p w14:paraId="5ABB139B" w14:textId="77777777" w:rsidR="00713454" w:rsidRPr="004853EB" w:rsidRDefault="00713454" w:rsidP="00713454">
      <w:pPr>
        <w:spacing w:after="0" w:line="240" w:lineRule="auto"/>
        <w:jc w:val="center"/>
        <w:rPr>
          <w:rFonts w:eastAsia="Times New Roman" w:cstheme="minorHAnsi"/>
          <w:b/>
          <w:bCs/>
          <w:color w:val="000000"/>
          <w:sz w:val="36"/>
          <w:szCs w:val="36"/>
          <w:lang w:eastAsia="pl-PL"/>
        </w:rPr>
      </w:pPr>
      <w:r w:rsidRPr="004853EB">
        <w:rPr>
          <w:rFonts w:eastAsia="Times New Roman" w:cstheme="minorHAnsi"/>
          <w:b/>
          <w:bCs/>
          <w:color w:val="000000"/>
          <w:sz w:val="36"/>
          <w:szCs w:val="36"/>
          <w:lang w:eastAsia="pl-PL"/>
        </w:rPr>
        <w:t>wykonania i odbioru robót</w:t>
      </w:r>
    </w:p>
    <w:p w14:paraId="55EC1273" w14:textId="77777777" w:rsidR="00713454" w:rsidRPr="004853EB" w:rsidRDefault="00713454" w:rsidP="00713454">
      <w:pPr>
        <w:spacing w:after="0" w:line="240" w:lineRule="auto"/>
        <w:jc w:val="center"/>
        <w:rPr>
          <w:rFonts w:eastAsia="Times New Roman" w:cstheme="minorHAnsi"/>
          <w:b/>
          <w:bCs/>
          <w:color w:val="000000"/>
          <w:sz w:val="36"/>
          <w:szCs w:val="36"/>
          <w:lang w:eastAsia="pl-PL"/>
        </w:rPr>
      </w:pPr>
    </w:p>
    <w:p w14:paraId="5C8CAA41" w14:textId="415C0B14" w:rsidR="00713454" w:rsidRPr="004853EB" w:rsidRDefault="00713454" w:rsidP="00713454">
      <w:pPr>
        <w:spacing w:after="0" w:line="240" w:lineRule="auto"/>
        <w:jc w:val="center"/>
        <w:rPr>
          <w:rFonts w:eastAsia="Times New Roman" w:cstheme="minorHAnsi"/>
          <w:b/>
          <w:bCs/>
          <w:color w:val="000000"/>
          <w:sz w:val="36"/>
          <w:szCs w:val="36"/>
          <w:lang w:eastAsia="pl-PL"/>
        </w:rPr>
      </w:pPr>
      <w:r w:rsidRPr="004853EB">
        <w:rPr>
          <w:rFonts w:eastAsia="Times New Roman" w:cstheme="minorHAnsi"/>
          <w:b/>
          <w:bCs/>
          <w:color w:val="000000"/>
          <w:sz w:val="36"/>
          <w:szCs w:val="36"/>
          <w:lang w:eastAsia="pl-PL"/>
        </w:rPr>
        <w:t xml:space="preserve">Przebudowa drogi powiatowej nr </w:t>
      </w:r>
      <w:r w:rsidR="00E50679" w:rsidRPr="004853EB">
        <w:rPr>
          <w:rFonts w:eastAsia="Times New Roman" w:cstheme="minorHAnsi"/>
          <w:b/>
          <w:bCs/>
          <w:color w:val="000000"/>
          <w:sz w:val="36"/>
          <w:szCs w:val="36"/>
          <w:lang w:eastAsia="pl-PL"/>
        </w:rPr>
        <w:t>4506W Zwoleń – Sarnów w miejscowości Łuczynów</w:t>
      </w:r>
      <w:r w:rsidRPr="004853EB">
        <w:rPr>
          <w:rFonts w:eastAsia="Times New Roman" w:cstheme="minorHAnsi"/>
          <w:b/>
          <w:bCs/>
          <w:color w:val="000000"/>
          <w:sz w:val="36"/>
          <w:szCs w:val="36"/>
          <w:lang w:eastAsia="pl-PL"/>
        </w:rPr>
        <w:t>.</w:t>
      </w:r>
    </w:p>
    <w:p w14:paraId="1B6C6FB5"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2A064268"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4D2E467A"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0352A717"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14E0DEFF"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11D7949D"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166D0974"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70106661"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40347CC4"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38A349D7"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6B548064"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23CE5A84"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3E7339DE"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657FD12A"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73881817"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47111068"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74AF4EE7"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0472EE0E"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4823458F"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0C305AD1"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3618AB90"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6B7A9085"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58073D05"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28BCC8A7"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p w14:paraId="6D6A6E5B" w14:textId="77777777" w:rsidR="00713454" w:rsidRPr="004853EB" w:rsidRDefault="00713454" w:rsidP="00713454">
      <w:pPr>
        <w:spacing w:after="0" w:line="240" w:lineRule="auto"/>
        <w:jc w:val="both"/>
        <w:rPr>
          <w:rFonts w:eastAsia="Times New Roman" w:cstheme="minorHAnsi"/>
          <w:b/>
          <w:bCs/>
          <w:color w:val="000000"/>
          <w:sz w:val="20"/>
          <w:szCs w:val="20"/>
          <w:lang w:eastAsia="pl-PL"/>
        </w:rPr>
      </w:pPr>
    </w:p>
    <w:sdt>
      <w:sdtPr>
        <w:rPr>
          <w:rFonts w:cstheme="minorHAnsi"/>
        </w:rPr>
        <w:id w:val="720571184"/>
        <w:docPartObj>
          <w:docPartGallery w:val="Table of Contents"/>
          <w:docPartUnique/>
        </w:docPartObj>
      </w:sdtPr>
      <w:sdtEndPr>
        <w:rPr>
          <w:b/>
          <w:bCs/>
        </w:rPr>
      </w:sdtEndPr>
      <w:sdtContent>
        <w:p w14:paraId="27188209" w14:textId="77777777" w:rsidR="00713454" w:rsidRPr="004853EB" w:rsidRDefault="00713454" w:rsidP="00713454">
          <w:pPr>
            <w:keepNext/>
            <w:keepLines/>
            <w:spacing w:before="240" w:after="0"/>
            <w:rPr>
              <w:rFonts w:eastAsiaTheme="majorEastAsia" w:cstheme="minorHAnsi"/>
              <w:lang w:eastAsia="pl-PL"/>
            </w:rPr>
          </w:pPr>
          <w:r w:rsidRPr="004853EB">
            <w:rPr>
              <w:rFonts w:eastAsiaTheme="majorEastAsia" w:cstheme="minorHAnsi"/>
              <w:lang w:eastAsia="pl-PL"/>
            </w:rPr>
            <w:t>Spis treści</w:t>
          </w:r>
        </w:p>
        <w:p w14:paraId="42D90230" w14:textId="6BFF64E7" w:rsidR="00D86E93" w:rsidRPr="00CF69C0" w:rsidRDefault="00713454" w:rsidP="00D86E93">
          <w:pPr>
            <w:pStyle w:val="Spistreci1"/>
            <w:rPr>
              <w:rFonts w:asciiTheme="minorHAnsi" w:eastAsiaTheme="minorEastAsia" w:hAnsiTheme="minorHAnsi" w:cstheme="minorHAnsi"/>
              <w:b w:val="0"/>
              <w:caps w:val="0"/>
              <w:noProof/>
              <w:kern w:val="2"/>
              <w:sz w:val="22"/>
              <w:szCs w:val="22"/>
              <w14:ligatures w14:val="standardContextual"/>
            </w:rPr>
          </w:pPr>
          <w:r w:rsidRPr="004853EB">
            <w:rPr>
              <w:rFonts w:asciiTheme="minorHAnsi" w:hAnsiTheme="minorHAnsi" w:cstheme="minorHAnsi"/>
              <w:b w:val="0"/>
              <w:caps w:val="0"/>
              <w:sz w:val="22"/>
              <w:szCs w:val="22"/>
            </w:rPr>
            <w:fldChar w:fldCharType="begin"/>
          </w:r>
          <w:r w:rsidRPr="004853EB">
            <w:rPr>
              <w:rFonts w:asciiTheme="minorHAnsi" w:hAnsiTheme="minorHAnsi" w:cstheme="minorHAnsi"/>
              <w:b w:val="0"/>
              <w:caps w:val="0"/>
              <w:sz w:val="22"/>
              <w:szCs w:val="22"/>
            </w:rPr>
            <w:instrText xml:space="preserve"> TOC \o "1-3" \h \z \u </w:instrText>
          </w:r>
          <w:r w:rsidRPr="004853EB">
            <w:rPr>
              <w:rFonts w:asciiTheme="minorHAnsi" w:hAnsiTheme="minorHAnsi" w:cstheme="minorHAnsi"/>
              <w:b w:val="0"/>
              <w:caps w:val="0"/>
              <w:sz w:val="22"/>
              <w:szCs w:val="22"/>
            </w:rPr>
            <w:fldChar w:fldCharType="separate"/>
          </w:r>
          <w:hyperlink w:anchor="_Toc227824932" w:history="1">
            <w:r w:rsidR="00D86E93" w:rsidRPr="00CF69C0">
              <w:rPr>
                <w:rStyle w:val="Hipercze"/>
                <w:rFonts w:asciiTheme="minorHAnsi" w:hAnsiTheme="minorHAnsi" w:cstheme="minorHAnsi"/>
                <w:noProof/>
                <w:sz w:val="22"/>
                <w:szCs w:val="22"/>
              </w:rPr>
              <w:t>D - 00.00.00 WYMAGANIA OGÓLNE</w:t>
            </w:r>
            <w:r w:rsidR="00D86E93" w:rsidRPr="00CF69C0">
              <w:rPr>
                <w:rFonts w:asciiTheme="minorHAnsi" w:hAnsiTheme="minorHAnsi" w:cstheme="minorHAnsi"/>
                <w:noProof/>
                <w:webHidden/>
                <w:sz w:val="22"/>
                <w:szCs w:val="22"/>
              </w:rPr>
              <w:tab/>
            </w:r>
            <w:r w:rsidR="00D86E93" w:rsidRPr="00CF69C0">
              <w:rPr>
                <w:rFonts w:asciiTheme="minorHAnsi" w:hAnsiTheme="minorHAnsi" w:cstheme="minorHAnsi"/>
                <w:noProof/>
                <w:webHidden/>
                <w:sz w:val="22"/>
                <w:szCs w:val="22"/>
              </w:rPr>
              <w:fldChar w:fldCharType="begin"/>
            </w:r>
            <w:r w:rsidR="00D86E93" w:rsidRPr="00CF69C0">
              <w:rPr>
                <w:rFonts w:asciiTheme="minorHAnsi" w:hAnsiTheme="minorHAnsi" w:cstheme="minorHAnsi"/>
                <w:noProof/>
                <w:webHidden/>
                <w:sz w:val="22"/>
                <w:szCs w:val="22"/>
              </w:rPr>
              <w:instrText xml:space="preserve"> PAGEREF _Toc227824932 \h </w:instrText>
            </w:r>
            <w:r w:rsidR="00D86E93" w:rsidRPr="00CF69C0">
              <w:rPr>
                <w:rFonts w:asciiTheme="minorHAnsi" w:hAnsiTheme="minorHAnsi" w:cstheme="minorHAnsi"/>
                <w:noProof/>
                <w:webHidden/>
                <w:sz w:val="22"/>
                <w:szCs w:val="22"/>
              </w:rPr>
            </w:r>
            <w:r w:rsidR="00D86E93"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3</w:t>
            </w:r>
            <w:r w:rsidR="00D86E93" w:rsidRPr="00CF69C0">
              <w:rPr>
                <w:rFonts w:asciiTheme="minorHAnsi" w:hAnsiTheme="minorHAnsi" w:cstheme="minorHAnsi"/>
                <w:noProof/>
                <w:webHidden/>
                <w:sz w:val="22"/>
                <w:szCs w:val="22"/>
              </w:rPr>
              <w:fldChar w:fldCharType="end"/>
            </w:r>
          </w:hyperlink>
        </w:p>
        <w:p w14:paraId="447129C3" w14:textId="40D04EC2" w:rsidR="00D86E93" w:rsidRPr="00CF69C0" w:rsidRDefault="00D86E93" w:rsidP="00D86E93">
          <w:pPr>
            <w:pStyle w:val="Spistreci1"/>
            <w:rPr>
              <w:rFonts w:asciiTheme="minorHAnsi" w:eastAsiaTheme="minorEastAsia" w:hAnsiTheme="minorHAnsi" w:cstheme="minorHAnsi"/>
              <w:b w:val="0"/>
              <w:caps w:val="0"/>
              <w:noProof/>
              <w:kern w:val="2"/>
              <w:sz w:val="22"/>
              <w:szCs w:val="22"/>
              <w14:ligatures w14:val="standardContextual"/>
            </w:rPr>
          </w:pPr>
          <w:hyperlink w:anchor="_Toc227824989" w:history="1">
            <w:r w:rsidRPr="00CF69C0">
              <w:rPr>
                <w:rStyle w:val="Hipercze"/>
                <w:rFonts w:asciiTheme="minorHAnsi" w:hAnsiTheme="minorHAnsi" w:cstheme="minorHAnsi"/>
                <w:noProof/>
                <w:sz w:val="22"/>
                <w:szCs w:val="22"/>
              </w:rPr>
              <w:t>D - 01.01.01 ODTWORZENIE TRASY I PUNKTÓW WYSOKOŚCIOWYCH ORAZ SPORZĄDZENIE INWENTARYZACJI POWYKONAWCZEJ DROGI</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_Toc227824989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18</w:t>
            </w:r>
            <w:r w:rsidRPr="00CF69C0">
              <w:rPr>
                <w:rFonts w:asciiTheme="minorHAnsi" w:hAnsiTheme="minorHAnsi" w:cstheme="minorHAnsi"/>
                <w:noProof/>
                <w:webHidden/>
                <w:sz w:val="22"/>
                <w:szCs w:val="22"/>
              </w:rPr>
              <w:fldChar w:fldCharType="end"/>
            </w:r>
          </w:hyperlink>
        </w:p>
        <w:p w14:paraId="74E20D7E" w14:textId="107F1A9C" w:rsidR="00D86E93" w:rsidRPr="00CF69C0" w:rsidRDefault="00D86E93" w:rsidP="009114EF">
          <w:pPr>
            <w:pStyle w:val="Spistreci1"/>
            <w:rPr>
              <w:rFonts w:asciiTheme="minorHAnsi" w:eastAsiaTheme="minorEastAsia" w:hAnsiTheme="minorHAnsi" w:cstheme="minorHAnsi"/>
              <w:b w:val="0"/>
              <w:caps w:val="0"/>
              <w:noProof/>
              <w:kern w:val="2"/>
              <w:sz w:val="22"/>
              <w:szCs w:val="22"/>
              <w14:ligatures w14:val="standardContextual"/>
            </w:rPr>
          </w:pPr>
          <w:hyperlink w:anchor="_Toc227825029" w:history="1">
            <w:r w:rsidRPr="00CF69C0">
              <w:rPr>
                <w:rStyle w:val="Hipercze"/>
                <w:rFonts w:asciiTheme="minorHAnsi" w:hAnsiTheme="minorHAnsi" w:cstheme="minorHAnsi"/>
                <w:noProof/>
                <w:sz w:val="22"/>
                <w:szCs w:val="22"/>
              </w:rPr>
              <w:t>D - 01.02.02a ZDJĘCIE WARSTWY ZIEMI URODZAJNEJ</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_Toc227825029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24</w:t>
            </w:r>
            <w:r w:rsidRPr="00CF69C0">
              <w:rPr>
                <w:rFonts w:asciiTheme="minorHAnsi" w:hAnsiTheme="minorHAnsi" w:cstheme="minorHAnsi"/>
                <w:noProof/>
                <w:webHidden/>
                <w:sz w:val="22"/>
                <w:szCs w:val="22"/>
              </w:rPr>
              <w:fldChar w:fldCharType="end"/>
            </w:r>
          </w:hyperlink>
        </w:p>
        <w:p w14:paraId="43121202" w14:textId="054AED24" w:rsidR="00D86E93" w:rsidRPr="00CF69C0" w:rsidRDefault="00D86E93" w:rsidP="009114EF">
          <w:pPr>
            <w:pStyle w:val="Spistreci1"/>
            <w:rPr>
              <w:rFonts w:asciiTheme="minorHAnsi" w:eastAsiaTheme="minorEastAsia" w:hAnsiTheme="minorHAnsi" w:cstheme="minorHAnsi"/>
              <w:b w:val="0"/>
              <w:caps w:val="0"/>
              <w:noProof/>
              <w:kern w:val="2"/>
              <w:sz w:val="22"/>
              <w:szCs w:val="22"/>
              <w14:ligatures w14:val="standardContextual"/>
            </w:rPr>
          </w:pPr>
          <w:hyperlink w:anchor="_Toc227825067" w:history="1">
            <w:r w:rsidRPr="00CF69C0">
              <w:rPr>
                <w:rStyle w:val="Hipercze"/>
                <w:rFonts w:asciiTheme="minorHAnsi" w:hAnsiTheme="minorHAnsi" w:cstheme="minorHAnsi"/>
                <w:noProof/>
                <w:sz w:val="22"/>
                <w:szCs w:val="22"/>
              </w:rPr>
              <w:t>D - 01.02.04 ROZBIÓRKA ELEMENTÓW DRÓG, OGRODZEŃ I PRZEPUSTÓW</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_Toc227825067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29</w:t>
            </w:r>
            <w:r w:rsidRPr="00CF69C0">
              <w:rPr>
                <w:rFonts w:asciiTheme="minorHAnsi" w:hAnsiTheme="minorHAnsi" w:cstheme="minorHAnsi"/>
                <w:noProof/>
                <w:webHidden/>
                <w:sz w:val="22"/>
                <w:szCs w:val="22"/>
              </w:rPr>
              <w:fldChar w:fldCharType="end"/>
            </w:r>
          </w:hyperlink>
        </w:p>
        <w:p w14:paraId="666E104E" w14:textId="6AF27330" w:rsidR="00D86E93" w:rsidRPr="00CF69C0" w:rsidRDefault="00D86E93" w:rsidP="009114EF">
          <w:pPr>
            <w:pStyle w:val="Spistreci1"/>
            <w:rPr>
              <w:rFonts w:asciiTheme="minorHAnsi" w:eastAsiaTheme="minorEastAsia" w:hAnsiTheme="minorHAnsi" w:cstheme="minorHAnsi"/>
              <w:b w:val="0"/>
              <w:caps w:val="0"/>
              <w:noProof/>
              <w:kern w:val="2"/>
              <w:sz w:val="22"/>
              <w:szCs w:val="22"/>
              <w14:ligatures w14:val="standardContextual"/>
            </w:rPr>
          </w:pPr>
          <w:hyperlink w:anchor="_Toc227825097" w:history="1">
            <w:r w:rsidRPr="00CF69C0">
              <w:rPr>
                <w:rStyle w:val="Hipercze"/>
                <w:rFonts w:asciiTheme="minorHAnsi" w:hAnsiTheme="minorHAnsi" w:cstheme="minorHAnsi"/>
                <w:noProof/>
                <w:sz w:val="22"/>
                <w:szCs w:val="22"/>
              </w:rPr>
              <w:t>D - 02.00.01 ROBOTY ZIEMNE. WYMAGANIA OGÓLNE</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_Toc227825097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33</w:t>
            </w:r>
            <w:r w:rsidRPr="00CF69C0">
              <w:rPr>
                <w:rFonts w:asciiTheme="minorHAnsi" w:hAnsiTheme="minorHAnsi" w:cstheme="minorHAnsi"/>
                <w:noProof/>
                <w:webHidden/>
                <w:sz w:val="22"/>
                <w:szCs w:val="22"/>
              </w:rPr>
              <w:fldChar w:fldCharType="end"/>
            </w:r>
          </w:hyperlink>
        </w:p>
        <w:p w14:paraId="1CE8F56C" w14:textId="3377CF2C" w:rsidR="00D86E93" w:rsidRPr="00CF69C0" w:rsidRDefault="00D86E93" w:rsidP="009114EF">
          <w:pPr>
            <w:pStyle w:val="Spistreci1"/>
            <w:rPr>
              <w:rFonts w:asciiTheme="minorHAnsi" w:eastAsiaTheme="minorEastAsia" w:hAnsiTheme="minorHAnsi" w:cstheme="minorHAnsi"/>
              <w:b w:val="0"/>
              <w:caps w:val="0"/>
              <w:noProof/>
              <w:kern w:val="2"/>
              <w:sz w:val="22"/>
              <w:szCs w:val="22"/>
              <w14:ligatures w14:val="standardContextual"/>
            </w:rPr>
          </w:pPr>
          <w:hyperlink w:anchor="_Toc227825133" w:history="1">
            <w:r w:rsidRPr="00CF69C0">
              <w:rPr>
                <w:rStyle w:val="Hipercze"/>
                <w:rFonts w:asciiTheme="minorHAnsi" w:hAnsiTheme="minorHAnsi" w:cstheme="minorHAnsi"/>
                <w:bCs/>
                <w:noProof/>
                <w:sz w:val="22"/>
                <w:szCs w:val="22"/>
              </w:rPr>
              <w:t>D - 02.01.01 WYKONANIE WYKOPÓW W GRUNTACH NIESKALISTYCH</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_Toc227825133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39</w:t>
            </w:r>
            <w:r w:rsidRPr="00CF69C0">
              <w:rPr>
                <w:rFonts w:asciiTheme="minorHAnsi" w:hAnsiTheme="minorHAnsi" w:cstheme="minorHAnsi"/>
                <w:noProof/>
                <w:webHidden/>
                <w:sz w:val="22"/>
                <w:szCs w:val="22"/>
              </w:rPr>
              <w:fldChar w:fldCharType="end"/>
            </w:r>
          </w:hyperlink>
        </w:p>
        <w:p w14:paraId="37CE2002" w14:textId="21E14496" w:rsidR="00D86E93" w:rsidRPr="00CF69C0" w:rsidRDefault="00D86E93" w:rsidP="009114EF">
          <w:pPr>
            <w:pStyle w:val="Spistreci3"/>
            <w:ind w:left="0"/>
            <w:rPr>
              <w:rFonts w:asciiTheme="minorHAnsi" w:eastAsiaTheme="minorEastAsia" w:hAnsiTheme="minorHAnsi" w:cstheme="minorHAnsi"/>
              <w:noProof/>
              <w:kern w:val="2"/>
              <w:sz w:val="22"/>
              <w:szCs w:val="22"/>
              <w14:ligatures w14:val="standardContextual"/>
            </w:rPr>
          </w:pPr>
          <w:hyperlink w:anchor="_Toc227825158" w:history="1">
            <w:r w:rsidRPr="00CF69C0">
              <w:rPr>
                <w:rStyle w:val="Hipercze"/>
                <w:rFonts w:asciiTheme="minorHAnsi" w:hAnsiTheme="minorHAnsi" w:cstheme="minorHAnsi"/>
                <w:b/>
                <w:bCs/>
                <w:noProof/>
                <w:sz w:val="22"/>
                <w:szCs w:val="22"/>
              </w:rPr>
              <w:t>D - 03.01.03 b OCZYSZCZENIE ROWU Z NAMUŁU</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_Toc227825158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41</w:t>
            </w:r>
            <w:r w:rsidRPr="00CF69C0">
              <w:rPr>
                <w:rFonts w:asciiTheme="minorHAnsi" w:hAnsiTheme="minorHAnsi" w:cstheme="minorHAnsi"/>
                <w:noProof/>
                <w:webHidden/>
                <w:sz w:val="22"/>
                <w:szCs w:val="22"/>
              </w:rPr>
              <w:fldChar w:fldCharType="end"/>
            </w:r>
          </w:hyperlink>
        </w:p>
        <w:p w14:paraId="177A1FB8" w14:textId="55E4AB51" w:rsidR="00D86E93" w:rsidRPr="00CF69C0" w:rsidRDefault="00D86E93" w:rsidP="009114EF">
          <w:pPr>
            <w:pStyle w:val="Spistreci1"/>
            <w:rPr>
              <w:rFonts w:asciiTheme="minorHAnsi" w:eastAsiaTheme="minorEastAsia" w:hAnsiTheme="minorHAnsi" w:cstheme="minorHAnsi"/>
              <w:b w:val="0"/>
              <w:caps w:val="0"/>
              <w:noProof/>
              <w:kern w:val="2"/>
              <w:sz w:val="22"/>
              <w:szCs w:val="22"/>
              <w14:ligatures w14:val="standardContextual"/>
            </w:rPr>
          </w:pPr>
          <w:hyperlink w:anchor="_Toc227825199" w:history="1">
            <w:r w:rsidRPr="00CF69C0">
              <w:rPr>
                <w:rStyle w:val="Hipercze"/>
                <w:rFonts w:asciiTheme="minorHAnsi" w:hAnsiTheme="minorHAnsi" w:cstheme="minorHAnsi"/>
                <w:noProof/>
                <w:sz w:val="22"/>
                <w:szCs w:val="22"/>
              </w:rPr>
              <w:t>D - 04.01.01 KORYTO WRAZ Z PROFILOWANIEM I ZAGĘSZCZANIEM PODŁOŻA</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_Toc227825199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48</w:t>
            </w:r>
            <w:r w:rsidRPr="00CF69C0">
              <w:rPr>
                <w:rFonts w:asciiTheme="minorHAnsi" w:hAnsiTheme="minorHAnsi" w:cstheme="minorHAnsi"/>
                <w:noProof/>
                <w:webHidden/>
                <w:sz w:val="22"/>
                <w:szCs w:val="22"/>
              </w:rPr>
              <w:fldChar w:fldCharType="end"/>
            </w:r>
          </w:hyperlink>
        </w:p>
        <w:p w14:paraId="7157840C" w14:textId="7F73FA87" w:rsidR="00D86E93" w:rsidRPr="00CF69C0" w:rsidRDefault="00D86E93" w:rsidP="009114EF">
          <w:pPr>
            <w:pStyle w:val="Spistreci1"/>
            <w:rPr>
              <w:rFonts w:asciiTheme="minorHAnsi" w:eastAsiaTheme="minorEastAsia" w:hAnsiTheme="minorHAnsi" w:cstheme="minorHAnsi"/>
              <w:b w:val="0"/>
              <w:caps w:val="0"/>
              <w:noProof/>
              <w:kern w:val="2"/>
              <w:sz w:val="22"/>
              <w:szCs w:val="22"/>
              <w14:ligatures w14:val="standardContextual"/>
            </w:rPr>
          </w:pPr>
          <w:hyperlink w:anchor="_Toc227825233" w:history="1">
            <w:r w:rsidRPr="00CF69C0">
              <w:rPr>
                <w:rStyle w:val="Hipercze"/>
                <w:rFonts w:asciiTheme="minorHAnsi" w:hAnsiTheme="minorHAnsi" w:cstheme="minorHAnsi"/>
                <w:noProof/>
                <w:sz w:val="22"/>
                <w:szCs w:val="22"/>
              </w:rPr>
              <w:t>D - 04.02.01 WARSTWY ULEPSZONEGO PODŁOŻA PEŁNIĄCE ROLĘ WARSTWY ODSĄCZAJĄCEJ</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_Toc227825233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53</w:t>
            </w:r>
            <w:r w:rsidRPr="00CF69C0">
              <w:rPr>
                <w:rFonts w:asciiTheme="minorHAnsi" w:hAnsiTheme="minorHAnsi" w:cstheme="minorHAnsi"/>
                <w:noProof/>
                <w:webHidden/>
                <w:sz w:val="22"/>
                <w:szCs w:val="22"/>
              </w:rPr>
              <w:fldChar w:fldCharType="end"/>
            </w:r>
          </w:hyperlink>
        </w:p>
        <w:p w14:paraId="7345FDFC" w14:textId="1D0A75F2" w:rsidR="00D86E93" w:rsidRPr="00CF69C0" w:rsidRDefault="00D86E93" w:rsidP="009114EF">
          <w:pPr>
            <w:pStyle w:val="Spistreci1"/>
            <w:rPr>
              <w:rFonts w:asciiTheme="minorHAnsi" w:eastAsiaTheme="minorEastAsia" w:hAnsiTheme="minorHAnsi" w:cstheme="minorHAnsi"/>
              <w:b w:val="0"/>
              <w:caps w:val="0"/>
              <w:noProof/>
              <w:kern w:val="2"/>
              <w:sz w:val="22"/>
              <w:szCs w:val="22"/>
              <w14:ligatures w14:val="standardContextual"/>
            </w:rPr>
          </w:pPr>
          <w:hyperlink w:anchor="_Toc227825270" w:history="1">
            <w:r w:rsidRPr="00CF69C0">
              <w:rPr>
                <w:rStyle w:val="Hipercze"/>
                <w:rFonts w:asciiTheme="minorHAnsi" w:hAnsiTheme="minorHAnsi" w:cstheme="minorHAnsi"/>
                <w:noProof/>
                <w:sz w:val="22"/>
                <w:szCs w:val="22"/>
              </w:rPr>
              <w:t>D - 04.03.01 OCZYSZCZENIE WARSTW KONSTRUKCYJNYCH</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_Toc227825270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58</w:t>
            </w:r>
            <w:r w:rsidRPr="00CF69C0">
              <w:rPr>
                <w:rFonts w:asciiTheme="minorHAnsi" w:hAnsiTheme="minorHAnsi" w:cstheme="minorHAnsi"/>
                <w:noProof/>
                <w:webHidden/>
                <w:sz w:val="22"/>
                <w:szCs w:val="22"/>
              </w:rPr>
              <w:fldChar w:fldCharType="end"/>
            </w:r>
          </w:hyperlink>
        </w:p>
        <w:p w14:paraId="30FAE15B" w14:textId="13B2E8A5" w:rsidR="00D86E93" w:rsidRPr="00CF69C0" w:rsidRDefault="00D86E93" w:rsidP="009114EF">
          <w:pPr>
            <w:pStyle w:val="Spistreci1"/>
            <w:rPr>
              <w:rFonts w:asciiTheme="minorHAnsi" w:eastAsiaTheme="minorEastAsia" w:hAnsiTheme="minorHAnsi" w:cstheme="minorHAnsi"/>
              <w:b w:val="0"/>
              <w:caps w:val="0"/>
              <w:noProof/>
              <w:kern w:val="2"/>
              <w:sz w:val="22"/>
              <w:szCs w:val="22"/>
              <w14:ligatures w14:val="standardContextual"/>
            </w:rPr>
          </w:pPr>
          <w:hyperlink w:anchor="_Toc227825292" w:history="1">
            <w:r w:rsidRPr="00CF69C0">
              <w:rPr>
                <w:rStyle w:val="Hipercze"/>
                <w:rFonts w:asciiTheme="minorHAnsi" w:hAnsiTheme="minorHAnsi" w:cstheme="minorHAnsi"/>
                <w:noProof/>
                <w:sz w:val="22"/>
                <w:szCs w:val="22"/>
              </w:rPr>
              <w:t>D - 04.03.01a POŁĄCZENIE MIĘDZYWARSTWOWE NAWIERZCHNI DROGOWEJ EMULSJĄ ASFALTOWĄ</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_Toc227825292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60</w:t>
            </w:r>
            <w:r w:rsidRPr="00CF69C0">
              <w:rPr>
                <w:rFonts w:asciiTheme="minorHAnsi" w:hAnsiTheme="minorHAnsi" w:cstheme="minorHAnsi"/>
                <w:noProof/>
                <w:webHidden/>
                <w:sz w:val="22"/>
                <w:szCs w:val="22"/>
              </w:rPr>
              <w:fldChar w:fldCharType="end"/>
            </w:r>
          </w:hyperlink>
        </w:p>
        <w:p w14:paraId="6064CD22" w14:textId="2E1BD395" w:rsidR="00D86E93" w:rsidRPr="00CF69C0" w:rsidRDefault="00D86E93" w:rsidP="009114EF">
          <w:pPr>
            <w:pStyle w:val="Spistreci1"/>
            <w:rPr>
              <w:rFonts w:asciiTheme="minorHAnsi" w:eastAsiaTheme="minorEastAsia" w:hAnsiTheme="minorHAnsi" w:cstheme="minorHAnsi"/>
              <w:b w:val="0"/>
              <w:caps w:val="0"/>
              <w:noProof/>
              <w:kern w:val="2"/>
              <w:sz w:val="22"/>
              <w:szCs w:val="22"/>
              <w14:ligatures w14:val="standardContextual"/>
            </w:rPr>
          </w:pPr>
          <w:hyperlink w:anchor="_Toc227825336" w:history="1">
            <w:r w:rsidRPr="00CF69C0">
              <w:rPr>
                <w:rStyle w:val="Hipercze"/>
                <w:rFonts w:asciiTheme="minorHAnsi" w:hAnsiTheme="minorHAnsi" w:cstheme="minorHAnsi"/>
                <w:noProof/>
                <w:sz w:val="22"/>
                <w:szCs w:val="22"/>
              </w:rPr>
              <w:t>D - 04.04.02 PODBUDOWA ZASADNICZA Z MIESZANKI KRUSZYWA NIEZWIĄZANEGO</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_Toc227825336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73</w:t>
            </w:r>
            <w:r w:rsidRPr="00CF69C0">
              <w:rPr>
                <w:rFonts w:asciiTheme="minorHAnsi" w:hAnsiTheme="minorHAnsi" w:cstheme="minorHAnsi"/>
                <w:noProof/>
                <w:webHidden/>
                <w:sz w:val="22"/>
                <w:szCs w:val="22"/>
              </w:rPr>
              <w:fldChar w:fldCharType="end"/>
            </w:r>
          </w:hyperlink>
        </w:p>
        <w:p w14:paraId="4D42A028" w14:textId="5A192D58" w:rsidR="00D86E93" w:rsidRPr="00CF69C0" w:rsidRDefault="00D86E93" w:rsidP="009114EF">
          <w:pPr>
            <w:pStyle w:val="Spistreci1"/>
            <w:rPr>
              <w:rFonts w:asciiTheme="minorHAnsi" w:eastAsiaTheme="minorEastAsia" w:hAnsiTheme="minorHAnsi" w:cstheme="minorHAnsi"/>
              <w:b w:val="0"/>
              <w:caps w:val="0"/>
              <w:noProof/>
              <w:kern w:val="2"/>
              <w:sz w:val="22"/>
              <w:szCs w:val="22"/>
              <w14:ligatures w14:val="standardContextual"/>
            </w:rPr>
          </w:pPr>
          <w:hyperlink w:anchor="_Toc227825383" w:history="1">
            <w:r w:rsidRPr="00CF69C0">
              <w:rPr>
                <w:rStyle w:val="Hipercze"/>
                <w:rFonts w:asciiTheme="minorHAnsi" w:hAnsiTheme="minorHAnsi" w:cstheme="minorHAnsi"/>
                <w:noProof/>
                <w:sz w:val="22"/>
                <w:szCs w:val="22"/>
              </w:rPr>
              <w:t>D – 04.05.01 PODBUDOWA I PODŁOŻE ULEPSZONE Z MIESZANKI KRUSZYWA ZWIĄZANEGO HYDRAULICZNIE CEMENTEM</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_Toc227825383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86</w:t>
            </w:r>
            <w:r w:rsidRPr="00CF69C0">
              <w:rPr>
                <w:rFonts w:asciiTheme="minorHAnsi" w:hAnsiTheme="minorHAnsi" w:cstheme="minorHAnsi"/>
                <w:noProof/>
                <w:webHidden/>
                <w:sz w:val="22"/>
                <w:szCs w:val="22"/>
              </w:rPr>
              <w:fldChar w:fldCharType="end"/>
            </w:r>
          </w:hyperlink>
        </w:p>
        <w:p w14:paraId="4BB09CDE" w14:textId="39811F06" w:rsidR="00D86E93" w:rsidRPr="00CF69C0" w:rsidRDefault="00D86E93" w:rsidP="009114EF">
          <w:pPr>
            <w:pStyle w:val="Spistreci1"/>
            <w:rPr>
              <w:rFonts w:asciiTheme="minorHAnsi" w:eastAsiaTheme="minorEastAsia" w:hAnsiTheme="minorHAnsi" w:cstheme="minorHAnsi"/>
              <w:b w:val="0"/>
              <w:caps w:val="0"/>
              <w:noProof/>
              <w:kern w:val="2"/>
              <w:sz w:val="22"/>
              <w:szCs w:val="22"/>
              <w14:ligatures w14:val="standardContextual"/>
            </w:rPr>
          </w:pPr>
          <w:hyperlink w:anchor="_Toc227825427" w:history="1">
            <w:r w:rsidRPr="00CF69C0">
              <w:rPr>
                <w:rStyle w:val="Hipercze"/>
                <w:rFonts w:asciiTheme="minorHAnsi" w:hAnsiTheme="minorHAnsi" w:cstheme="minorHAnsi"/>
                <w:noProof/>
                <w:sz w:val="22"/>
                <w:szCs w:val="22"/>
              </w:rPr>
              <w:t>D - 05.03.05a WARSTWA ŚCIERALNA Z BETONU ASFALTOWEGO</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_Toc227825427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101</w:t>
            </w:r>
            <w:r w:rsidRPr="00CF69C0">
              <w:rPr>
                <w:rFonts w:asciiTheme="minorHAnsi" w:hAnsiTheme="minorHAnsi" w:cstheme="minorHAnsi"/>
                <w:noProof/>
                <w:webHidden/>
                <w:sz w:val="22"/>
                <w:szCs w:val="22"/>
              </w:rPr>
              <w:fldChar w:fldCharType="end"/>
            </w:r>
          </w:hyperlink>
        </w:p>
        <w:p w14:paraId="174FE500" w14:textId="15C21DA1" w:rsidR="00D86E93" w:rsidRPr="00CF69C0" w:rsidRDefault="00D86E93" w:rsidP="00CF69C0">
          <w:pPr>
            <w:pStyle w:val="Spistreci1"/>
            <w:rPr>
              <w:rFonts w:asciiTheme="minorHAnsi" w:eastAsiaTheme="minorEastAsia" w:hAnsiTheme="minorHAnsi" w:cstheme="minorHAnsi"/>
              <w:b w:val="0"/>
              <w:caps w:val="0"/>
              <w:noProof/>
              <w:kern w:val="2"/>
              <w:sz w:val="22"/>
              <w:szCs w:val="22"/>
              <w14:ligatures w14:val="standardContextual"/>
            </w:rPr>
          </w:pPr>
          <w:hyperlink w:anchor="_Toc227825481" w:history="1">
            <w:r w:rsidRPr="00CF69C0">
              <w:rPr>
                <w:rStyle w:val="Hipercze"/>
                <w:rFonts w:asciiTheme="minorHAnsi" w:hAnsiTheme="minorHAnsi" w:cstheme="minorHAnsi"/>
                <w:noProof/>
                <w:sz w:val="22"/>
                <w:szCs w:val="22"/>
              </w:rPr>
              <w:t>D - 05.03.05b WARSTWA WIĄŻĄCA I WYRÓWNAWCZA Z BETONU ASFALTOWEGO</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_Toc227825481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124</w:t>
            </w:r>
            <w:r w:rsidRPr="00CF69C0">
              <w:rPr>
                <w:rFonts w:asciiTheme="minorHAnsi" w:hAnsiTheme="minorHAnsi" w:cstheme="minorHAnsi"/>
                <w:noProof/>
                <w:webHidden/>
                <w:sz w:val="22"/>
                <w:szCs w:val="22"/>
              </w:rPr>
              <w:fldChar w:fldCharType="end"/>
            </w:r>
          </w:hyperlink>
        </w:p>
        <w:p w14:paraId="1302612C" w14:textId="768283BA" w:rsidR="00D86E93" w:rsidRPr="00CF69C0" w:rsidRDefault="00D86E93" w:rsidP="00CF69C0">
          <w:pPr>
            <w:pStyle w:val="Spistreci1"/>
            <w:rPr>
              <w:rFonts w:asciiTheme="minorHAnsi" w:eastAsiaTheme="minorEastAsia" w:hAnsiTheme="minorHAnsi" w:cstheme="minorHAnsi"/>
              <w:b w:val="0"/>
              <w:caps w:val="0"/>
              <w:noProof/>
              <w:kern w:val="2"/>
              <w:sz w:val="22"/>
              <w:szCs w:val="22"/>
              <w14:ligatures w14:val="standardContextual"/>
            </w:rPr>
          </w:pPr>
          <w:hyperlink w:anchor="_Toc227825535" w:history="1">
            <w:r w:rsidRPr="00CF69C0">
              <w:rPr>
                <w:rStyle w:val="Hipercze"/>
                <w:rFonts w:asciiTheme="minorHAnsi" w:hAnsiTheme="minorHAnsi" w:cstheme="minorHAnsi"/>
                <w:noProof/>
                <w:sz w:val="22"/>
                <w:szCs w:val="22"/>
              </w:rPr>
              <w:t>D - 06.02.01a PRZEPUST Z RUR POLIETYLENOWYCH SPIRALNIE KARBOWANYCH POD ZJAZDEM</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_Toc227825535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147</w:t>
            </w:r>
            <w:r w:rsidRPr="00CF69C0">
              <w:rPr>
                <w:rFonts w:asciiTheme="minorHAnsi" w:hAnsiTheme="minorHAnsi" w:cstheme="minorHAnsi"/>
                <w:noProof/>
                <w:webHidden/>
                <w:sz w:val="22"/>
                <w:szCs w:val="22"/>
              </w:rPr>
              <w:fldChar w:fldCharType="end"/>
            </w:r>
          </w:hyperlink>
        </w:p>
        <w:p w14:paraId="776E1A4D" w14:textId="2DDA60DA" w:rsidR="00D86E93" w:rsidRPr="00CF69C0" w:rsidRDefault="00D86E93" w:rsidP="00CF69C0">
          <w:pPr>
            <w:pStyle w:val="Spistreci1"/>
            <w:rPr>
              <w:rFonts w:asciiTheme="minorHAnsi" w:eastAsiaTheme="minorEastAsia" w:hAnsiTheme="minorHAnsi" w:cstheme="minorHAnsi"/>
              <w:b w:val="0"/>
              <w:caps w:val="0"/>
              <w:noProof/>
              <w:kern w:val="2"/>
              <w:sz w:val="22"/>
              <w:szCs w:val="22"/>
              <w14:ligatures w14:val="standardContextual"/>
            </w:rPr>
          </w:pPr>
          <w:hyperlink w:anchor="_Toc227825584" w:history="1">
            <w:r w:rsidRPr="00CF69C0">
              <w:rPr>
                <w:rStyle w:val="Hipercze"/>
                <w:rFonts w:asciiTheme="minorHAnsi" w:hAnsiTheme="minorHAnsi" w:cstheme="minorHAnsi"/>
                <w:noProof/>
                <w:sz w:val="22"/>
                <w:szCs w:val="22"/>
              </w:rPr>
              <w:t>D - 06.03.01a POBOCZE UTWARDZONE KRUSZYWEM ŁAMANYM</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_Toc227825584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155</w:t>
            </w:r>
            <w:r w:rsidRPr="00CF69C0">
              <w:rPr>
                <w:rFonts w:asciiTheme="minorHAnsi" w:hAnsiTheme="minorHAnsi" w:cstheme="minorHAnsi"/>
                <w:noProof/>
                <w:webHidden/>
                <w:sz w:val="22"/>
                <w:szCs w:val="22"/>
              </w:rPr>
              <w:fldChar w:fldCharType="end"/>
            </w:r>
          </w:hyperlink>
        </w:p>
        <w:p w14:paraId="55F3FB20" w14:textId="129A1F40" w:rsidR="00D86E93" w:rsidRPr="00CF69C0" w:rsidRDefault="00D86E93">
          <w:pPr>
            <w:pStyle w:val="Spistreci1"/>
            <w:rPr>
              <w:rFonts w:asciiTheme="minorHAnsi" w:eastAsiaTheme="minorEastAsia" w:hAnsiTheme="minorHAnsi" w:cstheme="minorHAnsi"/>
              <w:b w:val="0"/>
              <w:caps w:val="0"/>
              <w:noProof/>
              <w:kern w:val="2"/>
              <w:sz w:val="22"/>
              <w:szCs w:val="22"/>
              <w14:ligatures w14:val="standardContextual"/>
            </w:rPr>
          </w:pPr>
          <w:hyperlink w:anchor="_Toc227825630" w:history="1">
            <w:r w:rsidRPr="00CF69C0">
              <w:rPr>
                <w:rStyle w:val="Hipercze"/>
                <w:rFonts w:asciiTheme="minorHAnsi" w:hAnsiTheme="minorHAnsi" w:cstheme="minorHAnsi"/>
                <w:bCs/>
                <w:noProof/>
                <w:sz w:val="22"/>
                <w:szCs w:val="22"/>
                <w:lang w:val="pl"/>
              </w:rPr>
              <w:t>D - 07.01.01 OZNAKOWANIE POZIOME</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_Toc227825630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163</w:t>
            </w:r>
            <w:r w:rsidRPr="00CF69C0">
              <w:rPr>
                <w:rFonts w:asciiTheme="minorHAnsi" w:hAnsiTheme="minorHAnsi" w:cstheme="minorHAnsi"/>
                <w:noProof/>
                <w:webHidden/>
                <w:sz w:val="22"/>
                <w:szCs w:val="22"/>
              </w:rPr>
              <w:fldChar w:fldCharType="end"/>
            </w:r>
          </w:hyperlink>
        </w:p>
        <w:p w14:paraId="0BF5DDE9" w14:textId="47F1B56C" w:rsidR="00D86E93" w:rsidRPr="00CF69C0" w:rsidRDefault="00D86E93">
          <w:pPr>
            <w:pStyle w:val="Spistreci1"/>
            <w:rPr>
              <w:rFonts w:asciiTheme="minorHAnsi" w:eastAsiaTheme="minorEastAsia" w:hAnsiTheme="minorHAnsi" w:cstheme="minorHAnsi"/>
              <w:b w:val="0"/>
              <w:caps w:val="0"/>
              <w:noProof/>
              <w:kern w:val="2"/>
              <w:sz w:val="22"/>
              <w:szCs w:val="22"/>
              <w14:ligatures w14:val="standardContextual"/>
            </w:rPr>
          </w:pPr>
          <w:hyperlink w:anchor="_Toc227825631" w:history="1">
            <w:r w:rsidRPr="00CF69C0">
              <w:rPr>
                <w:rStyle w:val="Hipercze"/>
                <w:rFonts w:asciiTheme="minorHAnsi" w:hAnsiTheme="minorHAnsi" w:cstheme="minorHAnsi"/>
                <w:bCs/>
                <w:noProof/>
                <w:sz w:val="22"/>
                <w:szCs w:val="22"/>
              </w:rPr>
              <w:t>D - 07.02.01 OZNAKOWANIE PIONOWE</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_Toc227825631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180</w:t>
            </w:r>
            <w:r w:rsidRPr="00CF69C0">
              <w:rPr>
                <w:rFonts w:asciiTheme="minorHAnsi" w:hAnsiTheme="minorHAnsi" w:cstheme="minorHAnsi"/>
                <w:noProof/>
                <w:webHidden/>
                <w:sz w:val="22"/>
                <w:szCs w:val="22"/>
              </w:rPr>
              <w:fldChar w:fldCharType="end"/>
            </w:r>
          </w:hyperlink>
        </w:p>
        <w:p w14:paraId="79D92C10" w14:textId="3C96C0E1" w:rsidR="00D86E93" w:rsidRPr="00CF69C0" w:rsidRDefault="00D86E93" w:rsidP="00CF69C0">
          <w:pPr>
            <w:pStyle w:val="Spistreci1"/>
            <w:rPr>
              <w:rFonts w:asciiTheme="minorHAnsi" w:eastAsiaTheme="minorEastAsia" w:hAnsiTheme="minorHAnsi" w:cstheme="minorHAnsi"/>
              <w:b w:val="0"/>
              <w:caps w:val="0"/>
              <w:noProof/>
              <w:kern w:val="2"/>
              <w:sz w:val="22"/>
              <w:szCs w:val="22"/>
              <w14:ligatures w14:val="standardContextual"/>
            </w:rPr>
          </w:pPr>
          <w:hyperlink w:anchor="_Toc227825632" w:history="1">
            <w:r w:rsidRPr="00CF69C0">
              <w:rPr>
                <w:rStyle w:val="Hipercze"/>
                <w:rFonts w:asciiTheme="minorHAnsi" w:hAnsiTheme="minorHAnsi" w:cstheme="minorHAnsi"/>
                <w:noProof/>
                <w:sz w:val="22"/>
                <w:szCs w:val="22"/>
              </w:rPr>
              <w:t>D - 08.01.01 KRAWĘŻNIKI BETONOWE</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_Toc227825632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197</w:t>
            </w:r>
            <w:r w:rsidRPr="00CF69C0">
              <w:rPr>
                <w:rFonts w:asciiTheme="minorHAnsi" w:hAnsiTheme="minorHAnsi" w:cstheme="minorHAnsi"/>
                <w:noProof/>
                <w:webHidden/>
                <w:sz w:val="22"/>
                <w:szCs w:val="22"/>
              </w:rPr>
              <w:fldChar w:fldCharType="end"/>
            </w:r>
          </w:hyperlink>
        </w:p>
        <w:p w14:paraId="198BEB72" w14:textId="01D8D624" w:rsidR="00D86E93" w:rsidRPr="00CF69C0" w:rsidRDefault="00D86E93" w:rsidP="00CF69C0">
          <w:pPr>
            <w:pStyle w:val="Spistreci1"/>
            <w:rPr>
              <w:rFonts w:asciiTheme="minorHAnsi" w:eastAsiaTheme="minorEastAsia" w:hAnsiTheme="minorHAnsi" w:cstheme="minorHAnsi"/>
              <w:b w:val="0"/>
              <w:caps w:val="0"/>
              <w:noProof/>
              <w:kern w:val="2"/>
              <w:sz w:val="22"/>
              <w:szCs w:val="22"/>
              <w14:ligatures w14:val="standardContextual"/>
            </w:rPr>
          </w:pPr>
          <w:hyperlink w:anchor="_Toc227825673" w:history="1">
            <w:r w:rsidRPr="00CF69C0">
              <w:rPr>
                <w:rStyle w:val="Hipercze"/>
                <w:rFonts w:asciiTheme="minorHAnsi" w:hAnsiTheme="minorHAnsi" w:cstheme="minorHAnsi"/>
                <w:noProof/>
                <w:sz w:val="22"/>
                <w:szCs w:val="22"/>
              </w:rPr>
              <w:t>D - 08.02.02 ZJAZD Z BRUKOWEJ KOSTKI BETONOWEJ</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_Toc227825673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204</w:t>
            </w:r>
            <w:r w:rsidRPr="00CF69C0">
              <w:rPr>
                <w:rFonts w:asciiTheme="minorHAnsi" w:hAnsiTheme="minorHAnsi" w:cstheme="minorHAnsi"/>
                <w:noProof/>
                <w:webHidden/>
                <w:sz w:val="22"/>
                <w:szCs w:val="22"/>
              </w:rPr>
              <w:fldChar w:fldCharType="end"/>
            </w:r>
          </w:hyperlink>
        </w:p>
        <w:p w14:paraId="448C1718" w14:textId="53C7D428" w:rsidR="00D86E93" w:rsidRPr="00CF69C0" w:rsidRDefault="00D86E93" w:rsidP="00CF69C0">
          <w:pPr>
            <w:pStyle w:val="Spistreci1"/>
            <w:rPr>
              <w:rFonts w:asciiTheme="minorHAnsi" w:eastAsiaTheme="minorEastAsia" w:hAnsiTheme="minorHAnsi" w:cstheme="minorHAnsi"/>
              <w:b w:val="0"/>
              <w:caps w:val="0"/>
              <w:noProof/>
              <w:kern w:val="2"/>
              <w:sz w:val="22"/>
              <w:szCs w:val="22"/>
              <w14:ligatures w14:val="standardContextual"/>
            </w:rPr>
          </w:pPr>
          <w:hyperlink w:anchor="_Toc227825708" w:history="1">
            <w:r w:rsidRPr="00CF69C0">
              <w:rPr>
                <w:rStyle w:val="Hipercze"/>
                <w:rFonts w:asciiTheme="minorHAnsi" w:hAnsiTheme="minorHAnsi" w:cstheme="minorHAnsi"/>
                <w:noProof/>
                <w:sz w:val="22"/>
                <w:szCs w:val="22"/>
              </w:rPr>
              <w:t>D - 08.03.01 BETONOWE OBRZEŻA CHODNIKOWE</w:t>
            </w:r>
            <w:r w:rsidRPr="00CF69C0">
              <w:rPr>
                <w:rFonts w:asciiTheme="minorHAnsi" w:hAnsiTheme="minorHAnsi" w:cstheme="minorHAnsi"/>
                <w:noProof/>
                <w:webHidden/>
                <w:sz w:val="22"/>
                <w:szCs w:val="22"/>
              </w:rPr>
              <w:tab/>
            </w:r>
            <w:r w:rsidRPr="00CF69C0">
              <w:rPr>
                <w:rFonts w:asciiTheme="minorHAnsi" w:hAnsiTheme="minorHAnsi" w:cstheme="minorHAnsi"/>
                <w:noProof/>
                <w:webHidden/>
                <w:sz w:val="22"/>
                <w:szCs w:val="22"/>
              </w:rPr>
              <w:fldChar w:fldCharType="begin"/>
            </w:r>
            <w:r w:rsidRPr="00CF69C0">
              <w:rPr>
                <w:rFonts w:asciiTheme="minorHAnsi" w:hAnsiTheme="minorHAnsi" w:cstheme="minorHAnsi"/>
                <w:noProof/>
                <w:webHidden/>
                <w:sz w:val="22"/>
                <w:szCs w:val="22"/>
              </w:rPr>
              <w:instrText xml:space="preserve"> PAGEREF _Toc227825708 \h </w:instrText>
            </w:r>
            <w:r w:rsidRPr="00CF69C0">
              <w:rPr>
                <w:rFonts w:asciiTheme="minorHAnsi" w:hAnsiTheme="minorHAnsi" w:cstheme="minorHAnsi"/>
                <w:noProof/>
                <w:webHidden/>
                <w:sz w:val="22"/>
                <w:szCs w:val="22"/>
              </w:rPr>
            </w:r>
            <w:r w:rsidRPr="00CF69C0">
              <w:rPr>
                <w:rFonts w:asciiTheme="minorHAnsi" w:hAnsiTheme="minorHAnsi" w:cstheme="minorHAnsi"/>
                <w:noProof/>
                <w:webHidden/>
                <w:sz w:val="22"/>
                <w:szCs w:val="22"/>
              </w:rPr>
              <w:fldChar w:fldCharType="separate"/>
            </w:r>
            <w:r w:rsidR="00EE7F97">
              <w:rPr>
                <w:rFonts w:asciiTheme="minorHAnsi" w:hAnsiTheme="minorHAnsi" w:cstheme="minorHAnsi"/>
                <w:noProof/>
                <w:webHidden/>
                <w:sz w:val="22"/>
                <w:szCs w:val="22"/>
              </w:rPr>
              <w:t>209</w:t>
            </w:r>
            <w:r w:rsidRPr="00CF69C0">
              <w:rPr>
                <w:rFonts w:asciiTheme="minorHAnsi" w:hAnsiTheme="minorHAnsi" w:cstheme="minorHAnsi"/>
                <w:noProof/>
                <w:webHidden/>
                <w:sz w:val="22"/>
                <w:szCs w:val="22"/>
              </w:rPr>
              <w:fldChar w:fldCharType="end"/>
            </w:r>
          </w:hyperlink>
        </w:p>
        <w:p w14:paraId="091A54B2" w14:textId="4D5EDE57" w:rsidR="00713454" w:rsidRPr="004853EB" w:rsidRDefault="00713454" w:rsidP="00713454">
          <w:pPr>
            <w:spacing w:before="120" w:after="120"/>
            <w:rPr>
              <w:rFonts w:cstheme="minorHAnsi"/>
            </w:rPr>
          </w:pPr>
          <w:r w:rsidRPr="004853EB">
            <w:rPr>
              <w:rFonts w:cstheme="minorHAnsi"/>
              <w:b/>
              <w:bCs/>
            </w:rPr>
            <w:fldChar w:fldCharType="end"/>
          </w:r>
        </w:p>
      </w:sdtContent>
    </w:sdt>
    <w:p w14:paraId="522FF4D9" w14:textId="77777777" w:rsidR="00713454" w:rsidRPr="004853EB" w:rsidRDefault="00713454" w:rsidP="00713454">
      <w:pPr>
        <w:keepNext/>
        <w:keepLines/>
        <w:tabs>
          <w:tab w:val="right" w:leader="dot" w:pos="9498"/>
        </w:tab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Cs w:val="20"/>
          <w:lang w:eastAsia="pl-PL"/>
        </w:rPr>
      </w:pPr>
    </w:p>
    <w:p w14:paraId="14D10DEA" w14:textId="77777777" w:rsidR="00713454" w:rsidRPr="004853EB" w:rsidRDefault="00713454" w:rsidP="00713454">
      <w:pPr>
        <w:keepNext/>
        <w:keepLines/>
        <w:tabs>
          <w:tab w:val="right" w:leader="dot" w:pos="9498"/>
        </w:tab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Cs w:val="20"/>
          <w:lang w:eastAsia="pl-PL"/>
        </w:rPr>
      </w:pPr>
    </w:p>
    <w:p w14:paraId="330F7EC2" w14:textId="77777777" w:rsidR="00713454" w:rsidRPr="004853EB" w:rsidRDefault="00713454" w:rsidP="00713454">
      <w:pPr>
        <w:keepNext/>
        <w:keepLines/>
        <w:tabs>
          <w:tab w:val="right" w:leader="dot" w:pos="9498"/>
        </w:tab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Cs w:val="20"/>
          <w:lang w:eastAsia="pl-PL"/>
        </w:rPr>
      </w:pPr>
    </w:p>
    <w:p w14:paraId="747EAD84"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3AD3A760" w14:textId="77777777" w:rsidR="00E95D02" w:rsidRPr="004853EB" w:rsidRDefault="00E95D02"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64C8E29E" w14:textId="77777777" w:rsidR="00E95D02" w:rsidRPr="004853EB" w:rsidRDefault="00E95D02"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09AAB1F3"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747975FD"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72B06C62"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753AE701"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6FBD17DB"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44492E8F"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468C037C"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046E763B"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1CBA622B"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3554CFF5"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11BAB6A9"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42FE1DE7"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29CDFCB6" w14:textId="77777777" w:rsidR="00E95D02" w:rsidRPr="004853EB" w:rsidRDefault="00E95D02"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5E64AB21"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57060919"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1D97E471"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67238D27" w14:textId="77777777" w:rsidR="00E95D02" w:rsidRPr="004853EB" w:rsidRDefault="00E95D02" w:rsidP="00E95D02">
      <w:pPr>
        <w:pStyle w:val="Nagwek1"/>
        <w:rPr>
          <w:rFonts w:asciiTheme="minorHAnsi" w:hAnsiTheme="minorHAnsi" w:cstheme="minorHAnsi"/>
          <w:sz w:val="22"/>
          <w:szCs w:val="22"/>
        </w:rPr>
      </w:pPr>
      <w:bookmarkStart w:id="5" w:name="_Toc227824932"/>
      <w:r w:rsidRPr="004853EB">
        <w:rPr>
          <w:rFonts w:asciiTheme="minorHAnsi" w:hAnsiTheme="minorHAnsi" w:cstheme="minorHAnsi"/>
          <w:sz w:val="22"/>
          <w:szCs w:val="22"/>
        </w:rPr>
        <w:lastRenderedPageBreak/>
        <w:t>D - 00.00.00 WYMAGANIA OGÓLNE</w:t>
      </w:r>
      <w:bookmarkEnd w:id="5"/>
    </w:p>
    <w:p w14:paraId="59EB03A8" w14:textId="77777777" w:rsidR="00E95D02" w:rsidRPr="004853EB" w:rsidRDefault="00E95D02" w:rsidP="00E95D02">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6" w:name="_Toc6881279"/>
      <w:bookmarkStart w:id="7" w:name="_Toc6882152"/>
      <w:bookmarkStart w:id="8" w:name="_Toc194476444"/>
      <w:bookmarkStart w:id="9" w:name="_Toc227759786"/>
      <w:bookmarkStart w:id="10" w:name="_Toc227824933"/>
      <w:r w:rsidRPr="004853EB">
        <w:rPr>
          <w:rFonts w:eastAsia="Times New Roman" w:cstheme="minorHAnsi"/>
          <w:b/>
          <w:caps/>
          <w:kern w:val="28"/>
          <w:sz w:val="20"/>
          <w:szCs w:val="20"/>
          <w:lang w:eastAsia="pl-PL"/>
        </w:rPr>
        <w:t>1. WSTĘP</w:t>
      </w:r>
      <w:bookmarkEnd w:id="6"/>
      <w:bookmarkEnd w:id="7"/>
      <w:bookmarkEnd w:id="8"/>
      <w:bookmarkEnd w:id="9"/>
      <w:bookmarkEnd w:id="10"/>
    </w:p>
    <w:p w14:paraId="27F832DA"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1" w:name="_Toc194476445"/>
      <w:bookmarkStart w:id="12" w:name="_Toc227759787"/>
      <w:bookmarkStart w:id="13" w:name="_Toc227824934"/>
      <w:r w:rsidRPr="004853EB">
        <w:rPr>
          <w:rFonts w:eastAsia="Times New Roman" w:cstheme="minorHAnsi"/>
          <w:b/>
          <w:sz w:val="20"/>
          <w:szCs w:val="20"/>
          <w:lang w:eastAsia="pl-PL"/>
        </w:rPr>
        <w:t>1.1. Przedmiot SST</w:t>
      </w:r>
      <w:bookmarkEnd w:id="11"/>
      <w:bookmarkEnd w:id="12"/>
      <w:bookmarkEnd w:id="13"/>
    </w:p>
    <w:p w14:paraId="77C3A178" w14:textId="36AC17EF" w:rsidR="00E95D02" w:rsidRPr="004853EB" w:rsidRDefault="00E95D02" w:rsidP="00E95D02">
      <w:pPr>
        <w:overflowPunct w:val="0"/>
        <w:autoSpaceDE w:val="0"/>
        <w:autoSpaceDN w:val="0"/>
        <w:adjustRightInd w:val="0"/>
        <w:spacing w:after="0" w:line="240" w:lineRule="auto"/>
        <w:ind w:firstLine="709"/>
        <w:jc w:val="both"/>
        <w:textAlignment w:val="baseline"/>
        <w:rPr>
          <w:rFonts w:eastAsia="Times New Roman" w:cstheme="minorHAnsi"/>
          <w:b/>
          <w:sz w:val="20"/>
          <w:szCs w:val="20"/>
          <w:lang w:eastAsia="pl-PL"/>
        </w:rPr>
      </w:pPr>
      <w:r w:rsidRPr="004853EB">
        <w:rPr>
          <w:rFonts w:eastAsia="Times New Roman" w:cstheme="minorHAnsi"/>
          <w:sz w:val="20"/>
          <w:szCs w:val="20"/>
          <w:lang w:eastAsia="pl-PL"/>
        </w:rPr>
        <w:t xml:space="preserve">Przedmiotem niniejszej szczegółowej specyfikacji technicznej (SST) są wymagania ogólne dotyczące wykonania i odbioru robót drogowych związanych z </w:t>
      </w:r>
      <w:r w:rsidRPr="004853EB">
        <w:rPr>
          <w:rFonts w:eastAsia="Times New Roman" w:cstheme="minorHAnsi"/>
          <w:b/>
          <w:sz w:val="20"/>
          <w:szCs w:val="20"/>
          <w:lang w:eastAsia="pl-PL"/>
        </w:rPr>
        <w:t xml:space="preserve">Przebudową drogi powiatowej nr </w:t>
      </w:r>
      <w:r w:rsidR="00386337" w:rsidRPr="00386337">
        <w:rPr>
          <w:rFonts w:eastAsia="Times New Roman" w:cstheme="minorHAnsi"/>
          <w:b/>
          <w:sz w:val="20"/>
          <w:szCs w:val="20"/>
          <w:lang w:eastAsia="pl-PL"/>
        </w:rPr>
        <w:t>4506W Zwoleń – Sarnów w miejscowości Łuczynów</w:t>
      </w:r>
      <w:r w:rsidRPr="004853EB">
        <w:rPr>
          <w:rFonts w:eastAsia="Times New Roman" w:cstheme="minorHAnsi"/>
          <w:b/>
          <w:sz w:val="20"/>
          <w:szCs w:val="20"/>
          <w:lang w:eastAsia="pl-PL"/>
        </w:rPr>
        <w:t>.</w:t>
      </w:r>
    </w:p>
    <w:p w14:paraId="2716755A"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4" w:name="_Toc194476446"/>
      <w:bookmarkStart w:id="15" w:name="_Toc227759788"/>
      <w:bookmarkStart w:id="16" w:name="_Toc227824935"/>
      <w:r w:rsidRPr="004853EB">
        <w:rPr>
          <w:rFonts w:eastAsia="Times New Roman" w:cstheme="minorHAnsi"/>
          <w:b/>
          <w:sz w:val="20"/>
          <w:szCs w:val="20"/>
          <w:lang w:eastAsia="pl-PL"/>
        </w:rPr>
        <w:t>1.2. Zakres stosowania SST</w:t>
      </w:r>
      <w:bookmarkEnd w:id="14"/>
      <w:bookmarkEnd w:id="15"/>
      <w:bookmarkEnd w:id="16"/>
    </w:p>
    <w:p w14:paraId="23A0C1CF"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Specyfikacja techniczna jest stosowana jako dokument przetargowy i kontraktowy przy zlecaniu i realizacji robót wymienionych w pkt 1.1.</w:t>
      </w:r>
    </w:p>
    <w:p w14:paraId="6937D9F2"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7" w:name="_Toc194476447"/>
      <w:bookmarkStart w:id="18" w:name="_Toc227759789"/>
      <w:bookmarkStart w:id="19" w:name="_Toc227824936"/>
      <w:r w:rsidRPr="004853EB">
        <w:rPr>
          <w:rFonts w:eastAsia="Times New Roman" w:cstheme="minorHAnsi"/>
          <w:b/>
          <w:sz w:val="20"/>
          <w:szCs w:val="20"/>
          <w:lang w:eastAsia="pl-PL"/>
        </w:rPr>
        <w:t>1.3. Zakres robót objętych SST</w:t>
      </w:r>
      <w:bookmarkEnd w:id="17"/>
      <w:bookmarkEnd w:id="18"/>
      <w:bookmarkEnd w:id="19"/>
    </w:p>
    <w:p w14:paraId="1EB0F826" w14:textId="1903098D"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b/>
          <w:sz w:val="20"/>
          <w:szCs w:val="20"/>
          <w:lang w:eastAsia="pl-PL"/>
        </w:rPr>
      </w:pPr>
      <w:r w:rsidRPr="004853EB">
        <w:rPr>
          <w:rFonts w:eastAsia="Times New Roman" w:cstheme="minorHAnsi"/>
          <w:sz w:val="20"/>
          <w:szCs w:val="20"/>
          <w:lang w:eastAsia="pl-PL"/>
        </w:rPr>
        <w:tab/>
      </w:r>
      <w:r w:rsidRPr="004853EB">
        <w:rPr>
          <w:rFonts w:eastAsia="Times New Roman" w:cstheme="minorHAnsi"/>
          <w:sz w:val="20"/>
          <w:szCs w:val="20"/>
          <w:lang w:val="pl" w:eastAsia="pl-PL"/>
        </w:rPr>
        <w:t xml:space="preserve">Ustalenia zawarte w niniejszej specyfikacji związane z </w:t>
      </w:r>
      <w:r w:rsidRPr="004853EB">
        <w:rPr>
          <w:rFonts w:eastAsia="Times New Roman" w:cstheme="minorHAnsi"/>
          <w:b/>
          <w:sz w:val="20"/>
          <w:szCs w:val="20"/>
          <w:lang w:eastAsia="pl-PL"/>
        </w:rPr>
        <w:t xml:space="preserve">Przebudową </w:t>
      </w:r>
      <w:r w:rsidR="00B81F7B" w:rsidRPr="004853EB">
        <w:rPr>
          <w:rFonts w:eastAsia="Times New Roman" w:cstheme="minorHAnsi"/>
          <w:b/>
          <w:sz w:val="20"/>
          <w:szCs w:val="20"/>
          <w:lang w:eastAsia="pl-PL"/>
        </w:rPr>
        <w:t>drogi powiatowej</w:t>
      </w:r>
      <w:r w:rsidRPr="004853EB">
        <w:rPr>
          <w:rFonts w:eastAsia="Times New Roman" w:cstheme="minorHAnsi"/>
          <w:b/>
          <w:sz w:val="20"/>
          <w:szCs w:val="20"/>
          <w:lang w:eastAsia="pl-PL"/>
        </w:rPr>
        <w:t xml:space="preserve"> nr </w:t>
      </w:r>
      <w:r w:rsidR="00386337" w:rsidRPr="00386337">
        <w:rPr>
          <w:rFonts w:eastAsia="Times New Roman" w:cstheme="minorHAnsi"/>
          <w:b/>
          <w:bCs/>
          <w:sz w:val="20"/>
          <w:szCs w:val="20"/>
          <w:lang w:eastAsia="pl-PL"/>
        </w:rPr>
        <w:t>4506W Zwoleń – Sarnów w miejscowości Łuczynów</w:t>
      </w:r>
      <w:r w:rsidRPr="004853EB">
        <w:rPr>
          <w:rFonts w:eastAsia="Times New Roman" w:cstheme="minorHAnsi"/>
          <w:b/>
          <w:sz w:val="20"/>
          <w:szCs w:val="20"/>
          <w:lang w:eastAsia="pl-PL"/>
        </w:rPr>
        <w:t>:</w:t>
      </w:r>
    </w:p>
    <w:p w14:paraId="062C9E7A"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 - 00.00.00 Wymagania ogólne</w:t>
      </w:r>
    </w:p>
    <w:p w14:paraId="78C86B89" w14:textId="76E0C85E" w:rsidR="00E95D02" w:rsidRPr="00F52A0B" w:rsidRDefault="00E95D02" w:rsidP="00E95D02">
      <w:pPr>
        <w:overflowPunct w:val="0"/>
        <w:autoSpaceDE w:val="0"/>
        <w:autoSpaceDN w:val="0"/>
        <w:adjustRightInd w:val="0"/>
        <w:spacing w:after="0" w:line="240" w:lineRule="auto"/>
        <w:jc w:val="both"/>
        <w:textAlignment w:val="baseline"/>
        <w:rPr>
          <w:rFonts w:eastAsia="Times New Roman" w:cstheme="minorHAnsi"/>
          <w:bCs/>
          <w:sz w:val="20"/>
          <w:szCs w:val="20"/>
          <w:lang w:eastAsia="pl-PL"/>
        </w:rPr>
      </w:pPr>
      <w:r w:rsidRPr="004853EB">
        <w:rPr>
          <w:rFonts w:eastAsia="Times New Roman" w:cstheme="minorHAnsi"/>
          <w:sz w:val="20"/>
          <w:szCs w:val="20"/>
          <w:lang w:eastAsia="pl-PL"/>
        </w:rPr>
        <w:t xml:space="preserve">D - 01.01.01 </w:t>
      </w:r>
      <w:r w:rsidR="00F52A0B" w:rsidRPr="004853EB">
        <w:rPr>
          <w:rFonts w:eastAsia="Times New Roman" w:cstheme="minorHAnsi"/>
          <w:sz w:val="20"/>
          <w:szCs w:val="20"/>
          <w:lang w:eastAsia="pl-PL"/>
        </w:rPr>
        <w:t>Odtworzenie trasy i punktów</w:t>
      </w:r>
      <w:r w:rsidR="00F52A0B">
        <w:rPr>
          <w:rFonts w:eastAsia="Times New Roman" w:cstheme="minorHAnsi"/>
          <w:sz w:val="20"/>
          <w:szCs w:val="20"/>
          <w:lang w:eastAsia="pl-PL"/>
        </w:rPr>
        <w:t xml:space="preserve"> </w:t>
      </w:r>
      <w:r w:rsidR="00F52A0B" w:rsidRPr="00F52A0B">
        <w:rPr>
          <w:rFonts w:eastAsia="Times New Roman" w:cstheme="minorHAnsi"/>
          <w:bCs/>
          <w:sz w:val="20"/>
          <w:szCs w:val="20"/>
          <w:lang w:eastAsia="pl-PL"/>
        </w:rPr>
        <w:t>wysokościowych oraz sporządzenie inwentaryzacji powykonawczej drogi</w:t>
      </w:r>
    </w:p>
    <w:p w14:paraId="3BD24FF8" w14:textId="166E7203"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 - 01.02.02a </w:t>
      </w:r>
      <w:r w:rsidR="00F52A0B" w:rsidRPr="004853EB">
        <w:rPr>
          <w:rFonts w:eastAsia="Times New Roman" w:cstheme="minorHAnsi"/>
          <w:sz w:val="20"/>
          <w:szCs w:val="20"/>
          <w:lang w:eastAsia="pl-PL"/>
        </w:rPr>
        <w:t>Zdjęcie warstwy ziemi</w:t>
      </w:r>
      <w:r w:rsidRPr="004853EB">
        <w:rPr>
          <w:rFonts w:eastAsia="Times New Roman" w:cstheme="minorHAnsi"/>
          <w:sz w:val="20"/>
          <w:szCs w:val="20"/>
          <w:lang w:eastAsia="pl-PL"/>
        </w:rPr>
        <w:t xml:space="preserve"> urodzajnej</w:t>
      </w:r>
    </w:p>
    <w:p w14:paraId="0E52B7D6"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 - 01.02.04 Rozbiórka elementów dróg, ogrodzeń i przepustów</w:t>
      </w:r>
    </w:p>
    <w:p w14:paraId="16633EF2" w14:textId="27EFE51C"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 - 02.00.01 </w:t>
      </w:r>
      <w:r w:rsidR="00F52A0B" w:rsidRPr="004853EB">
        <w:rPr>
          <w:rFonts w:eastAsia="Times New Roman" w:cstheme="minorHAnsi"/>
          <w:sz w:val="20"/>
          <w:szCs w:val="20"/>
          <w:lang w:eastAsia="pl-PL"/>
        </w:rPr>
        <w:t>Roboty ziemne</w:t>
      </w:r>
      <w:r w:rsidRPr="004853EB">
        <w:rPr>
          <w:rFonts w:eastAsia="Times New Roman" w:cstheme="minorHAnsi"/>
          <w:sz w:val="20"/>
          <w:szCs w:val="20"/>
          <w:lang w:eastAsia="pl-PL"/>
        </w:rPr>
        <w:t xml:space="preserve">. </w:t>
      </w:r>
      <w:r w:rsidR="00F52A0B">
        <w:rPr>
          <w:rFonts w:eastAsia="Times New Roman" w:cstheme="minorHAnsi"/>
          <w:sz w:val="20"/>
          <w:szCs w:val="20"/>
          <w:lang w:eastAsia="pl-PL"/>
        </w:rPr>
        <w:t>W</w:t>
      </w:r>
      <w:r w:rsidR="00F52A0B" w:rsidRPr="004853EB">
        <w:rPr>
          <w:rFonts w:eastAsia="Times New Roman" w:cstheme="minorHAnsi"/>
          <w:sz w:val="20"/>
          <w:szCs w:val="20"/>
          <w:lang w:eastAsia="pl-PL"/>
        </w:rPr>
        <w:t>ymagania ogólne</w:t>
      </w:r>
    </w:p>
    <w:p w14:paraId="78729836" w14:textId="253D7705"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 - 02.01.01 </w:t>
      </w:r>
      <w:r w:rsidR="00F52A0B" w:rsidRPr="004853EB">
        <w:rPr>
          <w:rFonts w:eastAsia="Times New Roman" w:cstheme="minorHAnsi"/>
          <w:sz w:val="20"/>
          <w:szCs w:val="20"/>
          <w:lang w:eastAsia="pl-PL"/>
        </w:rPr>
        <w:t xml:space="preserve">Wykonanie wykopów </w:t>
      </w:r>
      <w:r w:rsidR="00F52A0B">
        <w:rPr>
          <w:rFonts w:eastAsia="Times New Roman" w:cstheme="minorHAnsi"/>
          <w:sz w:val="20"/>
          <w:szCs w:val="20"/>
          <w:lang w:eastAsia="pl-PL"/>
        </w:rPr>
        <w:t xml:space="preserve">w </w:t>
      </w:r>
      <w:r w:rsidR="00F52A0B" w:rsidRPr="004853EB">
        <w:rPr>
          <w:rFonts w:eastAsia="Times New Roman" w:cstheme="minorHAnsi"/>
          <w:sz w:val="20"/>
          <w:szCs w:val="20"/>
          <w:lang w:eastAsia="pl-PL"/>
        </w:rPr>
        <w:t>gruntach</w:t>
      </w:r>
      <w:r w:rsidRPr="004853EB">
        <w:rPr>
          <w:rFonts w:eastAsia="Times New Roman" w:cstheme="minorHAnsi"/>
          <w:sz w:val="20"/>
          <w:szCs w:val="20"/>
          <w:lang w:eastAsia="pl-PL"/>
        </w:rPr>
        <w:t xml:space="preserve"> nieskalistych</w:t>
      </w:r>
    </w:p>
    <w:p w14:paraId="265FE940"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 - 03.01.03b Oczyszczenie rowu z namułu</w:t>
      </w:r>
    </w:p>
    <w:p w14:paraId="4883F725" w14:textId="7B550C21"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 - 04.01.01 </w:t>
      </w:r>
      <w:r w:rsidR="00F52A0B" w:rsidRPr="004853EB">
        <w:rPr>
          <w:rFonts w:eastAsia="Times New Roman" w:cstheme="minorHAnsi"/>
          <w:sz w:val="20"/>
          <w:szCs w:val="20"/>
          <w:lang w:eastAsia="pl-PL"/>
        </w:rPr>
        <w:t>Koryto wraz z profilowaniem</w:t>
      </w:r>
      <w:r w:rsidRPr="004853EB">
        <w:rPr>
          <w:rFonts w:eastAsia="Times New Roman" w:cstheme="minorHAnsi"/>
          <w:sz w:val="20"/>
          <w:szCs w:val="20"/>
          <w:lang w:eastAsia="pl-PL"/>
        </w:rPr>
        <w:t xml:space="preserve"> i zagęszczaniem podłoża</w:t>
      </w:r>
    </w:p>
    <w:p w14:paraId="09AD1771" w14:textId="2F663542"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 - 04.02.01 </w:t>
      </w:r>
      <w:r w:rsidR="00F52A0B" w:rsidRPr="004853EB">
        <w:rPr>
          <w:rFonts w:eastAsia="Times New Roman" w:cstheme="minorHAnsi"/>
          <w:sz w:val="20"/>
          <w:szCs w:val="20"/>
          <w:lang w:eastAsia="pl-PL"/>
        </w:rPr>
        <w:t>Warstwy ulepszonego</w:t>
      </w:r>
      <w:r w:rsidRPr="004853EB">
        <w:rPr>
          <w:rFonts w:eastAsia="Times New Roman" w:cstheme="minorHAnsi"/>
          <w:sz w:val="20"/>
          <w:szCs w:val="20"/>
          <w:lang w:eastAsia="pl-PL"/>
        </w:rPr>
        <w:t xml:space="preserve"> podłoża pełniące rolę warstwy odsączającej  </w:t>
      </w:r>
    </w:p>
    <w:p w14:paraId="50690B16" w14:textId="3407CAC5"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 - 04.03.01 </w:t>
      </w:r>
      <w:r w:rsidR="00F52A0B" w:rsidRPr="004853EB">
        <w:rPr>
          <w:rFonts w:eastAsia="Times New Roman" w:cstheme="minorHAnsi"/>
          <w:sz w:val="20"/>
          <w:szCs w:val="20"/>
          <w:lang w:eastAsia="pl-PL"/>
        </w:rPr>
        <w:t>Oczyszczenie warstw konstrukcyjnych</w:t>
      </w:r>
    </w:p>
    <w:p w14:paraId="68DB3E4E" w14:textId="13C8BAAC"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 - 04.03.01a </w:t>
      </w:r>
      <w:r w:rsidR="00F52A0B" w:rsidRPr="004853EB">
        <w:rPr>
          <w:rFonts w:eastAsia="Times New Roman" w:cstheme="minorHAnsi"/>
          <w:sz w:val="20"/>
          <w:szCs w:val="20"/>
          <w:lang w:eastAsia="pl-PL"/>
        </w:rPr>
        <w:t>Połączenie międzywarstwowe nawierzchni drogowej emulsją asfaltową</w:t>
      </w:r>
    </w:p>
    <w:p w14:paraId="3DF22515" w14:textId="31100B62"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 - 04.04.02 </w:t>
      </w:r>
      <w:r w:rsidR="00F52A0B" w:rsidRPr="004853EB">
        <w:rPr>
          <w:rFonts w:eastAsia="Times New Roman" w:cstheme="minorHAnsi"/>
          <w:sz w:val="20"/>
          <w:szCs w:val="20"/>
          <w:lang w:eastAsia="pl-PL"/>
        </w:rPr>
        <w:t>Podbudowa zasadnicza</w:t>
      </w:r>
      <w:r w:rsidRPr="004853EB">
        <w:rPr>
          <w:rFonts w:eastAsia="Times New Roman" w:cstheme="minorHAnsi"/>
          <w:sz w:val="20"/>
          <w:szCs w:val="20"/>
          <w:lang w:eastAsia="pl-PL"/>
        </w:rPr>
        <w:t xml:space="preserve"> z mieszanki kruszywa niezwiązanego</w:t>
      </w:r>
    </w:p>
    <w:p w14:paraId="48723994" w14:textId="4FD5F8BC" w:rsidR="00B81F7B" w:rsidRPr="004853EB" w:rsidRDefault="00B81F7B"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 - 04.05.01 </w:t>
      </w:r>
      <w:r w:rsidR="00F52A0B" w:rsidRPr="004853EB">
        <w:rPr>
          <w:rFonts w:eastAsia="Times New Roman" w:cstheme="minorHAnsi"/>
          <w:sz w:val="20"/>
          <w:szCs w:val="20"/>
          <w:lang w:eastAsia="pl-PL"/>
        </w:rPr>
        <w:t>Podbudowa i podłoże ulepszone</w:t>
      </w:r>
      <w:r w:rsidRPr="004853EB">
        <w:rPr>
          <w:rFonts w:eastAsia="Times New Roman" w:cstheme="minorHAnsi"/>
          <w:sz w:val="20"/>
          <w:szCs w:val="20"/>
          <w:lang w:eastAsia="pl-PL"/>
        </w:rPr>
        <w:t xml:space="preserve"> </w:t>
      </w:r>
      <w:r w:rsidR="00F52A0B" w:rsidRPr="004853EB">
        <w:rPr>
          <w:rFonts w:eastAsia="Times New Roman" w:cstheme="minorHAnsi"/>
          <w:sz w:val="20"/>
          <w:szCs w:val="20"/>
          <w:lang w:eastAsia="pl-PL"/>
        </w:rPr>
        <w:t>z mieszanki kruszywa związanego hydraulicznie cementem</w:t>
      </w:r>
    </w:p>
    <w:p w14:paraId="0D855BF1"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 - 05.03.05a Nawierzchnia z betonu asfaltowego. Warstwa ścieralna wg WT-1 i WT-2</w:t>
      </w:r>
    </w:p>
    <w:p w14:paraId="5024E0B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 - 05.03.05b Nawierzchnia z betonu asfaltowego. Warstwa wiążąca i wyrównawcza wg WT-1 i WT-2</w:t>
      </w:r>
    </w:p>
    <w:p w14:paraId="4C9997BC" w14:textId="5EB41A9D"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 - 06.02.01 Przepust z rur polietylenowych HDPE spiralnie karbowanych pod zjazdem</w:t>
      </w:r>
    </w:p>
    <w:p w14:paraId="3B5ED9A5" w14:textId="34DC0FF0"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 - 06.03.01a </w:t>
      </w:r>
      <w:r w:rsidR="00F52A0B" w:rsidRPr="004853EB">
        <w:rPr>
          <w:rFonts w:eastAsia="Times New Roman" w:cstheme="minorHAnsi"/>
          <w:sz w:val="20"/>
          <w:szCs w:val="20"/>
          <w:lang w:eastAsia="pl-PL"/>
        </w:rPr>
        <w:t>Pobocze utwardzone kruszywem łamanym</w:t>
      </w:r>
    </w:p>
    <w:p w14:paraId="40D05A52"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 - 07.01.01 Oznakowanie poziome</w:t>
      </w:r>
    </w:p>
    <w:p w14:paraId="58BC3081" w14:textId="0E5FC476" w:rsidR="004853EB" w:rsidRPr="004853EB" w:rsidRDefault="004853EB"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 - 07.02.01 Oznakowanie pionowe</w:t>
      </w:r>
    </w:p>
    <w:p w14:paraId="1425CB4A" w14:textId="77777777" w:rsidR="00E95D02"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 - 08.01.01 Krawężniki betonowe</w:t>
      </w:r>
    </w:p>
    <w:p w14:paraId="757DA331" w14:textId="443E63CD" w:rsidR="004853EB" w:rsidRPr="004853EB" w:rsidRDefault="004853EB"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 - 08.0</w:t>
      </w:r>
      <w:r>
        <w:rPr>
          <w:rFonts w:eastAsia="Times New Roman" w:cstheme="minorHAnsi"/>
          <w:sz w:val="20"/>
          <w:szCs w:val="20"/>
          <w:lang w:eastAsia="pl-PL"/>
        </w:rPr>
        <w:t>2</w:t>
      </w:r>
      <w:r w:rsidRPr="004853EB">
        <w:rPr>
          <w:rFonts w:eastAsia="Times New Roman" w:cstheme="minorHAnsi"/>
          <w:sz w:val="20"/>
          <w:szCs w:val="20"/>
          <w:lang w:eastAsia="pl-PL"/>
        </w:rPr>
        <w:t>.0</w:t>
      </w:r>
      <w:r>
        <w:rPr>
          <w:rFonts w:eastAsia="Times New Roman" w:cstheme="minorHAnsi"/>
          <w:sz w:val="20"/>
          <w:szCs w:val="20"/>
          <w:lang w:eastAsia="pl-PL"/>
        </w:rPr>
        <w:t>2</w:t>
      </w:r>
      <w:r w:rsidRPr="004853EB">
        <w:rPr>
          <w:rFonts w:eastAsia="Times New Roman" w:cstheme="minorHAnsi"/>
          <w:sz w:val="20"/>
          <w:szCs w:val="20"/>
          <w:lang w:eastAsia="pl-PL"/>
        </w:rPr>
        <w:t xml:space="preserve"> </w:t>
      </w:r>
      <w:r>
        <w:rPr>
          <w:rFonts w:eastAsia="Times New Roman" w:cstheme="minorHAnsi"/>
          <w:sz w:val="20"/>
          <w:szCs w:val="20"/>
          <w:lang w:eastAsia="pl-PL"/>
        </w:rPr>
        <w:t>Zjazd z brukowej kostki betonowej</w:t>
      </w:r>
    </w:p>
    <w:p w14:paraId="08F4A50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 - 08.03.01 Betonowe obrzeża chodnikowe</w:t>
      </w:r>
    </w:p>
    <w:p w14:paraId="2C6B1060"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0" w:name="_Toc194476448"/>
      <w:bookmarkStart w:id="21" w:name="_Toc227759790"/>
      <w:bookmarkStart w:id="22" w:name="_Toc227824937"/>
      <w:r w:rsidRPr="004853EB">
        <w:rPr>
          <w:rFonts w:eastAsia="Times New Roman" w:cstheme="minorHAnsi"/>
          <w:b/>
          <w:sz w:val="20"/>
          <w:szCs w:val="20"/>
          <w:lang w:eastAsia="pl-PL"/>
        </w:rPr>
        <w:t>1.4. Określenia podstawowe</w:t>
      </w:r>
      <w:bookmarkEnd w:id="20"/>
      <w:bookmarkEnd w:id="21"/>
      <w:bookmarkEnd w:id="22"/>
    </w:p>
    <w:p w14:paraId="225FF3C4" w14:textId="77777777" w:rsidR="00E95D02" w:rsidRPr="004853EB" w:rsidRDefault="00E95D02" w:rsidP="00E95D02">
      <w:p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Użyte w SST wymienione poniżej określenia należy rozumieć w każdym przypadku następująco:</w:t>
      </w:r>
    </w:p>
    <w:p w14:paraId="56176538" w14:textId="77777777" w:rsidR="00E95D02" w:rsidRPr="004853EB" w:rsidRDefault="00E95D02" w:rsidP="00E95D02">
      <w:pPr>
        <w:tabs>
          <w:tab w:val="left" w:pos="567"/>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w:t>
      </w:r>
      <w:r w:rsidRPr="004853EB">
        <w:rPr>
          <w:rFonts w:eastAsia="Times New Roman" w:cstheme="minorHAnsi"/>
          <w:sz w:val="20"/>
          <w:szCs w:val="20"/>
          <w:lang w:eastAsia="pl-PL"/>
        </w:rPr>
        <w:tab/>
        <w:t>Budowla drogowa - obiekt budowlany, nie będący budynkiem, stanowiący całość techniczno-użytkową (droga) albo jego część stanowiącą odrębny element konstrukcyjny lub technologiczny (obiekt mostowy, korpus ziemny, węzeł).</w:t>
      </w:r>
    </w:p>
    <w:p w14:paraId="5A92E5F7" w14:textId="77777777" w:rsidR="00E95D02" w:rsidRPr="004853EB" w:rsidRDefault="00E95D02" w:rsidP="00E95D02">
      <w:pPr>
        <w:tabs>
          <w:tab w:val="left" w:pos="567"/>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1.4.2</w:t>
      </w:r>
      <w:r w:rsidRPr="004853EB">
        <w:rPr>
          <w:rFonts w:eastAsia="Times New Roman" w:cstheme="minorHAnsi"/>
          <w:sz w:val="20"/>
          <w:szCs w:val="20"/>
          <w:lang w:eastAsia="pl-PL"/>
        </w:rPr>
        <w:t>.</w:t>
      </w:r>
      <w:r w:rsidRPr="004853EB">
        <w:rPr>
          <w:rFonts w:eastAsia="Times New Roman" w:cstheme="minorHAnsi"/>
          <w:sz w:val="20"/>
          <w:szCs w:val="20"/>
          <w:lang w:eastAsia="pl-PL"/>
        </w:rPr>
        <w:tab/>
        <w:t>Chodnik - wyznaczony pas terenu przy jezdni lub odsunięty od jezdni, przeznaczony do ruchu pieszych.</w:t>
      </w:r>
    </w:p>
    <w:p w14:paraId="508D1FA7"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1042B39" w14:textId="2022E6A8" w:rsidR="00E95D02" w:rsidRPr="004853EB" w:rsidRDefault="00E95D02" w:rsidP="00E95D02">
      <w:pPr>
        <w:tabs>
          <w:tab w:val="left" w:pos="567"/>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1.4.3</w:t>
      </w:r>
      <w:r w:rsidRPr="004853EB">
        <w:rPr>
          <w:rFonts w:eastAsia="Times New Roman" w:cstheme="minorHAnsi"/>
          <w:sz w:val="20"/>
          <w:szCs w:val="20"/>
          <w:lang w:eastAsia="pl-PL"/>
        </w:rPr>
        <w:t>.</w:t>
      </w:r>
      <w:r w:rsidRPr="004853EB">
        <w:rPr>
          <w:rFonts w:eastAsia="Times New Roman" w:cstheme="minorHAnsi"/>
          <w:sz w:val="20"/>
          <w:szCs w:val="20"/>
          <w:lang w:eastAsia="pl-PL"/>
        </w:rPr>
        <w:tab/>
        <w:t xml:space="preserve">Droga - wydzielony pas terenu przeznaczony do ruchu lub postoju pojazdów oraz ruchu pieszych wraz </w:t>
      </w:r>
      <w:r w:rsidR="00E45376">
        <w:rPr>
          <w:rFonts w:eastAsia="Times New Roman" w:cstheme="minorHAnsi"/>
          <w:sz w:val="20"/>
          <w:szCs w:val="20"/>
          <w:lang w:eastAsia="pl-PL"/>
        </w:rPr>
        <w:br/>
      </w:r>
      <w:r w:rsidRPr="004853EB">
        <w:rPr>
          <w:rFonts w:eastAsia="Times New Roman" w:cstheme="minorHAnsi"/>
          <w:sz w:val="20"/>
          <w:szCs w:val="20"/>
          <w:lang w:eastAsia="pl-PL"/>
        </w:rPr>
        <w:t>z wszelkimi urządzeniami technicznymi związanymi z prowadzeniem i zabezpieczeniem ruchu.</w:t>
      </w:r>
    </w:p>
    <w:p w14:paraId="27FB1694" w14:textId="77777777" w:rsidR="00E95D02" w:rsidRPr="004853EB" w:rsidRDefault="00E95D02" w:rsidP="00E95D02">
      <w:pPr>
        <w:tabs>
          <w:tab w:val="left" w:pos="567"/>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1.4.4.</w:t>
      </w:r>
      <w:r w:rsidRPr="004853EB">
        <w:rPr>
          <w:rFonts w:eastAsia="Times New Roman" w:cstheme="minorHAnsi"/>
          <w:sz w:val="20"/>
          <w:szCs w:val="20"/>
          <w:lang w:eastAsia="pl-PL"/>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14:paraId="669E02AE"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lastRenderedPageBreak/>
        <w:t>1.4.5.</w:t>
      </w:r>
      <w:r w:rsidRPr="004853EB">
        <w:rPr>
          <w:rFonts w:eastAsia="Times New Roman" w:cstheme="minorHAnsi"/>
          <w:sz w:val="20"/>
          <w:szCs w:val="20"/>
          <w:lang w:eastAsia="pl-PL"/>
        </w:rPr>
        <w:tab/>
        <w:t>Inżynier/Kierownik projektu – osoba wymieniona w danych kontraktowych (wyznaczona przez Zamawiającego, o której wyznaczeniu poinformowany jest Wykonawca), odpowiedzialna za nadzorowanie robót i administrowanie kontraktem.</w:t>
      </w:r>
    </w:p>
    <w:p w14:paraId="56D9C206"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1.4.6.</w:t>
      </w:r>
      <w:r w:rsidRPr="004853EB">
        <w:rPr>
          <w:rFonts w:eastAsia="Times New Roman" w:cstheme="minorHAnsi"/>
          <w:sz w:val="20"/>
          <w:szCs w:val="20"/>
          <w:lang w:eastAsia="pl-PL"/>
        </w:rPr>
        <w:tab/>
        <w:t>Jezdnia - część korony drogi przeznaczona do ruchu pojazdów.</w:t>
      </w:r>
    </w:p>
    <w:p w14:paraId="7AF540D5"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1.4.7.</w:t>
      </w:r>
      <w:r w:rsidRPr="004853EB">
        <w:rPr>
          <w:rFonts w:eastAsia="Times New Roman" w:cstheme="minorHAnsi"/>
          <w:b/>
          <w:sz w:val="20"/>
          <w:szCs w:val="20"/>
          <w:lang w:eastAsia="pl-PL"/>
        </w:rPr>
        <w:tab/>
      </w:r>
      <w:r w:rsidRPr="004853EB">
        <w:rPr>
          <w:rFonts w:eastAsia="Times New Roman" w:cstheme="minorHAnsi"/>
          <w:sz w:val="20"/>
          <w:szCs w:val="20"/>
          <w:lang w:eastAsia="pl-PL"/>
        </w:rPr>
        <w:t>Kierownik budowy - osoba wyznaczona przez Wykonawcę, upoważniona do kierowania robotami i do występowania w jego imieniu w sprawach realizacji kontraktu.</w:t>
      </w:r>
    </w:p>
    <w:p w14:paraId="2DC537B9" w14:textId="75F773D3"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1.4.8.</w:t>
      </w:r>
      <w:r w:rsidRPr="004853EB">
        <w:rPr>
          <w:rFonts w:eastAsia="Times New Roman" w:cstheme="minorHAnsi"/>
          <w:b/>
          <w:sz w:val="20"/>
          <w:szCs w:val="20"/>
          <w:lang w:eastAsia="pl-PL"/>
        </w:rPr>
        <w:tab/>
      </w:r>
      <w:r w:rsidRPr="004853EB">
        <w:rPr>
          <w:rFonts w:eastAsia="Times New Roman" w:cstheme="minorHAnsi"/>
          <w:sz w:val="20"/>
          <w:szCs w:val="20"/>
          <w:lang w:eastAsia="pl-PL"/>
        </w:rPr>
        <w:t xml:space="preserve">Korona drogi - jezdnia (jezdnie) z poboczami lub chodnikami, zatokami, pasami awaryjnego postoju </w:t>
      </w:r>
      <w:r w:rsidR="00E45376">
        <w:rPr>
          <w:rFonts w:eastAsia="Times New Roman" w:cstheme="minorHAnsi"/>
          <w:sz w:val="20"/>
          <w:szCs w:val="20"/>
          <w:lang w:eastAsia="pl-PL"/>
        </w:rPr>
        <w:br/>
      </w:r>
      <w:r w:rsidRPr="004853EB">
        <w:rPr>
          <w:rFonts w:eastAsia="Times New Roman" w:cstheme="minorHAnsi"/>
          <w:sz w:val="20"/>
          <w:szCs w:val="20"/>
          <w:lang w:eastAsia="pl-PL"/>
        </w:rPr>
        <w:t>i pasami dzielącymi jezdnie.</w:t>
      </w:r>
    </w:p>
    <w:p w14:paraId="01F76FEE"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1.4.9.</w:t>
      </w:r>
      <w:r w:rsidRPr="004853EB">
        <w:rPr>
          <w:rFonts w:eastAsia="Times New Roman" w:cstheme="minorHAnsi"/>
          <w:sz w:val="20"/>
          <w:szCs w:val="20"/>
          <w:lang w:eastAsia="pl-PL"/>
        </w:rPr>
        <w:tab/>
        <w:t>Konstrukcja nawierzchni - układ warstw nawierzchni wraz ze sposobem ich połączenia.</w:t>
      </w:r>
    </w:p>
    <w:p w14:paraId="0C8DA806"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1.4.10.</w:t>
      </w:r>
      <w:r w:rsidRPr="004853EB">
        <w:rPr>
          <w:rFonts w:eastAsia="Times New Roman" w:cstheme="minorHAnsi"/>
          <w:sz w:val="20"/>
          <w:szCs w:val="20"/>
          <w:lang w:eastAsia="pl-PL"/>
        </w:rPr>
        <w:tab/>
        <w:t>Korpus drogowy - nasyp lub ta część wykopu, która jest ograniczona koroną drogi i skarpami rowów.</w:t>
      </w:r>
    </w:p>
    <w:p w14:paraId="3173A841"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1.4.11.</w:t>
      </w:r>
      <w:r w:rsidRPr="004853EB">
        <w:rPr>
          <w:rFonts w:eastAsia="Times New Roman" w:cstheme="minorHAnsi"/>
          <w:sz w:val="20"/>
          <w:szCs w:val="20"/>
          <w:lang w:eastAsia="pl-PL"/>
        </w:rPr>
        <w:tab/>
        <w:t>Koryto - element uformowany w korpusie drogowym w celu ułożenia w nim konstrukcji nawierzchni.</w:t>
      </w:r>
    </w:p>
    <w:p w14:paraId="3D0A8751" w14:textId="5CC3295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1.4.12</w:t>
      </w:r>
      <w:r w:rsidRPr="004853EB">
        <w:rPr>
          <w:rFonts w:eastAsia="Times New Roman" w:cstheme="minorHAnsi"/>
          <w:sz w:val="20"/>
          <w:szCs w:val="20"/>
          <w:lang w:eastAsia="pl-PL"/>
        </w:rPr>
        <w:t>.</w:t>
      </w:r>
      <w:r w:rsidRPr="004853EB">
        <w:rPr>
          <w:rFonts w:eastAsia="Times New Roman" w:cstheme="minorHAnsi"/>
          <w:sz w:val="20"/>
          <w:szCs w:val="20"/>
          <w:lang w:eastAsia="pl-PL"/>
        </w:rPr>
        <w:tab/>
        <w:t xml:space="preserve">Książka obmiarów - akceptowany przez Inżyniera/Kierownika projektu zeszyt z ponumerowanymi stronami, służący do wpisywania przez Wykonawcę obmiaru dokonywanych robót w formie wyliczeń, szkiców </w:t>
      </w:r>
      <w:r w:rsidR="00E45376">
        <w:rPr>
          <w:rFonts w:eastAsia="Times New Roman" w:cstheme="minorHAnsi"/>
          <w:sz w:val="20"/>
          <w:szCs w:val="20"/>
          <w:lang w:eastAsia="pl-PL"/>
        </w:rPr>
        <w:br/>
      </w:r>
      <w:r w:rsidRPr="004853EB">
        <w:rPr>
          <w:rFonts w:eastAsia="Times New Roman" w:cstheme="minorHAnsi"/>
          <w:sz w:val="20"/>
          <w:szCs w:val="20"/>
          <w:lang w:eastAsia="pl-PL"/>
        </w:rPr>
        <w:t>i ew. dodatkowych załączników. Wpisy w książce obmiarów podlegają potwierdzeniu przez Inżyniera/Kierownika projektu.</w:t>
      </w:r>
    </w:p>
    <w:p w14:paraId="57F6047B"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1.4.13.</w:t>
      </w:r>
      <w:r w:rsidRPr="004853EB">
        <w:rPr>
          <w:rFonts w:eastAsia="Times New Roman" w:cstheme="minorHAnsi"/>
          <w:sz w:val="20"/>
          <w:szCs w:val="20"/>
          <w:lang w:eastAsia="pl-PL"/>
        </w:rPr>
        <w:tab/>
        <w:t>Laboratorium - drogowe lub inne laboratorium badawcze, zaakceptowane przez Zamawiającego, niezbędne do przeprowadzenia wszelkich badań i prób związanych z oceną jakości materiałów oraz robót.</w:t>
      </w:r>
    </w:p>
    <w:p w14:paraId="1416C0F2" w14:textId="4615E30B"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1.4.14.</w:t>
      </w:r>
      <w:r w:rsidRPr="004853EB">
        <w:rPr>
          <w:rFonts w:eastAsia="Times New Roman" w:cstheme="minorHAnsi"/>
          <w:sz w:val="20"/>
          <w:szCs w:val="20"/>
          <w:lang w:eastAsia="pl-PL"/>
        </w:rPr>
        <w:tab/>
        <w:t xml:space="preserve">Materiały - wszelkie tworzywa niezbędne do wykonania robót, zgodne z dokumentacją projektową </w:t>
      </w:r>
      <w:r w:rsidR="00E45376">
        <w:rPr>
          <w:rFonts w:eastAsia="Times New Roman" w:cstheme="minorHAnsi"/>
          <w:sz w:val="20"/>
          <w:szCs w:val="20"/>
          <w:lang w:eastAsia="pl-PL"/>
        </w:rPr>
        <w:br/>
      </w:r>
      <w:r w:rsidRPr="004853EB">
        <w:rPr>
          <w:rFonts w:eastAsia="Times New Roman" w:cstheme="minorHAnsi"/>
          <w:sz w:val="20"/>
          <w:szCs w:val="20"/>
          <w:lang w:eastAsia="pl-PL"/>
        </w:rPr>
        <w:t>i specyfikacjami technicznymi, zaakceptowane przez Inżyniera/ Kierownika projektu.</w:t>
      </w:r>
    </w:p>
    <w:p w14:paraId="47F4CAB9" w14:textId="77777777" w:rsidR="00E95D02" w:rsidRPr="004853EB" w:rsidRDefault="00E95D02" w:rsidP="00E95D02">
      <w:pPr>
        <w:tabs>
          <w:tab w:val="left" w:pos="624"/>
        </w:tabs>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1.4.15.</w:t>
      </w:r>
      <w:r w:rsidRPr="004853EB">
        <w:rPr>
          <w:rFonts w:eastAsia="Times New Roman" w:cstheme="minorHAnsi"/>
          <w:sz w:val="20"/>
          <w:szCs w:val="20"/>
          <w:lang w:eastAsia="pl-PL"/>
        </w:rPr>
        <w:t xml:space="preserve"> Nawierzchnia - warstwa lub zespół warstw służących do przejmowania i rozkładania obciążeń od ruchu na podłoże gruntowe i zapewniających dogodne warunki dla ruchu.</w:t>
      </w:r>
    </w:p>
    <w:p w14:paraId="1511E7A3" w14:textId="77777777" w:rsidR="00E95D02" w:rsidRPr="004853EB" w:rsidRDefault="00E95D02">
      <w:pPr>
        <w:numPr>
          <w:ilvl w:val="0"/>
          <w:numId w:val="15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Warstwa ścieralna - górna warstwa nawierzchni poddana bezpośrednio oddziaływaniu ruchu i czynników atmosferycznych.</w:t>
      </w:r>
    </w:p>
    <w:p w14:paraId="6AF0162E" w14:textId="77777777" w:rsidR="00E95D02" w:rsidRPr="004853EB" w:rsidRDefault="00E95D02">
      <w:pPr>
        <w:numPr>
          <w:ilvl w:val="0"/>
          <w:numId w:val="15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Warstwa wiążąca - warstwa znajdująca się między warstwą ścieralną a podbudową, zapewniająca lepsze rozłożenie naprężeń w nawierzchni i przekazywanie ich na podbudowę.</w:t>
      </w:r>
    </w:p>
    <w:p w14:paraId="178FC4DF" w14:textId="77777777" w:rsidR="00E95D02" w:rsidRPr="004853EB" w:rsidRDefault="00E95D02">
      <w:pPr>
        <w:numPr>
          <w:ilvl w:val="0"/>
          <w:numId w:val="15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Warstwa wyrównawcza - warstwa służąca do wyrównania nierówności podbudowy lub profilu istniejącej nawierzchni.</w:t>
      </w:r>
    </w:p>
    <w:p w14:paraId="018050B1" w14:textId="77777777" w:rsidR="00E95D02" w:rsidRPr="004853EB" w:rsidRDefault="00E95D02">
      <w:pPr>
        <w:numPr>
          <w:ilvl w:val="0"/>
          <w:numId w:val="15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Podbudowa - dolna część nawierzchni służąca do przenoszenia obciążeń od ruchu na podłoże. Podbudowa może składać się z podbudowy zasadniczej i podbudowy pomocniczej.</w:t>
      </w:r>
    </w:p>
    <w:p w14:paraId="32A45A30" w14:textId="77777777" w:rsidR="00E95D02" w:rsidRPr="004853EB" w:rsidRDefault="00E95D02">
      <w:pPr>
        <w:numPr>
          <w:ilvl w:val="0"/>
          <w:numId w:val="15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Podbudowa zasadnicza - górna część podbudowy spełniająca funkcje nośne w konstrukcji nawierzchni. Może ona składać się z jednej lub dwóch warstw.</w:t>
      </w:r>
    </w:p>
    <w:p w14:paraId="6624ACA4" w14:textId="77777777" w:rsidR="00E95D02" w:rsidRPr="004853EB" w:rsidRDefault="00E95D02">
      <w:pPr>
        <w:numPr>
          <w:ilvl w:val="0"/>
          <w:numId w:val="15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Podbudowa pomocnicza - dolna część podbudowy spełniająca, obok funkcji nośnych, funkcje zabezpieczenia nawierzchni przed działaniem wody, mrozu i przenikaniem cząstek podłoża. Może zawierać warstwę mrozoochronną, odsączającą lub odcinającą.</w:t>
      </w:r>
    </w:p>
    <w:p w14:paraId="280006AE" w14:textId="77777777" w:rsidR="00E95D02" w:rsidRPr="004853EB" w:rsidRDefault="00E95D02">
      <w:pPr>
        <w:numPr>
          <w:ilvl w:val="0"/>
          <w:numId w:val="15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Warstwa mrozoochronna - warstwa, której głównym zadaniem jest ochrona nawierzchni przed skutkami działania mrozu.</w:t>
      </w:r>
    </w:p>
    <w:p w14:paraId="240CFD01" w14:textId="77777777" w:rsidR="00E95D02" w:rsidRPr="004853EB" w:rsidRDefault="00E95D02">
      <w:pPr>
        <w:numPr>
          <w:ilvl w:val="0"/>
          <w:numId w:val="15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Warstwa odcinająca - warstwa stosowana w celu uniemożliwienia przenikania cząstek drobnych gruntu do warstwy nawierzchni leżącej powyżej.</w:t>
      </w:r>
    </w:p>
    <w:p w14:paraId="2152E742" w14:textId="77777777" w:rsidR="00E95D02" w:rsidRPr="004853EB" w:rsidRDefault="00E95D02">
      <w:pPr>
        <w:numPr>
          <w:ilvl w:val="0"/>
          <w:numId w:val="154"/>
        </w:numPr>
        <w:overflowPunct w:val="0"/>
        <w:autoSpaceDE w:val="0"/>
        <w:autoSpaceDN w:val="0"/>
        <w:adjustRightInd w:val="0"/>
        <w:spacing w:after="60" w:line="240" w:lineRule="auto"/>
        <w:ind w:left="288" w:hanging="2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Warstwa odsączająca - warstwa służąca do odprowadzenia wody przedostającej się do nawierzchni.</w:t>
      </w:r>
    </w:p>
    <w:p w14:paraId="047E84EE"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1.4.16.</w:t>
      </w:r>
      <w:r w:rsidRPr="004853EB">
        <w:rPr>
          <w:rFonts w:eastAsia="Times New Roman" w:cstheme="minorHAnsi"/>
          <w:sz w:val="20"/>
          <w:szCs w:val="20"/>
          <w:lang w:eastAsia="pl-PL"/>
        </w:rPr>
        <w:tab/>
        <w:t>Niweleta - wysokościowe i geometryczne rozwinięcie na płaszczyźnie pionowego przekroju w osi drogi lub obiektu mostowego.</w:t>
      </w:r>
    </w:p>
    <w:p w14:paraId="04BE498C"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1.4.17.</w:t>
      </w:r>
      <w:r w:rsidRPr="004853EB">
        <w:rPr>
          <w:rFonts w:eastAsia="Times New Roman" w:cstheme="minorHAnsi"/>
          <w:sz w:val="20"/>
          <w:szCs w:val="20"/>
          <w:lang w:eastAsia="pl-PL"/>
        </w:rPr>
        <w:tab/>
        <w:t>Odpowiednia (bliska) zgodność - zgodność wykonywanych robót z dopuszczonymi tolerancjami, a jeśli przedział tolerancji nie został określony - z przeciętnymi tolerancjami, przyjmowanymi zwyczajowo dla danego rodzaju robót budowlanych.</w:t>
      </w:r>
    </w:p>
    <w:p w14:paraId="13184459" w14:textId="50B4012D"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1.4.18.</w:t>
      </w:r>
      <w:r w:rsidRPr="004853EB">
        <w:rPr>
          <w:rFonts w:eastAsia="Times New Roman" w:cstheme="minorHAnsi"/>
          <w:sz w:val="20"/>
          <w:szCs w:val="20"/>
          <w:lang w:eastAsia="pl-PL"/>
        </w:rPr>
        <w:tab/>
        <w:t xml:space="preserve">Pas drogowy - wydzielony liniami granicznymi pas terenu przeznaczony do umieszczania w nim drogi </w:t>
      </w:r>
      <w:r w:rsidR="00E45376">
        <w:rPr>
          <w:rFonts w:eastAsia="Times New Roman" w:cstheme="minorHAnsi"/>
          <w:sz w:val="20"/>
          <w:szCs w:val="20"/>
          <w:lang w:eastAsia="pl-PL"/>
        </w:rPr>
        <w:br/>
      </w:r>
      <w:r w:rsidRPr="004853EB">
        <w:rPr>
          <w:rFonts w:eastAsia="Times New Roman" w:cstheme="minorHAnsi"/>
          <w:sz w:val="20"/>
          <w:szCs w:val="20"/>
          <w:lang w:eastAsia="pl-PL"/>
        </w:rPr>
        <w:t>i związanych z nią urządzeń oraz drzew i krzewów. Pas drogowy może również obejmować teren przewidziany do rozbudowy drogi i budowy urządzeń chroniących ludzi i środowisko przed uciążliwościami powodowanymi przez ruch na drodze.</w:t>
      </w:r>
    </w:p>
    <w:p w14:paraId="2502BE8F"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1.4.19.</w:t>
      </w:r>
      <w:r w:rsidRPr="004853EB">
        <w:rPr>
          <w:rFonts w:eastAsia="Times New Roman" w:cstheme="minorHAnsi"/>
          <w:sz w:val="20"/>
          <w:szCs w:val="20"/>
          <w:lang w:eastAsia="pl-PL"/>
        </w:rPr>
        <w:tab/>
        <w:t>Pobocze - część korony drogi przeznaczona do chwilowego postoju pojazdów, umieszczenia urządzeń organizacji i bezpieczeństwa ruchu oraz do ruchu pieszych, służąca jednocześnie do bocznego oparcia konstrukcji nawierzchni.</w:t>
      </w:r>
    </w:p>
    <w:p w14:paraId="75553E93"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1.4.20.</w:t>
      </w:r>
      <w:r w:rsidRPr="004853EB">
        <w:rPr>
          <w:rFonts w:eastAsia="Times New Roman" w:cstheme="minorHAnsi"/>
          <w:sz w:val="20"/>
          <w:szCs w:val="20"/>
          <w:lang w:eastAsia="pl-PL"/>
        </w:rPr>
        <w:tab/>
        <w:t>Podłoże nawierzchni - grunt rodzimy lub nasypowy, leżący pod nawierzchnią do głębokości przemarzania.</w:t>
      </w:r>
    </w:p>
    <w:p w14:paraId="624E8A4E"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lastRenderedPageBreak/>
        <w:t>1.4.21.</w:t>
      </w:r>
      <w:r w:rsidRPr="004853EB">
        <w:rPr>
          <w:rFonts w:eastAsia="Times New Roman" w:cstheme="minorHAnsi"/>
          <w:sz w:val="20"/>
          <w:szCs w:val="20"/>
          <w:lang w:eastAsia="pl-PL"/>
        </w:rPr>
        <w:tab/>
        <w:t>Podłoże ulepszone nawierzchni - górna warstwa podłoża, leżąca bezpośrednio pod nawierzchnią, ulepszona w celu umożliwienia przejęcia ruchu budowlanego i właściwego wykonania nawierzchni.</w:t>
      </w:r>
    </w:p>
    <w:p w14:paraId="7A1CCABE"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1.4.22.</w:t>
      </w:r>
      <w:r w:rsidRPr="004853EB">
        <w:rPr>
          <w:rFonts w:eastAsia="Times New Roman" w:cstheme="minorHAnsi"/>
          <w:b/>
          <w:sz w:val="20"/>
          <w:szCs w:val="20"/>
          <w:lang w:eastAsia="pl-PL"/>
        </w:rPr>
        <w:tab/>
      </w:r>
      <w:r w:rsidRPr="004853EB">
        <w:rPr>
          <w:rFonts w:eastAsia="Times New Roman" w:cstheme="minorHAnsi"/>
          <w:sz w:val="20"/>
          <w:szCs w:val="20"/>
          <w:lang w:eastAsia="pl-PL"/>
        </w:rPr>
        <w:t>Polecenie Inżyniera/Kierownika projektu - wszelkie polecenia przekazane Wykonawcy przez Inżyniera/Kierownika projektu, w formie pisemnej, dotyczące sposobu realizacji robót lub innych spraw związanych z prowadzeniem budowy.</w:t>
      </w:r>
    </w:p>
    <w:p w14:paraId="3D9AD741"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1.4.23.</w:t>
      </w:r>
      <w:r w:rsidRPr="004853EB">
        <w:rPr>
          <w:rFonts w:eastAsia="Times New Roman" w:cstheme="minorHAnsi"/>
          <w:sz w:val="20"/>
          <w:szCs w:val="20"/>
          <w:lang w:eastAsia="pl-PL"/>
        </w:rPr>
        <w:tab/>
        <w:t>Projektant - uprawniona osoba prawna lub fizyczna będąca autorem dokumentacji projektowej.</w:t>
      </w:r>
    </w:p>
    <w:p w14:paraId="7840B8BE"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1.4.24.</w:t>
      </w:r>
      <w:r w:rsidRPr="004853EB">
        <w:rPr>
          <w:rFonts w:eastAsia="Times New Roman" w:cstheme="minorHAnsi"/>
          <w:b/>
          <w:sz w:val="20"/>
          <w:szCs w:val="20"/>
          <w:lang w:eastAsia="pl-PL"/>
        </w:rPr>
        <w:tab/>
      </w:r>
      <w:r w:rsidRPr="004853EB">
        <w:rPr>
          <w:rFonts w:eastAsia="Times New Roman" w:cstheme="minorHAnsi"/>
          <w:sz w:val="20"/>
          <w:szCs w:val="20"/>
          <w:lang w:eastAsia="pl-PL"/>
        </w:rPr>
        <w:t>Przedsięwzięcie budowlane - kompleksowa realizacja nowego połączenia drogowego lub całkowita modernizacja/przebudowa (zmiana parametrów geometrycznych trasy w planie i przekroju podłużnym) istniejącego połączenia.</w:t>
      </w:r>
    </w:p>
    <w:p w14:paraId="65FC52F2"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1.4.25.</w:t>
      </w:r>
      <w:r w:rsidRPr="004853EB">
        <w:rPr>
          <w:rFonts w:eastAsia="Times New Roman" w:cstheme="minorHAnsi"/>
          <w:sz w:val="20"/>
          <w:szCs w:val="20"/>
          <w:lang w:eastAsia="pl-PL"/>
        </w:rPr>
        <w:tab/>
        <w:t>Przepust – budowla o przekroju poprzecznym zamkniętym, przeznaczona do przeprowadzenia cieku, szlaku wędrówek zwierząt dziko żyjących lub urządzeń technicznych przez korpus drogowy.</w:t>
      </w:r>
    </w:p>
    <w:p w14:paraId="1C070CEC"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1.4.26.</w:t>
      </w:r>
      <w:r w:rsidRPr="004853EB">
        <w:rPr>
          <w:rFonts w:eastAsia="Times New Roman" w:cstheme="minorHAnsi"/>
          <w:sz w:val="20"/>
          <w:szCs w:val="20"/>
          <w:lang w:eastAsia="pl-PL"/>
        </w:rPr>
        <w:tab/>
        <w:t>Przeszkoda naturalna - element środowiska naturalnego, stanowiący utrudnienie w realizacji zadania budowlanego, na przykład dolina, bagno, rzeka, szlak wędrówek dzikich zwierząt itp.</w:t>
      </w:r>
    </w:p>
    <w:p w14:paraId="558768A3"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1.4.27.</w:t>
      </w:r>
      <w:r w:rsidRPr="004853EB">
        <w:rPr>
          <w:rFonts w:eastAsia="Times New Roman" w:cstheme="minorHAnsi"/>
          <w:sz w:val="20"/>
          <w:szCs w:val="20"/>
          <w:lang w:eastAsia="pl-PL"/>
        </w:rPr>
        <w:tab/>
        <w:t>Przeszkoda sztuczna - dzieło ludzkie, stanowiące utrudnienie w realizacji zadania budowlanego, na przykład droga, kolej, rurociąg, kanał, ciąg pieszy lub rowerowy itp.</w:t>
      </w:r>
    </w:p>
    <w:p w14:paraId="46C62A2E"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1.4.28.</w:t>
      </w:r>
      <w:r w:rsidRPr="004853EB">
        <w:rPr>
          <w:rFonts w:eastAsia="Times New Roman" w:cstheme="minorHAnsi"/>
          <w:sz w:val="20"/>
          <w:szCs w:val="20"/>
          <w:lang w:eastAsia="pl-PL"/>
        </w:rPr>
        <w:tab/>
        <w:t>Przetargowa dokumentacja projektowa - część dokumentacji projektowej, która wskazuje lokalizację, charakterystykę i wymiary obiektu będącego przedmiotem robót.</w:t>
      </w:r>
    </w:p>
    <w:p w14:paraId="3B4CEEF1"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1.4.29.</w:t>
      </w:r>
      <w:r w:rsidRPr="004853EB">
        <w:rPr>
          <w:rFonts w:eastAsia="Times New Roman" w:cstheme="minorHAnsi"/>
          <w:sz w:val="20"/>
          <w:szCs w:val="20"/>
          <w:lang w:eastAsia="pl-PL"/>
        </w:rPr>
        <w:tab/>
        <w:t>Rekultywacja - roboty mające na celu uporządkowanie i przywrócenie pierwotnych funkcji terenom naruszonym w czasie realizacji zadania budowlanego.</w:t>
      </w:r>
    </w:p>
    <w:p w14:paraId="1177714A"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1.4.30.</w:t>
      </w:r>
      <w:r w:rsidRPr="004853EB">
        <w:rPr>
          <w:rFonts w:eastAsia="Times New Roman" w:cstheme="minorHAnsi"/>
          <w:sz w:val="20"/>
          <w:szCs w:val="20"/>
          <w:lang w:eastAsia="pl-PL"/>
        </w:rPr>
        <w:tab/>
        <w:t>Ślepy kosztorys - wykaz robót z podaniem ich ilości (przedmiarem) w kolejności technologicznej ich wykonania.</w:t>
      </w:r>
    </w:p>
    <w:p w14:paraId="2E41E047" w14:textId="77777777" w:rsidR="00E95D02" w:rsidRPr="004853EB" w:rsidRDefault="00E95D02" w:rsidP="00E95D02">
      <w:pPr>
        <w:tabs>
          <w:tab w:val="left" w:pos="624"/>
        </w:tabs>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1.4.31.</w:t>
      </w:r>
      <w:r w:rsidRPr="004853EB">
        <w:rPr>
          <w:rFonts w:eastAsia="Times New Roman" w:cstheme="minorHAnsi"/>
          <w:sz w:val="20"/>
          <w:szCs w:val="20"/>
          <w:lang w:eastAsia="pl-PL"/>
        </w:rPr>
        <w:tab/>
        <w:t>Teren budowy - teren udostępniony przez Zamawiającego dla wykonania na nim robót oraz inne miejsca wymienione w kontrakcie jako tworzące część terenu budowy.</w:t>
      </w:r>
    </w:p>
    <w:p w14:paraId="3045C6B5" w14:textId="77777777" w:rsidR="00E95D02" w:rsidRPr="004853EB" w:rsidRDefault="00E95D02" w:rsidP="00E95D02">
      <w:pPr>
        <w:tabs>
          <w:tab w:val="left" w:pos="624"/>
        </w:tabs>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1.4.32.</w:t>
      </w:r>
      <w:r w:rsidRPr="004853EB">
        <w:rPr>
          <w:rFonts w:eastAsia="Times New Roman" w:cstheme="minorHAnsi"/>
          <w:sz w:val="20"/>
          <w:szCs w:val="20"/>
          <w:lang w:eastAsia="pl-PL"/>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14:paraId="7FE4C918"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3" w:name="_Toc194476449"/>
      <w:bookmarkStart w:id="24" w:name="_Toc227759791"/>
      <w:bookmarkStart w:id="25" w:name="_Toc227824938"/>
      <w:r w:rsidRPr="004853EB">
        <w:rPr>
          <w:rFonts w:eastAsia="Times New Roman" w:cstheme="minorHAnsi"/>
          <w:b/>
          <w:sz w:val="20"/>
          <w:szCs w:val="20"/>
          <w:lang w:eastAsia="pl-PL"/>
        </w:rPr>
        <w:t>1.5. Ogólne wymagania dotyczące robót</w:t>
      </w:r>
      <w:bookmarkEnd w:id="23"/>
      <w:bookmarkEnd w:id="24"/>
      <w:bookmarkEnd w:id="25"/>
    </w:p>
    <w:p w14:paraId="07039888" w14:textId="77777777" w:rsidR="00E95D02" w:rsidRPr="004853EB" w:rsidRDefault="00E95D02" w:rsidP="00E95D02">
      <w:p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jest odpowiedzialny za jakość wykonanych robót, bezpieczeństwo wszelkich czynności na terenie budowy, metody użyte przy budowie oraz za ich zgodność z dokumentacją projektową, SST i poleceniami Inżyniera/Kierownika projektu.</w:t>
      </w:r>
    </w:p>
    <w:p w14:paraId="2FFF41CB" w14:textId="77777777" w:rsidR="00E95D02" w:rsidRPr="004853EB" w:rsidRDefault="00E95D02" w:rsidP="00E95D02">
      <w:pPr>
        <w:keepNext/>
        <w:overflowPunct w:val="0"/>
        <w:autoSpaceDE w:val="0"/>
        <w:autoSpaceDN w:val="0"/>
        <w:adjustRightInd w:val="0"/>
        <w:spacing w:before="60" w:after="60" w:line="240" w:lineRule="auto"/>
        <w:jc w:val="both"/>
        <w:textAlignment w:val="baseline"/>
        <w:outlineLvl w:val="2"/>
        <w:rPr>
          <w:rFonts w:eastAsia="Times New Roman" w:cstheme="minorHAnsi"/>
          <w:sz w:val="20"/>
          <w:szCs w:val="20"/>
          <w:lang w:eastAsia="pl-PL"/>
        </w:rPr>
      </w:pPr>
      <w:bookmarkStart w:id="26" w:name="_Toc194476450"/>
      <w:bookmarkStart w:id="27" w:name="_Toc227759792"/>
      <w:bookmarkStart w:id="28" w:name="_Toc227824939"/>
      <w:r w:rsidRPr="004853EB">
        <w:rPr>
          <w:rFonts w:eastAsia="Times New Roman" w:cstheme="minorHAnsi"/>
          <w:b/>
          <w:sz w:val="20"/>
          <w:szCs w:val="20"/>
          <w:lang w:eastAsia="pl-PL"/>
        </w:rPr>
        <w:t>1.5.1.</w:t>
      </w:r>
      <w:r w:rsidRPr="004853EB">
        <w:rPr>
          <w:rFonts w:eastAsia="Times New Roman" w:cstheme="minorHAnsi"/>
          <w:sz w:val="20"/>
          <w:szCs w:val="20"/>
          <w:lang w:eastAsia="pl-PL"/>
        </w:rPr>
        <w:t xml:space="preserve"> Przekazanie terenu budowy</w:t>
      </w:r>
      <w:bookmarkEnd w:id="26"/>
      <w:bookmarkEnd w:id="27"/>
      <w:bookmarkEnd w:id="28"/>
    </w:p>
    <w:p w14:paraId="6E8BDEE9" w14:textId="77777777" w:rsidR="00E95D02" w:rsidRPr="004853EB" w:rsidRDefault="00E95D02" w:rsidP="00E95D02">
      <w:pPr>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14:paraId="06F38C81" w14:textId="77777777" w:rsidR="00E95D02" w:rsidRPr="004853EB" w:rsidRDefault="00E95D02" w:rsidP="00E95D02">
      <w:p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Na Wykonawcy spoczywa odpowiedzialność za ochronę przekazanych mu punktów pomiarowych do chwili odbioru ostatecznego robót. Uszkodzone lub zniszczone znaki geodezyjne Wykonawca odtworzy i utrwali na własny koszt.</w:t>
      </w:r>
    </w:p>
    <w:p w14:paraId="4861EE14" w14:textId="77777777" w:rsidR="00E95D02" w:rsidRPr="004853EB" w:rsidRDefault="00E95D02" w:rsidP="00E95D02">
      <w:pPr>
        <w:keepNext/>
        <w:overflowPunct w:val="0"/>
        <w:autoSpaceDE w:val="0"/>
        <w:autoSpaceDN w:val="0"/>
        <w:adjustRightInd w:val="0"/>
        <w:spacing w:before="60" w:after="60" w:line="240" w:lineRule="auto"/>
        <w:jc w:val="both"/>
        <w:textAlignment w:val="baseline"/>
        <w:outlineLvl w:val="2"/>
        <w:rPr>
          <w:rFonts w:eastAsia="Times New Roman" w:cstheme="minorHAnsi"/>
          <w:sz w:val="20"/>
          <w:szCs w:val="20"/>
          <w:lang w:eastAsia="pl-PL"/>
        </w:rPr>
      </w:pPr>
      <w:bookmarkStart w:id="29" w:name="_Toc194476451"/>
      <w:bookmarkStart w:id="30" w:name="_Toc227759793"/>
      <w:bookmarkStart w:id="31" w:name="_Toc227824940"/>
      <w:r w:rsidRPr="004853EB">
        <w:rPr>
          <w:rFonts w:eastAsia="Times New Roman" w:cstheme="minorHAnsi"/>
          <w:b/>
          <w:sz w:val="20"/>
          <w:szCs w:val="20"/>
          <w:lang w:eastAsia="pl-PL"/>
        </w:rPr>
        <w:t>1.5.2.</w:t>
      </w:r>
      <w:r w:rsidRPr="004853EB">
        <w:rPr>
          <w:rFonts w:eastAsia="Times New Roman" w:cstheme="minorHAnsi"/>
          <w:sz w:val="20"/>
          <w:szCs w:val="20"/>
          <w:lang w:eastAsia="pl-PL"/>
        </w:rPr>
        <w:t xml:space="preserve"> Dokumentacja projektowa</w:t>
      </w:r>
      <w:bookmarkEnd w:id="29"/>
      <w:bookmarkEnd w:id="30"/>
      <w:bookmarkEnd w:id="31"/>
    </w:p>
    <w:p w14:paraId="6FF75E76" w14:textId="77777777" w:rsidR="00E95D02" w:rsidRPr="004853EB" w:rsidRDefault="00E95D02" w:rsidP="00E95D02">
      <w:pPr>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Dokumentacja projektowa będzie zawierać rysunki, obliczenia i dokumenty, zgodne z wykazem podanym w szczegółowych warunkach umowy, uwzględniającym podział na dokumentację projektową:</w:t>
      </w:r>
    </w:p>
    <w:p w14:paraId="7FEFD5F7"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Zamawiającego; wykaz pozycji, które stanowią przetargową dokumentację projektową oraz projektową dokumentację wykonawczą (techniczną) i zostaną przekazane Wykonawcy,</w:t>
      </w:r>
    </w:p>
    <w:p w14:paraId="2EF063BC" w14:textId="77777777" w:rsidR="00E95D02" w:rsidRPr="004853EB" w:rsidRDefault="00E95D02" w:rsidP="00E95D02">
      <w:pPr>
        <w:keepNext/>
        <w:overflowPunct w:val="0"/>
        <w:autoSpaceDE w:val="0"/>
        <w:autoSpaceDN w:val="0"/>
        <w:adjustRightInd w:val="0"/>
        <w:spacing w:before="60" w:after="60" w:line="240" w:lineRule="auto"/>
        <w:jc w:val="both"/>
        <w:textAlignment w:val="baseline"/>
        <w:outlineLvl w:val="2"/>
        <w:rPr>
          <w:rFonts w:eastAsia="Times New Roman" w:cstheme="minorHAnsi"/>
          <w:sz w:val="20"/>
          <w:szCs w:val="20"/>
          <w:lang w:eastAsia="pl-PL"/>
        </w:rPr>
      </w:pPr>
      <w:bookmarkStart w:id="32" w:name="_Toc194476452"/>
      <w:bookmarkStart w:id="33" w:name="_Toc227759794"/>
      <w:bookmarkStart w:id="34" w:name="_Toc227824941"/>
      <w:r w:rsidRPr="004853EB">
        <w:rPr>
          <w:rFonts w:eastAsia="Times New Roman" w:cstheme="minorHAnsi"/>
          <w:b/>
          <w:sz w:val="20"/>
          <w:szCs w:val="20"/>
          <w:lang w:eastAsia="pl-PL"/>
        </w:rPr>
        <w:t>1.5.3.</w:t>
      </w:r>
      <w:r w:rsidRPr="004853EB">
        <w:rPr>
          <w:rFonts w:eastAsia="Times New Roman" w:cstheme="minorHAnsi"/>
          <w:sz w:val="20"/>
          <w:szCs w:val="20"/>
          <w:lang w:eastAsia="pl-PL"/>
        </w:rPr>
        <w:t xml:space="preserve"> Zgodność robót z dokumentacją projektową i SST</w:t>
      </w:r>
      <w:bookmarkEnd w:id="32"/>
      <w:bookmarkEnd w:id="33"/>
      <w:bookmarkEnd w:id="34"/>
    </w:p>
    <w:p w14:paraId="572EF8A4" w14:textId="77777777" w:rsidR="00E95D02" w:rsidRPr="004853EB" w:rsidRDefault="00E95D02" w:rsidP="00E95D02">
      <w:pPr>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14:paraId="40058126"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przypadku rozbieżności w ustaleniach poszczególnych dokumentów obowiązuje kolejność ich ważności wymieniona w „Kontraktowych warunkach ogólnych” („Ogólnych warunkach umowy”).</w:t>
      </w:r>
    </w:p>
    <w:p w14:paraId="2E3852EA" w14:textId="747EA574"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t xml:space="preserve">Wykonawca nie może wykorzystywać błędów lub opuszczeń w dokumentach kontraktowych, a o ich wykryciu winien natychmiast powiadomić Inżyniera/Kierownika projektu, który podejmie decyzję </w:t>
      </w:r>
      <w:r w:rsidR="00E45376">
        <w:rPr>
          <w:rFonts w:eastAsia="Times New Roman" w:cstheme="minorHAnsi"/>
          <w:sz w:val="20"/>
          <w:szCs w:val="20"/>
          <w:lang w:eastAsia="pl-PL"/>
        </w:rPr>
        <w:br/>
      </w:r>
      <w:r w:rsidRPr="004853EB">
        <w:rPr>
          <w:rFonts w:eastAsia="Times New Roman" w:cstheme="minorHAnsi"/>
          <w:sz w:val="20"/>
          <w:szCs w:val="20"/>
          <w:lang w:eastAsia="pl-PL"/>
        </w:rPr>
        <w:t>o wprowadzeniu odpowiednich zmian i poprawek.</w:t>
      </w:r>
    </w:p>
    <w:p w14:paraId="41D1B91E"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przypadku rozbieżności, wymiary podane na piśmie są ważniejsze od wymiarów określonych na podstawie odczytu ze skali rysunku.</w:t>
      </w:r>
    </w:p>
    <w:p w14:paraId="25B79322"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Wszystkie wykonane roboty i dostarczone materiały będą zgodne z dokumentacją projektową i SST.</w:t>
      </w:r>
    </w:p>
    <w:p w14:paraId="0E945406"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6B682765" w14:textId="399E5810" w:rsidR="00E95D02" w:rsidRPr="004853EB" w:rsidRDefault="00E95D02" w:rsidP="00E95D02">
      <w:pPr>
        <w:overflowPunct w:val="0"/>
        <w:autoSpaceDE w:val="0"/>
        <w:autoSpaceDN w:val="0"/>
        <w:adjustRightInd w:val="0"/>
        <w:spacing w:after="60" w:line="240" w:lineRule="auto"/>
        <w:jc w:val="both"/>
        <w:textAlignment w:val="baseline"/>
        <w:rPr>
          <w:rFonts w:eastAsia="Times New Roman" w:cstheme="minorHAnsi"/>
          <w:b/>
          <w:sz w:val="20"/>
          <w:szCs w:val="20"/>
          <w:lang w:eastAsia="pl-PL"/>
        </w:rPr>
      </w:pPr>
      <w:r w:rsidRPr="004853EB">
        <w:rPr>
          <w:rFonts w:eastAsia="Times New Roman" w:cstheme="minorHAnsi"/>
          <w:sz w:val="20"/>
          <w:szCs w:val="20"/>
          <w:lang w:eastAsia="pl-PL"/>
        </w:rPr>
        <w:tab/>
      </w:r>
      <w:r w:rsidRPr="004853EB">
        <w:rPr>
          <w:rFonts w:eastAsia="Times New Roman" w:cstheme="minorHAnsi"/>
          <w:b/>
          <w:sz w:val="20"/>
          <w:szCs w:val="20"/>
          <w:lang w:eastAsia="pl-PL"/>
        </w:rPr>
        <w:t xml:space="preserve">W przypadku, gdy materiały lub roboty nie będą w pełni zgodne z dokumentacją projektową lub SST i wpłynie to na niezadowalającą jakość elementu budowli, to takie materiały zostaną zastąpione innymi, </w:t>
      </w:r>
      <w:r w:rsidR="00E45376">
        <w:rPr>
          <w:rFonts w:eastAsia="Times New Roman" w:cstheme="minorHAnsi"/>
          <w:b/>
          <w:sz w:val="20"/>
          <w:szCs w:val="20"/>
          <w:lang w:eastAsia="pl-PL"/>
        </w:rPr>
        <w:br/>
      </w:r>
      <w:r w:rsidRPr="004853EB">
        <w:rPr>
          <w:rFonts w:eastAsia="Times New Roman" w:cstheme="minorHAnsi"/>
          <w:b/>
          <w:sz w:val="20"/>
          <w:szCs w:val="20"/>
          <w:lang w:eastAsia="pl-PL"/>
        </w:rPr>
        <w:t>a elementy budowli rozebrane i wykonane ponownie na koszt Wykonawcy.</w:t>
      </w:r>
    </w:p>
    <w:p w14:paraId="15BC36E5" w14:textId="77777777" w:rsidR="00E95D02" w:rsidRPr="004853EB" w:rsidRDefault="00E95D02" w:rsidP="00E95D02">
      <w:pPr>
        <w:keepNext/>
        <w:overflowPunct w:val="0"/>
        <w:autoSpaceDE w:val="0"/>
        <w:autoSpaceDN w:val="0"/>
        <w:adjustRightInd w:val="0"/>
        <w:spacing w:before="60" w:after="60" w:line="240" w:lineRule="auto"/>
        <w:jc w:val="both"/>
        <w:textAlignment w:val="baseline"/>
        <w:outlineLvl w:val="2"/>
        <w:rPr>
          <w:rFonts w:eastAsia="Times New Roman" w:cstheme="minorHAnsi"/>
          <w:sz w:val="20"/>
          <w:szCs w:val="20"/>
          <w:lang w:eastAsia="pl-PL"/>
        </w:rPr>
      </w:pPr>
      <w:bookmarkStart w:id="35" w:name="_Toc194476453"/>
      <w:bookmarkStart w:id="36" w:name="_Toc227759795"/>
      <w:bookmarkStart w:id="37" w:name="_Toc227824942"/>
      <w:r w:rsidRPr="004853EB">
        <w:rPr>
          <w:rFonts w:eastAsia="Times New Roman" w:cstheme="minorHAnsi"/>
          <w:b/>
          <w:sz w:val="20"/>
          <w:szCs w:val="20"/>
          <w:lang w:eastAsia="pl-PL"/>
        </w:rPr>
        <w:t>1.5.4.</w:t>
      </w:r>
      <w:r w:rsidRPr="004853EB">
        <w:rPr>
          <w:rFonts w:eastAsia="Times New Roman" w:cstheme="minorHAnsi"/>
          <w:sz w:val="20"/>
          <w:szCs w:val="20"/>
          <w:lang w:eastAsia="pl-PL"/>
        </w:rPr>
        <w:t xml:space="preserve"> Zabezpieczenie terenu budowy</w:t>
      </w:r>
      <w:bookmarkEnd w:id="35"/>
      <w:bookmarkEnd w:id="36"/>
      <w:bookmarkEnd w:id="37"/>
    </w:p>
    <w:p w14:paraId="7092A390" w14:textId="77777777" w:rsidR="00E95D02" w:rsidRPr="004853EB" w:rsidRDefault="00E95D02">
      <w:pPr>
        <w:keepNext/>
        <w:numPr>
          <w:ilvl w:val="0"/>
          <w:numId w:val="155"/>
        </w:numPr>
        <w:overflowPunct w:val="0"/>
        <w:autoSpaceDE w:val="0"/>
        <w:autoSpaceDN w:val="0"/>
        <w:adjustRightInd w:val="0"/>
        <w:spacing w:before="60" w:after="60" w:line="240" w:lineRule="auto"/>
        <w:ind w:left="288" w:hanging="2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modernizacyjne/ przebudowa i remontowe („pod   ruchem”)</w:t>
      </w:r>
    </w:p>
    <w:p w14:paraId="4499CA3E" w14:textId="0AA540A6"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Wykonawca jest zobowiązany do utrzymania ruchu publicznego oraz utrzymania istniejących obiektów (jezdnie, ciągi piesze, znaki drogowe, bariery ochronne, urządzenia odwodnienia itp.) na terenie budowy, </w:t>
      </w:r>
      <w:r w:rsidR="00E45376">
        <w:rPr>
          <w:rFonts w:eastAsia="Times New Roman" w:cstheme="minorHAnsi"/>
          <w:sz w:val="20"/>
          <w:szCs w:val="20"/>
          <w:lang w:eastAsia="pl-PL"/>
        </w:rPr>
        <w:br/>
      </w:r>
      <w:r w:rsidRPr="004853EB">
        <w:rPr>
          <w:rFonts w:eastAsia="Times New Roman" w:cstheme="minorHAnsi"/>
          <w:sz w:val="20"/>
          <w:szCs w:val="20"/>
          <w:lang w:eastAsia="pl-PL"/>
        </w:rPr>
        <w:t>w okresie trwania realizacji kontraktu, aż do zakończenia i odbioru ostatecznego robót.</w:t>
      </w:r>
    </w:p>
    <w:p w14:paraId="5AF07AF9"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14:paraId="56AA831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czasie wykonywania robót Wykonawca dostarczy, zainstaluje i będzie obsługiwał wszystkie tymczasowe urządzenia zabezpieczające takie jak: zapory, światła ostrzegawcze, sygnały, itp., zapewniając w ten sposób bezpieczeństwo pojazdów i pieszych.</w:t>
      </w:r>
    </w:p>
    <w:p w14:paraId="6674D58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zapewni stałe warunki widoczności w dzień i w nocy tych zapór i znaków, dla których jest to nieodzowne ze względów bezpieczeństwa.</w:t>
      </w:r>
    </w:p>
    <w:p w14:paraId="2B2FE499"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Wszystkie znaki, zapory i inne urządzenia zabezpieczające będą akceptowane przez Inżyniera/Kierownika projektu.</w:t>
      </w:r>
    </w:p>
    <w:p w14:paraId="67618B89"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2432EB53" w14:textId="00ADC3D3"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Koszt zabezpieczenia terenu budowy nie podlega odrębnej zapłacie i przyjmuje się, że jest włączony </w:t>
      </w:r>
      <w:r w:rsidR="00E45376">
        <w:rPr>
          <w:rFonts w:eastAsia="Times New Roman" w:cstheme="minorHAnsi"/>
          <w:sz w:val="20"/>
          <w:szCs w:val="20"/>
          <w:lang w:eastAsia="pl-PL"/>
        </w:rPr>
        <w:br/>
      </w:r>
      <w:r w:rsidRPr="004853EB">
        <w:rPr>
          <w:rFonts w:eastAsia="Times New Roman" w:cstheme="minorHAnsi"/>
          <w:sz w:val="20"/>
          <w:szCs w:val="20"/>
          <w:lang w:eastAsia="pl-PL"/>
        </w:rPr>
        <w:t>w cenę kontraktową.</w:t>
      </w:r>
    </w:p>
    <w:p w14:paraId="507A9FD9" w14:textId="77777777" w:rsidR="00E95D02" w:rsidRPr="004853EB" w:rsidRDefault="00E95D02" w:rsidP="00E95D02">
      <w:pPr>
        <w:keepNext/>
        <w:overflowPunct w:val="0"/>
        <w:autoSpaceDE w:val="0"/>
        <w:autoSpaceDN w:val="0"/>
        <w:adjustRightInd w:val="0"/>
        <w:spacing w:before="60" w:after="60" w:line="240" w:lineRule="auto"/>
        <w:jc w:val="both"/>
        <w:textAlignment w:val="baseline"/>
        <w:outlineLvl w:val="2"/>
        <w:rPr>
          <w:rFonts w:eastAsia="Times New Roman" w:cstheme="minorHAnsi"/>
          <w:sz w:val="20"/>
          <w:szCs w:val="20"/>
          <w:lang w:eastAsia="pl-PL"/>
        </w:rPr>
      </w:pPr>
      <w:bookmarkStart w:id="38" w:name="_Toc194476454"/>
      <w:bookmarkStart w:id="39" w:name="_Toc227759796"/>
      <w:bookmarkStart w:id="40" w:name="_Toc227824943"/>
      <w:r w:rsidRPr="004853EB">
        <w:rPr>
          <w:rFonts w:eastAsia="Times New Roman" w:cstheme="minorHAnsi"/>
          <w:b/>
          <w:sz w:val="20"/>
          <w:szCs w:val="20"/>
          <w:lang w:eastAsia="pl-PL"/>
        </w:rPr>
        <w:t>1.5.5.</w:t>
      </w:r>
      <w:r w:rsidRPr="004853EB">
        <w:rPr>
          <w:rFonts w:eastAsia="Times New Roman" w:cstheme="minorHAnsi"/>
          <w:sz w:val="20"/>
          <w:szCs w:val="20"/>
          <w:lang w:eastAsia="pl-PL"/>
        </w:rPr>
        <w:t xml:space="preserve"> Ochrona środowiska w czasie wykonywania robót</w:t>
      </w:r>
      <w:bookmarkEnd w:id="38"/>
      <w:bookmarkEnd w:id="39"/>
      <w:bookmarkEnd w:id="40"/>
    </w:p>
    <w:p w14:paraId="0B5339BA" w14:textId="77777777" w:rsidR="00E95D02" w:rsidRPr="004853EB" w:rsidRDefault="00E95D02" w:rsidP="00E95D02">
      <w:pPr>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ma obowiązek znać i stosować w czasie prowadzenia robót wszelkie przepisy dotyczące ochrony środowiska naturalnego.</w:t>
      </w:r>
    </w:p>
    <w:p w14:paraId="12DA4BA5"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okresie trwania budowy i wykańczania robót Wykonawca będzie:</w:t>
      </w:r>
    </w:p>
    <w:p w14:paraId="5B94BFD2" w14:textId="77777777" w:rsidR="00E95D02" w:rsidRPr="004853EB" w:rsidRDefault="00E95D02">
      <w:pPr>
        <w:numPr>
          <w:ilvl w:val="0"/>
          <w:numId w:val="156"/>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utrzymywać teren budowy i wykopy w stanie bez wody stojącej,</w:t>
      </w:r>
    </w:p>
    <w:p w14:paraId="748FD50B" w14:textId="77777777" w:rsidR="00E95D02" w:rsidRPr="004853EB" w:rsidRDefault="00E95D02">
      <w:pPr>
        <w:numPr>
          <w:ilvl w:val="0"/>
          <w:numId w:val="156"/>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4CED0D91" w14:textId="77777777" w:rsidR="00E95D02" w:rsidRPr="004853EB" w:rsidRDefault="00E95D02" w:rsidP="00E95D02">
      <w:pPr>
        <w:overflowPunct w:val="0"/>
        <w:autoSpaceDE w:val="0"/>
        <w:autoSpaceDN w:val="0"/>
        <w:adjustRightInd w:val="0"/>
        <w:spacing w:after="0" w:line="240" w:lineRule="auto"/>
        <w:ind w:left="283" w:firstLine="426"/>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Stosując się do tych wymagań będzie miał szczególny wzgląd na:</w:t>
      </w:r>
    </w:p>
    <w:p w14:paraId="3D2E5635" w14:textId="77777777" w:rsidR="00E95D02" w:rsidRPr="004853EB" w:rsidRDefault="00E95D02">
      <w:pPr>
        <w:numPr>
          <w:ilvl w:val="0"/>
          <w:numId w:val="157"/>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lokalizację baz, warsztatów, magazynów, składowisk, ukopów i dróg dojazdowych,</w:t>
      </w:r>
    </w:p>
    <w:p w14:paraId="35AE03A0" w14:textId="77777777" w:rsidR="00E95D02" w:rsidRPr="004853EB" w:rsidRDefault="00E95D02">
      <w:pPr>
        <w:numPr>
          <w:ilvl w:val="0"/>
          <w:numId w:val="157"/>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środki ostrożności i zabezpieczenia przed:</w:t>
      </w:r>
    </w:p>
    <w:p w14:paraId="6FCDD8D4" w14:textId="77777777" w:rsidR="00E95D02" w:rsidRPr="004853EB" w:rsidRDefault="00E95D02">
      <w:pPr>
        <w:numPr>
          <w:ilvl w:val="0"/>
          <w:numId w:val="15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zanieczyszczeniem zbiorników i cieków wodnych pyłami lub substancjami toksycznymi,</w:t>
      </w:r>
    </w:p>
    <w:p w14:paraId="470436B3" w14:textId="77777777" w:rsidR="00E95D02" w:rsidRPr="004853EB" w:rsidRDefault="00E95D02">
      <w:pPr>
        <w:numPr>
          <w:ilvl w:val="0"/>
          <w:numId w:val="15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zanieczyszczeniem powietrza pyłami i gazami,</w:t>
      </w:r>
    </w:p>
    <w:p w14:paraId="07B34A45" w14:textId="77777777" w:rsidR="00E95D02" w:rsidRPr="004853EB" w:rsidRDefault="00E95D02">
      <w:pPr>
        <w:numPr>
          <w:ilvl w:val="0"/>
          <w:numId w:val="158"/>
        </w:numPr>
        <w:overflowPunct w:val="0"/>
        <w:autoSpaceDE w:val="0"/>
        <w:autoSpaceDN w:val="0"/>
        <w:adjustRightInd w:val="0"/>
        <w:spacing w:after="60" w:line="240" w:lineRule="auto"/>
        <w:ind w:left="56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możliwością powstania pożaru.</w:t>
      </w:r>
    </w:p>
    <w:p w14:paraId="0434F95C" w14:textId="77777777" w:rsidR="00E95D02" w:rsidRPr="004853EB" w:rsidRDefault="00E95D02" w:rsidP="00E95D02">
      <w:pPr>
        <w:keepNext/>
        <w:overflowPunct w:val="0"/>
        <w:autoSpaceDE w:val="0"/>
        <w:autoSpaceDN w:val="0"/>
        <w:adjustRightInd w:val="0"/>
        <w:spacing w:before="60" w:after="60" w:line="240" w:lineRule="auto"/>
        <w:jc w:val="both"/>
        <w:textAlignment w:val="baseline"/>
        <w:outlineLvl w:val="2"/>
        <w:rPr>
          <w:rFonts w:eastAsia="Times New Roman" w:cstheme="minorHAnsi"/>
          <w:sz w:val="20"/>
          <w:szCs w:val="20"/>
          <w:lang w:eastAsia="pl-PL"/>
        </w:rPr>
      </w:pPr>
      <w:bookmarkStart w:id="41" w:name="_Toc194476455"/>
      <w:bookmarkStart w:id="42" w:name="_Toc227759797"/>
      <w:bookmarkStart w:id="43" w:name="_Toc227824944"/>
      <w:r w:rsidRPr="004853EB">
        <w:rPr>
          <w:rFonts w:eastAsia="Times New Roman" w:cstheme="minorHAnsi"/>
          <w:b/>
          <w:sz w:val="20"/>
          <w:szCs w:val="20"/>
          <w:lang w:eastAsia="pl-PL"/>
        </w:rPr>
        <w:t>1.5.6.</w:t>
      </w:r>
      <w:r w:rsidRPr="004853EB">
        <w:rPr>
          <w:rFonts w:eastAsia="Times New Roman" w:cstheme="minorHAnsi"/>
          <w:sz w:val="20"/>
          <w:szCs w:val="20"/>
          <w:lang w:eastAsia="pl-PL"/>
        </w:rPr>
        <w:t xml:space="preserve"> Ochrona przeciwpożarowa</w:t>
      </w:r>
      <w:bookmarkEnd w:id="41"/>
      <w:bookmarkEnd w:id="42"/>
      <w:bookmarkEnd w:id="43"/>
    </w:p>
    <w:p w14:paraId="7F4EEC0D" w14:textId="77777777" w:rsidR="00E95D02" w:rsidRPr="004853EB" w:rsidRDefault="00E95D02" w:rsidP="00E95D02">
      <w:pPr>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będzie przestrzegać przepisy ochrony przeciwpożarowej.</w:t>
      </w:r>
    </w:p>
    <w:p w14:paraId="11C2A051"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t>Wykonawca będzie utrzymywać, wymagany na podstawie odpowiednich przepisów sprawny sprzęt przeciwpożarowy, na terenie baz produkcyjnych, w pomieszczeniach biurowych, mieszkalnych, magazynach oraz w maszynach i pojazdach.</w:t>
      </w:r>
    </w:p>
    <w:p w14:paraId="728D04FC"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Materiały łatwopalne będą składowane w sposób zgodny z odpowiednimi przepisami i zabezpieczone przed dostępem osób trzecich.</w:t>
      </w:r>
    </w:p>
    <w:p w14:paraId="27053547" w14:textId="77777777" w:rsidR="00E95D02" w:rsidRPr="004853EB" w:rsidRDefault="00E95D02" w:rsidP="00E95D02">
      <w:p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będzie odpowiedzialny za wszelkie straty spowodowane pożarem wywołanym jako rezultat realizacji robót albo przez personel Wykonawcy.</w:t>
      </w:r>
    </w:p>
    <w:p w14:paraId="0DD9B6D8" w14:textId="77777777" w:rsidR="00E95D02" w:rsidRPr="004853EB" w:rsidRDefault="00E95D02" w:rsidP="00E95D02">
      <w:pPr>
        <w:keepNext/>
        <w:overflowPunct w:val="0"/>
        <w:autoSpaceDE w:val="0"/>
        <w:autoSpaceDN w:val="0"/>
        <w:adjustRightInd w:val="0"/>
        <w:spacing w:before="60" w:after="60" w:line="240" w:lineRule="auto"/>
        <w:jc w:val="both"/>
        <w:textAlignment w:val="baseline"/>
        <w:outlineLvl w:val="2"/>
        <w:rPr>
          <w:rFonts w:eastAsia="Times New Roman" w:cstheme="minorHAnsi"/>
          <w:sz w:val="20"/>
          <w:szCs w:val="20"/>
          <w:lang w:eastAsia="pl-PL"/>
        </w:rPr>
      </w:pPr>
      <w:bookmarkStart w:id="44" w:name="_Toc194476456"/>
      <w:bookmarkStart w:id="45" w:name="_Toc227759798"/>
      <w:bookmarkStart w:id="46" w:name="_Toc227824945"/>
      <w:r w:rsidRPr="004853EB">
        <w:rPr>
          <w:rFonts w:eastAsia="Times New Roman" w:cstheme="minorHAnsi"/>
          <w:b/>
          <w:sz w:val="20"/>
          <w:szCs w:val="20"/>
          <w:lang w:eastAsia="pl-PL"/>
        </w:rPr>
        <w:t>1.5.7.</w:t>
      </w:r>
      <w:r w:rsidRPr="004853EB">
        <w:rPr>
          <w:rFonts w:eastAsia="Times New Roman" w:cstheme="minorHAnsi"/>
          <w:sz w:val="20"/>
          <w:szCs w:val="20"/>
          <w:lang w:eastAsia="pl-PL"/>
        </w:rPr>
        <w:t xml:space="preserve"> Materiały szkodliwe dla otoczenia</w:t>
      </w:r>
      <w:bookmarkEnd w:id="44"/>
      <w:bookmarkEnd w:id="45"/>
      <w:bookmarkEnd w:id="46"/>
    </w:p>
    <w:p w14:paraId="74482BF8" w14:textId="77777777" w:rsidR="00E95D02" w:rsidRPr="004853EB" w:rsidRDefault="00E95D02" w:rsidP="00E95D02">
      <w:pPr>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Materiały, które w sposób trwały są szkodliwe dla otoczenia, nie będą dopuszczone do użycia.</w:t>
      </w:r>
    </w:p>
    <w:p w14:paraId="0FCBCF72"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Nie dopuszcza się użycia materiałów wywołujących szkodliwe promieniowanie o stężeniu większym od dopuszczalnego, określonego odpowiednimi przepisami.</w:t>
      </w:r>
    </w:p>
    <w:p w14:paraId="18E1EFC1"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Wszelkie materiały odpadowe użyte do robót będą miały aprobatę techniczną wydaną przez uprawnioną jednostkę, jednoznacznie określającą brak szkodliwego oddziaływania tych materiałów na środowisko.</w:t>
      </w:r>
    </w:p>
    <w:p w14:paraId="2EB78074"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50C7A49A" w14:textId="77777777" w:rsidR="00E95D02" w:rsidRPr="004853EB" w:rsidRDefault="00E95D02" w:rsidP="00E95D02">
      <w:p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Jeżeli Wykonawca użył materiałów szkodliwych dla otoczenia zgodnie ze specyfikacjami, a ich użycie spowodowało jakiekolwiek zagrożenie środowiska, to konsekwencje tego poniesie Zamawiający.</w:t>
      </w:r>
    </w:p>
    <w:p w14:paraId="16028635" w14:textId="77777777" w:rsidR="00E95D02" w:rsidRPr="004853EB" w:rsidRDefault="00E95D02" w:rsidP="00E95D02">
      <w:pPr>
        <w:keepNext/>
        <w:overflowPunct w:val="0"/>
        <w:autoSpaceDE w:val="0"/>
        <w:autoSpaceDN w:val="0"/>
        <w:adjustRightInd w:val="0"/>
        <w:spacing w:before="60" w:after="60" w:line="240" w:lineRule="auto"/>
        <w:jc w:val="both"/>
        <w:textAlignment w:val="baseline"/>
        <w:outlineLvl w:val="2"/>
        <w:rPr>
          <w:rFonts w:eastAsia="Times New Roman" w:cstheme="minorHAnsi"/>
          <w:sz w:val="20"/>
          <w:szCs w:val="20"/>
          <w:lang w:eastAsia="pl-PL"/>
        </w:rPr>
      </w:pPr>
      <w:bookmarkStart w:id="47" w:name="_Toc194476457"/>
      <w:bookmarkStart w:id="48" w:name="_Toc227759799"/>
      <w:bookmarkStart w:id="49" w:name="_Toc227824946"/>
      <w:r w:rsidRPr="004853EB">
        <w:rPr>
          <w:rFonts w:eastAsia="Times New Roman" w:cstheme="minorHAnsi"/>
          <w:b/>
          <w:sz w:val="20"/>
          <w:szCs w:val="20"/>
          <w:lang w:eastAsia="pl-PL"/>
        </w:rPr>
        <w:t>1.5.8.</w:t>
      </w:r>
      <w:r w:rsidRPr="004853EB">
        <w:rPr>
          <w:rFonts w:eastAsia="Times New Roman" w:cstheme="minorHAnsi"/>
          <w:sz w:val="20"/>
          <w:szCs w:val="20"/>
          <w:lang w:eastAsia="pl-PL"/>
        </w:rPr>
        <w:t xml:space="preserve"> Ochrona własności publicznej i prywatnej</w:t>
      </w:r>
      <w:bookmarkEnd w:id="47"/>
      <w:bookmarkEnd w:id="48"/>
      <w:bookmarkEnd w:id="49"/>
    </w:p>
    <w:p w14:paraId="79E3660F" w14:textId="77777777" w:rsidR="00E95D02" w:rsidRPr="004853EB" w:rsidRDefault="00E95D02" w:rsidP="00E95D02">
      <w:pPr>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23CF403E" w14:textId="77777777" w:rsidR="00E95D02" w:rsidRPr="004853EB" w:rsidRDefault="00E95D02" w:rsidP="00E95D02">
      <w:p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60E0487D" w14:textId="77777777" w:rsidR="00E95D02" w:rsidRPr="004853EB" w:rsidRDefault="00E95D02" w:rsidP="00E95D02">
      <w:p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1749C592" w14:textId="5D4C6232" w:rsidR="00E95D02" w:rsidRPr="004853EB" w:rsidRDefault="00E95D02" w:rsidP="00E95D02">
      <w:p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Inżynier/Kierownik projektu będzie na bieżąco informowany o wszystkich umowach zawartych pomiędzy Wykonawcą a właścicielami nieruchomości i dotyczących korzystania z własności i dróg wewnętrznych. </w:t>
      </w:r>
      <w:r w:rsidR="00E45376" w:rsidRPr="004853EB">
        <w:rPr>
          <w:rFonts w:eastAsia="Times New Roman" w:cstheme="minorHAnsi"/>
          <w:sz w:val="20"/>
          <w:szCs w:val="20"/>
          <w:lang w:eastAsia="pl-PL"/>
        </w:rPr>
        <w:t>Jednakże</w:t>
      </w:r>
      <w:r w:rsidRPr="004853EB">
        <w:rPr>
          <w:rFonts w:eastAsia="Times New Roman" w:cstheme="minorHAnsi"/>
          <w:sz w:val="20"/>
          <w:szCs w:val="20"/>
          <w:lang w:eastAsia="pl-PL"/>
        </w:rPr>
        <w:t xml:space="preserve"> ani Inżynier/Kierownik projektu ani Zamawiający nie będzie ingerował w takie porozumienia, o ile nie będą one sprzeczne z postanowieniami zawartymi w warunkach umowy.</w:t>
      </w:r>
    </w:p>
    <w:p w14:paraId="042D2392" w14:textId="77777777" w:rsidR="00E95D02" w:rsidRPr="004853EB" w:rsidRDefault="00E95D02" w:rsidP="00E95D02">
      <w:pPr>
        <w:keepNext/>
        <w:overflowPunct w:val="0"/>
        <w:autoSpaceDE w:val="0"/>
        <w:autoSpaceDN w:val="0"/>
        <w:adjustRightInd w:val="0"/>
        <w:spacing w:before="60" w:after="60" w:line="240" w:lineRule="auto"/>
        <w:jc w:val="both"/>
        <w:textAlignment w:val="baseline"/>
        <w:outlineLvl w:val="2"/>
        <w:rPr>
          <w:rFonts w:eastAsia="Times New Roman" w:cstheme="minorHAnsi"/>
          <w:sz w:val="20"/>
          <w:szCs w:val="20"/>
          <w:lang w:eastAsia="pl-PL"/>
        </w:rPr>
      </w:pPr>
      <w:bookmarkStart w:id="50" w:name="_Toc194476458"/>
      <w:bookmarkStart w:id="51" w:name="_Toc227759800"/>
      <w:bookmarkStart w:id="52" w:name="_Toc227824947"/>
      <w:r w:rsidRPr="004853EB">
        <w:rPr>
          <w:rFonts w:eastAsia="Times New Roman" w:cstheme="minorHAnsi"/>
          <w:b/>
          <w:sz w:val="20"/>
          <w:szCs w:val="20"/>
          <w:lang w:eastAsia="pl-PL"/>
        </w:rPr>
        <w:t>1.5.9.</w:t>
      </w:r>
      <w:r w:rsidRPr="004853EB">
        <w:rPr>
          <w:rFonts w:eastAsia="Times New Roman" w:cstheme="minorHAnsi"/>
          <w:sz w:val="20"/>
          <w:szCs w:val="20"/>
          <w:lang w:eastAsia="pl-PL"/>
        </w:rPr>
        <w:t xml:space="preserve"> Ograniczenie obciążeń osi pojazdów</w:t>
      </w:r>
      <w:bookmarkEnd w:id="50"/>
      <w:bookmarkEnd w:id="51"/>
      <w:bookmarkEnd w:id="52"/>
    </w:p>
    <w:p w14:paraId="52BA4DFD" w14:textId="630B1031" w:rsidR="00E95D02" w:rsidRPr="004853EB" w:rsidRDefault="00E95D02" w:rsidP="00E95D02">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Wykonawca będzie stosować się do ustawowych ograniczeń nacisków osi na drogach publicznych przy transporcie materiałów i wyposażenia na i z terenu robót. Wykonawca uzyska wszelkie niezbędne zezwolenia </w:t>
      </w:r>
      <w:r w:rsidR="00E45376">
        <w:rPr>
          <w:rFonts w:eastAsia="Times New Roman" w:cstheme="minorHAnsi"/>
          <w:sz w:val="20"/>
          <w:szCs w:val="20"/>
          <w:lang w:eastAsia="pl-PL"/>
        </w:rPr>
        <w:br/>
      </w:r>
      <w:r w:rsidRPr="004853EB">
        <w:rPr>
          <w:rFonts w:eastAsia="Times New Roman" w:cstheme="minorHAnsi"/>
          <w:sz w:val="20"/>
          <w:szCs w:val="20"/>
          <w:lang w:eastAsia="pl-PL"/>
        </w:rPr>
        <w:t xml:space="preserve">i uzgodnienia od właściwych władz co do przewozu nietypowych wagowo ładunków (ponadnormatywnych) </w:t>
      </w:r>
      <w:r w:rsidR="00E45376">
        <w:rPr>
          <w:rFonts w:eastAsia="Times New Roman" w:cstheme="minorHAnsi"/>
          <w:sz w:val="20"/>
          <w:szCs w:val="20"/>
          <w:lang w:eastAsia="pl-PL"/>
        </w:rPr>
        <w:br/>
      </w:r>
      <w:r w:rsidRPr="004853EB">
        <w:rPr>
          <w:rFonts w:eastAsia="Times New Roman" w:cstheme="minorHAnsi"/>
          <w:sz w:val="20"/>
          <w:szCs w:val="20"/>
          <w:lang w:eastAsia="pl-PL"/>
        </w:rPr>
        <w:t xml:space="preserve">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w:t>
      </w:r>
      <w:r w:rsidR="00E45376">
        <w:rPr>
          <w:rFonts w:eastAsia="Times New Roman" w:cstheme="minorHAnsi"/>
          <w:sz w:val="20"/>
          <w:szCs w:val="20"/>
          <w:lang w:eastAsia="pl-PL"/>
        </w:rPr>
        <w:br/>
      </w:r>
      <w:r w:rsidRPr="004853EB">
        <w:rPr>
          <w:rFonts w:eastAsia="Times New Roman" w:cstheme="minorHAnsi"/>
          <w:sz w:val="20"/>
          <w:szCs w:val="20"/>
          <w:lang w:eastAsia="pl-PL"/>
        </w:rPr>
        <w:t>z poleceniami Inżyniera/Kierownika projektu.</w:t>
      </w:r>
    </w:p>
    <w:p w14:paraId="504EB45B" w14:textId="77777777" w:rsidR="00E95D02" w:rsidRPr="004853EB" w:rsidRDefault="00E95D02" w:rsidP="00E95D02">
      <w:pPr>
        <w:keepNext/>
        <w:overflowPunct w:val="0"/>
        <w:autoSpaceDE w:val="0"/>
        <w:autoSpaceDN w:val="0"/>
        <w:adjustRightInd w:val="0"/>
        <w:spacing w:before="60" w:after="60" w:line="240" w:lineRule="auto"/>
        <w:jc w:val="both"/>
        <w:textAlignment w:val="baseline"/>
        <w:outlineLvl w:val="2"/>
        <w:rPr>
          <w:rFonts w:eastAsia="Times New Roman" w:cstheme="minorHAnsi"/>
          <w:sz w:val="20"/>
          <w:szCs w:val="20"/>
          <w:lang w:eastAsia="pl-PL"/>
        </w:rPr>
      </w:pPr>
      <w:bookmarkStart w:id="53" w:name="_Toc194476459"/>
      <w:bookmarkStart w:id="54" w:name="_Toc227759801"/>
      <w:bookmarkStart w:id="55" w:name="_Toc227824948"/>
      <w:r w:rsidRPr="004853EB">
        <w:rPr>
          <w:rFonts w:eastAsia="Times New Roman" w:cstheme="minorHAnsi"/>
          <w:b/>
          <w:sz w:val="20"/>
          <w:szCs w:val="20"/>
          <w:lang w:eastAsia="pl-PL"/>
        </w:rPr>
        <w:t>1.5.10.</w:t>
      </w:r>
      <w:r w:rsidRPr="004853EB">
        <w:rPr>
          <w:rFonts w:eastAsia="Times New Roman" w:cstheme="minorHAnsi"/>
          <w:sz w:val="20"/>
          <w:szCs w:val="20"/>
          <w:lang w:eastAsia="pl-PL"/>
        </w:rPr>
        <w:t xml:space="preserve"> Bezpieczeństwo i higiena pracy</w:t>
      </w:r>
      <w:bookmarkEnd w:id="53"/>
      <w:bookmarkEnd w:id="54"/>
      <w:bookmarkEnd w:id="55"/>
    </w:p>
    <w:p w14:paraId="7669F1E7" w14:textId="3A791E30" w:rsidR="00E95D02" w:rsidRPr="004853EB" w:rsidRDefault="00E95D02" w:rsidP="00E95D02">
      <w:pPr>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Podczas realizacji robót Wykonawca będzie przestrzegać przepisów dotyczących bezpieczeństwa </w:t>
      </w:r>
      <w:r w:rsidR="00E45376">
        <w:rPr>
          <w:rFonts w:eastAsia="Times New Roman" w:cstheme="minorHAnsi"/>
          <w:sz w:val="20"/>
          <w:szCs w:val="20"/>
          <w:lang w:eastAsia="pl-PL"/>
        </w:rPr>
        <w:br/>
      </w:r>
      <w:r w:rsidRPr="004853EB">
        <w:rPr>
          <w:rFonts w:eastAsia="Times New Roman" w:cstheme="minorHAnsi"/>
          <w:sz w:val="20"/>
          <w:szCs w:val="20"/>
          <w:lang w:eastAsia="pl-PL"/>
        </w:rPr>
        <w:t>i higieny pracy.</w:t>
      </w:r>
    </w:p>
    <w:p w14:paraId="59722BDE"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szczególności Wykonawca ma obowiązek zadbać, aby personel nie wykonywał pracy w warunkach niebezpiecznych, szkodliwych dla zdrowia oraz nie spełniających odpowiednich wymagań sanitarnych.</w:t>
      </w:r>
    </w:p>
    <w:p w14:paraId="0C09D4B8" w14:textId="5387F0FA"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t xml:space="preserve">Wykonawca zapewni i będzie utrzymywał wszelkie urządzenia zabezpieczające, socjalne oraz sprzęt </w:t>
      </w:r>
      <w:r w:rsidR="00E45376">
        <w:rPr>
          <w:rFonts w:eastAsia="Times New Roman" w:cstheme="minorHAnsi"/>
          <w:sz w:val="20"/>
          <w:szCs w:val="20"/>
          <w:lang w:eastAsia="pl-PL"/>
        </w:rPr>
        <w:br/>
      </w:r>
      <w:r w:rsidRPr="004853EB">
        <w:rPr>
          <w:rFonts w:eastAsia="Times New Roman" w:cstheme="minorHAnsi"/>
          <w:sz w:val="20"/>
          <w:szCs w:val="20"/>
          <w:lang w:eastAsia="pl-PL"/>
        </w:rPr>
        <w:t>i odpowiednią odzież dla ochrony życia i zdrowia osób zatrudnionych na budowie oraz dla zapewnienia bezpieczeństwa publicznego.</w:t>
      </w:r>
    </w:p>
    <w:p w14:paraId="70324DFD" w14:textId="77777777" w:rsidR="00E95D02" w:rsidRPr="004853EB" w:rsidRDefault="00E95D02" w:rsidP="00E95D02">
      <w:p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Uznaje się, że wszelkie koszty związane z wypełnieniem wymagań określonych powyżej nie podlegają odrębnej zapłacie i są uwzględnione w cenie kontraktowej.</w:t>
      </w:r>
    </w:p>
    <w:p w14:paraId="54E6D71F" w14:textId="77777777" w:rsidR="00E95D02" w:rsidRPr="004853EB" w:rsidRDefault="00E95D02" w:rsidP="00E95D02">
      <w:pPr>
        <w:keepNext/>
        <w:overflowPunct w:val="0"/>
        <w:autoSpaceDE w:val="0"/>
        <w:autoSpaceDN w:val="0"/>
        <w:adjustRightInd w:val="0"/>
        <w:spacing w:before="60" w:after="60" w:line="240" w:lineRule="auto"/>
        <w:jc w:val="both"/>
        <w:textAlignment w:val="baseline"/>
        <w:outlineLvl w:val="2"/>
        <w:rPr>
          <w:rFonts w:eastAsia="Times New Roman" w:cstheme="minorHAnsi"/>
          <w:sz w:val="20"/>
          <w:szCs w:val="20"/>
          <w:lang w:eastAsia="pl-PL"/>
        </w:rPr>
      </w:pPr>
      <w:bookmarkStart w:id="56" w:name="_Toc194476460"/>
      <w:bookmarkStart w:id="57" w:name="_Toc227759802"/>
      <w:bookmarkStart w:id="58" w:name="_Toc227824949"/>
      <w:r w:rsidRPr="004853EB">
        <w:rPr>
          <w:rFonts w:eastAsia="Times New Roman" w:cstheme="minorHAnsi"/>
          <w:b/>
          <w:sz w:val="20"/>
          <w:szCs w:val="20"/>
          <w:lang w:eastAsia="pl-PL"/>
        </w:rPr>
        <w:t>1.5.11.</w:t>
      </w:r>
      <w:r w:rsidRPr="004853EB">
        <w:rPr>
          <w:rFonts w:eastAsia="Times New Roman" w:cstheme="minorHAnsi"/>
          <w:sz w:val="20"/>
          <w:szCs w:val="20"/>
          <w:lang w:eastAsia="pl-PL"/>
        </w:rPr>
        <w:t xml:space="preserve"> Ochrona i utrzymanie robót</w:t>
      </w:r>
      <w:bookmarkEnd w:id="56"/>
      <w:bookmarkEnd w:id="57"/>
      <w:bookmarkEnd w:id="58"/>
    </w:p>
    <w:p w14:paraId="36D7B5FA" w14:textId="77777777" w:rsidR="00E95D02" w:rsidRPr="004853EB" w:rsidRDefault="00E95D02" w:rsidP="00E95D02">
      <w:pPr>
        <w:keepNext/>
        <w:overflowPunct w:val="0"/>
        <w:autoSpaceDE w:val="0"/>
        <w:autoSpaceDN w:val="0"/>
        <w:adjustRightInd w:val="0"/>
        <w:spacing w:before="60" w:after="0" w:line="240" w:lineRule="auto"/>
        <w:jc w:val="both"/>
        <w:textAlignment w:val="baseline"/>
        <w:outlineLvl w:val="2"/>
        <w:rPr>
          <w:rFonts w:eastAsia="Times New Roman" w:cstheme="minorHAnsi"/>
          <w:sz w:val="20"/>
          <w:szCs w:val="20"/>
          <w:lang w:eastAsia="pl-PL"/>
        </w:rPr>
      </w:pPr>
      <w:r w:rsidRPr="004853EB">
        <w:rPr>
          <w:rFonts w:eastAsia="Times New Roman" w:cstheme="minorHAnsi"/>
          <w:sz w:val="20"/>
          <w:szCs w:val="20"/>
          <w:lang w:eastAsia="pl-PL"/>
        </w:rPr>
        <w:tab/>
      </w:r>
      <w:bookmarkStart w:id="59" w:name="_Toc412518567"/>
      <w:bookmarkStart w:id="60" w:name="_Toc194476461"/>
      <w:bookmarkStart w:id="61" w:name="_Toc227759803"/>
      <w:bookmarkStart w:id="62" w:name="_Toc227824950"/>
      <w:r w:rsidRPr="004853EB">
        <w:rPr>
          <w:rFonts w:eastAsia="Times New Roman" w:cstheme="minorHAnsi"/>
          <w:sz w:val="20"/>
          <w:szCs w:val="20"/>
          <w:lang w:eastAsia="pl-PL"/>
        </w:rPr>
        <w:t>Wykonawca będzie odpowiadał za ochronę robót i za wszelkie materiały i urządzenia używane do robót od daty rozpoczęcia do daty wydania potwierdzenia zakończenia robót przez Inżyniera/Kierownika projektu.</w:t>
      </w:r>
      <w:bookmarkEnd w:id="59"/>
      <w:bookmarkEnd w:id="60"/>
      <w:bookmarkEnd w:id="61"/>
      <w:bookmarkEnd w:id="62"/>
    </w:p>
    <w:p w14:paraId="0C6CF90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będzie utrzymywać roboty do czasu odbioru ostatecznego. Utrzymanie powinno być prowadzone w taki sposób, aby budowla drogowa lub jej elementy były w zadowalającym stanie przez cały czas, do momentu odbioru ostatecznego.</w:t>
      </w:r>
    </w:p>
    <w:p w14:paraId="4B999C9D" w14:textId="77777777" w:rsidR="00E95D02" w:rsidRPr="004853EB" w:rsidRDefault="00E95D02" w:rsidP="00E95D02">
      <w:p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Jeśli Wykonawca w jakimkolwiek czasie zaniedba utrzymanie, to na polecenie Inżyniera/Kierownika projektu powinien rozpocząć roboty utrzymaniowe nie później niż w 24 godziny po otrzymaniu tego polecenia.</w:t>
      </w:r>
    </w:p>
    <w:p w14:paraId="5F1A1989" w14:textId="77777777" w:rsidR="00E95D02" w:rsidRPr="004853EB" w:rsidRDefault="00E95D02" w:rsidP="00E95D02">
      <w:pPr>
        <w:keepNext/>
        <w:overflowPunct w:val="0"/>
        <w:autoSpaceDE w:val="0"/>
        <w:autoSpaceDN w:val="0"/>
        <w:adjustRightInd w:val="0"/>
        <w:spacing w:before="60" w:after="60" w:line="240" w:lineRule="auto"/>
        <w:jc w:val="both"/>
        <w:textAlignment w:val="baseline"/>
        <w:outlineLvl w:val="2"/>
        <w:rPr>
          <w:rFonts w:eastAsia="Times New Roman" w:cstheme="minorHAnsi"/>
          <w:sz w:val="20"/>
          <w:szCs w:val="20"/>
          <w:lang w:eastAsia="pl-PL"/>
        </w:rPr>
      </w:pPr>
      <w:bookmarkStart w:id="63" w:name="_Toc194476462"/>
      <w:bookmarkStart w:id="64" w:name="_Toc227759804"/>
      <w:bookmarkStart w:id="65" w:name="_Toc227824951"/>
      <w:r w:rsidRPr="004853EB">
        <w:rPr>
          <w:rFonts w:eastAsia="Times New Roman" w:cstheme="minorHAnsi"/>
          <w:b/>
          <w:sz w:val="20"/>
          <w:szCs w:val="20"/>
          <w:lang w:eastAsia="pl-PL"/>
        </w:rPr>
        <w:t>1.5.12.</w:t>
      </w:r>
      <w:r w:rsidRPr="004853EB">
        <w:rPr>
          <w:rFonts w:eastAsia="Times New Roman" w:cstheme="minorHAnsi"/>
          <w:sz w:val="20"/>
          <w:szCs w:val="20"/>
          <w:lang w:eastAsia="pl-PL"/>
        </w:rPr>
        <w:t xml:space="preserve"> Stosowanie się do prawa i innych przepisów</w:t>
      </w:r>
      <w:bookmarkEnd w:id="63"/>
      <w:bookmarkEnd w:id="64"/>
      <w:bookmarkEnd w:id="65"/>
    </w:p>
    <w:p w14:paraId="07528932" w14:textId="213482FC" w:rsidR="00E95D02" w:rsidRPr="004853EB" w:rsidRDefault="00E95D02" w:rsidP="00E95D02">
      <w:pPr>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Wykonawca zobowiązany jest znać wszystkie zarządzenia wydane przez władze centralne i miejscowe oraz inne przepisy, regulaminy i wytyczne, które są w jakikolwiek sposób związane z wykonywanymi robotami </w:t>
      </w:r>
      <w:r w:rsidR="00E45376">
        <w:rPr>
          <w:rFonts w:eastAsia="Times New Roman" w:cstheme="minorHAnsi"/>
          <w:sz w:val="20"/>
          <w:szCs w:val="20"/>
          <w:lang w:eastAsia="pl-PL"/>
        </w:rPr>
        <w:br/>
      </w:r>
      <w:r w:rsidRPr="004853EB">
        <w:rPr>
          <w:rFonts w:eastAsia="Times New Roman" w:cstheme="minorHAnsi"/>
          <w:sz w:val="20"/>
          <w:szCs w:val="20"/>
          <w:lang w:eastAsia="pl-PL"/>
        </w:rPr>
        <w:t>i będzie w pełni odpowiedzialny za przestrzeganie tych postanowień podczas prowadzenia robót.</w:t>
      </w:r>
    </w:p>
    <w:p w14:paraId="0465F046" w14:textId="77777777" w:rsidR="00E95D02" w:rsidRPr="004853EB" w:rsidRDefault="00E95D02" w:rsidP="00E95D02">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14:paraId="55BF6E3E" w14:textId="77777777" w:rsidR="00E95D02" w:rsidRPr="004853EB" w:rsidRDefault="00E95D02" w:rsidP="00E95D02">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1.5.13. </w:t>
      </w:r>
      <w:r w:rsidRPr="004853EB">
        <w:rPr>
          <w:rFonts w:eastAsia="Times New Roman" w:cstheme="minorHAnsi"/>
          <w:sz w:val="20"/>
          <w:szCs w:val="20"/>
          <w:lang w:eastAsia="pl-PL"/>
        </w:rPr>
        <w:t>Równoważność norm i zbiorów przepisów prawnych</w:t>
      </w:r>
    </w:p>
    <w:p w14:paraId="2BF51EEF" w14:textId="77777777" w:rsidR="00E95D02" w:rsidRPr="004853EB" w:rsidRDefault="00E95D02" w:rsidP="00E95D02">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14:paraId="75B08B91" w14:textId="77777777" w:rsidR="00E95D02" w:rsidRPr="004853EB" w:rsidRDefault="00E95D02" w:rsidP="00E95D02">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1.5.14.</w:t>
      </w:r>
      <w:r w:rsidRPr="004853EB">
        <w:rPr>
          <w:rFonts w:eastAsia="Times New Roman" w:cstheme="minorHAnsi"/>
          <w:sz w:val="20"/>
          <w:szCs w:val="20"/>
          <w:lang w:eastAsia="pl-PL"/>
        </w:rPr>
        <w:t xml:space="preserve"> Wykopaliska</w:t>
      </w:r>
    </w:p>
    <w:p w14:paraId="10E7243A" w14:textId="77777777" w:rsidR="00E95D02" w:rsidRPr="004853EB" w:rsidRDefault="00E95D02" w:rsidP="00E95D02">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14:paraId="0E6583F0" w14:textId="77777777" w:rsidR="00E95D02" w:rsidRPr="004853EB" w:rsidRDefault="00E95D02" w:rsidP="00E95D02">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66" w:name="_Toc416830699"/>
      <w:bookmarkStart w:id="67" w:name="_Toc6881280"/>
      <w:bookmarkStart w:id="68" w:name="_Toc6882153"/>
      <w:bookmarkStart w:id="69" w:name="_Toc194476463"/>
      <w:bookmarkStart w:id="70" w:name="_Toc227759805"/>
      <w:bookmarkStart w:id="71" w:name="_Toc227824952"/>
      <w:r w:rsidRPr="004853EB">
        <w:rPr>
          <w:rFonts w:eastAsia="Times New Roman" w:cstheme="minorHAnsi"/>
          <w:b/>
          <w:caps/>
          <w:kern w:val="28"/>
          <w:sz w:val="20"/>
          <w:szCs w:val="20"/>
          <w:lang w:eastAsia="pl-PL"/>
        </w:rPr>
        <w:t>2. MATERIAŁY</w:t>
      </w:r>
      <w:bookmarkEnd w:id="66"/>
      <w:bookmarkEnd w:id="67"/>
      <w:bookmarkEnd w:id="68"/>
      <w:bookmarkEnd w:id="69"/>
      <w:bookmarkEnd w:id="70"/>
      <w:bookmarkEnd w:id="71"/>
    </w:p>
    <w:p w14:paraId="678350DF"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72" w:name="_Toc194476464"/>
      <w:bookmarkStart w:id="73" w:name="_Toc227759806"/>
      <w:bookmarkStart w:id="74" w:name="_Toc227824953"/>
      <w:r w:rsidRPr="004853EB">
        <w:rPr>
          <w:rFonts w:eastAsia="Times New Roman" w:cstheme="minorHAnsi"/>
          <w:b/>
          <w:sz w:val="20"/>
          <w:szCs w:val="20"/>
          <w:lang w:eastAsia="pl-PL"/>
        </w:rPr>
        <w:t>2.1. Źródła uzyskania materiałów</w:t>
      </w:r>
      <w:bookmarkEnd w:id="72"/>
      <w:bookmarkEnd w:id="73"/>
      <w:bookmarkEnd w:id="74"/>
    </w:p>
    <w:p w14:paraId="33C26E2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14:paraId="45099528" w14:textId="7691C10E"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Zatwierdzenie partii materiałów z danego źródła nie oznacza automatycznie, że wszelkie materiały </w:t>
      </w:r>
      <w:r w:rsidR="00E45376">
        <w:rPr>
          <w:rFonts w:eastAsia="Times New Roman" w:cstheme="minorHAnsi"/>
          <w:sz w:val="20"/>
          <w:szCs w:val="20"/>
          <w:lang w:eastAsia="pl-PL"/>
        </w:rPr>
        <w:br/>
      </w:r>
      <w:r w:rsidRPr="004853EB">
        <w:rPr>
          <w:rFonts w:eastAsia="Times New Roman" w:cstheme="minorHAnsi"/>
          <w:sz w:val="20"/>
          <w:szCs w:val="20"/>
          <w:lang w:eastAsia="pl-PL"/>
        </w:rPr>
        <w:t>z danego źródła uzyskają zatwierdzenie.</w:t>
      </w:r>
    </w:p>
    <w:p w14:paraId="1BABED16" w14:textId="50A8292D"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Wykonawca zobowiązany jest do prowadzenia badań w celu wykazania, że materiały uzyskane </w:t>
      </w:r>
      <w:r w:rsidR="00E45376">
        <w:rPr>
          <w:rFonts w:eastAsia="Times New Roman" w:cstheme="minorHAnsi"/>
          <w:sz w:val="20"/>
          <w:szCs w:val="20"/>
          <w:lang w:eastAsia="pl-PL"/>
        </w:rPr>
        <w:br/>
      </w:r>
      <w:r w:rsidRPr="004853EB">
        <w:rPr>
          <w:rFonts w:eastAsia="Times New Roman" w:cstheme="minorHAnsi"/>
          <w:sz w:val="20"/>
          <w:szCs w:val="20"/>
          <w:lang w:eastAsia="pl-PL"/>
        </w:rPr>
        <w:t>z dopuszczonego źródła w sposób ciągły spełniają wymagania SST w czasie realizacji robót.</w:t>
      </w:r>
    </w:p>
    <w:p w14:paraId="2DB31865"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75" w:name="_Toc194476465"/>
      <w:bookmarkStart w:id="76" w:name="_Toc227759807"/>
      <w:bookmarkStart w:id="77" w:name="_Toc227824954"/>
      <w:r w:rsidRPr="004853EB">
        <w:rPr>
          <w:rFonts w:eastAsia="Times New Roman" w:cstheme="minorHAnsi"/>
          <w:b/>
          <w:sz w:val="20"/>
          <w:szCs w:val="20"/>
          <w:lang w:eastAsia="pl-PL"/>
        </w:rPr>
        <w:lastRenderedPageBreak/>
        <w:t>2.2. Pozyskiwanie materiałów miejscowych</w:t>
      </w:r>
      <w:bookmarkEnd w:id="75"/>
      <w:bookmarkEnd w:id="76"/>
      <w:bookmarkEnd w:id="77"/>
    </w:p>
    <w:p w14:paraId="4ABBA565"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14:paraId="1BC4F134" w14:textId="5E407D2F"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Wykonawca przedstawi Inżynierowi/Kierownikowi projektu do zatwierdzenia dokumentację zawierającą raporty z badań terenowych i laboratoryjnych oraz proponowaną przez siebie metodę wydobycia </w:t>
      </w:r>
      <w:r w:rsidR="00E45376">
        <w:rPr>
          <w:rFonts w:eastAsia="Times New Roman" w:cstheme="minorHAnsi"/>
          <w:sz w:val="20"/>
          <w:szCs w:val="20"/>
          <w:lang w:eastAsia="pl-PL"/>
        </w:rPr>
        <w:br/>
      </w:r>
      <w:r w:rsidRPr="004853EB">
        <w:rPr>
          <w:rFonts w:eastAsia="Times New Roman" w:cstheme="minorHAnsi"/>
          <w:sz w:val="20"/>
          <w:szCs w:val="20"/>
          <w:lang w:eastAsia="pl-PL"/>
        </w:rPr>
        <w:t>i selekcji, uwzględniając aktualne decyzje o eksploatacji, organów administracji państwowej i samorządowej.</w:t>
      </w:r>
    </w:p>
    <w:p w14:paraId="6D6625B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ponosi odpowiedzialność za spełnienie wymagań ilościowych i jakościowych materiałów pochodzących ze źródeł miejscowych.</w:t>
      </w:r>
    </w:p>
    <w:p w14:paraId="02C2B94D" w14:textId="49B34790"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Wykonawca ponosi wszystkie koszty, z tytułu wydobycia materiałów, dzierżawy i inne jakie okażą się potrzebne w </w:t>
      </w:r>
      <w:r w:rsidR="00E45376" w:rsidRPr="004853EB">
        <w:rPr>
          <w:rFonts w:eastAsia="Times New Roman" w:cstheme="minorHAnsi"/>
          <w:sz w:val="20"/>
          <w:szCs w:val="20"/>
          <w:lang w:eastAsia="pl-PL"/>
        </w:rPr>
        <w:t>związku z</w:t>
      </w:r>
      <w:r w:rsidRPr="004853EB">
        <w:rPr>
          <w:rFonts w:eastAsia="Times New Roman" w:cstheme="minorHAnsi"/>
          <w:sz w:val="20"/>
          <w:szCs w:val="20"/>
          <w:lang w:eastAsia="pl-PL"/>
        </w:rPr>
        <w:t xml:space="preserve"> dostarczeniem materiałów do robót.</w:t>
      </w:r>
    </w:p>
    <w:p w14:paraId="034B7959"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Humus i nadkład czasowo zdjęte z terenu wykopów, dokopów i miejsc pozyskania materiałów miejscowych będą formowane w hałdy i wykorzystane przy zasypce i rekultywacji terenu po ukończeniu robót.</w:t>
      </w:r>
    </w:p>
    <w:p w14:paraId="017AEB8F"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Wszystkie odpowiednie materiały pozyskane z wykopów na terenie budowy lub z innych miejsc wskazanych w dokumentach umowy będą wykorzystane do robót lub odwiezione na odkład odpowiednio do wymagań umowy lub wskazań Inżyniera/Kierownika projektu.</w:t>
      </w:r>
    </w:p>
    <w:p w14:paraId="63AB751B"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nie będzie prowadzić żadnych wykopów w obrębie terenu budowy poza tymi, które zostały wyszczególnione w dokumentach umowy, chyba, że uzyska na to pisemną zgodę Inżyniera/Kierownika projektu.</w:t>
      </w:r>
    </w:p>
    <w:p w14:paraId="43B86CCF"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Eksploatacja źródeł materiałów będzie zgodna z wszelkimi regulacjami prawnymi obowiązującymi na danym obszarze.</w:t>
      </w:r>
    </w:p>
    <w:p w14:paraId="15330ADB"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78" w:name="_Toc194476466"/>
      <w:bookmarkStart w:id="79" w:name="_Toc227759808"/>
      <w:bookmarkStart w:id="80" w:name="_Toc227824955"/>
      <w:r w:rsidRPr="004853EB">
        <w:rPr>
          <w:rFonts w:eastAsia="Times New Roman" w:cstheme="minorHAnsi"/>
          <w:b/>
          <w:sz w:val="20"/>
          <w:szCs w:val="20"/>
          <w:lang w:eastAsia="pl-PL"/>
        </w:rPr>
        <w:t>2.3. Materiały nie odpowiadające wymaganiom</w:t>
      </w:r>
      <w:bookmarkEnd w:id="78"/>
      <w:bookmarkEnd w:id="79"/>
      <w:bookmarkEnd w:id="80"/>
    </w:p>
    <w:p w14:paraId="62343C3D" w14:textId="7DCD2D9C"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Materiały nie odpowiadające wymaganiom zostaną przez Wykonawcę wywiezione z terenu budowy  </w:t>
      </w:r>
      <w:r w:rsidR="00E45376">
        <w:rPr>
          <w:rFonts w:eastAsia="Times New Roman" w:cstheme="minorHAnsi"/>
          <w:sz w:val="20"/>
          <w:szCs w:val="20"/>
          <w:lang w:eastAsia="pl-PL"/>
        </w:rPr>
        <w:br/>
      </w:r>
      <w:r w:rsidRPr="004853EB">
        <w:rPr>
          <w:rFonts w:eastAsia="Times New Roman" w:cstheme="minorHAnsi"/>
          <w:sz w:val="20"/>
          <w:szCs w:val="20"/>
          <w:lang w:eastAsia="pl-PL"/>
        </w:rPr>
        <w:t>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14:paraId="08F7D159" w14:textId="4A7D19B6"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Każdy rodzaj robót, w którym znajdują się nie zbadane i </w:t>
      </w:r>
      <w:r w:rsidR="00E45376" w:rsidRPr="004853EB">
        <w:rPr>
          <w:rFonts w:eastAsia="Times New Roman" w:cstheme="minorHAnsi"/>
          <w:sz w:val="20"/>
          <w:szCs w:val="20"/>
          <w:lang w:eastAsia="pl-PL"/>
        </w:rPr>
        <w:t>niezaakceptowane</w:t>
      </w:r>
      <w:r w:rsidRPr="004853EB">
        <w:rPr>
          <w:rFonts w:eastAsia="Times New Roman" w:cstheme="minorHAnsi"/>
          <w:sz w:val="20"/>
          <w:szCs w:val="20"/>
          <w:lang w:eastAsia="pl-PL"/>
        </w:rPr>
        <w:t xml:space="preserve"> materiały, Wykonawca wykonuje na własne ryzyko, licząc się z jego nieprzyjęciem, </w:t>
      </w:r>
      <w:r w:rsidR="00E45376" w:rsidRPr="004853EB">
        <w:rPr>
          <w:rFonts w:eastAsia="Times New Roman" w:cstheme="minorHAnsi"/>
          <w:sz w:val="20"/>
          <w:szCs w:val="20"/>
          <w:lang w:eastAsia="pl-PL"/>
        </w:rPr>
        <w:t>usunięciem i</w:t>
      </w:r>
      <w:r w:rsidRPr="004853EB">
        <w:rPr>
          <w:rFonts w:eastAsia="Times New Roman" w:cstheme="minorHAnsi"/>
          <w:sz w:val="20"/>
          <w:szCs w:val="20"/>
          <w:lang w:eastAsia="pl-PL"/>
        </w:rPr>
        <w:t xml:space="preserve"> niezapłaceniem</w:t>
      </w:r>
    </w:p>
    <w:p w14:paraId="2626E700"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81" w:name="_Toc194476467"/>
      <w:bookmarkStart w:id="82" w:name="_Toc227759809"/>
      <w:bookmarkStart w:id="83" w:name="_Toc227824956"/>
      <w:r w:rsidRPr="004853EB">
        <w:rPr>
          <w:rFonts w:eastAsia="Times New Roman" w:cstheme="minorHAnsi"/>
          <w:b/>
          <w:sz w:val="20"/>
          <w:szCs w:val="20"/>
          <w:lang w:eastAsia="pl-PL"/>
        </w:rPr>
        <w:t>2.4. Wariantowe stosowanie materiałów</w:t>
      </w:r>
      <w:bookmarkEnd w:id="81"/>
      <w:bookmarkEnd w:id="82"/>
      <w:bookmarkEnd w:id="83"/>
    </w:p>
    <w:p w14:paraId="3D78B029"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14:paraId="5A0AE178"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84" w:name="_Toc194476468"/>
      <w:bookmarkStart w:id="85" w:name="_Toc227759810"/>
      <w:bookmarkStart w:id="86" w:name="_Toc227824957"/>
      <w:r w:rsidRPr="004853EB">
        <w:rPr>
          <w:rFonts w:eastAsia="Times New Roman" w:cstheme="minorHAnsi"/>
          <w:b/>
          <w:sz w:val="20"/>
          <w:szCs w:val="20"/>
          <w:lang w:eastAsia="pl-PL"/>
        </w:rPr>
        <w:t>2.5. Przechowywanie i składowanie materiałów</w:t>
      </w:r>
      <w:bookmarkEnd w:id="84"/>
      <w:bookmarkEnd w:id="85"/>
      <w:bookmarkEnd w:id="86"/>
    </w:p>
    <w:p w14:paraId="6E78AADB" w14:textId="2B7AE073"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Wykonawca zapewni, aby tymczasowo składowane materiały, do </w:t>
      </w:r>
      <w:r w:rsidR="00E45376" w:rsidRPr="004853EB">
        <w:rPr>
          <w:rFonts w:eastAsia="Times New Roman" w:cstheme="minorHAnsi"/>
          <w:sz w:val="20"/>
          <w:szCs w:val="20"/>
          <w:lang w:eastAsia="pl-PL"/>
        </w:rPr>
        <w:t>czasu,</w:t>
      </w:r>
      <w:r w:rsidRPr="004853EB">
        <w:rPr>
          <w:rFonts w:eastAsia="Times New Roman" w:cstheme="minorHAnsi"/>
          <w:sz w:val="20"/>
          <w:szCs w:val="20"/>
          <w:lang w:eastAsia="pl-PL"/>
        </w:rPr>
        <w:t xml:space="preserve"> gdy będą one użyte do robót, były zabezpieczone przed zanieczyszczeniami, zachowały swoją jakość i właściwości i były dostępne do kontroli przez Inżyniera/Kierownika projektu.</w:t>
      </w:r>
    </w:p>
    <w:p w14:paraId="263F93D6"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14:paraId="70175161"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87" w:name="_Toc194476469"/>
      <w:bookmarkStart w:id="88" w:name="_Toc227759811"/>
      <w:bookmarkStart w:id="89" w:name="_Toc227824958"/>
      <w:r w:rsidRPr="004853EB">
        <w:rPr>
          <w:rFonts w:eastAsia="Times New Roman" w:cstheme="minorHAnsi"/>
          <w:b/>
          <w:sz w:val="20"/>
          <w:szCs w:val="20"/>
          <w:lang w:eastAsia="pl-PL"/>
        </w:rPr>
        <w:t>2.6. Inspekcja wytwórni materiałów</w:t>
      </w:r>
      <w:bookmarkEnd w:id="87"/>
      <w:bookmarkEnd w:id="88"/>
      <w:bookmarkEnd w:id="89"/>
    </w:p>
    <w:p w14:paraId="4999F1DF"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31E0C6C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przypadku, gdy Inżynier/Kierownik projektu będzie przeprowadzał inspekcję wytwórni, muszą być spełnione następujące warunki:</w:t>
      </w:r>
    </w:p>
    <w:p w14:paraId="1735FD03" w14:textId="77777777" w:rsidR="00E95D02" w:rsidRPr="004853EB" w:rsidRDefault="00E95D02">
      <w:pPr>
        <w:numPr>
          <w:ilvl w:val="0"/>
          <w:numId w:val="15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Inżynier/Kierownik projektu będzie miał zapewnioną współpracę i pomoc Wykonawcy oraz producenta materiałów w czasie przeprowadzania inspekcji,</w:t>
      </w:r>
    </w:p>
    <w:p w14:paraId="0D380B39" w14:textId="77777777" w:rsidR="00E95D02" w:rsidRPr="004853EB" w:rsidRDefault="00E95D02">
      <w:pPr>
        <w:numPr>
          <w:ilvl w:val="0"/>
          <w:numId w:val="15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Inżynier/Kierownik projektu będzie miał wolny dostęp, w dowolnym czasie, do tych części wytwórni, gdzie odbywa się produkcja materiałów przeznaczonych do realizacji robót,</w:t>
      </w:r>
    </w:p>
    <w:p w14:paraId="3A1346D9" w14:textId="77777777" w:rsidR="00E95D02" w:rsidRPr="004853EB" w:rsidRDefault="00E95D02">
      <w:pPr>
        <w:numPr>
          <w:ilvl w:val="0"/>
          <w:numId w:val="15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Jeżeli produkcja odbywa się w miejscu nie należącym do Wykonawcy, Wykonawca uzyska dla Inżyniera/Kierownika projektu zezwolenie dla przeprowadzenia inspekcji i badań w tych miejscach.</w:t>
      </w:r>
    </w:p>
    <w:p w14:paraId="1091D511"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90" w:name="_Toc416830700"/>
      <w:bookmarkStart w:id="91" w:name="_Toc6881281"/>
      <w:bookmarkStart w:id="92" w:name="_Toc6882154"/>
      <w:bookmarkStart w:id="93" w:name="_Toc194476470"/>
      <w:bookmarkStart w:id="94" w:name="_Toc227759812"/>
      <w:bookmarkStart w:id="95" w:name="_Toc227824959"/>
      <w:r w:rsidRPr="004853EB">
        <w:rPr>
          <w:rFonts w:eastAsia="Times New Roman" w:cstheme="minorHAnsi"/>
          <w:b/>
          <w:caps/>
          <w:kern w:val="28"/>
          <w:sz w:val="20"/>
          <w:szCs w:val="20"/>
          <w:lang w:eastAsia="pl-PL"/>
        </w:rPr>
        <w:t>3. sprzęt</w:t>
      </w:r>
      <w:bookmarkEnd w:id="90"/>
      <w:bookmarkEnd w:id="91"/>
      <w:bookmarkEnd w:id="92"/>
      <w:bookmarkEnd w:id="93"/>
      <w:bookmarkEnd w:id="94"/>
      <w:bookmarkEnd w:id="95"/>
    </w:p>
    <w:p w14:paraId="45A7A5AC" w14:textId="2401613D"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Wykonawca jest zobowiązany do używania jedynie takiego sprzętu, który nie spowoduje niekorzystnego wpływu na jakość wykonywanych robót. Sprzęt używany do robót powinien być zgodny z ofertą Wykonawcy </w:t>
      </w:r>
      <w:r w:rsidR="00E45376">
        <w:rPr>
          <w:rFonts w:eastAsia="Times New Roman" w:cstheme="minorHAnsi"/>
          <w:sz w:val="20"/>
          <w:szCs w:val="20"/>
          <w:lang w:eastAsia="pl-PL"/>
        </w:rPr>
        <w:br/>
      </w:r>
      <w:r w:rsidRPr="004853EB">
        <w:rPr>
          <w:rFonts w:eastAsia="Times New Roman" w:cstheme="minorHAnsi"/>
          <w:sz w:val="20"/>
          <w:szCs w:val="20"/>
          <w:lang w:eastAsia="pl-PL"/>
        </w:rPr>
        <w:t>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14:paraId="4B8B8FA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Liczba i wydajność sprzętu powinny gwarantować przeprowadzenie robót, zgodnie z zasadami określonymi w dokumentacji projektowej, SST i wskazaniach Inżyniera/ Kierownika projektu.</w:t>
      </w:r>
    </w:p>
    <w:p w14:paraId="4413B1AB"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Sprzęt będący własnością Wykonawcy lub wynajęty do wykonania robót ma być utrzymywany w dobrym stanie i gotowości do pracy. Powinien być zgodny z normami ochrony środowiska i przepisami dotyczącymi jego użytkowania.</w:t>
      </w:r>
    </w:p>
    <w:p w14:paraId="4293D47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dostarczy Inżynierowi/Kierownikowi projektu kopie dokumentów potwierdzających dopuszczenie sprzętu do użytkowania i badań okresowych, tam gdzie jest to wymagane przepisami.</w:t>
      </w:r>
    </w:p>
    <w:p w14:paraId="3C4A05C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będzie konserwować sprzęt jak również naprawiać lub wymieniać sprzęt niesprawny.</w:t>
      </w:r>
    </w:p>
    <w:p w14:paraId="7ECBD657" w14:textId="63FC233F"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Jeżeli dokumentacja projektowa lub SST przewidują możliwość wariantowego użycia sprzętu przy wykonywanych robotach, Wykonawca powiadomi Inżyniera/ Kierownika projektu o swoim zamiarze wyboru </w:t>
      </w:r>
      <w:r w:rsidR="00E45376">
        <w:rPr>
          <w:rFonts w:eastAsia="Times New Roman" w:cstheme="minorHAnsi"/>
          <w:sz w:val="20"/>
          <w:szCs w:val="20"/>
          <w:lang w:eastAsia="pl-PL"/>
        </w:rPr>
        <w:br/>
      </w:r>
      <w:r w:rsidRPr="004853EB">
        <w:rPr>
          <w:rFonts w:eastAsia="Times New Roman" w:cstheme="minorHAnsi"/>
          <w:sz w:val="20"/>
          <w:szCs w:val="20"/>
          <w:lang w:eastAsia="pl-PL"/>
        </w:rPr>
        <w:t>i uzyska jego akceptację przed użyciem sprzętu. Wybrany sprzęt, po akceptacji Inżyniera/Kierownika projektu, nie może być później zmieniany bez jego zgody.</w:t>
      </w:r>
    </w:p>
    <w:p w14:paraId="6CEAB2E6" w14:textId="77777777" w:rsidR="00E95D02" w:rsidRPr="004853EB" w:rsidRDefault="00E95D02" w:rsidP="00E95D02">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Jakikolwiek sprzęt, maszyny, urządzenia i narzędzia nie gwarantujące zachowania warunków umowy, zostaną przez Inżyniera/Kierownika projektu zdyskwalifikowane i nie dopuszczone do robót.</w:t>
      </w:r>
    </w:p>
    <w:p w14:paraId="02DE25F5" w14:textId="77777777" w:rsidR="00E95D02" w:rsidRPr="004853EB" w:rsidRDefault="00E95D02" w:rsidP="00E95D02">
      <w:pPr>
        <w:keepNext/>
        <w:keepLines/>
        <w:suppressAutoHyphens/>
        <w:overflowPunct w:val="0"/>
        <w:autoSpaceDE w:val="0"/>
        <w:autoSpaceDN w:val="0"/>
        <w:adjustRightInd w:val="0"/>
        <w:spacing w:before="120" w:after="240" w:line="240" w:lineRule="auto"/>
        <w:jc w:val="both"/>
        <w:textAlignment w:val="baseline"/>
        <w:outlineLvl w:val="0"/>
        <w:rPr>
          <w:rFonts w:eastAsia="Times New Roman" w:cstheme="minorHAnsi"/>
          <w:b/>
          <w:caps/>
          <w:kern w:val="28"/>
          <w:sz w:val="20"/>
          <w:szCs w:val="20"/>
          <w:lang w:eastAsia="pl-PL"/>
        </w:rPr>
      </w:pPr>
      <w:bookmarkStart w:id="96" w:name="_Toc416830701"/>
      <w:bookmarkStart w:id="97" w:name="_Toc6881282"/>
      <w:bookmarkStart w:id="98" w:name="_Toc6882155"/>
      <w:bookmarkStart w:id="99" w:name="_Toc194476471"/>
      <w:bookmarkStart w:id="100" w:name="_Toc227759813"/>
      <w:bookmarkStart w:id="101" w:name="_Toc227824960"/>
      <w:r w:rsidRPr="004853EB">
        <w:rPr>
          <w:rFonts w:eastAsia="Times New Roman" w:cstheme="minorHAnsi"/>
          <w:b/>
          <w:caps/>
          <w:kern w:val="28"/>
          <w:sz w:val="20"/>
          <w:szCs w:val="20"/>
          <w:lang w:eastAsia="pl-PL"/>
        </w:rPr>
        <w:t>4. transport</w:t>
      </w:r>
      <w:bookmarkEnd w:id="96"/>
      <w:bookmarkEnd w:id="97"/>
      <w:bookmarkEnd w:id="98"/>
      <w:bookmarkEnd w:id="99"/>
      <w:bookmarkEnd w:id="100"/>
      <w:bookmarkEnd w:id="101"/>
    </w:p>
    <w:p w14:paraId="1F62D9FC"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jest zobowiązany do stosowania jedynie takich środków transportu, które nie wpłyną niekorzystnie na jakość wykonywanych robót i właściwości przewożonych materiałów.</w:t>
      </w:r>
    </w:p>
    <w:p w14:paraId="2E5151F2" w14:textId="5AE109AB"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Liczba środków transportu powinna zapewniać prowadzenie robót zgodnie z zasadami określonymi </w:t>
      </w:r>
      <w:r w:rsidR="00E45376">
        <w:rPr>
          <w:rFonts w:eastAsia="Times New Roman" w:cstheme="minorHAnsi"/>
          <w:sz w:val="20"/>
          <w:szCs w:val="20"/>
          <w:lang w:eastAsia="pl-PL"/>
        </w:rPr>
        <w:br/>
      </w:r>
      <w:r w:rsidRPr="004853EB">
        <w:rPr>
          <w:rFonts w:eastAsia="Times New Roman" w:cstheme="minorHAnsi"/>
          <w:sz w:val="20"/>
          <w:szCs w:val="20"/>
          <w:lang w:eastAsia="pl-PL"/>
        </w:rPr>
        <w:t>w dokumentacji projektowej, SST i wskazaniach Inżyniera/ Kierownika projektu, w terminie przewidzianym umową.</w:t>
      </w:r>
    </w:p>
    <w:p w14:paraId="00C180A4"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14:paraId="1A70D13F" w14:textId="77777777" w:rsidR="00E95D02" w:rsidRPr="004853EB" w:rsidRDefault="00E95D02" w:rsidP="00E95D02">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będzie usuwać na bieżąco, na własny koszt, wszelkie zanieczyszczenia, uszkodzenia spowodowane jego pojazdami na drogach publicznych oraz dojazdach do terenu budowy.</w:t>
      </w:r>
    </w:p>
    <w:p w14:paraId="7518242B" w14:textId="77777777" w:rsidR="00E95D02" w:rsidRPr="004853EB" w:rsidRDefault="00E95D02" w:rsidP="00E95D02">
      <w:pPr>
        <w:keepNext/>
        <w:keepLines/>
        <w:suppressAutoHyphens/>
        <w:overflowPunct w:val="0"/>
        <w:autoSpaceDE w:val="0"/>
        <w:autoSpaceDN w:val="0"/>
        <w:adjustRightInd w:val="0"/>
        <w:spacing w:before="120" w:after="240" w:line="240" w:lineRule="auto"/>
        <w:jc w:val="both"/>
        <w:textAlignment w:val="baseline"/>
        <w:outlineLvl w:val="0"/>
        <w:rPr>
          <w:rFonts w:eastAsia="Times New Roman" w:cstheme="minorHAnsi"/>
          <w:b/>
          <w:caps/>
          <w:kern w:val="28"/>
          <w:sz w:val="20"/>
          <w:szCs w:val="20"/>
          <w:lang w:eastAsia="pl-PL"/>
        </w:rPr>
      </w:pPr>
      <w:bookmarkStart w:id="102" w:name="_Toc416830702"/>
      <w:bookmarkStart w:id="103" w:name="_Toc6881283"/>
      <w:bookmarkStart w:id="104" w:name="_Toc6882156"/>
      <w:bookmarkStart w:id="105" w:name="_Toc194476472"/>
      <w:bookmarkStart w:id="106" w:name="_Toc227759814"/>
      <w:bookmarkStart w:id="107" w:name="_Toc227824961"/>
      <w:r w:rsidRPr="004853EB">
        <w:rPr>
          <w:rFonts w:eastAsia="Times New Roman" w:cstheme="minorHAnsi"/>
          <w:b/>
          <w:caps/>
          <w:kern w:val="28"/>
          <w:sz w:val="20"/>
          <w:szCs w:val="20"/>
          <w:lang w:eastAsia="pl-PL"/>
        </w:rPr>
        <w:t>5. wykonanie robót</w:t>
      </w:r>
      <w:bookmarkEnd w:id="102"/>
      <w:bookmarkEnd w:id="103"/>
      <w:bookmarkEnd w:id="104"/>
      <w:bookmarkEnd w:id="105"/>
      <w:bookmarkEnd w:id="106"/>
      <w:bookmarkEnd w:id="107"/>
    </w:p>
    <w:p w14:paraId="3A307980"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14:paraId="70B1E6B5"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jest odpowiedzialny za stosowane metody wykonywania robót.</w:t>
      </w:r>
    </w:p>
    <w:p w14:paraId="73ECAB55"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jest odpowiedzialny za dokładne wytyczenie w planie i wyznaczenie wysokości wszystkich elementów robót zgodnie z wymiarami i rzędnymi określonymi w dokumentacji projektowej lub przekazanymi na piśmie przez Inżyniera/Kierownika projektu.</w:t>
      </w:r>
    </w:p>
    <w:p w14:paraId="5975C63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14:paraId="16418924"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Sprawdzenie wytyczenia robót lub wyznaczenia wysokości przez Inżyniera/ Kierownika projektu nie zwalnia Wykonawcy od odpowiedzialności za ich dokładność.</w:t>
      </w:r>
    </w:p>
    <w:p w14:paraId="6B36F228" w14:textId="063CC08A"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Decyzje Inżyniera/Kierownika projektu dotyczące akceptacji lub odrzucenia materiałów i elementów robót będą oparte na wymaganiach określonych w dokumentach umowy, dokumentacji projektowej i w SST, </w:t>
      </w:r>
      <w:r w:rsidR="00E45376">
        <w:rPr>
          <w:rFonts w:eastAsia="Times New Roman" w:cstheme="minorHAnsi"/>
          <w:sz w:val="20"/>
          <w:szCs w:val="20"/>
          <w:lang w:eastAsia="pl-PL"/>
        </w:rPr>
        <w:br/>
      </w:r>
      <w:r w:rsidRPr="004853EB">
        <w:rPr>
          <w:rFonts w:eastAsia="Times New Roman" w:cstheme="minorHAnsi"/>
          <w:sz w:val="20"/>
          <w:szCs w:val="20"/>
          <w:lang w:eastAsia="pl-PL"/>
        </w:rPr>
        <w:t xml:space="preserve">a także w normach i wytycznych. Przy podejmowaniu decyzji Inżynier/Kierownik projektu uwzględni wyniki badań </w:t>
      </w:r>
      <w:r w:rsidRPr="004853EB">
        <w:rPr>
          <w:rFonts w:eastAsia="Times New Roman" w:cstheme="minorHAnsi"/>
          <w:sz w:val="20"/>
          <w:szCs w:val="20"/>
          <w:lang w:eastAsia="pl-PL"/>
        </w:rPr>
        <w:lastRenderedPageBreak/>
        <w:t>materiałów i robót, rozrzuty normalnie występujące przy produkcji i przy badaniach materiałów, doświadczenia z przeszłości, wyniki badań naukowych oraz inne czynniki wpływające na rozważaną kwestię.</w:t>
      </w:r>
    </w:p>
    <w:p w14:paraId="35F4DEB2" w14:textId="77777777" w:rsidR="00E95D02" w:rsidRPr="004853EB" w:rsidRDefault="00E95D02" w:rsidP="00E95D02">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Polecenia Inżyniera/Kierownika projektu powinny być wykonywane przez Wykonawcę w czasie określonym przez Inżyniera/Kierownika projektu, pod groźbą zatrzymania robót. Skutki finansowe z tego tytułu poniesie Wykonawca.</w:t>
      </w:r>
    </w:p>
    <w:p w14:paraId="0E101760" w14:textId="77777777" w:rsidR="00E95D02" w:rsidRPr="004853EB" w:rsidRDefault="00E95D02" w:rsidP="00E95D02">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108" w:name="_Toc416830703"/>
      <w:bookmarkStart w:id="109" w:name="_Toc6881284"/>
      <w:bookmarkStart w:id="110" w:name="_Toc6882157"/>
      <w:bookmarkStart w:id="111" w:name="_Toc194476473"/>
      <w:bookmarkStart w:id="112" w:name="_Toc227759815"/>
      <w:bookmarkStart w:id="113" w:name="_Toc227824962"/>
      <w:r w:rsidRPr="004853EB">
        <w:rPr>
          <w:rFonts w:eastAsia="Times New Roman" w:cstheme="minorHAnsi"/>
          <w:b/>
          <w:caps/>
          <w:kern w:val="28"/>
          <w:sz w:val="20"/>
          <w:szCs w:val="20"/>
          <w:lang w:eastAsia="pl-PL"/>
        </w:rPr>
        <w:t>6. kontrola jakości robót</w:t>
      </w:r>
      <w:bookmarkEnd w:id="108"/>
      <w:bookmarkEnd w:id="109"/>
      <w:bookmarkEnd w:id="110"/>
      <w:bookmarkEnd w:id="111"/>
      <w:bookmarkEnd w:id="112"/>
      <w:bookmarkEnd w:id="113"/>
    </w:p>
    <w:p w14:paraId="1A5D8702"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14" w:name="_Toc194476474"/>
      <w:bookmarkStart w:id="115" w:name="_Toc227759816"/>
      <w:bookmarkStart w:id="116" w:name="_Toc227824963"/>
      <w:r w:rsidRPr="004853EB">
        <w:rPr>
          <w:rFonts w:eastAsia="Times New Roman" w:cstheme="minorHAnsi"/>
          <w:b/>
          <w:sz w:val="20"/>
          <w:szCs w:val="20"/>
          <w:lang w:eastAsia="pl-PL"/>
        </w:rPr>
        <w:t>6.1. Program zapewnienia jakości</w:t>
      </w:r>
      <w:bookmarkEnd w:id="114"/>
      <w:bookmarkEnd w:id="115"/>
      <w:bookmarkEnd w:id="116"/>
      <w:r w:rsidRPr="004853EB">
        <w:rPr>
          <w:rFonts w:eastAsia="Times New Roman" w:cstheme="minorHAnsi"/>
          <w:b/>
          <w:sz w:val="20"/>
          <w:szCs w:val="20"/>
          <w:lang w:eastAsia="pl-PL"/>
        </w:rPr>
        <w:t xml:space="preserve"> </w:t>
      </w:r>
    </w:p>
    <w:p w14:paraId="111115FF"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14:paraId="578588F0"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Program zapewnienia jakości powinien zawierać:</w:t>
      </w:r>
    </w:p>
    <w:p w14:paraId="38E34CF5"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 część ogólną opisującą:</w:t>
      </w:r>
    </w:p>
    <w:p w14:paraId="030C30D1" w14:textId="77777777" w:rsidR="00E95D02" w:rsidRPr="004853EB" w:rsidRDefault="00E95D02" w:rsidP="00E95D02">
      <w:pPr>
        <w:numPr>
          <w:ilvl w:val="0"/>
          <w:numId w:val="9"/>
        </w:numPr>
        <w:overflowPunct w:val="0"/>
        <w:autoSpaceDE w:val="0"/>
        <w:autoSpaceDN w:val="0"/>
        <w:adjustRightInd w:val="0"/>
        <w:spacing w:after="0" w:line="240" w:lineRule="auto"/>
        <w:ind w:left="9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organizację wykonania robót, w tym terminy i sposób prowadzenia robót,</w:t>
      </w:r>
    </w:p>
    <w:p w14:paraId="05B9854A" w14:textId="77777777" w:rsidR="00E95D02" w:rsidRPr="004853EB" w:rsidRDefault="00E95D02" w:rsidP="00E95D02">
      <w:pPr>
        <w:numPr>
          <w:ilvl w:val="0"/>
          <w:numId w:val="9"/>
        </w:numPr>
        <w:overflowPunct w:val="0"/>
        <w:autoSpaceDE w:val="0"/>
        <w:autoSpaceDN w:val="0"/>
        <w:adjustRightInd w:val="0"/>
        <w:spacing w:after="0" w:line="240" w:lineRule="auto"/>
        <w:ind w:left="9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organizację ruchu na budowie wraz z oznakowaniem robót,</w:t>
      </w:r>
    </w:p>
    <w:p w14:paraId="393B26AD" w14:textId="77777777" w:rsidR="00E95D02" w:rsidRPr="004853EB" w:rsidRDefault="00E95D02" w:rsidP="00E95D02">
      <w:pPr>
        <w:numPr>
          <w:ilvl w:val="0"/>
          <w:numId w:val="9"/>
        </w:numPr>
        <w:overflowPunct w:val="0"/>
        <w:autoSpaceDE w:val="0"/>
        <w:autoSpaceDN w:val="0"/>
        <w:adjustRightInd w:val="0"/>
        <w:spacing w:after="0" w:line="240" w:lineRule="auto"/>
        <w:ind w:left="9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sposób zapewnienia bhp.,</w:t>
      </w:r>
    </w:p>
    <w:p w14:paraId="2D478D90" w14:textId="77777777" w:rsidR="00E95D02" w:rsidRPr="004853EB" w:rsidRDefault="00E95D02" w:rsidP="00E95D02">
      <w:pPr>
        <w:numPr>
          <w:ilvl w:val="0"/>
          <w:numId w:val="9"/>
        </w:numPr>
        <w:overflowPunct w:val="0"/>
        <w:autoSpaceDE w:val="0"/>
        <w:autoSpaceDN w:val="0"/>
        <w:adjustRightInd w:val="0"/>
        <w:spacing w:after="0" w:line="240" w:lineRule="auto"/>
        <w:ind w:left="9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wykaz zespołów roboczych, ich kwalifikacje i przygotowanie praktyczne,</w:t>
      </w:r>
    </w:p>
    <w:p w14:paraId="2D0E85E3" w14:textId="77777777" w:rsidR="00E95D02" w:rsidRPr="004853EB" w:rsidRDefault="00E95D02" w:rsidP="00E95D02">
      <w:pPr>
        <w:numPr>
          <w:ilvl w:val="0"/>
          <w:numId w:val="9"/>
        </w:numPr>
        <w:overflowPunct w:val="0"/>
        <w:autoSpaceDE w:val="0"/>
        <w:autoSpaceDN w:val="0"/>
        <w:adjustRightInd w:val="0"/>
        <w:spacing w:after="0" w:line="240" w:lineRule="auto"/>
        <w:ind w:left="9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wykaz osób odpowiedzialnych za jakość i terminowość wykonania poszczególnych elementów robót,</w:t>
      </w:r>
    </w:p>
    <w:p w14:paraId="21330E43" w14:textId="77777777" w:rsidR="00E95D02" w:rsidRPr="004853EB" w:rsidRDefault="00E95D02" w:rsidP="00E95D02">
      <w:pPr>
        <w:numPr>
          <w:ilvl w:val="0"/>
          <w:numId w:val="9"/>
        </w:numPr>
        <w:overflowPunct w:val="0"/>
        <w:autoSpaceDE w:val="0"/>
        <w:autoSpaceDN w:val="0"/>
        <w:adjustRightInd w:val="0"/>
        <w:spacing w:after="0" w:line="240" w:lineRule="auto"/>
        <w:ind w:left="9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system (sposób i procedurę) proponowanej kontroli i sterowania jakością wykonywanych robót,</w:t>
      </w:r>
    </w:p>
    <w:p w14:paraId="3EB6EE0A" w14:textId="77777777" w:rsidR="00E95D02" w:rsidRPr="004853EB" w:rsidRDefault="00E95D02" w:rsidP="00E95D02">
      <w:pPr>
        <w:numPr>
          <w:ilvl w:val="0"/>
          <w:numId w:val="9"/>
        </w:numPr>
        <w:overflowPunct w:val="0"/>
        <w:autoSpaceDE w:val="0"/>
        <w:autoSpaceDN w:val="0"/>
        <w:adjustRightInd w:val="0"/>
        <w:spacing w:after="0" w:line="240" w:lineRule="auto"/>
        <w:ind w:left="9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wyposażenie w sprzęt i urządzenia do pomiarów i kontroli (opis laboratorium własnego lub laboratorium, któremu Wykonawca zamierza zlecić prowadzenie badań),</w:t>
      </w:r>
    </w:p>
    <w:p w14:paraId="0AD6DD56" w14:textId="77777777" w:rsidR="00E95D02" w:rsidRPr="004853EB" w:rsidRDefault="00E95D02" w:rsidP="00E95D02">
      <w:pPr>
        <w:numPr>
          <w:ilvl w:val="0"/>
          <w:numId w:val="9"/>
        </w:numPr>
        <w:overflowPunct w:val="0"/>
        <w:autoSpaceDE w:val="0"/>
        <w:autoSpaceDN w:val="0"/>
        <w:adjustRightInd w:val="0"/>
        <w:spacing w:after="0" w:line="240" w:lineRule="auto"/>
        <w:ind w:left="9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14:paraId="6FF5EEB3"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 część szczegółową opisującą dla każdego asortymentu robót:</w:t>
      </w:r>
    </w:p>
    <w:p w14:paraId="48D34DA6" w14:textId="77777777" w:rsidR="00E95D02" w:rsidRPr="004853EB" w:rsidRDefault="00E95D02" w:rsidP="00E95D02">
      <w:pPr>
        <w:numPr>
          <w:ilvl w:val="0"/>
          <w:numId w:val="9"/>
        </w:numPr>
        <w:overflowPunct w:val="0"/>
        <w:autoSpaceDE w:val="0"/>
        <w:autoSpaceDN w:val="0"/>
        <w:adjustRightInd w:val="0"/>
        <w:spacing w:after="0" w:line="240" w:lineRule="auto"/>
        <w:ind w:left="9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wykaz maszyn i urządzeń stosowanych na budowie z ich parametrami technicznymi oraz wyposażeniem w mechanizmy do sterowania i urządzenia pomiarowo-kontrolne,</w:t>
      </w:r>
    </w:p>
    <w:p w14:paraId="6D56C69F" w14:textId="77777777" w:rsidR="00E95D02" w:rsidRPr="004853EB" w:rsidRDefault="00E95D02" w:rsidP="00E95D02">
      <w:pPr>
        <w:numPr>
          <w:ilvl w:val="0"/>
          <w:numId w:val="9"/>
        </w:numPr>
        <w:overflowPunct w:val="0"/>
        <w:autoSpaceDE w:val="0"/>
        <w:autoSpaceDN w:val="0"/>
        <w:adjustRightInd w:val="0"/>
        <w:spacing w:after="0" w:line="240" w:lineRule="auto"/>
        <w:ind w:left="9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rodzaje i ilość środków transportu oraz urządzeń do magazynowania i załadunku materiałów, spoiw, lepiszczy, kruszyw itp.,</w:t>
      </w:r>
    </w:p>
    <w:p w14:paraId="350EC27D" w14:textId="77777777" w:rsidR="00E95D02" w:rsidRPr="004853EB" w:rsidRDefault="00E95D02" w:rsidP="00E95D02">
      <w:pPr>
        <w:numPr>
          <w:ilvl w:val="0"/>
          <w:numId w:val="9"/>
        </w:numPr>
        <w:overflowPunct w:val="0"/>
        <w:autoSpaceDE w:val="0"/>
        <w:autoSpaceDN w:val="0"/>
        <w:adjustRightInd w:val="0"/>
        <w:spacing w:after="0" w:line="240" w:lineRule="auto"/>
        <w:ind w:left="9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sposób zabezpieczenia i ochrony ładunków przed utratą ich właściwości w czasie transportu,</w:t>
      </w:r>
    </w:p>
    <w:p w14:paraId="124811A6" w14:textId="67D2C9B9" w:rsidR="00E95D02" w:rsidRPr="004853EB" w:rsidRDefault="00E95D02" w:rsidP="00E95D02">
      <w:pPr>
        <w:numPr>
          <w:ilvl w:val="0"/>
          <w:numId w:val="9"/>
        </w:numPr>
        <w:overflowPunct w:val="0"/>
        <w:autoSpaceDE w:val="0"/>
        <w:autoSpaceDN w:val="0"/>
        <w:adjustRightInd w:val="0"/>
        <w:spacing w:after="0" w:line="240" w:lineRule="auto"/>
        <w:ind w:left="9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sposób i procedurę pomiarów i badań (rodzaj i częstotliwość, pobieranie próbek, legalizacja </w:t>
      </w:r>
      <w:r w:rsidR="00E45376">
        <w:rPr>
          <w:rFonts w:eastAsia="Times New Roman" w:cstheme="minorHAnsi"/>
          <w:sz w:val="20"/>
          <w:szCs w:val="20"/>
          <w:lang w:eastAsia="pl-PL"/>
        </w:rPr>
        <w:br/>
      </w:r>
      <w:r w:rsidRPr="004853EB">
        <w:rPr>
          <w:rFonts w:eastAsia="Times New Roman" w:cstheme="minorHAnsi"/>
          <w:sz w:val="20"/>
          <w:szCs w:val="20"/>
          <w:lang w:eastAsia="pl-PL"/>
        </w:rPr>
        <w:t xml:space="preserve">i sprawdzanie urządzeń, itp.) prowadzonych podczas dostaw materiałów, wytwarzania mieszanek </w:t>
      </w:r>
      <w:r w:rsidR="00E45376">
        <w:rPr>
          <w:rFonts w:eastAsia="Times New Roman" w:cstheme="minorHAnsi"/>
          <w:sz w:val="20"/>
          <w:szCs w:val="20"/>
          <w:lang w:eastAsia="pl-PL"/>
        </w:rPr>
        <w:br/>
      </w:r>
      <w:r w:rsidRPr="004853EB">
        <w:rPr>
          <w:rFonts w:eastAsia="Times New Roman" w:cstheme="minorHAnsi"/>
          <w:sz w:val="20"/>
          <w:szCs w:val="20"/>
          <w:lang w:eastAsia="pl-PL"/>
        </w:rPr>
        <w:t>i wykonywania poszczególnych elementów robót,</w:t>
      </w:r>
    </w:p>
    <w:p w14:paraId="71D9D7C8" w14:textId="77777777" w:rsidR="00E95D02" w:rsidRPr="004853EB" w:rsidRDefault="00E95D02" w:rsidP="00E95D02">
      <w:pPr>
        <w:numPr>
          <w:ilvl w:val="0"/>
          <w:numId w:val="9"/>
        </w:numPr>
        <w:overflowPunct w:val="0"/>
        <w:autoSpaceDE w:val="0"/>
        <w:autoSpaceDN w:val="0"/>
        <w:adjustRightInd w:val="0"/>
        <w:spacing w:after="0" w:line="240" w:lineRule="auto"/>
        <w:ind w:left="9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sposób postępowania z materiałami i robotami nie odpowiadającymi wymaganiom.</w:t>
      </w:r>
    </w:p>
    <w:p w14:paraId="4D3802A0"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17" w:name="_Toc194476475"/>
      <w:bookmarkStart w:id="118" w:name="_Toc227759817"/>
      <w:bookmarkStart w:id="119" w:name="_Toc227824964"/>
      <w:r w:rsidRPr="004853EB">
        <w:rPr>
          <w:rFonts w:eastAsia="Times New Roman" w:cstheme="minorHAnsi"/>
          <w:b/>
          <w:sz w:val="20"/>
          <w:szCs w:val="20"/>
          <w:lang w:eastAsia="pl-PL"/>
        </w:rPr>
        <w:t>6.2. Zasady kontroli jakości robót</w:t>
      </w:r>
      <w:bookmarkEnd w:id="117"/>
      <w:bookmarkEnd w:id="118"/>
      <w:bookmarkEnd w:id="119"/>
    </w:p>
    <w:p w14:paraId="78C98E69"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Celem kontroli robót będzie takie sterowanie ich przygotowaniem i wykonaniem, aby osiągnąć założoną jakość robót.</w:t>
      </w:r>
    </w:p>
    <w:p w14:paraId="67694DA0"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4DD3DA27"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 zatwierdzeniem systemu kontroli Inżynier/Kierownik projektu może zażądać od Wykonawcy przeprowadzenia badań w celu zademonstrowania, że poziom ich wykonywania jest zadowalający.</w:t>
      </w:r>
    </w:p>
    <w:p w14:paraId="5364DAA4"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będzie przeprowadzać pomiary i badania materiałów oraz robót z częstotliwością zapewniającą stwierdzenie, że roboty wykonano zgodnie z wymaganiami zawartymi w dokumentacji projektowej i SST</w:t>
      </w:r>
    </w:p>
    <w:p w14:paraId="5F24A290" w14:textId="1C91BAAA"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Minimalne wymagania co do zakresu badań i ich częstotliwość są określone w SST, normach </w:t>
      </w:r>
      <w:r w:rsidR="00E45376">
        <w:rPr>
          <w:rFonts w:eastAsia="Times New Roman" w:cstheme="minorHAnsi"/>
          <w:sz w:val="20"/>
          <w:szCs w:val="20"/>
          <w:lang w:eastAsia="pl-PL"/>
        </w:rPr>
        <w:br/>
      </w:r>
      <w:r w:rsidRPr="004853EB">
        <w:rPr>
          <w:rFonts w:eastAsia="Times New Roman" w:cstheme="minorHAnsi"/>
          <w:sz w:val="20"/>
          <w:szCs w:val="20"/>
          <w:lang w:eastAsia="pl-PL"/>
        </w:rPr>
        <w:t>i wytycznych. W przypadku, gdy nie zostały one tam określone, Inżynier/ Kierownik projektu ustali jaki zakres kontroli jest konieczny, aby zapewnić wykonanie robót zgodnie z umową.</w:t>
      </w:r>
    </w:p>
    <w:p w14:paraId="1B7D581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dostarczy Inżynierowi/Kierownikowi projektu świadectwa, że wszystkie stosowane urządzenia i sprzęt badawczy posiadają ważną legalizację, zostały prawidłowo wykalibrowane i odpowiadają wymaganiom norm określających procedury badań.</w:t>
      </w:r>
    </w:p>
    <w:p w14:paraId="32AA164B"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Inżynier/Kierownik projektu będzie mieć nieograniczony dostęp do pomieszczeń laboratoryjnych, w celu ich inspekcji.</w:t>
      </w:r>
    </w:p>
    <w:p w14:paraId="42261935"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14:paraId="4AA1D78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Wszystkie koszty związane z organizowaniem i prowadzeniem badań materiałów ponosi Wykonawca.</w:t>
      </w:r>
    </w:p>
    <w:p w14:paraId="3DD71922"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20" w:name="_Toc194476476"/>
      <w:bookmarkStart w:id="121" w:name="_Toc227759818"/>
      <w:bookmarkStart w:id="122" w:name="_Toc227824965"/>
      <w:r w:rsidRPr="004853EB">
        <w:rPr>
          <w:rFonts w:eastAsia="Times New Roman" w:cstheme="minorHAnsi"/>
          <w:b/>
          <w:sz w:val="20"/>
          <w:szCs w:val="20"/>
          <w:lang w:eastAsia="pl-PL"/>
        </w:rPr>
        <w:t>6.3. Pobieranie próbek</w:t>
      </w:r>
      <w:bookmarkEnd w:id="120"/>
      <w:bookmarkEnd w:id="121"/>
      <w:bookmarkEnd w:id="122"/>
    </w:p>
    <w:p w14:paraId="7FEC102E"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Próbki będą pobierane losowo. Zaleca się stosowanie statystycznych metod pobierania próbek, opartych na zasadzie, że wszystkie jednostkowe elementy produkcji mogą być z jednakowym prawdopodobieństwem wytypowane do badań.</w:t>
      </w:r>
    </w:p>
    <w:p w14:paraId="1E35A4F5"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Inżynier/Kierownik projektu będzie mieć zapewnioną możliwość udziału w pobieraniu próbek.</w:t>
      </w:r>
    </w:p>
    <w:p w14:paraId="0B060261"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14:paraId="0095FFA2"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r>
      <w:r w:rsidRPr="004853EB">
        <w:rPr>
          <w:rFonts w:eastAsia="Times New Roman" w:cstheme="minorHAnsi"/>
          <w:b/>
          <w:sz w:val="20"/>
          <w:szCs w:val="20"/>
          <w:lang w:eastAsia="pl-PL"/>
        </w:rPr>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r w:rsidRPr="004853EB">
        <w:rPr>
          <w:rFonts w:eastAsia="Times New Roman" w:cstheme="minorHAnsi"/>
          <w:sz w:val="20"/>
          <w:szCs w:val="20"/>
          <w:lang w:eastAsia="pl-PL"/>
        </w:rPr>
        <w:t>.</w:t>
      </w:r>
    </w:p>
    <w:p w14:paraId="157CACC4"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23" w:name="_Toc194476477"/>
      <w:bookmarkStart w:id="124" w:name="_Toc227759819"/>
      <w:bookmarkStart w:id="125" w:name="_Toc227824966"/>
      <w:r w:rsidRPr="004853EB">
        <w:rPr>
          <w:rFonts w:eastAsia="Times New Roman" w:cstheme="minorHAnsi"/>
          <w:b/>
          <w:sz w:val="20"/>
          <w:szCs w:val="20"/>
          <w:lang w:eastAsia="pl-PL"/>
        </w:rPr>
        <w:t>6.4. Badania i pomiary</w:t>
      </w:r>
      <w:bookmarkEnd w:id="123"/>
      <w:bookmarkEnd w:id="124"/>
      <w:bookmarkEnd w:id="125"/>
    </w:p>
    <w:p w14:paraId="6AFC968C" w14:textId="716CE3C8"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Wszystkie badania i pomiary będą przeprowadzone zgodnie z wymaganiami norm. W przypadku, gdy normy nie obejmują jakiegokolwiek badania wymaganego w SST, stosować można wytyczne </w:t>
      </w:r>
      <w:r w:rsidR="00E45376" w:rsidRPr="004853EB">
        <w:rPr>
          <w:rFonts w:eastAsia="Times New Roman" w:cstheme="minorHAnsi"/>
          <w:sz w:val="20"/>
          <w:szCs w:val="20"/>
          <w:lang w:eastAsia="pl-PL"/>
        </w:rPr>
        <w:t>krajowe</w:t>
      </w:r>
      <w:r w:rsidRPr="004853EB">
        <w:rPr>
          <w:rFonts w:eastAsia="Times New Roman" w:cstheme="minorHAnsi"/>
          <w:sz w:val="20"/>
          <w:szCs w:val="20"/>
          <w:lang w:eastAsia="pl-PL"/>
        </w:rPr>
        <w:t xml:space="preserve"> albo inne procedury, zaakceptowane przez Inżyniera/ Kierownika projektu.</w:t>
      </w:r>
    </w:p>
    <w:p w14:paraId="772858C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14:paraId="61E3B445"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26" w:name="_Toc194476478"/>
      <w:bookmarkStart w:id="127" w:name="_Toc227759820"/>
      <w:bookmarkStart w:id="128" w:name="_Toc227824967"/>
      <w:r w:rsidRPr="004853EB">
        <w:rPr>
          <w:rFonts w:eastAsia="Times New Roman" w:cstheme="minorHAnsi"/>
          <w:b/>
          <w:sz w:val="20"/>
          <w:szCs w:val="20"/>
          <w:lang w:eastAsia="pl-PL"/>
        </w:rPr>
        <w:t>6.5. Raporty z badań</w:t>
      </w:r>
      <w:bookmarkEnd w:id="126"/>
      <w:bookmarkEnd w:id="127"/>
      <w:bookmarkEnd w:id="128"/>
    </w:p>
    <w:p w14:paraId="7787A862"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będzie przekazywać Inżynierowi/Kierownikowi projektu kopie raportów z wynikami badań jak najszybciej, nie później jednak niż w terminie określonym w programie zapewnienia jakości.</w:t>
      </w:r>
    </w:p>
    <w:p w14:paraId="2A53B854"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Wyniki badań (kopie) będą przekazywane Inżynierowi/Kierownikowi projektu na formularzach według dostarczonego przez niego wzoru lub innych, przez niego zaaprobowanych.</w:t>
      </w:r>
    </w:p>
    <w:p w14:paraId="68D34AC0"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29" w:name="_Toc194476479"/>
      <w:bookmarkStart w:id="130" w:name="_Toc227759821"/>
      <w:bookmarkStart w:id="131" w:name="_Toc227824968"/>
      <w:r w:rsidRPr="004853EB">
        <w:rPr>
          <w:rFonts w:eastAsia="Times New Roman" w:cstheme="minorHAnsi"/>
          <w:b/>
          <w:sz w:val="20"/>
          <w:szCs w:val="20"/>
          <w:lang w:eastAsia="pl-PL"/>
        </w:rPr>
        <w:t>6.6. Badania prowadzone przez Inżyniera/Kierownika projektu</w:t>
      </w:r>
      <w:bookmarkEnd w:id="129"/>
      <w:bookmarkEnd w:id="130"/>
      <w:bookmarkEnd w:id="131"/>
    </w:p>
    <w:p w14:paraId="0CE79898"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Inżynier/Kierownik projektu jest uprawniony do dokonywania kontroli, pobierania próbek i badania materiałów w miejscu ich wytwarzania/pozyskiwania, a Wykonawca i producent materiałów powinien udzielić mu niezbędnej pomocy.</w:t>
      </w:r>
    </w:p>
    <w:p w14:paraId="2BD5C7D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u w:val="single"/>
          <w:lang w:eastAsia="pl-PL"/>
        </w:rPr>
      </w:pPr>
      <w:r w:rsidRPr="004853EB">
        <w:rPr>
          <w:rFonts w:eastAsia="Times New Roman" w:cstheme="minorHAnsi"/>
          <w:sz w:val="20"/>
          <w:szCs w:val="20"/>
          <w:lang w:eastAsia="pl-PL"/>
        </w:rPr>
        <w:tab/>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14:paraId="435FC3DE"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4BE9E9CC"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32" w:name="_Toc194476480"/>
      <w:bookmarkStart w:id="133" w:name="_Toc227759822"/>
      <w:bookmarkStart w:id="134" w:name="_Toc227824969"/>
      <w:r w:rsidRPr="004853EB">
        <w:rPr>
          <w:rFonts w:eastAsia="Times New Roman" w:cstheme="minorHAnsi"/>
          <w:b/>
          <w:sz w:val="20"/>
          <w:szCs w:val="20"/>
          <w:lang w:eastAsia="pl-PL"/>
        </w:rPr>
        <w:t>6.7. Certyfikaty i deklaracje</w:t>
      </w:r>
      <w:bookmarkEnd w:id="132"/>
      <w:bookmarkEnd w:id="133"/>
      <w:bookmarkEnd w:id="134"/>
    </w:p>
    <w:p w14:paraId="67BB2241"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Inżynier/Kierownik projektu może dopuścić do użycia tylko te materiały, które posiadają:</w:t>
      </w:r>
    </w:p>
    <w:p w14:paraId="111E0E14" w14:textId="77777777" w:rsidR="00E95D02" w:rsidRPr="004853EB" w:rsidRDefault="00E95D02">
      <w:pPr>
        <w:numPr>
          <w:ilvl w:val="0"/>
          <w:numId w:val="16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certyfikat na znak bezpieczeństwa wykazujący, że zapewniono zgodność z kryteriami technicznymi określonymi na podstawie Polskich Norm, aprobat technicznych oraz właściwych przepisów i dokumentów technicznych,</w:t>
      </w:r>
    </w:p>
    <w:p w14:paraId="490ECF69" w14:textId="77777777" w:rsidR="00E95D02" w:rsidRPr="004853EB" w:rsidRDefault="00E95D02">
      <w:pPr>
        <w:numPr>
          <w:ilvl w:val="0"/>
          <w:numId w:val="16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deklarację zgodności lub certyfikat zgodności z:</w:t>
      </w:r>
    </w:p>
    <w:p w14:paraId="5837C72F" w14:textId="77777777" w:rsidR="00E95D02" w:rsidRPr="004853EB" w:rsidRDefault="00E95D02" w:rsidP="00E95D02">
      <w:pPr>
        <w:numPr>
          <w:ilvl w:val="0"/>
          <w:numId w:val="9"/>
        </w:numPr>
        <w:overflowPunct w:val="0"/>
        <w:autoSpaceDE w:val="0"/>
        <w:autoSpaceDN w:val="0"/>
        <w:adjustRightInd w:val="0"/>
        <w:spacing w:after="0" w:line="240" w:lineRule="auto"/>
        <w:ind w:left="9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Polską Normą lub</w:t>
      </w:r>
    </w:p>
    <w:p w14:paraId="6EE14052" w14:textId="77777777" w:rsidR="00E95D02" w:rsidRPr="004853EB" w:rsidRDefault="00E95D02" w:rsidP="00E95D02">
      <w:pPr>
        <w:numPr>
          <w:ilvl w:val="0"/>
          <w:numId w:val="9"/>
        </w:numPr>
        <w:overflowPunct w:val="0"/>
        <w:autoSpaceDE w:val="0"/>
        <w:autoSpaceDN w:val="0"/>
        <w:adjustRightInd w:val="0"/>
        <w:spacing w:after="0" w:line="240" w:lineRule="auto"/>
        <w:ind w:left="9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aprobatą techniczną, w przypadku wyrobów, dla których nie ustanowiono Polskiej Normy, jeżeli nie są objęte certyfikacją określoną w pkt 1</w:t>
      </w:r>
    </w:p>
    <w:p w14:paraId="526D795B" w14:textId="77777777" w:rsidR="00E95D02" w:rsidRPr="004853EB" w:rsidRDefault="00E95D02" w:rsidP="00E95D02">
      <w:pPr>
        <w:numPr>
          <w:ilvl w:val="12"/>
          <w:numId w:val="0"/>
        </w:numPr>
        <w:overflowPunct w:val="0"/>
        <w:autoSpaceDE w:val="0"/>
        <w:autoSpaceDN w:val="0"/>
        <w:adjustRightInd w:val="0"/>
        <w:spacing w:after="0" w:line="240" w:lineRule="auto"/>
        <w:ind w:left="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i które spełniają wymogi SST.</w:t>
      </w:r>
    </w:p>
    <w:p w14:paraId="4CD583BB"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przypadku materiałów, dla których ww. dokumenty są wymagane przez SST, każda partia dostarczona do robót będzie posiadać te dokumenty, określające w sposób jednoznaczny jej cechy.</w:t>
      </w:r>
    </w:p>
    <w:p w14:paraId="362B7773"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Produkty przemysłowe muszą posiadać ww. dokumenty wydane przez producenta, a w razie potrzeby poparte wynikami badań wykonanych przez niego. Kopie wyników tych badań będą dostarczone przez Wykonawcę Inżynierowi/Kierownikowi projektu.</w:t>
      </w:r>
    </w:p>
    <w:p w14:paraId="3C923A70"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Jakiekolwiek materiały, które nie spełniają tych wymagań będą odrzucone.</w:t>
      </w:r>
    </w:p>
    <w:p w14:paraId="50D8B55A"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35" w:name="_Toc194476481"/>
      <w:bookmarkStart w:id="136" w:name="_Toc227759823"/>
      <w:bookmarkStart w:id="137" w:name="_Toc227824970"/>
      <w:r w:rsidRPr="004853EB">
        <w:rPr>
          <w:rFonts w:eastAsia="Times New Roman" w:cstheme="minorHAnsi"/>
          <w:b/>
          <w:sz w:val="20"/>
          <w:szCs w:val="20"/>
          <w:lang w:eastAsia="pl-PL"/>
        </w:rPr>
        <w:t>6.8. Dokumenty budowy</w:t>
      </w:r>
      <w:bookmarkEnd w:id="135"/>
      <w:bookmarkEnd w:id="136"/>
      <w:bookmarkEnd w:id="137"/>
    </w:p>
    <w:p w14:paraId="24B20F4B" w14:textId="77777777" w:rsidR="00E95D02" w:rsidRPr="004853EB" w:rsidRDefault="00E95D02" w:rsidP="00E95D02">
      <w:pPr>
        <w:numPr>
          <w:ilvl w:val="12"/>
          <w:numId w:val="0"/>
        </w:num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(1) Dziennik budowy</w:t>
      </w:r>
    </w:p>
    <w:p w14:paraId="5E0182AA" w14:textId="796B5182"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Dziennik budowy jest wymaganym dokumentem prawnym obowiązującym Zamawiającego </w:t>
      </w:r>
      <w:r w:rsidR="00E45376">
        <w:rPr>
          <w:rFonts w:eastAsia="Times New Roman" w:cstheme="minorHAnsi"/>
          <w:sz w:val="20"/>
          <w:szCs w:val="20"/>
          <w:lang w:eastAsia="pl-PL"/>
        </w:rPr>
        <w:br/>
      </w:r>
      <w:r w:rsidRPr="004853EB">
        <w:rPr>
          <w:rFonts w:eastAsia="Times New Roman" w:cstheme="minorHAnsi"/>
          <w:sz w:val="20"/>
          <w:szCs w:val="20"/>
          <w:lang w:eastAsia="pl-PL"/>
        </w:rPr>
        <w:t>i Wykonawcę w okresie od przekazania Wykonawcy terenu budowy do końca okresu gwarancyjnego. Odpowiedzialność za prowadzenie dziennika budowy zgodnie z obowiązującymi przepisami [2] spoczywa na Wykonawcy.</w:t>
      </w:r>
    </w:p>
    <w:p w14:paraId="7AFEAC77"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Zapisy w dzienniku budowy będą dokonywane na bieżąco i będą dotyczyć przebiegu robót, stanu bezpieczeństwa ludzi i mienia oraz technicznej i gospodarczej strony budowy.</w:t>
      </w:r>
    </w:p>
    <w:p w14:paraId="172B42F9"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71B51A1A"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Załączone do dziennika budowy protokoły i inne dokumenty będą oznaczone kolejnym numerem załącznika i opatrzone datą i podpisem Wykonawcy i Inżyniera/ Kierownika projektu.</w:t>
      </w:r>
    </w:p>
    <w:p w14:paraId="4BB75ADF"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 dziennika budowy należy wpisywać w szczególności:</w:t>
      </w:r>
    </w:p>
    <w:p w14:paraId="5425E791"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datę przekazania Wykonawcy terenu budowy,</w:t>
      </w:r>
    </w:p>
    <w:p w14:paraId="4D317540"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datę przekazania przez Zamawiającego dokumentacji projektowej,</w:t>
      </w:r>
    </w:p>
    <w:p w14:paraId="7D6BEE57"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datę uzgodnienia przez Inżyniera/Kierownika projektu programu zapewnienia jakości i harmonogramów robót,</w:t>
      </w:r>
    </w:p>
    <w:p w14:paraId="30A3747F"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terminy rozpoczęcia i zakończenia poszczególnych elementów robót,</w:t>
      </w:r>
    </w:p>
    <w:p w14:paraId="09B8ED67"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przebieg robót, trudności i przeszkody w ich prowadzeniu, okresy i przyczyny przerw w robotach,</w:t>
      </w:r>
    </w:p>
    <w:p w14:paraId="167843EA"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uwagi i polecenia Inżyniera/Kierownika projektu,</w:t>
      </w:r>
    </w:p>
    <w:p w14:paraId="1ED22407"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daty zarządzenia wstrzymania robót, z podaniem powodu,</w:t>
      </w:r>
    </w:p>
    <w:p w14:paraId="7EBCE6F9"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zgłoszenia i daty odbiorów robót zanikających i ulegających zakryciu, częściowych i ostatecznych odbiorów robót,</w:t>
      </w:r>
    </w:p>
    <w:p w14:paraId="2FF5D4C5"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wyjaśnienia, uwagi i propozycje Wykonawcy,</w:t>
      </w:r>
    </w:p>
    <w:p w14:paraId="04F05C37"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stan pogody i temperaturę powietrza w okresie wykonywania robót podlegających ograniczeniom lub wymaganiom szczególnym w związku z warunkami klimatycznymi,</w:t>
      </w:r>
    </w:p>
    <w:p w14:paraId="140E6ADF"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zgodność rzeczywistych warunków geotechnicznych z ich opisem w dokumentacji projektowej,</w:t>
      </w:r>
    </w:p>
    <w:p w14:paraId="0826AC08"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dane dotyczące czynności geodezyjnych (pomiarowych) dokonywanych przed i w trakcie wykonywania robót,</w:t>
      </w:r>
    </w:p>
    <w:p w14:paraId="4EA2592A"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dane dotyczące sposobu wykonywania zabezpieczenia robót,</w:t>
      </w:r>
    </w:p>
    <w:p w14:paraId="45438B2E"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dane dotyczące jakości materiałów, pobierania próbek oraz wyniki przeprowadzonych badań z podaniem, kto je przeprowadzał,</w:t>
      </w:r>
    </w:p>
    <w:p w14:paraId="4B3F4544"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wyniki prób poszczególnych elementów budowli z podaniem, kto je przeprowadzał,</w:t>
      </w:r>
    </w:p>
    <w:p w14:paraId="55512E93"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inne istotne informacje o przebiegu robót.</w:t>
      </w:r>
    </w:p>
    <w:p w14:paraId="26749452"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Propozycje, uwagi i wyjaśnienia Wykonawcy, wpisane do dziennika budowy będą przedłożone Inżynierowi/Kierownikowi projektu do ustosunkowania się.</w:t>
      </w:r>
    </w:p>
    <w:p w14:paraId="616ADC3D" w14:textId="2522F11F"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Decyzje Inżyniera/Kierownika projektu wpisane do dziennika budowy Wykonawca podpisuje </w:t>
      </w:r>
      <w:r w:rsidR="00E45376">
        <w:rPr>
          <w:rFonts w:eastAsia="Times New Roman" w:cstheme="minorHAnsi"/>
          <w:sz w:val="20"/>
          <w:szCs w:val="20"/>
          <w:lang w:eastAsia="pl-PL"/>
        </w:rPr>
        <w:br/>
      </w:r>
      <w:r w:rsidRPr="004853EB">
        <w:rPr>
          <w:rFonts w:eastAsia="Times New Roman" w:cstheme="minorHAnsi"/>
          <w:sz w:val="20"/>
          <w:szCs w:val="20"/>
          <w:lang w:eastAsia="pl-PL"/>
        </w:rPr>
        <w:t>z zaznaczeniem ich przyjęcia lub zajęciem stanowiska.</w:t>
      </w:r>
    </w:p>
    <w:p w14:paraId="5B8FF0D1" w14:textId="77777777" w:rsidR="00E95D02" w:rsidRPr="004853EB" w:rsidRDefault="00E95D02" w:rsidP="00E95D02">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Wpis projektanta do dziennika budowy obliguje Inżyniera/Kierownika projektu do ustosunkowania się. Projektant nie jest jednak stroną umowy i nie ma uprawnień do wydawania poleceń Wykonawcy robót.</w:t>
      </w:r>
    </w:p>
    <w:p w14:paraId="3C1667E7" w14:textId="77777777" w:rsidR="00E95D02" w:rsidRPr="004853EB" w:rsidRDefault="00E95D02" w:rsidP="00E95D02">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(2) Książka obmiarów</w:t>
      </w:r>
    </w:p>
    <w:p w14:paraId="429CEAED" w14:textId="4BD31C6E" w:rsidR="00E95D02" w:rsidRPr="004853EB" w:rsidRDefault="00E95D02" w:rsidP="00E95D02">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Książka obmiarów stanowi dokument pozwalający na rozliczenie faktycznego postępu każdego </w:t>
      </w:r>
      <w:r w:rsidR="00E45376">
        <w:rPr>
          <w:rFonts w:eastAsia="Times New Roman" w:cstheme="minorHAnsi"/>
          <w:sz w:val="20"/>
          <w:szCs w:val="20"/>
          <w:lang w:eastAsia="pl-PL"/>
        </w:rPr>
        <w:br/>
      </w:r>
      <w:r w:rsidRPr="004853EB">
        <w:rPr>
          <w:rFonts w:eastAsia="Times New Roman" w:cstheme="minorHAnsi"/>
          <w:sz w:val="20"/>
          <w:szCs w:val="20"/>
          <w:lang w:eastAsia="pl-PL"/>
        </w:rPr>
        <w:t xml:space="preserve">z elementów robót. Obmiary wykonanych robót przeprowadza się w sposób ciągły w jednostkach przyjętych </w:t>
      </w:r>
      <w:r w:rsidR="00E45376">
        <w:rPr>
          <w:rFonts w:eastAsia="Times New Roman" w:cstheme="minorHAnsi"/>
          <w:sz w:val="20"/>
          <w:szCs w:val="20"/>
          <w:lang w:eastAsia="pl-PL"/>
        </w:rPr>
        <w:br/>
      </w:r>
      <w:r w:rsidRPr="004853EB">
        <w:rPr>
          <w:rFonts w:eastAsia="Times New Roman" w:cstheme="minorHAnsi"/>
          <w:sz w:val="20"/>
          <w:szCs w:val="20"/>
          <w:lang w:eastAsia="pl-PL"/>
        </w:rPr>
        <w:t>w kosztorysie i wpisuje do książki obmiarów.</w:t>
      </w:r>
    </w:p>
    <w:p w14:paraId="18ED500E" w14:textId="77777777" w:rsidR="00E95D02" w:rsidRPr="004853EB" w:rsidRDefault="00E95D02" w:rsidP="00E95D02">
      <w:pPr>
        <w:keepNext/>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(3) Dokumenty laboratoryjne</w:t>
      </w:r>
    </w:p>
    <w:p w14:paraId="6324E746" w14:textId="7CF67728" w:rsidR="00E95D02" w:rsidRPr="004853EB" w:rsidRDefault="00E95D02" w:rsidP="00E95D02">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Dzienniki laboratoryjne, deklaracje zgodności lub certyfikaty zgodności materiałów, orzeczenia o jakości materiałów, recepty robocze i kontrolne wyniki badań Wykonawcy będą gromadzone w formie uzgodnionej </w:t>
      </w:r>
      <w:r w:rsidR="00E45376">
        <w:rPr>
          <w:rFonts w:eastAsia="Times New Roman" w:cstheme="minorHAnsi"/>
          <w:sz w:val="20"/>
          <w:szCs w:val="20"/>
          <w:lang w:eastAsia="pl-PL"/>
        </w:rPr>
        <w:br/>
      </w:r>
      <w:r w:rsidRPr="004853EB">
        <w:rPr>
          <w:rFonts w:eastAsia="Times New Roman" w:cstheme="minorHAnsi"/>
          <w:sz w:val="20"/>
          <w:szCs w:val="20"/>
          <w:lang w:eastAsia="pl-PL"/>
        </w:rPr>
        <w:t>w programie zapewnienia jakości. Dokumenty te stanowią załączniki do odbioru robót. Winny być udostępnione na każde życzenie Inżyniera/Kierownika projektu.</w:t>
      </w:r>
    </w:p>
    <w:p w14:paraId="19C95F7E" w14:textId="77777777" w:rsidR="00E95D02" w:rsidRPr="004853EB" w:rsidRDefault="00E95D02" w:rsidP="00E95D02">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(4) Pozostałe dokumenty budowy</w:t>
      </w:r>
    </w:p>
    <w:p w14:paraId="5D61304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 dokumentów budowy zalicza się, oprócz wymienionych w punktach (1) - (3) następujące dokumenty:</w:t>
      </w:r>
    </w:p>
    <w:p w14:paraId="7486D768" w14:textId="77777777" w:rsidR="00E95D02" w:rsidRPr="004853EB" w:rsidRDefault="00E95D02">
      <w:pPr>
        <w:numPr>
          <w:ilvl w:val="0"/>
          <w:numId w:val="161"/>
        </w:numPr>
        <w:overflowPunct w:val="0"/>
        <w:autoSpaceDE w:val="0"/>
        <w:autoSpaceDN w:val="0"/>
        <w:adjustRightInd w:val="0"/>
        <w:spacing w:after="0" w:line="240" w:lineRule="auto"/>
        <w:ind w:left="288" w:hanging="2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pozwolenie na realizację zadania budowlanego,</w:t>
      </w:r>
    </w:p>
    <w:p w14:paraId="74029E06" w14:textId="77777777" w:rsidR="00E95D02" w:rsidRPr="004853EB" w:rsidRDefault="00E95D02">
      <w:pPr>
        <w:numPr>
          <w:ilvl w:val="0"/>
          <w:numId w:val="161"/>
        </w:numPr>
        <w:overflowPunct w:val="0"/>
        <w:autoSpaceDE w:val="0"/>
        <w:autoSpaceDN w:val="0"/>
        <w:adjustRightInd w:val="0"/>
        <w:spacing w:after="0" w:line="240" w:lineRule="auto"/>
        <w:ind w:left="288" w:hanging="2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protokoły przekazania terenu budowy,</w:t>
      </w:r>
    </w:p>
    <w:p w14:paraId="23754617" w14:textId="77777777" w:rsidR="00E95D02" w:rsidRPr="004853EB" w:rsidRDefault="00E95D02">
      <w:pPr>
        <w:numPr>
          <w:ilvl w:val="0"/>
          <w:numId w:val="161"/>
        </w:numPr>
        <w:overflowPunct w:val="0"/>
        <w:autoSpaceDE w:val="0"/>
        <w:autoSpaceDN w:val="0"/>
        <w:adjustRightInd w:val="0"/>
        <w:spacing w:after="0" w:line="240" w:lineRule="auto"/>
        <w:ind w:left="288" w:hanging="2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umowy cywilno-prawne z osobami trzecimi i inne umowy cywilno-prawne,</w:t>
      </w:r>
    </w:p>
    <w:p w14:paraId="650EA836" w14:textId="77777777" w:rsidR="00E95D02" w:rsidRPr="004853EB" w:rsidRDefault="00E95D02">
      <w:pPr>
        <w:numPr>
          <w:ilvl w:val="0"/>
          <w:numId w:val="161"/>
        </w:numPr>
        <w:overflowPunct w:val="0"/>
        <w:autoSpaceDE w:val="0"/>
        <w:autoSpaceDN w:val="0"/>
        <w:adjustRightInd w:val="0"/>
        <w:spacing w:after="0" w:line="240" w:lineRule="auto"/>
        <w:ind w:left="288" w:hanging="2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protokoły odbioru robót,</w:t>
      </w:r>
    </w:p>
    <w:p w14:paraId="7E5800DF" w14:textId="77777777" w:rsidR="00E95D02" w:rsidRPr="004853EB" w:rsidRDefault="00E95D02">
      <w:pPr>
        <w:numPr>
          <w:ilvl w:val="0"/>
          <w:numId w:val="161"/>
        </w:numPr>
        <w:overflowPunct w:val="0"/>
        <w:autoSpaceDE w:val="0"/>
        <w:autoSpaceDN w:val="0"/>
        <w:adjustRightInd w:val="0"/>
        <w:spacing w:after="0" w:line="240" w:lineRule="auto"/>
        <w:ind w:left="288" w:hanging="2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protokoły z narad i ustaleń,</w:t>
      </w:r>
    </w:p>
    <w:p w14:paraId="11266260" w14:textId="77777777" w:rsidR="00E95D02" w:rsidRPr="004853EB" w:rsidRDefault="00E95D02">
      <w:pPr>
        <w:numPr>
          <w:ilvl w:val="0"/>
          <w:numId w:val="161"/>
        </w:numPr>
        <w:overflowPunct w:val="0"/>
        <w:autoSpaceDE w:val="0"/>
        <w:autoSpaceDN w:val="0"/>
        <w:adjustRightInd w:val="0"/>
        <w:spacing w:after="0" w:line="240" w:lineRule="auto"/>
        <w:ind w:left="288" w:hanging="28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korespondencję na budowie.</w:t>
      </w:r>
    </w:p>
    <w:p w14:paraId="0898BDFE" w14:textId="77777777" w:rsidR="00E95D02" w:rsidRPr="004853EB" w:rsidRDefault="00E95D02" w:rsidP="00E95D02">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(5) Przechowywanie dokumentów budowy</w:t>
      </w:r>
    </w:p>
    <w:p w14:paraId="66BD66D4"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Dokumenty budowy będą przechowywane na terenie budowy w miejscu odpowiednio zabezpieczonym.</w:t>
      </w:r>
    </w:p>
    <w:p w14:paraId="0B1EBDA4" w14:textId="16463983"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Zaginięcie któregokolwiek z dokumentów budowy spowoduje jego natychmiastowe odtworzenie </w:t>
      </w:r>
      <w:r w:rsidR="00E45376">
        <w:rPr>
          <w:rFonts w:eastAsia="Times New Roman" w:cstheme="minorHAnsi"/>
          <w:sz w:val="20"/>
          <w:szCs w:val="20"/>
          <w:lang w:eastAsia="pl-PL"/>
        </w:rPr>
        <w:br/>
      </w:r>
      <w:r w:rsidRPr="004853EB">
        <w:rPr>
          <w:rFonts w:eastAsia="Times New Roman" w:cstheme="minorHAnsi"/>
          <w:sz w:val="20"/>
          <w:szCs w:val="20"/>
          <w:lang w:eastAsia="pl-PL"/>
        </w:rPr>
        <w:t>w formie przewidzianej prawem.</w:t>
      </w:r>
    </w:p>
    <w:p w14:paraId="355E024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Wszelkie dokumenty budowy będą zawsze dostępne dla Inżyniera/Kierownika projektu i przedstawiane do wglądu na życzenie Zamawiającego.</w:t>
      </w:r>
    </w:p>
    <w:p w14:paraId="72899B54"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38" w:name="_Toc416830704"/>
      <w:bookmarkStart w:id="139" w:name="_Toc6881285"/>
      <w:bookmarkStart w:id="140" w:name="_Toc6882158"/>
      <w:bookmarkStart w:id="141" w:name="_Toc194476482"/>
      <w:bookmarkStart w:id="142" w:name="_Toc227759824"/>
      <w:bookmarkStart w:id="143" w:name="_Toc227824971"/>
      <w:r w:rsidRPr="004853EB">
        <w:rPr>
          <w:rFonts w:eastAsia="Times New Roman" w:cstheme="minorHAnsi"/>
          <w:b/>
          <w:caps/>
          <w:kern w:val="28"/>
          <w:sz w:val="20"/>
          <w:szCs w:val="20"/>
          <w:lang w:eastAsia="pl-PL"/>
        </w:rPr>
        <w:t>7. obmiar robót</w:t>
      </w:r>
      <w:bookmarkEnd w:id="138"/>
      <w:bookmarkEnd w:id="139"/>
      <w:bookmarkEnd w:id="140"/>
      <w:bookmarkEnd w:id="141"/>
      <w:bookmarkEnd w:id="142"/>
      <w:bookmarkEnd w:id="143"/>
    </w:p>
    <w:p w14:paraId="2418E14D"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44" w:name="_Toc194476483"/>
      <w:bookmarkStart w:id="145" w:name="_Toc227759825"/>
      <w:bookmarkStart w:id="146" w:name="_Toc227824972"/>
      <w:r w:rsidRPr="004853EB">
        <w:rPr>
          <w:rFonts w:eastAsia="Times New Roman" w:cstheme="minorHAnsi"/>
          <w:b/>
          <w:sz w:val="20"/>
          <w:szCs w:val="20"/>
          <w:lang w:eastAsia="pl-PL"/>
        </w:rPr>
        <w:t>7.1. Ogólne zasady obmiaru robót</w:t>
      </w:r>
      <w:bookmarkEnd w:id="144"/>
      <w:bookmarkEnd w:id="145"/>
      <w:bookmarkEnd w:id="146"/>
    </w:p>
    <w:p w14:paraId="6987FD25"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Obmiar robót będzie określać faktyczny zakres wykonywanych robót zgodnie z dokumentacją projektową i SST, w jednostkach ustalonych w kosztorysie.</w:t>
      </w:r>
    </w:p>
    <w:p w14:paraId="21075ACC" w14:textId="1F19135C"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Obmiaru robót dokonuje Wykonawca po pisemnym powiadomieniu Inżyniera/ Kierownika projektu </w:t>
      </w:r>
      <w:r w:rsidR="00E45376">
        <w:rPr>
          <w:rFonts w:eastAsia="Times New Roman" w:cstheme="minorHAnsi"/>
          <w:sz w:val="20"/>
          <w:szCs w:val="20"/>
          <w:lang w:eastAsia="pl-PL"/>
        </w:rPr>
        <w:br/>
      </w:r>
      <w:r w:rsidRPr="004853EB">
        <w:rPr>
          <w:rFonts w:eastAsia="Times New Roman" w:cstheme="minorHAnsi"/>
          <w:sz w:val="20"/>
          <w:szCs w:val="20"/>
          <w:lang w:eastAsia="pl-PL"/>
        </w:rPr>
        <w:t>o zakresie obmierzanych robót i terminie obmiaru, co najmniej na 3 dni przed tym terminem.</w:t>
      </w:r>
    </w:p>
    <w:p w14:paraId="3232FC3B"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Wyniki obmiaru będą wpisane do książki obmiarów.</w:t>
      </w:r>
    </w:p>
    <w:p w14:paraId="69033F25"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14:paraId="3C9A54DE" w14:textId="20086FD0"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Obmiar gotowych robót będzie przeprowadzony z częstością wymaganą do celu miesięcznej płatności na rzecz Wykonawcy lub w innym czasie określonym w umowie lub oczekiwanym przez Wykonawcę </w:t>
      </w:r>
      <w:r w:rsidR="00E45376">
        <w:rPr>
          <w:rFonts w:eastAsia="Times New Roman" w:cstheme="minorHAnsi"/>
          <w:sz w:val="20"/>
          <w:szCs w:val="20"/>
          <w:lang w:eastAsia="pl-PL"/>
        </w:rPr>
        <w:br/>
      </w:r>
      <w:r w:rsidRPr="004853EB">
        <w:rPr>
          <w:rFonts w:eastAsia="Times New Roman" w:cstheme="minorHAnsi"/>
          <w:sz w:val="20"/>
          <w:szCs w:val="20"/>
          <w:lang w:eastAsia="pl-PL"/>
        </w:rPr>
        <w:t>i Inżyniera/Kierownika projektu.</w:t>
      </w:r>
    </w:p>
    <w:p w14:paraId="07B6AE1B"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47" w:name="_Toc194476484"/>
      <w:bookmarkStart w:id="148" w:name="_Toc227759826"/>
      <w:bookmarkStart w:id="149" w:name="_Toc227824973"/>
      <w:r w:rsidRPr="004853EB">
        <w:rPr>
          <w:rFonts w:eastAsia="Times New Roman" w:cstheme="minorHAnsi"/>
          <w:b/>
          <w:sz w:val="20"/>
          <w:szCs w:val="20"/>
          <w:lang w:eastAsia="pl-PL"/>
        </w:rPr>
        <w:t>7.2. Zasady określania ilości robót i materiałów</w:t>
      </w:r>
      <w:bookmarkEnd w:id="147"/>
      <w:bookmarkEnd w:id="148"/>
      <w:bookmarkEnd w:id="149"/>
    </w:p>
    <w:p w14:paraId="0641F30A"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Długości i odległości pomiędzy wyszczególnionymi punktami skrajnymi będą obmierzone poziomo wzdłuż linii osiowej.</w:t>
      </w:r>
    </w:p>
    <w:p w14:paraId="2B15871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Jeśli SST właściwe dla danych robót nie wymagają tego inaczej, objętości będą wyliczone w m</w:t>
      </w:r>
      <w:r w:rsidRPr="004853EB">
        <w:rPr>
          <w:rFonts w:eastAsia="Times New Roman" w:cstheme="minorHAnsi"/>
          <w:sz w:val="20"/>
          <w:szCs w:val="20"/>
          <w:vertAlign w:val="superscript"/>
          <w:lang w:eastAsia="pl-PL"/>
        </w:rPr>
        <w:t>3</w:t>
      </w:r>
      <w:r w:rsidRPr="004853EB">
        <w:rPr>
          <w:rFonts w:eastAsia="Times New Roman" w:cstheme="minorHAnsi"/>
          <w:sz w:val="20"/>
          <w:szCs w:val="20"/>
          <w:lang w:eastAsia="pl-PL"/>
        </w:rPr>
        <w:t xml:space="preserve"> jako długość pomnożona przez średni przekrój.</w:t>
      </w:r>
    </w:p>
    <w:p w14:paraId="73EB9F78" w14:textId="7EB64BA9"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Ilości, które mają być obmierzone wagowo, będą ważone w tonach lub kilogramach zgodnie </w:t>
      </w:r>
      <w:r w:rsidR="00E45376">
        <w:rPr>
          <w:rFonts w:eastAsia="Times New Roman" w:cstheme="minorHAnsi"/>
          <w:sz w:val="20"/>
          <w:szCs w:val="20"/>
          <w:lang w:eastAsia="pl-PL"/>
        </w:rPr>
        <w:br/>
      </w:r>
      <w:r w:rsidRPr="004853EB">
        <w:rPr>
          <w:rFonts w:eastAsia="Times New Roman" w:cstheme="minorHAnsi"/>
          <w:sz w:val="20"/>
          <w:szCs w:val="20"/>
          <w:lang w:eastAsia="pl-PL"/>
        </w:rPr>
        <w:t>z wymaganiami SST.</w:t>
      </w:r>
    </w:p>
    <w:p w14:paraId="3151A7F2"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50" w:name="_Toc194476485"/>
      <w:bookmarkStart w:id="151" w:name="_Toc227759827"/>
      <w:bookmarkStart w:id="152" w:name="_Toc227824974"/>
      <w:r w:rsidRPr="004853EB">
        <w:rPr>
          <w:rFonts w:eastAsia="Times New Roman" w:cstheme="minorHAnsi"/>
          <w:b/>
          <w:sz w:val="20"/>
          <w:szCs w:val="20"/>
          <w:lang w:eastAsia="pl-PL"/>
        </w:rPr>
        <w:t>7.3. Urządzenia i sprzęt pomiarowy</w:t>
      </w:r>
      <w:bookmarkEnd w:id="150"/>
      <w:bookmarkEnd w:id="151"/>
      <w:bookmarkEnd w:id="152"/>
    </w:p>
    <w:p w14:paraId="24A4B161"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Wszystkie urządzenia i sprzęt pomiarowy, stosowany w czasie obmiaru robót będą zaakceptowane przez Inżyniera/Kierownika projektu.</w:t>
      </w:r>
    </w:p>
    <w:p w14:paraId="5D358E22"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Urządzenia i sprzęt pomiarowy zostaną dostarczone przez Wykonawcę. Jeżeli urządzenia te lub sprzęt wymagają badań atestujących to Wykonawca będzie posiadać ważne świadectwa legalizacji.</w:t>
      </w:r>
    </w:p>
    <w:p w14:paraId="6A9A9B85"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Wszystkie urządzenia pomiarowe będą przez Wykonawcę utrzymywane w dobrym stanie, w całym okresie trwania robót.</w:t>
      </w:r>
    </w:p>
    <w:p w14:paraId="484D301B"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53" w:name="_Toc194476486"/>
      <w:bookmarkStart w:id="154" w:name="_Toc227759828"/>
      <w:bookmarkStart w:id="155" w:name="_Toc227824975"/>
      <w:r w:rsidRPr="004853EB">
        <w:rPr>
          <w:rFonts w:eastAsia="Times New Roman" w:cstheme="minorHAnsi"/>
          <w:b/>
          <w:sz w:val="20"/>
          <w:szCs w:val="20"/>
          <w:lang w:eastAsia="pl-PL"/>
        </w:rPr>
        <w:lastRenderedPageBreak/>
        <w:t>7.4. Wagi i zasady ważenia</w:t>
      </w:r>
      <w:bookmarkEnd w:id="153"/>
      <w:bookmarkEnd w:id="154"/>
      <w:bookmarkEnd w:id="155"/>
    </w:p>
    <w:p w14:paraId="543B602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dostarczy i zainstaluje urządzenia wagowe odpowiadające odnośnym wymaganiom SST Będzie utrzymywać to wyposażenie zapewniając w sposób ciągły zachowanie dokładności wg norm zatwierdzonych przez Inżyniera/Kierownika projektu.</w:t>
      </w:r>
    </w:p>
    <w:p w14:paraId="04E400E0"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56" w:name="_Toc194476487"/>
      <w:bookmarkStart w:id="157" w:name="_Toc227759829"/>
      <w:bookmarkStart w:id="158" w:name="_Toc227824976"/>
      <w:r w:rsidRPr="004853EB">
        <w:rPr>
          <w:rFonts w:eastAsia="Times New Roman" w:cstheme="minorHAnsi"/>
          <w:b/>
          <w:sz w:val="20"/>
          <w:szCs w:val="20"/>
          <w:lang w:eastAsia="pl-PL"/>
        </w:rPr>
        <w:t>7.5. Czas przeprowadzenia obmiaru</w:t>
      </w:r>
      <w:bookmarkEnd w:id="156"/>
      <w:bookmarkEnd w:id="157"/>
      <w:bookmarkEnd w:id="158"/>
    </w:p>
    <w:p w14:paraId="3A0242E7"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Obmiary będą przeprowadzone przed częściowym lub ostatecznym odbiorem odcinków robót, a także w przypadku występowania dłuższej przerwy w robotach.</w:t>
      </w:r>
    </w:p>
    <w:p w14:paraId="03CD743C"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Obmiar robót zanikających przeprowadza się w czasie ich wykonywania.</w:t>
      </w:r>
    </w:p>
    <w:p w14:paraId="7BF0CCE1"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Obmiar robót podlegających zakryciu przeprowadza się przed ich zakryciem.</w:t>
      </w:r>
    </w:p>
    <w:p w14:paraId="5FF0BE96" w14:textId="32818F14"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Roboty pomiarowe do obmiaru oraz nieodzowne obliczenia będą wykonane w sposób zrozumiały </w:t>
      </w:r>
      <w:r w:rsidR="00E45376">
        <w:rPr>
          <w:rFonts w:eastAsia="Times New Roman" w:cstheme="minorHAnsi"/>
          <w:sz w:val="20"/>
          <w:szCs w:val="20"/>
          <w:lang w:eastAsia="pl-PL"/>
        </w:rPr>
        <w:br/>
      </w:r>
      <w:r w:rsidRPr="004853EB">
        <w:rPr>
          <w:rFonts w:eastAsia="Times New Roman" w:cstheme="minorHAnsi"/>
          <w:sz w:val="20"/>
          <w:szCs w:val="20"/>
          <w:lang w:eastAsia="pl-PL"/>
        </w:rPr>
        <w:t>i jednoznaczny.</w:t>
      </w:r>
    </w:p>
    <w:p w14:paraId="31CC5B3B"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14:paraId="07D4BF01"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59" w:name="_Toc416830705"/>
      <w:bookmarkStart w:id="160" w:name="_Toc6881286"/>
      <w:bookmarkStart w:id="161" w:name="_Toc6882159"/>
      <w:bookmarkStart w:id="162" w:name="_Toc194476488"/>
      <w:bookmarkStart w:id="163" w:name="_Toc227759830"/>
      <w:bookmarkStart w:id="164" w:name="_Toc227824977"/>
      <w:r w:rsidRPr="004853EB">
        <w:rPr>
          <w:rFonts w:eastAsia="Times New Roman" w:cstheme="minorHAnsi"/>
          <w:b/>
          <w:caps/>
          <w:kern w:val="28"/>
          <w:sz w:val="20"/>
          <w:szCs w:val="20"/>
          <w:lang w:eastAsia="pl-PL"/>
        </w:rPr>
        <w:t>8. odbiór robót</w:t>
      </w:r>
      <w:bookmarkEnd w:id="159"/>
      <w:bookmarkEnd w:id="160"/>
      <w:bookmarkEnd w:id="161"/>
      <w:bookmarkEnd w:id="162"/>
      <w:bookmarkEnd w:id="163"/>
      <w:bookmarkEnd w:id="164"/>
    </w:p>
    <w:p w14:paraId="07B0314E"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65" w:name="_Toc194476489"/>
      <w:bookmarkStart w:id="166" w:name="_Toc227759831"/>
      <w:bookmarkStart w:id="167" w:name="_Toc227824978"/>
      <w:r w:rsidRPr="004853EB">
        <w:rPr>
          <w:rFonts w:eastAsia="Times New Roman" w:cstheme="minorHAnsi"/>
          <w:b/>
          <w:sz w:val="20"/>
          <w:szCs w:val="20"/>
          <w:lang w:eastAsia="pl-PL"/>
        </w:rPr>
        <w:t>8.1. Rodzaje odbiorów robót</w:t>
      </w:r>
      <w:bookmarkEnd w:id="165"/>
      <w:bookmarkEnd w:id="166"/>
      <w:bookmarkEnd w:id="167"/>
    </w:p>
    <w:p w14:paraId="0D6029B2"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zależności od ustaleń odpowiednich SST, roboty podlegają następującym etapom odbioru:</w:t>
      </w:r>
    </w:p>
    <w:p w14:paraId="3D2C5985" w14:textId="77777777" w:rsidR="00E95D02" w:rsidRPr="004853EB" w:rsidRDefault="00E95D02">
      <w:pPr>
        <w:numPr>
          <w:ilvl w:val="0"/>
          <w:numId w:val="16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odbiorowi robót zanikających i ulegających zakryciu,</w:t>
      </w:r>
    </w:p>
    <w:p w14:paraId="69732492" w14:textId="77777777" w:rsidR="00E95D02" w:rsidRPr="004853EB" w:rsidRDefault="00E95D02">
      <w:pPr>
        <w:numPr>
          <w:ilvl w:val="0"/>
          <w:numId w:val="16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odbiorowi częściowemu,</w:t>
      </w:r>
    </w:p>
    <w:p w14:paraId="014EEC67" w14:textId="77777777" w:rsidR="00E95D02" w:rsidRPr="004853EB" w:rsidRDefault="00E95D02">
      <w:pPr>
        <w:numPr>
          <w:ilvl w:val="0"/>
          <w:numId w:val="16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odbiorowi ostatecznemu,</w:t>
      </w:r>
    </w:p>
    <w:p w14:paraId="4BCFEC75" w14:textId="77777777" w:rsidR="00E95D02" w:rsidRPr="004853EB" w:rsidRDefault="00E95D02">
      <w:pPr>
        <w:numPr>
          <w:ilvl w:val="0"/>
          <w:numId w:val="16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odbiorowi pogwarancyjnemu.</w:t>
      </w:r>
    </w:p>
    <w:p w14:paraId="02AF1176"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68" w:name="_Toc194476490"/>
      <w:bookmarkStart w:id="169" w:name="_Toc227759832"/>
      <w:bookmarkStart w:id="170" w:name="_Toc227824979"/>
      <w:r w:rsidRPr="004853EB">
        <w:rPr>
          <w:rFonts w:eastAsia="Times New Roman" w:cstheme="minorHAnsi"/>
          <w:b/>
          <w:sz w:val="20"/>
          <w:szCs w:val="20"/>
          <w:lang w:eastAsia="pl-PL"/>
        </w:rPr>
        <w:t>8.2. Odbiór robót zanikających i ulegających zakryciu</w:t>
      </w:r>
      <w:bookmarkEnd w:id="168"/>
      <w:bookmarkEnd w:id="169"/>
      <w:bookmarkEnd w:id="170"/>
    </w:p>
    <w:p w14:paraId="113D895A"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Odbiór robót zanikających i ulegających zakryciu polega na finalnej ocenie ilości i jakości wykonywanych robót, które w dalszym procesie realizacji ulegną zakryciu.</w:t>
      </w:r>
    </w:p>
    <w:p w14:paraId="00CAFEFE"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Odbiór robót zanikających i ulegających zakryciu będzie dokonany w czasie umożliwiającym wykonanie ewentualnych korekt i poprawek bez hamowania ogólnego postępu robót.</w:t>
      </w:r>
    </w:p>
    <w:p w14:paraId="06A510B9"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Odbioru robót dokonuje Inżynier/Kierownik projektu.</w:t>
      </w:r>
    </w:p>
    <w:p w14:paraId="057F3066" w14:textId="2F5AAF55"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Gotowość danej części robót do odbioru zgłasza Wykonawca wpisem do dziennika budowy </w:t>
      </w:r>
      <w:r w:rsidR="00E45376">
        <w:rPr>
          <w:rFonts w:eastAsia="Times New Roman" w:cstheme="minorHAnsi"/>
          <w:sz w:val="20"/>
          <w:szCs w:val="20"/>
          <w:lang w:eastAsia="pl-PL"/>
        </w:rPr>
        <w:br/>
      </w:r>
      <w:r w:rsidRPr="004853EB">
        <w:rPr>
          <w:rFonts w:eastAsia="Times New Roman" w:cstheme="minorHAnsi"/>
          <w:sz w:val="20"/>
          <w:szCs w:val="20"/>
          <w:lang w:eastAsia="pl-PL"/>
        </w:rPr>
        <w:t>i jednoczesnym powiadomieniem Inżyniera/Kierownika projektu. Odbiór będzie przeprowadzony niezwłocznie, nie później jednak niż w ciągu 3 dni od daty zgłoszenia wpisem do dziennika budowy i powiadomienia o tym fakcie Inżyniera/Kierownika projektu.</w:t>
      </w:r>
    </w:p>
    <w:p w14:paraId="7B7077F3" w14:textId="45052B24"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Jakość i ilość robót ulegających zakryciu ocenia Inżynier/Kierownik projektu na podstawie dokumentów zawierających komplet wyników badań laboratoryjnych i w oparciu o przeprowadzone pomiary, w konfrontacji </w:t>
      </w:r>
      <w:r w:rsidR="00E45376">
        <w:rPr>
          <w:rFonts w:eastAsia="Times New Roman" w:cstheme="minorHAnsi"/>
          <w:sz w:val="20"/>
          <w:szCs w:val="20"/>
          <w:lang w:eastAsia="pl-PL"/>
        </w:rPr>
        <w:br/>
      </w:r>
      <w:r w:rsidRPr="004853EB">
        <w:rPr>
          <w:rFonts w:eastAsia="Times New Roman" w:cstheme="minorHAnsi"/>
          <w:sz w:val="20"/>
          <w:szCs w:val="20"/>
          <w:lang w:eastAsia="pl-PL"/>
        </w:rPr>
        <w:t>z dokumentacją projektową, SST i uprzednimi ustaleniami.</w:t>
      </w:r>
    </w:p>
    <w:p w14:paraId="24B69D5E"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71" w:name="_Toc194476491"/>
      <w:bookmarkStart w:id="172" w:name="_Toc227759833"/>
      <w:bookmarkStart w:id="173" w:name="_Toc227824980"/>
      <w:r w:rsidRPr="004853EB">
        <w:rPr>
          <w:rFonts w:eastAsia="Times New Roman" w:cstheme="minorHAnsi"/>
          <w:b/>
          <w:sz w:val="20"/>
          <w:szCs w:val="20"/>
          <w:lang w:eastAsia="pl-PL"/>
        </w:rPr>
        <w:t>8.3. Odbiór częściowy</w:t>
      </w:r>
      <w:bookmarkEnd w:id="171"/>
      <w:bookmarkEnd w:id="172"/>
      <w:bookmarkEnd w:id="173"/>
    </w:p>
    <w:p w14:paraId="0CBFD95F" w14:textId="3DB67AF4"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r>
      <w:r w:rsidR="00E45376" w:rsidRPr="004853EB">
        <w:rPr>
          <w:rFonts w:eastAsia="Times New Roman" w:cstheme="minorHAnsi"/>
          <w:sz w:val="20"/>
          <w:szCs w:val="20"/>
          <w:lang w:eastAsia="pl-PL"/>
        </w:rPr>
        <w:t>Odbiór częściowy</w:t>
      </w:r>
      <w:r w:rsidRPr="004853EB">
        <w:rPr>
          <w:rFonts w:eastAsia="Times New Roman" w:cstheme="minorHAnsi"/>
          <w:sz w:val="20"/>
          <w:szCs w:val="20"/>
          <w:lang w:eastAsia="pl-PL"/>
        </w:rPr>
        <w:t xml:space="preserve"> polega na ocenie ilości i jakości wykonanych części robót. Odbioru częściowego robót dokonuje się wg zasad jak przy odbiorze ostatecznym robót. Odbioru robót dokonuje Inżynier/Kierownik projektu.</w:t>
      </w:r>
    </w:p>
    <w:p w14:paraId="3702CA29"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74" w:name="_Toc194476492"/>
      <w:bookmarkStart w:id="175" w:name="_Toc227759834"/>
      <w:bookmarkStart w:id="176" w:name="_Toc227824981"/>
      <w:r w:rsidRPr="004853EB">
        <w:rPr>
          <w:rFonts w:eastAsia="Times New Roman" w:cstheme="minorHAnsi"/>
          <w:b/>
          <w:sz w:val="20"/>
          <w:szCs w:val="20"/>
          <w:lang w:eastAsia="pl-PL"/>
        </w:rPr>
        <w:t>8.4. Odbiór ostateczny robót</w:t>
      </w:r>
      <w:bookmarkEnd w:id="174"/>
      <w:bookmarkEnd w:id="175"/>
      <w:bookmarkEnd w:id="176"/>
    </w:p>
    <w:p w14:paraId="011246AA" w14:textId="77777777" w:rsidR="00E95D02" w:rsidRPr="004853EB" w:rsidRDefault="00E95D02" w:rsidP="00E95D02">
      <w:p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8.4.1.</w:t>
      </w:r>
      <w:r w:rsidRPr="004853EB">
        <w:rPr>
          <w:rFonts w:eastAsia="Times New Roman" w:cstheme="minorHAnsi"/>
          <w:sz w:val="20"/>
          <w:szCs w:val="20"/>
          <w:lang w:eastAsia="pl-PL"/>
        </w:rPr>
        <w:t xml:space="preserve"> Zasady odbioru ostatecznego robót</w:t>
      </w:r>
    </w:p>
    <w:p w14:paraId="352D8AFA"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Odbiór ostateczny polega na finalnej ocenie rzeczywistego wykonania robót w odniesieniu do ich ilości, jakości i wartości.</w:t>
      </w:r>
    </w:p>
    <w:p w14:paraId="2F395A89" w14:textId="049F46ED"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Całkowite zakończenie robót oraz gotowość do odbioru ostatecznego </w:t>
      </w:r>
      <w:r w:rsidR="00E45376" w:rsidRPr="004853EB">
        <w:rPr>
          <w:rFonts w:eastAsia="Times New Roman" w:cstheme="minorHAnsi"/>
          <w:sz w:val="20"/>
          <w:szCs w:val="20"/>
          <w:lang w:eastAsia="pl-PL"/>
        </w:rPr>
        <w:t>będą</w:t>
      </w:r>
      <w:r w:rsidRPr="004853EB">
        <w:rPr>
          <w:rFonts w:eastAsia="Times New Roman" w:cstheme="minorHAnsi"/>
          <w:sz w:val="20"/>
          <w:szCs w:val="20"/>
          <w:lang w:eastAsia="pl-PL"/>
        </w:rPr>
        <w:t xml:space="preserve"> stwierdzona przez Wykonawcę wpisem do dziennika budowy z bezzwłocznym powiadomieniem na piśmie o tym fakcie Inżyniera/Kierownika projektu.</w:t>
      </w:r>
    </w:p>
    <w:p w14:paraId="46530436"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Odbiór ostateczny robót nastąpi w terminie ustalonym w dokumentach umowy, licząc od dnia potwierdzenia przez Inżyniera/Kierownika projektu zakończenia robót i przyjęcia dokumentów, o których mowa w punkcie 8.4.2.</w:t>
      </w:r>
    </w:p>
    <w:p w14:paraId="79D563EB"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14:paraId="0A671DDE" w14:textId="6D70B7DA"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 toku odbioru ostatecznego robót komisja zapozna się z realizacją ustaleń przyjętych w trakcie odbiorów robót zanikających i ulegających zakryciu, zwłaszcza w zakresie wykonania robót uzupełniających </w:t>
      </w:r>
      <w:r w:rsidR="00E45376">
        <w:rPr>
          <w:rFonts w:eastAsia="Times New Roman" w:cstheme="minorHAnsi"/>
          <w:sz w:val="20"/>
          <w:szCs w:val="20"/>
          <w:lang w:eastAsia="pl-PL"/>
        </w:rPr>
        <w:br/>
      </w:r>
      <w:r w:rsidRPr="004853EB">
        <w:rPr>
          <w:rFonts w:eastAsia="Times New Roman" w:cstheme="minorHAnsi"/>
          <w:sz w:val="20"/>
          <w:szCs w:val="20"/>
          <w:lang w:eastAsia="pl-PL"/>
        </w:rPr>
        <w:t>i robót poprawkowych.</w:t>
      </w:r>
    </w:p>
    <w:p w14:paraId="30F18BEA" w14:textId="184A2A85"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 przypadkach niewykonania wyznaczonych robót poprawkowych lub robót uzupełniających </w:t>
      </w:r>
      <w:r w:rsidR="00E45376">
        <w:rPr>
          <w:rFonts w:eastAsia="Times New Roman" w:cstheme="minorHAnsi"/>
          <w:sz w:val="20"/>
          <w:szCs w:val="20"/>
          <w:lang w:eastAsia="pl-PL"/>
        </w:rPr>
        <w:br/>
      </w:r>
      <w:r w:rsidRPr="004853EB">
        <w:rPr>
          <w:rFonts w:eastAsia="Times New Roman" w:cstheme="minorHAnsi"/>
          <w:sz w:val="20"/>
          <w:szCs w:val="20"/>
          <w:lang w:eastAsia="pl-PL"/>
        </w:rPr>
        <w:t>w warstwie ścieralnej lub robotach wykończeniowych, komisja przerwie swoje czynności i ustali nowy termin odbioru ostatecznego.</w:t>
      </w:r>
    </w:p>
    <w:p w14:paraId="3D9167AD" w14:textId="77777777" w:rsidR="00E95D02" w:rsidRPr="004853EB" w:rsidRDefault="00E95D02" w:rsidP="00E95D02">
      <w:p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14:paraId="0E431F42" w14:textId="77777777" w:rsidR="00E95D02" w:rsidRPr="004853EB" w:rsidRDefault="00E95D02" w:rsidP="00E95D02">
      <w:pPr>
        <w:keepNext/>
        <w:overflowPunct w:val="0"/>
        <w:autoSpaceDE w:val="0"/>
        <w:autoSpaceDN w:val="0"/>
        <w:adjustRightInd w:val="0"/>
        <w:spacing w:before="60" w:after="60" w:line="240" w:lineRule="auto"/>
        <w:jc w:val="both"/>
        <w:textAlignment w:val="baseline"/>
        <w:outlineLvl w:val="2"/>
        <w:rPr>
          <w:rFonts w:eastAsia="Times New Roman" w:cstheme="minorHAnsi"/>
          <w:sz w:val="20"/>
          <w:szCs w:val="20"/>
          <w:lang w:eastAsia="pl-PL"/>
        </w:rPr>
      </w:pPr>
      <w:bookmarkStart w:id="177" w:name="_Toc412518599"/>
      <w:bookmarkStart w:id="178" w:name="_Toc194476493"/>
      <w:bookmarkStart w:id="179" w:name="_Toc227759835"/>
      <w:bookmarkStart w:id="180" w:name="_Toc227824982"/>
      <w:r w:rsidRPr="004853EB">
        <w:rPr>
          <w:rFonts w:eastAsia="Times New Roman" w:cstheme="minorHAnsi"/>
          <w:b/>
          <w:sz w:val="20"/>
          <w:szCs w:val="20"/>
          <w:lang w:eastAsia="pl-PL"/>
        </w:rPr>
        <w:t>8.4.2.</w:t>
      </w:r>
      <w:r w:rsidRPr="004853EB">
        <w:rPr>
          <w:rFonts w:eastAsia="Times New Roman" w:cstheme="minorHAnsi"/>
          <w:sz w:val="20"/>
          <w:szCs w:val="20"/>
          <w:lang w:eastAsia="pl-PL"/>
        </w:rPr>
        <w:t xml:space="preserve"> Dokumenty do odbioru ostatecznego</w:t>
      </w:r>
      <w:bookmarkEnd w:id="177"/>
      <w:bookmarkEnd w:id="178"/>
      <w:bookmarkEnd w:id="179"/>
      <w:bookmarkEnd w:id="180"/>
    </w:p>
    <w:p w14:paraId="4012DE6C"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Podstawowym dokumentem do dokonania odbioru ostatecznego robót jest protokół odbioru ostatecznego robót sporządzony wg wzoru ustalonego przez Zamawiającego.</w:t>
      </w:r>
    </w:p>
    <w:p w14:paraId="2EEBBEF6"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 odbioru ostatecznego Wykonawca jest zobowiązany przygotować następujące dokumenty:</w:t>
      </w:r>
    </w:p>
    <w:p w14:paraId="2509A229" w14:textId="77777777" w:rsidR="00E95D02" w:rsidRPr="004853EB" w:rsidRDefault="00E95D02">
      <w:pPr>
        <w:numPr>
          <w:ilvl w:val="0"/>
          <w:numId w:val="16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dokumentację projektową podstawową z naniesionymi zmianami oraz dodatkową, jeśli została sporządzona w trakcie realizacji umowy,</w:t>
      </w:r>
    </w:p>
    <w:p w14:paraId="7D9EBA9C" w14:textId="77777777" w:rsidR="00E95D02" w:rsidRPr="004853EB" w:rsidRDefault="00E95D02">
      <w:pPr>
        <w:numPr>
          <w:ilvl w:val="0"/>
          <w:numId w:val="16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szczegółowe specyfikacje techniczne (podstawowe z dokumentów umowy i ew. uzupełniające lub zamienne),</w:t>
      </w:r>
    </w:p>
    <w:p w14:paraId="4D69E9F5" w14:textId="77777777" w:rsidR="00E95D02" w:rsidRPr="004853EB" w:rsidRDefault="00E95D02">
      <w:pPr>
        <w:numPr>
          <w:ilvl w:val="0"/>
          <w:numId w:val="16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recepty i ustalenia technologiczne,</w:t>
      </w:r>
    </w:p>
    <w:p w14:paraId="73413C6F" w14:textId="77777777" w:rsidR="00E95D02" w:rsidRPr="004853EB" w:rsidRDefault="00E95D02">
      <w:pPr>
        <w:numPr>
          <w:ilvl w:val="0"/>
          <w:numId w:val="16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dzienniki budowy i książki obmiarów (oryginały),</w:t>
      </w:r>
    </w:p>
    <w:p w14:paraId="28B865C3" w14:textId="77777777" w:rsidR="00E95D02" w:rsidRPr="004853EB" w:rsidRDefault="00E95D02">
      <w:pPr>
        <w:numPr>
          <w:ilvl w:val="0"/>
          <w:numId w:val="16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wyniki pomiarów kontrolnych oraz badań i oznaczeń laboratoryjnych, zgodne z SST i ew. PZJ,</w:t>
      </w:r>
    </w:p>
    <w:p w14:paraId="4524B1FF" w14:textId="77777777" w:rsidR="00E95D02" w:rsidRPr="004853EB" w:rsidRDefault="00E95D02">
      <w:pPr>
        <w:numPr>
          <w:ilvl w:val="0"/>
          <w:numId w:val="16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deklaracje zgodności lub certyfikaty zgodności wbudowanych materiałów zgodnie z SST i ew. PZJ,</w:t>
      </w:r>
    </w:p>
    <w:p w14:paraId="2BCD5A68" w14:textId="77777777" w:rsidR="00E95D02" w:rsidRPr="004853EB" w:rsidRDefault="00E95D02">
      <w:pPr>
        <w:numPr>
          <w:ilvl w:val="0"/>
          <w:numId w:val="16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opinię technologiczną sporządzoną na podstawie wszystkich wyników badań i pomiarów załączonych do dokumentów odbioru, wykonanych zgodnie z SST i PZJ,</w:t>
      </w:r>
    </w:p>
    <w:p w14:paraId="0012084C" w14:textId="77777777" w:rsidR="00E95D02" w:rsidRPr="004853EB" w:rsidRDefault="00E95D02">
      <w:pPr>
        <w:numPr>
          <w:ilvl w:val="0"/>
          <w:numId w:val="16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rysunki (dokumentacje) na wykonanie robót towarzyszących (np. na przełożenie linii telefonicznej, energetycznej, gazowej, oświetlenia itp.) oraz protokoły odbioru i przekazania tych robót właścicielom urządzeń,</w:t>
      </w:r>
    </w:p>
    <w:p w14:paraId="4ED50E25" w14:textId="77777777" w:rsidR="00E95D02" w:rsidRPr="004853EB" w:rsidRDefault="00E95D02">
      <w:pPr>
        <w:numPr>
          <w:ilvl w:val="0"/>
          <w:numId w:val="16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geodezyjną inwentaryzację powykonawczą robót i sieci uzbrojenia terenu,</w:t>
      </w:r>
    </w:p>
    <w:p w14:paraId="5E8C86AB" w14:textId="77777777" w:rsidR="00E95D02" w:rsidRPr="004853EB" w:rsidRDefault="00E95D02">
      <w:pPr>
        <w:numPr>
          <w:ilvl w:val="0"/>
          <w:numId w:val="16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kopię mapy zasadniczej powstałej w wyniku geodezyjnej inwentaryzacji powykonawczej.</w:t>
      </w:r>
    </w:p>
    <w:p w14:paraId="501744CF"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przypadku, gdy wg komisji, roboty pod względem przygotowania dokumentacyjnego nie będą gotowe do odbioru ostatecznego, komisja w porozumieniu z Wykonawcą wyznaczy ponowny termin odbioru ostatecznego robót.</w:t>
      </w:r>
    </w:p>
    <w:p w14:paraId="27B78840"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Wszystkie zarządzone przez komisję roboty poprawkowe lub uzupełniające będą zestawione wg wzoru ustalonego przez Zamawiającego.</w:t>
      </w:r>
    </w:p>
    <w:p w14:paraId="46F2CAE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Termin wykonania robót poprawkowych i robót uzupełniających wyznaczy komisja.</w:t>
      </w:r>
    </w:p>
    <w:p w14:paraId="6B5FD178"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81" w:name="_Toc194476494"/>
      <w:bookmarkStart w:id="182" w:name="_Toc227759836"/>
      <w:bookmarkStart w:id="183" w:name="_Toc227824983"/>
      <w:r w:rsidRPr="004853EB">
        <w:rPr>
          <w:rFonts w:eastAsia="Times New Roman" w:cstheme="minorHAnsi"/>
          <w:b/>
          <w:sz w:val="20"/>
          <w:szCs w:val="20"/>
          <w:lang w:eastAsia="pl-PL"/>
        </w:rPr>
        <w:t>8.5. Odbiór pogwarancyjny</w:t>
      </w:r>
      <w:bookmarkEnd w:id="181"/>
      <w:bookmarkEnd w:id="182"/>
      <w:bookmarkEnd w:id="183"/>
    </w:p>
    <w:p w14:paraId="55F3CD99"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Odbiór pogwarancyjny polega na ocenie wykonanych robót związanych z usunięciem wad stwierdzonych przy odbiorze ostatecznym i zaistniałych w okresie gwarancyjnym.</w:t>
      </w:r>
    </w:p>
    <w:p w14:paraId="05233ABB" w14:textId="77777777" w:rsidR="00E95D02" w:rsidRPr="004853EB" w:rsidRDefault="00E95D02" w:rsidP="00E95D02">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Odbiór pogwarancyjny będzie dokonany na podstawie oceny wizualnej obiektu z uwzględnieniem zasad opisanych w punkcie 8.4 „Odbiór ostateczny robót”.</w:t>
      </w:r>
    </w:p>
    <w:p w14:paraId="3390CABC" w14:textId="77777777" w:rsidR="00E95D02" w:rsidRPr="004853EB" w:rsidRDefault="00E95D02" w:rsidP="00E95D02">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184" w:name="_Toc416830706"/>
      <w:bookmarkStart w:id="185" w:name="_Toc6881287"/>
      <w:bookmarkStart w:id="186" w:name="_Toc6882160"/>
      <w:bookmarkStart w:id="187" w:name="_Toc194476495"/>
      <w:bookmarkStart w:id="188" w:name="_Toc227759837"/>
      <w:bookmarkStart w:id="189" w:name="_Toc227824984"/>
      <w:r w:rsidRPr="004853EB">
        <w:rPr>
          <w:rFonts w:eastAsia="Times New Roman" w:cstheme="minorHAnsi"/>
          <w:b/>
          <w:caps/>
          <w:kern w:val="28"/>
          <w:sz w:val="20"/>
          <w:szCs w:val="20"/>
          <w:lang w:eastAsia="pl-PL"/>
        </w:rPr>
        <w:t>9. podstawa płatności</w:t>
      </w:r>
      <w:bookmarkEnd w:id="184"/>
      <w:bookmarkEnd w:id="185"/>
      <w:bookmarkEnd w:id="186"/>
      <w:bookmarkEnd w:id="187"/>
      <w:bookmarkEnd w:id="188"/>
      <w:bookmarkEnd w:id="189"/>
    </w:p>
    <w:p w14:paraId="54BE6DFB"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90" w:name="_Toc194476496"/>
      <w:bookmarkStart w:id="191" w:name="_Toc227759838"/>
      <w:bookmarkStart w:id="192" w:name="_Toc227824985"/>
      <w:r w:rsidRPr="004853EB">
        <w:rPr>
          <w:rFonts w:eastAsia="Times New Roman" w:cstheme="minorHAnsi"/>
          <w:b/>
          <w:sz w:val="20"/>
          <w:szCs w:val="20"/>
          <w:lang w:eastAsia="pl-PL"/>
        </w:rPr>
        <w:t>9.1. Ustalenia ogólne</w:t>
      </w:r>
      <w:bookmarkEnd w:id="190"/>
      <w:bookmarkEnd w:id="191"/>
      <w:bookmarkEnd w:id="192"/>
    </w:p>
    <w:p w14:paraId="288E0E4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Podstawą płatności jest cena jednostkowa skalkulowana przez Wykonawcę za jednostkę obmiarową ustaloną dla danej pozycji kosztorysu.</w:t>
      </w:r>
    </w:p>
    <w:p w14:paraId="6CC76AD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Dla pozycji kosztorysowych wycenionych ryczałtowo podstawą płatności jest wartość (kwota) podana przez Wykonawcę w danej pozycji kosztorysu.</w:t>
      </w:r>
    </w:p>
    <w:p w14:paraId="395A0C1A"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Cena jednostkowa lub kwota ryczałtowa pozycji kosztorysowej będzie uwzględniać wszystkie czynności, wymagania i badania składające się na jej wykonanie, określone dla tej roboty w SST i w dokumentacji projektowej.</w:t>
      </w:r>
    </w:p>
    <w:p w14:paraId="4E8F0734"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t>Ceny jednostkowe lub kwoty ryczałtowe robót będą obejmować:</w:t>
      </w:r>
    </w:p>
    <w:p w14:paraId="601433D9"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robociznę bezpośrednią wraz z towarzyszącymi kosztami,</w:t>
      </w:r>
    </w:p>
    <w:p w14:paraId="0216037F"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wartość zużytych materiałów wraz z kosztami zakupu, magazynowania, ewentualnych ubytków i transportu na teren budowy,</w:t>
      </w:r>
    </w:p>
    <w:p w14:paraId="2190D5B0"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wartość pracy sprzętu wraz z towarzyszącymi kosztami,</w:t>
      </w:r>
    </w:p>
    <w:p w14:paraId="4C627D68"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koszty pośrednie, zysk kalkulacyjny i ryzyko,</w:t>
      </w:r>
    </w:p>
    <w:p w14:paraId="7971DFA9"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podatki obliczone zgodnie z obowiązującymi przepisami.</w:t>
      </w:r>
    </w:p>
    <w:p w14:paraId="209E5147"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 cen jednostkowych nie należy wliczać podatku VAT.</w:t>
      </w:r>
    </w:p>
    <w:p w14:paraId="74A0E66F"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93" w:name="_Toc194476497"/>
      <w:bookmarkStart w:id="194" w:name="_Toc227759839"/>
      <w:bookmarkStart w:id="195" w:name="_Toc227824986"/>
      <w:r w:rsidRPr="004853EB">
        <w:rPr>
          <w:rFonts w:eastAsia="Times New Roman" w:cstheme="minorHAnsi"/>
          <w:b/>
          <w:sz w:val="20"/>
          <w:szCs w:val="20"/>
          <w:lang w:eastAsia="pl-PL"/>
        </w:rPr>
        <w:t>9.2. Warunki umowy i wymagania ogólne D-00.00.00</w:t>
      </w:r>
      <w:bookmarkEnd w:id="193"/>
      <w:bookmarkEnd w:id="194"/>
      <w:bookmarkEnd w:id="195"/>
    </w:p>
    <w:p w14:paraId="5BB521C4"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Koszt dostosowania się do wymagań warunków umowy i wymagań ogólnych zawartych w D-00.00.00 obejmuje wszystkie warunki określone w ww. dokumentach, a nie wyszczególnione w kosztorysie.</w:t>
      </w:r>
    </w:p>
    <w:p w14:paraId="4EDD3657"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96" w:name="_Toc194476498"/>
      <w:bookmarkStart w:id="197" w:name="_Toc227759840"/>
      <w:bookmarkStart w:id="198" w:name="_Toc227824987"/>
      <w:r w:rsidRPr="004853EB">
        <w:rPr>
          <w:rFonts w:eastAsia="Times New Roman" w:cstheme="minorHAnsi"/>
          <w:b/>
          <w:sz w:val="20"/>
          <w:szCs w:val="20"/>
          <w:lang w:eastAsia="pl-PL"/>
        </w:rPr>
        <w:t>9.3. Objazdy, przejazdy i organizacja ruchu</w:t>
      </w:r>
      <w:bookmarkEnd w:id="196"/>
      <w:bookmarkEnd w:id="197"/>
      <w:bookmarkEnd w:id="198"/>
    </w:p>
    <w:p w14:paraId="177A9527" w14:textId="7BA680AF"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r>
      <w:r w:rsidR="00E45376" w:rsidRPr="004853EB">
        <w:rPr>
          <w:rFonts w:eastAsia="Times New Roman" w:cstheme="minorHAnsi"/>
          <w:sz w:val="20"/>
          <w:szCs w:val="20"/>
          <w:lang w:eastAsia="pl-PL"/>
        </w:rPr>
        <w:t>Koszt wybudowania</w:t>
      </w:r>
      <w:r w:rsidRPr="004853EB">
        <w:rPr>
          <w:rFonts w:eastAsia="Times New Roman" w:cstheme="minorHAnsi"/>
          <w:sz w:val="20"/>
          <w:szCs w:val="20"/>
          <w:lang w:eastAsia="pl-PL"/>
        </w:rPr>
        <w:t xml:space="preserve"> objazdów/przejazdów i organizacji ruchu obejmuje:</w:t>
      </w:r>
    </w:p>
    <w:p w14:paraId="54B8C212" w14:textId="77777777" w:rsidR="00E95D02" w:rsidRPr="004853EB" w:rsidRDefault="00E95D02">
      <w:pPr>
        <w:numPr>
          <w:ilvl w:val="0"/>
          <w:numId w:val="16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14:paraId="4EFA22A0" w14:textId="77777777" w:rsidR="00E95D02" w:rsidRPr="004853EB" w:rsidRDefault="00E95D02">
      <w:pPr>
        <w:numPr>
          <w:ilvl w:val="0"/>
          <w:numId w:val="16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ustawienie tymczasowego oznakowania i oświetlenia zgodnie z wymaganiami bezpieczeństwa ruchu,</w:t>
      </w:r>
    </w:p>
    <w:p w14:paraId="6D0F3827" w14:textId="77777777" w:rsidR="00E95D02" w:rsidRPr="004853EB" w:rsidRDefault="00E95D02">
      <w:pPr>
        <w:numPr>
          <w:ilvl w:val="0"/>
          <w:numId w:val="16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opłaty/dzierżawy terenu,</w:t>
      </w:r>
    </w:p>
    <w:p w14:paraId="7BEA1CD0" w14:textId="77777777" w:rsidR="00E95D02" w:rsidRPr="004853EB" w:rsidRDefault="00E95D02">
      <w:pPr>
        <w:numPr>
          <w:ilvl w:val="0"/>
          <w:numId w:val="16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przygotowanie terenu,</w:t>
      </w:r>
    </w:p>
    <w:p w14:paraId="5F604016" w14:textId="77777777" w:rsidR="00E95D02" w:rsidRPr="004853EB" w:rsidRDefault="00E95D02">
      <w:pPr>
        <w:numPr>
          <w:ilvl w:val="0"/>
          <w:numId w:val="16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konstrukcję tymczasowej nawierzchni, ramp, chodników, krawężników, barier, oznakowań i drenażu,</w:t>
      </w:r>
    </w:p>
    <w:p w14:paraId="0A8774D2" w14:textId="77777777" w:rsidR="00E95D02" w:rsidRPr="004853EB" w:rsidRDefault="00E95D02">
      <w:pPr>
        <w:numPr>
          <w:ilvl w:val="0"/>
          <w:numId w:val="16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tymczasową przebudowę urządzeń obcych.</w:t>
      </w:r>
    </w:p>
    <w:p w14:paraId="09995430"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Koszt utrzymania objazdów/przejazdów i organizacji ruchu obejmuje:</w:t>
      </w:r>
    </w:p>
    <w:p w14:paraId="5A3F7C3E" w14:textId="77777777" w:rsidR="00E95D02" w:rsidRPr="004853EB" w:rsidRDefault="00E95D02">
      <w:pPr>
        <w:numPr>
          <w:ilvl w:val="0"/>
          <w:numId w:val="165"/>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oczyszczanie, przestawienie, przykrycie i usunięcie tymczasowych oznakowań pionowych, poziomych, barier i świateł,</w:t>
      </w:r>
    </w:p>
    <w:p w14:paraId="508E4950" w14:textId="77777777" w:rsidR="00E95D02" w:rsidRPr="004853EB" w:rsidRDefault="00E95D02">
      <w:pPr>
        <w:numPr>
          <w:ilvl w:val="0"/>
          <w:numId w:val="165"/>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utrzymanie płynności ruchu publicznego.</w:t>
      </w:r>
    </w:p>
    <w:p w14:paraId="7D9F666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Koszt likwidacji objazdów/przejazdów i organizacji ruchu obejmuje:</w:t>
      </w:r>
    </w:p>
    <w:p w14:paraId="6727EC7B" w14:textId="77777777" w:rsidR="00E95D02" w:rsidRPr="004853EB" w:rsidRDefault="00E95D02">
      <w:pPr>
        <w:numPr>
          <w:ilvl w:val="0"/>
          <w:numId w:val="166"/>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usunięcie wbudowanych materiałów i oznakowania,</w:t>
      </w:r>
    </w:p>
    <w:p w14:paraId="01A82917" w14:textId="77777777" w:rsidR="00E95D02" w:rsidRPr="004853EB" w:rsidRDefault="00E95D02">
      <w:pPr>
        <w:numPr>
          <w:ilvl w:val="0"/>
          <w:numId w:val="166"/>
        </w:num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doprowadzenie terenu do stanu pierwotnego.</w:t>
      </w:r>
    </w:p>
    <w:p w14:paraId="2B3D1B3E" w14:textId="77777777" w:rsidR="00E95D02" w:rsidRPr="004853EB" w:rsidRDefault="00E95D02" w:rsidP="00E95D02">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199" w:name="_Toc416830707"/>
      <w:bookmarkStart w:id="200" w:name="_Toc6881288"/>
      <w:bookmarkStart w:id="201" w:name="_Toc6882161"/>
      <w:bookmarkStart w:id="202" w:name="_Toc194476499"/>
      <w:bookmarkStart w:id="203" w:name="_Toc227759841"/>
      <w:bookmarkStart w:id="204" w:name="_Toc227824988"/>
      <w:r w:rsidRPr="004853EB">
        <w:rPr>
          <w:rFonts w:eastAsia="Times New Roman" w:cstheme="minorHAnsi"/>
          <w:b/>
          <w:caps/>
          <w:kern w:val="28"/>
          <w:sz w:val="20"/>
          <w:szCs w:val="20"/>
          <w:lang w:eastAsia="pl-PL"/>
        </w:rPr>
        <w:t>10. przepisy związane</w:t>
      </w:r>
      <w:bookmarkEnd w:id="199"/>
      <w:bookmarkEnd w:id="200"/>
      <w:bookmarkEnd w:id="201"/>
      <w:bookmarkEnd w:id="202"/>
      <w:bookmarkEnd w:id="203"/>
      <w:bookmarkEnd w:id="204"/>
    </w:p>
    <w:p w14:paraId="624AE2BA" w14:textId="77777777" w:rsidR="00E95D02" w:rsidRPr="004853EB" w:rsidRDefault="00E95D02">
      <w:pPr>
        <w:numPr>
          <w:ilvl w:val="0"/>
          <w:numId w:val="167"/>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Ustawa z dnia 7 lipca 1994 r. - Prawo budowlane (Dz. U. Nr 89, poz. 414 z później</w:t>
      </w:r>
      <w:r w:rsidRPr="004853EB">
        <w:rPr>
          <w:rFonts w:eastAsia="Times New Roman" w:cstheme="minorHAnsi"/>
          <w:sz w:val="20"/>
          <w:szCs w:val="20"/>
          <w:lang w:eastAsia="pl-PL"/>
        </w:rPr>
        <w:softHyphen/>
        <w:t>szymi zmianami).</w:t>
      </w:r>
    </w:p>
    <w:p w14:paraId="6DE8F0AB" w14:textId="3DA3BAAD" w:rsidR="00E95D02" w:rsidRPr="004853EB" w:rsidRDefault="00E95D02">
      <w:pPr>
        <w:numPr>
          <w:ilvl w:val="0"/>
          <w:numId w:val="167"/>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Zarządzenie Ministra Infrastruktury z dnia 19 listopada 2001 r. w sprawie dziennika budowy, montażu </w:t>
      </w:r>
      <w:r w:rsidR="00E45376">
        <w:rPr>
          <w:rFonts w:eastAsia="Times New Roman" w:cstheme="minorHAnsi"/>
          <w:sz w:val="20"/>
          <w:szCs w:val="20"/>
          <w:lang w:eastAsia="pl-PL"/>
        </w:rPr>
        <w:br/>
      </w:r>
      <w:r w:rsidRPr="004853EB">
        <w:rPr>
          <w:rFonts w:eastAsia="Times New Roman" w:cstheme="minorHAnsi"/>
          <w:sz w:val="20"/>
          <w:szCs w:val="20"/>
          <w:lang w:eastAsia="pl-PL"/>
        </w:rPr>
        <w:t>i rozbiórki oraz tablicy informacyjnej (Dz. U. Nr 138, poz. 1555).</w:t>
      </w:r>
    </w:p>
    <w:p w14:paraId="1C65B248" w14:textId="77777777" w:rsidR="00E95D02" w:rsidRPr="004853EB" w:rsidRDefault="00E95D02">
      <w:pPr>
        <w:numPr>
          <w:ilvl w:val="0"/>
          <w:numId w:val="167"/>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Ustawa z dnia 21 marca 1985 r. o drogach publicznych (Dz. U. Nr 14, poz. 60 z późniejszymi zmianami).</w:t>
      </w:r>
    </w:p>
    <w:p w14:paraId="047525D6"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1D3946A1" w14:textId="77777777" w:rsidR="00713454" w:rsidRPr="004853EB" w:rsidRDefault="00713454" w:rsidP="00E95D02">
      <w:pPr>
        <w:overflowPunct w:val="0"/>
        <w:autoSpaceDE w:val="0"/>
        <w:autoSpaceDN w:val="0"/>
        <w:adjustRightInd w:val="0"/>
        <w:spacing w:after="0" w:line="240" w:lineRule="auto"/>
        <w:textAlignment w:val="baseline"/>
        <w:rPr>
          <w:rFonts w:eastAsia="Times New Roman" w:cstheme="minorHAnsi"/>
          <w:b/>
          <w:lang w:eastAsia="pl-PL"/>
        </w:rPr>
      </w:pPr>
    </w:p>
    <w:p w14:paraId="395757B2"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66CC0CE5"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3D17A71A"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4F72583A"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70AF835B" w14:textId="77777777" w:rsidR="00BF7EE3" w:rsidRPr="004853EB" w:rsidRDefault="00BF7EE3" w:rsidP="00BF7EE3">
      <w:pPr>
        <w:overflowPunct w:val="0"/>
        <w:autoSpaceDE w:val="0"/>
        <w:autoSpaceDN w:val="0"/>
        <w:adjustRightInd w:val="0"/>
        <w:spacing w:after="0" w:line="240" w:lineRule="auto"/>
        <w:jc w:val="both"/>
        <w:textAlignment w:val="baseline"/>
        <w:rPr>
          <w:rFonts w:eastAsia="Times New Roman" w:cstheme="minorHAnsi"/>
          <w:b/>
          <w:lang w:eastAsia="pl-PL"/>
        </w:rPr>
      </w:pPr>
    </w:p>
    <w:p w14:paraId="184F358B" w14:textId="77777777" w:rsidR="00BF7EE3" w:rsidRPr="004853EB" w:rsidRDefault="00BF7EE3" w:rsidP="00BF7EE3">
      <w:pPr>
        <w:overflowPunct w:val="0"/>
        <w:autoSpaceDE w:val="0"/>
        <w:autoSpaceDN w:val="0"/>
        <w:adjustRightInd w:val="0"/>
        <w:spacing w:after="0" w:line="240" w:lineRule="auto"/>
        <w:jc w:val="both"/>
        <w:textAlignment w:val="baseline"/>
        <w:rPr>
          <w:rFonts w:eastAsia="Times New Roman" w:cstheme="minorHAnsi"/>
          <w:b/>
          <w:lang w:eastAsia="pl-PL"/>
        </w:rPr>
      </w:pPr>
    </w:p>
    <w:p w14:paraId="31C5D629" w14:textId="77777777" w:rsidR="00BF7EE3" w:rsidRPr="004853EB" w:rsidRDefault="00BF7EE3" w:rsidP="00BF7EE3">
      <w:pPr>
        <w:overflowPunct w:val="0"/>
        <w:autoSpaceDE w:val="0"/>
        <w:autoSpaceDN w:val="0"/>
        <w:adjustRightInd w:val="0"/>
        <w:spacing w:after="0" w:line="240" w:lineRule="auto"/>
        <w:jc w:val="both"/>
        <w:textAlignment w:val="baseline"/>
        <w:rPr>
          <w:rFonts w:eastAsia="Times New Roman" w:cstheme="minorHAnsi"/>
          <w:b/>
          <w:lang w:eastAsia="pl-PL"/>
        </w:rPr>
      </w:pPr>
    </w:p>
    <w:p w14:paraId="0DB5B35F" w14:textId="77777777" w:rsidR="00BF7EE3" w:rsidRPr="004853EB" w:rsidRDefault="00BF7EE3" w:rsidP="00BF7EE3">
      <w:pPr>
        <w:overflowPunct w:val="0"/>
        <w:autoSpaceDE w:val="0"/>
        <w:autoSpaceDN w:val="0"/>
        <w:adjustRightInd w:val="0"/>
        <w:spacing w:after="0" w:line="240" w:lineRule="auto"/>
        <w:jc w:val="both"/>
        <w:textAlignment w:val="baseline"/>
        <w:rPr>
          <w:rFonts w:eastAsia="Times New Roman" w:cstheme="minorHAnsi"/>
          <w:b/>
          <w:lang w:eastAsia="pl-PL"/>
        </w:rPr>
      </w:pPr>
    </w:p>
    <w:p w14:paraId="0EAEFA23" w14:textId="77777777" w:rsidR="00BF7EE3" w:rsidRPr="004853EB" w:rsidRDefault="00BF7EE3" w:rsidP="00BF7EE3">
      <w:pPr>
        <w:overflowPunct w:val="0"/>
        <w:autoSpaceDE w:val="0"/>
        <w:autoSpaceDN w:val="0"/>
        <w:adjustRightInd w:val="0"/>
        <w:spacing w:after="0" w:line="240" w:lineRule="auto"/>
        <w:jc w:val="both"/>
        <w:textAlignment w:val="baseline"/>
        <w:rPr>
          <w:rFonts w:eastAsia="Times New Roman" w:cstheme="minorHAnsi"/>
          <w:b/>
          <w:lang w:eastAsia="pl-PL"/>
        </w:rPr>
      </w:pPr>
    </w:p>
    <w:p w14:paraId="69BED426" w14:textId="77777777" w:rsidR="00BF7EE3" w:rsidRPr="004853EB" w:rsidRDefault="00BF7EE3" w:rsidP="00BF7EE3">
      <w:pPr>
        <w:overflowPunct w:val="0"/>
        <w:autoSpaceDE w:val="0"/>
        <w:autoSpaceDN w:val="0"/>
        <w:adjustRightInd w:val="0"/>
        <w:spacing w:after="0" w:line="240" w:lineRule="auto"/>
        <w:jc w:val="both"/>
        <w:textAlignment w:val="baseline"/>
        <w:rPr>
          <w:rFonts w:eastAsia="Times New Roman" w:cstheme="minorHAnsi"/>
          <w:b/>
          <w:lang w:eastAsia="pl-PL"/>
        </w:rPr>
      </w:pPr>
    </w:p>
    <w:p w14:paraId="58DDA1ED" w14:textId="77777777" w:rsidR="00BF7EE3" w:rsidRPr="004853EB" w:rsidRDefault="00BF7EE3" w:rsidP="00BF7EE3">
      <w:pPr>
        <w:overflowPunct w:val="0"/>
        <w:autoSpaceDE w:val="0"/>
        <w:autoSpaceDN w:val="0"/>
        <w:adjustRightInd w:val="0"/>
        <w:spacing w:after="0" w:line="240" w:lineRule="auto"/>
        <w:jc w:val="both"/>
        <w:textAlignment w:val="baseline"/>
        <w:rPr>
          <w:rFonts w:eastAsia="Times New Roman" w:cstheme="minorHAnsi"/>
          <w:b/>
          <w:lang w:eastAsia="pl-PL"/>
        </w:rPr>
      </w:pPr>
    </w:p>
    <w:p w14:paraId="4999DF0F" w14:textId="77777777" w:rsidR="00BF7EE3" w:rsidRPr="004853EB" w:rsidRDefault="00BF7EE3" w:rsidP="00BF7EE3">
      <w:pPr>
        <w:overflowPunct w:val="0"/>
        <w:autoSpaceDE w:val="0"/>
        <w:autoSpaceDN w:val="0"/>
        <w:adjustRightInd w:val="0"/>
        <w:spacing w:after="0" w:line="240" w:lineRule="auto"/>
        <w:jc w:val="both"/>
        <w:textAlignment w:val="baseline"/>
        <w:rPr>
          <w:rFonts w:eastAsia="Times New Roman" w:cstheme="minorHAnsi"/>
          <w:b/>
          <w:lang w:eastAsia="pl-PL"/>
        </w:rPr>
      </w:pPr>
    </w:p>
    <w:p w14:paraId="2F0F13BF" w14:textId="77777777" w:rsidR="00BF7EE3" w:rsidRPr="004853EB" w:rsidRDefault="00BF7EE3" w:rsidP="00BF7EE3">
      <w:pPr>
        <w:overflowPunct w:val="0"/>
        <w:autoSpaceDE w:val="0"/>
        <w:autoSpaceDN w:val="0"/>
        <w:adjustRightInd w:val="0"/>
        <w:spacing w:after="0" w:line="240" w:lineRule="auto"/>
        <w:jc w:val="both"/>
        <w:textAlignment w:val="baseline"/>
        <w:rPr>
          <w:rFonts w:eastAsia="Times New Roman" w:cstheme="minorHAnsi"/>
          <w:b/>
          <w:lang w:eastAsia="pl-PL"/>
        </w:rPr>
      </w:pPr>
    </w:p>
    <w:p w14:paraId="7075634C" w14:textId="77777777" w:rsidR="00BF7EE3" w:rsidRPr="004853EB" w:rsidRDefault="00BF7EE3" w:rsidP="00BF7EE3">
      <w:pPr>
        <w:overflowPunct w:val="0"/>
        <w:autoSpaceDE w:val="0"/>
        <w:autoSpaceDN w:val="0"/>
        <w:adjustRightInd w:val="0"/>
        <w:spacing w:after="0" w:line="240" w:lineRule="auto"/>
        <w:jc w:val="both"/>
        <w:textAlignment w:val="baseline"/>
        <w:rPr>
          <w:rFonts w:eastAsia="Times New Roman" w:cstheme="minorHAnsi"/>
          <w:b/>
          <w:lang w:eastAsia="pl-PL"/>
        </w:rPr>
      </w:pPr>
    </w:p>
    <w:p w14:paraId="626F3D70" w14:textId="77777777" w:rsidR="00BF7EE3" w:rsidRPr="004853EB" w:rsidRDefault="00BF7EE3" w:rsidP="00BF7EE3">
      <w:pPr>
        <w:overflowPunct w:val="0"/>
        <w:autoSpaceDE w:val="0"/>
        <w:autoSpaceDN w:val="0"/>
        <w:adjustRightInd w:val="0"/>
        <w:spacing w:after="0" w:line="240" w:lineRule="auto"/>
        <w:jc w:val="both"/>
        <w:textAlignment w:val="baseline"/>
        <w:rPr>
          <w:rFonts w:eastAsia="Times New Roman" w:cstheme="minorHAnsi"/>
          <w:b/>
          <w:lang w:eastAsia="pl-PL"/>
        </w:rPr>
      </w:pPr>
    </w:p>
    <w:p w14:paraId="6094E201" w14:textId="77777777" w:rsidR="00BF7EE3" w:rsidRPr="004853EB" w:rsidRDefault="00BF7EE3" w:rsidP="00BF7EE3">
      <w:pPr>
        <w:overflowPunct w:val="0"/>
        <w:autoSpaceDE w:val="0"/>
        <w:autoSpaceDN w:val="0"/>
        <w:adjustRightInd w:val="0"/>
        <w:spacing w:after="0" w:line="240" w:lineRule="auto"/>
        <w:jc w:val="both"/>
        <w:textAlignment w:val="baseline"/>
        <w:rPr>
          <w:rFonts w:eastAsia="Times New Roman" w:cstheme="minorHAnsi"/>
          <w:b/>
          <w:lang w:eastAsia="pl-PL"/>
        </w:rPr>
      </w:pPr>
    </w:p>
    <w:p w14:paraId="4AAF24EB" w14:textId="77777777" w:rsidR="00713454" w:rsidRPr="004853EB" w:rsidRDefault="00713454" w:rsidP="00BF7EE3">
      <w:pPr>
        <w:pStyle w:val="Nagwek1"/>
        <w:rPr>
          <w:rFonts w:asciiTheme="minorHAnsi" w:hAnsiTheme="minorHAnsi" w:cstheme="minorHAnsi"/>
          <w:sz w:val="22"/>
          <w:szCs w:val="22"/>
        </w:rPr>
      </w:pPr>
      <w:bookmarkStart w:id="205" w:name="_Toc227824989"/>
      <w:r w:rsidRPr="004853EB">
        <w:rPr>
          <w:rFonts w:asciiTheme="minorHAnsi" w:hAnsiTheme="minorHAnsi" w:cstheme="minorHAnsi"/>
          <w:sz w:val="22"/>
          <w:szCs w:val="22"/>
        </w:rPr>
        <w:lastRenderedPageBreak/>
        <w:t>D</w:t>
      </w:r>
      <w:r w:rsidR="00B26F4A" w:rsidRPr="004853EB">
        <w:rPr>
          <w:rFonts w:asciiTheme="minorHAnsi" w:hAnsiTheme="minorHAnsi" w:cstheme="minorHAnsi"/>
          <w:sz w:val="22"/>
          <w:szCs w:val="22"/>
        </w:rPr>
        <w:t xml:space="preserve"> - </w:t>
      </w:r>
      <w:r w:rsidRPr="004853EB">
        <w:rPr>
          <w:rFonts w:asciiTheme="minorHAnsi" w:hAnsiTheme="minorHAnsi" w:cstheme="minorHAnsi"/>
          <w:sz w:val="22"/>
          <w:szCs w:val="22"/>
        </w:rPr>
        <w:t>01.01.01 ODTWORZENIE</w:t>
      </w:r>
      <w:r w:rsidR="00B26F4A" w:rsidRPr="004853EB">
        <w:rPr>
          <w:rFonts w:asciiTheme="minorHAnsi" w:hAnsiTheme="minorHAnsi" w:cstheme="minorHAnsi"/>
          <w:sz w:val="22"/>
          <w:szCs w:val="22"/>
        </w:rPr>
        <w:t xml:space="preserve"> </w:t>
      </w:r>
      <w:r w:rsidRPr="004853EB">
        <w:rPr>
          <w:rFonts w:asciiTheme="minorHAnsi" w:hAnsiTheme="minorHAnsi" w:cstheme="minorHAnsi"/>
          <w:sz w:val="22"/>
          <w:szCs w:val="22"/>
        </w:rPr>
        <w:t>TRASY I PUNKTÓW WYSOKOŚCIOWYCH ORAZ SPORZĄDZENIE INWENTARYZACJI POWYKONAWCZEJ DROGI</w:t>
      </w:r>
      <w:bookmarkEnd w:id="205"/>
    </w:p>
    <w:p w14:paraId="3C281C12"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06" w:name="_Toc404150096"/>
      <w:bookmarkStart w:id="207" w:name="_Toc416830698"/>
      <w:bookmarkStart w:id="208" w:name="_Toc236626155"/>
      <w:bookmarkStart w:id="209" w:name="_Toc274137170"/>
      <w:bookmarkStart w:id="210" w:name="_Toc194476501"/>
      <w:bookmarkStart w:id="211" w:name="_Toc227759843"/>
      <w:bookmarkStart w:id="212" w:name="_Toc227824990"/>
      <w:r w:rsidRPr="004853EB">
        <w:rPr>
          <w:rFonts w:eastAsia="Times New Roman" w:cstheme="minorHAnsi"/>
          <w:b/>
          <w:caps/>
          <w:kern w:val="28"/>
          <w:sz w:val="20"/>
          <w:szCs w:val="20"/>
          <w:lang w:eastAsia="pl-PL"/>
        </w:rPr>
        <w:t>1. WSTĘP</w:t>
      </w:r>
      <w:bookmarkEnd w:id="206"/>
      <w:bookmarkEnd w:id="207"/>
      <w:bookmarkEnd w:id="208"/>
      <w:bookmarkEnd w:id="209"/>
      <w:bookmarkEnd w:id="210"/>
      <w:bookmarkEnd w:id="211"/>
      <w:bookmarkEnd w:id="212"/>
    </w:p>
    <w:p w14:paraId="69C9AA11"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13" w:name="_Toc405615031"/>
      <w:bookmarkStart w:id="214" w:name="_Toc407161179"/>
      <w:bookmarkStart w:id="215" w:name="_Toc194476502"/>
      <w:bookmarkStart w:id="216" w:name="_Toc227759844"/>
      <w:bookmarkStart w:id="217" w:name="_Toc227824991"/>
      <w:r w:rsidRPr="004853EB">
        <w:rPr>
          <w:rFonts w:eastAsia="Times New Roman" w:cstheme="minorHAnsi"/>
          <w:b/>
          <w:sz w:val="20"/>
          <w:szCs w:val="20"/>
          <w:lang w:eastAsia="pl-PL"/>
        </w:rPr>
        <w:t>1.1. Przedmiot SST</w:t>
      </w:r>
      <w:bookmarkEnd w:id="213"/>
      <w:bookmarkEnd w:id="214"/>
      <w:bookmarkEnd w:id="215"/>
      <w:bookmarkEnd w:id="216"/>
      <w:bookmarkEnd w:id="217"/>
    </w:p>
    <w:p w14:paraId="788E2B9C" w14:textId="77777777" w:rsidR="00713454" w:rsidRPr="004853EB"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b/>
          <w:sz w:val="20"/>
          <w:szCs w:val="20"/>
          <w:lang w:eastAsia="pl-PL"/>
        </w:rPr>
      </w:pPr>
      <w:r w:rsidRPr="004853EB">
        <w:rPr>
          <w:rFonts w:eastAsia="Times New Roman" w:cstheme="minorHAnsi"/>
          <w:sz w:val="20"/>
          <w:szCs w:val="20"/>
          <w:lang w:eastAsia="pl-PL"/>
        </w:rPr>
        <w:tab/>
        <w:t>Przedmiotem niniejszej szczegółowej specyfikacji technicznej (SST) są wymagania dotyczące wykonania i odbioru robót związanych z odtworzeniem trasy drogowej i jej punktów wysokościowych.</w:t>
      </w:r>
    </w:p>
    <w:p w14:paraId="012BECEC"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18" w:name="_Toc405615032"/>
      <w:bookmarkStart w:id="219" w:name="_Toc407161180"/>
      <w:bookmarkStart w:id="220" w:name="_Toc194476503"/>
      <w:bookmarkStart w:id="221" w:name="_Toc227759845"/>
      <w:bookmarkStart w:id="222" w:name="_Toc227824992"/>
      <w:r w:rsidRPr="004853EB">
        <w:rPr>
          <w:rFonts w:eastAsia="Times New Roman" w:cstheme="minorHAnsi"/>
          <w:b/>
          <w:sz w:val="20"/>
          <w:szCs w:val="20"/>
          <w:lang w:eastAsia="pl-PL"/>
        </w:rPr>
        <w:t>1.2. Zakres stosowania SST</w:t>
      </w:r>
      <w:bookmarkEnd w:id="218"/>
      <w:bookmarkEnd w:id="219"/>
      <w:bookmarkEnd w:id="220"/>
      <w:bookmarkEnd w:id="221"/>
      <w:bookmarkEnd w:id="222"/>
    </w:p>
    <w:p w14:paraId="0D2CC6EB"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18"/>
          <w:szCs w:val="18"/>
          <w:lang w:eastAsia="pl-PL"/>
        </w:rPr>
      </w:pPr>
      <w:r w:rsidRPr="004853EB">
        <w:rPr>
          <w:rFonts w:eastAsia="Times New Roman" w:cstheme="minorHAnsi"/>
          <w:sz w:val="20"/>
          <w:szCs w:val="20"/>
          <w:lang w:eastAsia="pl-PL"/>
        </w:rPr>
        <w:tab/>
      </w:r>
      <w:bookmarkStart w:id="223" w:name="_Toc405615033"/>
      <w:bookmarkStart w:id="224" w:name="_Toc407161181"/>
      <w:r w:rsidRPr="004853EB">
        <w:rPr>
          <w:rFonts w:eastAsia="Times New Roman" w:cstheme="minorHAnsi"/>
          <w:sz w:val="18"/>
          <w:szCs w:val="18"/>
          <w:lang w:eastAsia="pl-PL"/>
        </w:rPr>
        <w:t>Specyfikacja techniczna jest stosowana jako dokument przetargowy i kontraktowy przy zlecaniu i realizacji robót wymienionych w pkt 1.1.</w:t>
      </w:r>
    </w:p>
    <w:p w14:paraId="09D7ED28"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25" w:name="_Toc194476504"/>
      <w:bookmarkStart w:id="226" w:name="_Toc227759846"/>
      <w:bookmarkStart w:id="227" w:name="_Toc227824993"/>
      <w:r w:rsidRPr="004853EB">
        <w:rPr>
          <w:rFonts w:eastAsia="Times New Roman" w:cstheme="minorHAnsi"/>
          <w:b/>
          <w:sz w:val="20"/>
          <w:szCs w:val="20"/>
          <w:lang w:eastAsia="pl-PL"/>
        </w:rPr>
        <w:t>1.3. Zakres robót objętych SST</w:t>
      </w:r>
      <w:bookmarkEnd w:id="223"/>
      <w:bookmarkEnd w:id="224"/>
      <w:bookmarkEnd w:id="225"/>
      <w:bookmarkEnd w:id="226"/>
      <w:bookmarkEnd w:id="227"/>
    </w:p>
    <w:p w14:paraId="3BB1D6F5" w14:textId="45522BAE" w:rsidR="00713454" w:rsidRPr="004853EB"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Ustalenia zawarte w niniejszej specyfikacji dotyczą zasad prowadzenia robót związanych z </w:t>
      </w:r>
      <w:r w:rsidRPr="004853EB">
        <w:rPr>
          <w:rFonts w:eastAsia="Times New Roman" w:cstheme="minorHAnsi"/>
          <w:b/>
          <w:sz w:val="20"/>
          <w:szCs w:val="20"/>
          <w:lang w:eastAsia="pl-PL"/>
        </w:rPr>
        <w:t xml:space="preserve">Przebudową </w:t>
      </w:r>
      <w:r w:rsidR="00E45376" w:rsidRPr="004853EB">
        <w:rPr>
          <w:rFonts w:eastAsia="Times New Roman" w:cstheme="minorHAnsi"/>
          <w:b/>
          <w:sz w:val="20"/>
          <w:szCs w:val="20"/>
          <w:lang w:eastAsia="pl-PL"/>
        </w:rPr>
        <w:t>drogi powiatowej</w:t>
      </w:r>
      <w:r w:rsidRPr="004853EB">
        <w:rPr>
          <w:rFonts w:eastAsia="Times New Roman" w:cstheme="minorHAnsi"/>
          <w:b/>
          <w:sz w:val="20"/>
          <w:szCs w:val="20"/>
          <w:lang w:eastAsia="pl-PL"/>
        </w:rPr>
        <w:t xml:space="preserve"> nr </w:t>
      </w:r>
      <w:r w:rsidR="00386337" w:rsidRPr="00386337">
        <w:rPr>
          <w:rFonts w:eastAsia="Times New Roman" w:cstheme="minorHAnsi"/>
          <w:b/>
          <w:bCs/>
          <w:sz w:val="20"/>
          <w:szCs w:val="20"/>
          <w:lang w:eastAsia="pl-PL"/>
        </w:rPr>
        <w:t>4506W Zwoleń – Sarnów w miejscowości Łuczynów</w:t>
      </w:r>
      <w:r w:rsidRPr="004853EB">
        <w:rPr>
          <w:rFonts w:eastAsia="Times New Roman" w:cstheme="minorHAnsi"/>
          <w:b/>
          <w:sz w:val="20"/>
          <w:szCs w:val="20"/>
          <w:lang w:eastAsia="pl-PL"/>
        </w:rPr>
        <w:t xml:space="preserve"> </w:t>
      </w:r>
      <w:r w:rsidRPr="004853EB">
        <w:rPr>
          <w:rFonts w:eastAsia="Times New Roman" w:cstheme="minorHAnsi"/>
          <w:sz w:val="20"/>
          <w:szCs w:val="20"/>
          <w:lang w:eastAsia="pl-PL"/>
        </w:rPr>
        <w:t xml:space="preserve">i obejmują wyznaczenie trasy </w:t>
      </w:r>
      <w:r w:rsidR="00BF7EE3" w:rsidRPr="004853EB">
        <w:rPr>
          <w:rFonts w:eastAsia="Times New Roman" w:cstheme="minorHAnsi"/>
          <w:sz w:val="20"/>
          <w:szCs w:val="20"/>
          <w:lang w:eastAsia="pl-PL"/>
        </w:rPr>
        <w:br/>
      </w:r>
      <w:r w:rsidRPr="004853EB">
        <w:rPr>
          <w:rFonts w:eastAsia="Times New Roman" w:cstheme="minorHAnsi"/>
          <w:sz w:val="20"/>
          <w:szCs w:val="20"/>
          <w:lang w:eastAsia="pl-PL"/>
        </w:rPr>
        <w:t>w terenie równinnym oraz sporządzenie inwentaryzacji powykonawczej drogi.</w:t>
      </w:r>
    </w:p>
    <w:p w14:paraId="309058C6"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28" w:name="_Toc438609818"/>
      <w:bookmarkStart w:id="229" w:name="_Toc411231967"/>
      <w:bookmarkStart w:id="230" w:name="_Toc428880125"/>
      <w:bookmarkStart w:id="231" w:name="_Toc433636043"/>
      <w:bookmarkStart w:id="232" w:name="_Toc433675534"/>
      <w:bookmarkStart w:id="233" w:name="_Toc434887980"/>
      <w:bookmarkStart w:id="234" w:name="_Toc194476505"/>
      <w:bookmarkStart w:id="235" w:name="_Toc227759847"/>
      <w:bookmarkStart w:id="236" w:name="_Toc227824994"/>
      <w:r w:rsidRPr="004853EB">
        <w:rPr>
          <w:rFonts w:eastAsia="Times New Roman" w:cstheme="minorHAnsi"/>
          <w:b/>
          <w:sz w:val="20"/>
          <w:szCs w:val="20"/>
          <w:lang w:eastAsia="pl-PL"/>
        </w:rPr>
        <w:t>1.4. Określenia podstawowe</w:t>
      </w:r>
      <w:bookmarkEnd w:id="228"/>
      <w:bookmarkEnd w:id="229"/>
      <w:bookmarkEnd w:id="230"/>
      <w:bookmarkEnd w:id="231"/>
      <w:bookmarkEnd w:id="232"/>
      <w:bookmarkEnd w:id="233"/>
      <w:bookmarkEnd w:id="234"/>
      <w:bookmarkEnd w:id="235"/>
      <w:bookmarkEnd w:id="236"/>
      <w:r w:rsidRPr="004853EB">
        <w:rPr>
          <w:rFonts w:eastAsia="Times New Roman" w:cstheme="minorHAnsi"/>
          <w:b/>
          <w:sz w:val="20"/>
          <w:szCs w:val="20"/>
          <w:lang w:eastAsia="pl-PL"/>
        </w:rPr>
        <w:t xml:space="preserve"> </w:t>
      </w:r>
    </w:p>
    <w:p w14:paraId="2CAA64F8" w14:textId="77777777" w:rsidR="00713454" w:rsidRPr="004853EB" w:rsidRDefault="00713454" w:rsidP="00713454">
      <w:pPr>
        <w:spacing w:after="120" w:line="240" w:lineRule="auto"/>
        <w:jc w:val="both"/>
        <w:rPr>
          <w:rFonts w:eastAsia="Times New Roman" w:cstheme="minorHAnsi"/>
          <w:sz w:val="20"/>
          <w:szCs w:val="20"/>
          <w:lang w:eastAsia="pl-PL"/>
        </w:rPr>
      </w:pPr>
      <w:r w:rsidRPr="004853EB">
        <w:rPr>
          <w:rFonts w:eastAsia="Times New Roman" w:cstheme="minorHAnsi"/>
          <w:b/>
          <w:sz w:val="20"/>
          <w:szCs w:val="20"/>
          <w:lang w:eastAsia="pl-PL"/>
        </w:rPr>
        <w:t xml:space="preserve">1.4.1. </w:t>
      </w:r>
      <w:r w:rsidRPr="004853EB">
        <w:rPr>
          <w:rFonts w:eastAsia="Times New Roman" w:cstheme="minorHAnsi"/>
          <w:sz w:val="20"/>
          <w:szCs w:val="20"/>
          <w:lang w:eastAsia="pl-PL"/>
        </w:rPr>
        <w:t>Odtworzenie trasy i punktów wysokościowych – założenie poziomej i wysokościowej geodezyjnej osnowy realizacyjnej niezbędnej przy budowie drogi, uwzględniającej ustalenia dokumentacji projektowej.</w:t>
      </w:r>
    </w:p>
    <w:p w14:paraId="1FF04B0C" w14:textId="77777777" w:rsidR="00713454" w:rsidRPr="004853EB" w:rsidRDefault="00713454" w:rsidP="00713454">
      <w:pPr>
        <w:spacing w:after="120" w:line="240" w:lineRule="auto"/>
        <w:jc w:val="both"/>
        <w:rPr>
          <w:rFonts w:eastAsia="Times New Roman" w:cstheme="minorHAnsi"/>
          <w:sz w:val="20"/>
          <w:szCs w:val="20"/>
          <w:lang w:eastAsia="pl-PL"/>
        </w:rPr>
      </w:pPr>
      <w:r w:rsidRPr="004853EB">
        <w:rPr>
          <w:rFonts w:eastAsia="Times New Roman" w:cstheme="minorHAnsi"/>
          <w:b/>
          <w:sz w:val="20"/>
          <w:szCs w:val="20"/>
          <w:lang w:eastAsia="pl-PL"/>
        </w:rPr>
        <w:t xml:space="preserve">1.4.2. </w:t>
      </w:r>
      <w:r w:rsidRPr="004853EB">
        <w:rPr>
          <w:rFonts w:eastAsia="Times New Roman" w:cstheme="minorHAnsi"/>
          <w:sz w:val="20"/>
          <w:szCs w:val="20"/>
          <w:lang w:eastAsia="pl-PL"/>
        </w:rPr>
        <w:t>Punkty główne trasy – punkty załamania osi trasy, punkty kierunkowe oraz początkowy i końcowy punkt trasy.</w:t>
      </w:r>
    </w:p>
    <w:p w14:paraId="607BD3BD" w14:textId="69F473CB" w:rsidR="00713454" w:rsidRPr="004853EB" w:rsidRDefault="00713454" w:rsidP="00713454">
      <w:pPr>
        <w:spacing w:after="120" w:line="240" w:lineRule="auto"/>
        <w:jc w:val="both"/>
        <w:rPr>
          <w:rFonts w:eastAsia="Times New Roman" w:cstheme="minorHAnsi"/>
          <w:sz w:val="20"/>
          <w:szCs w:val="20"/>
          <w:lang w:eastAsia="pl-PL"/>
        </w:rPr>
      </w:pPr>
      <w:r w:rsidRPr="004853EB">
        <w:rPr>
          <w:rFonts w:eastAsia="Times New Roman" w:cstheme="minorHAnsi"/>
          <w:b/>
          <w:sz w:val="20"/>
          <w:szCs w:val="20"/>
          <w:lang w:eastAsia="pl-PL"/>
        </w:rPr>
        <w:t xml:space="preserve">1.4.3. </w:t>
      </w:r>
      <w:r w:rsidRPr="004853EB">
        <w:rPr>
          <w:rFonts w:eastAsia="Times New Roman" w:cstheme="minorHAnsi"/>
          <w:sz w:val="20"/>
          <w:szCs w:val="20"/>
          <w:lang w:eastAsia="pl-PL"/>
        </w:rPr>
        <w:t xml:space="preserve">Reper </w:t>
      </w:r>
      <w:r w:rsidR="00E45376" w:rsidRPr="004853EB">
        <w:rPr>
          <w:rFonts w:eastAsia="Times New Roman" w:cstheme="minorHAnsi"/>
          <w:sz w:val="20"/>
          <w:szCs w:val="20"/>
          <w:lang w:eastAsia="pl-PL"/>
        </w:rPr>
        <w:t>– zasadniczy</w:t>
      </w:r>
      <w:r w:rsidRPr="004853EB">
        <w:rPr>
          <w:rFonts w:eastAsia="Times New Roman" w:cstheme="minorHAnsi"/>
          <w:sz w:val="20"/>
          <w:szCs w:val="20"/>
          <w:lang w:eastAsia="pl-PL"/>
        </w:rPr>
        <w:t xml:space="preserve"> element znaku wysokościowego lub samodzielny znak wysokościowy, którego wysokość jest wyznaczona.</w:t>
      </w:r>
    </w:p>
    <w:p w14:paraId="0976E556" w14:textId="5D842170" w:rsidR="00713454" w:rsidRPr="004853EB" w:rsidRDefault="00713454" w:rsidP="00713454">
      <w:pPr>
        <w:spacing w:after="120" w:line="240" w:lineRule="auto"/>
        <w:jc w:val="both"/>
        <w:rPr>
          <w:rFonts w:eastAsia="Times New Roman" w:cstheme="minorHAnsi"/>
          <w:sz w:val="20"/>
          <w:szCs w:val="20"/>
          <w:lang w:eastAsia="pl-PL"/>
        </w:rPr>
      </w:pPr>
      <w:r w:rsidRPr="004853EB">
        <w:rPr>
          <w:rFonts w:eastAsia="Times New Roman" w:cstheme="minorHAnsi"/>
          <w:b/>
          <w:sz w:val="20"/>
          <w:szCs w:val="20"/>
          <w:lang w:eastAsia="pl-PL"/>
        </w:rPr>
        <w:t xml:space="preserve">1.4.4. </w:t>
      </w:r>
      <w:r w:rsidRPr="004853EB">
        <w:rPr>
          <w:rFonts w:eastAsia="Times New Roman" w:cstheme="minorHAnsi"/>
          <w:sz w:val="20"/>
          <w:szCs w:val="20"/>
          <w:lang w:eastAsia="pl-PL"/>
        </w:rPr>
        <w:t xml:space="preserve">Znak geodezyjny </w:t>
      </w:r>
      <w:r w:rsidR="00E45376" w:rsidRPr="004853EB">
        <w:rPr>
          <w:rFonts w:eastAsia="Times New Roman" w:cstheme="minorHAnsi"/>
          <w:sz w:val="20"/>
          <w:szCs w:val="20"/>
          <w:lang w:eastAsia="pl-PL"/>
        </w:rPr>
        <w:t>– znak</w:t>
      </w:r>
      <w:r w:rsidRPr="004853EB">
        <w:rPr>
          <w:rFonts w:eastAsia="Times New Roman" w:cstheme="minorHAnsi"/>
          <w:sz w:val="20"/>
          <w:szCs w:val="20"/>
          <w:lang w:eastAsia="pl-PL"/>
        </w:rPr>
        <w:t xml:space="preserve"> z trwałego materiału umieszczony w punktach osnowy geodezyjnej.</w:t>
      </w:r>
    </w:p>
    <w:p w14:paraId="3148C865" w14:textId="77777777" w:rsidR="00713454" w:rsidRPr="004853EB" w:rsidRDefault="00713454" w:rsidP="00713454">
      <w:pPr>
        <w:spacing w:after="120" w:line="240" w:lineRule="auto"/>
        <w:jc w:val="both"/>
        <w:rPr>
          <w:rFonts w:eastAsia="Times New Roman" w:cstheme="minorHAnsi"/>
          <w:sz w:val="20"/>
          <w:szCs w:val="20"/>
          <w:lang w:eastAsia="pl-PL"/>
        </w:rPr>
      </w:pPr>
      <w:r w:rsidRPr="004853EB">
        <w:rPr>
          <w:rFonts w:eastAsia="Times New Roman" w:cstheme="minorHAnsi"/>
          <w:b/>
          <w:sz w:val="20"/>
          <w:szCs w:val="20"/>
          <w:lang w:eastAsia="pl-PL"/>
        </w:rPr>
        <w:t xml:space="preserve">1.4.5. </w:t>
      </w:r>
      <w:r w:rsidRPr="004853EB">
        <w:rPr>
          <w:rFonts w:eastAsia="Times New Roman" w:cstheme="minorHAnsi"/>
          <w:sz w:val="20"/>
          <w:szCs w:val="20"/>
          <w:lang w:eastAsia="pl-PL"/>
        </w:rPr>
        <w:t>Osnowa realizacyjna - osnowa geodezyjna (pozioma i wysokościowa), przeznaczona do geodezyjnego wytyczenia elementów projektu w terenie oraz geodezyjnej obsługi budowy.</w:t>
      </w:r>
    </w:p>
    <w:p w14:paraId="503C8E5A" w14:textId="3103AEF7" w:rsidR="00713454" w:rsidRPr="004853EB" w:rsidRDefault="00713454" w:rsidP="00713454">
      <w:pPr>
        <w:spacing w:after="120" w:line="240" w:lineRule="auto"/>
        <w:jc w:val="both"/>
        <w:rPr>
          <w:rFonts w:eastAsia="Times New Roman" w:cstheme="minorHAnsi"/>
          <w:sz w:val="20"/>
          <w:szCs w:val="20"/>
          <w:lang w:eastAsia="pl-PL"/>
        </w:rPr>
      </w:pPr>
      <w:r w:rsidRPr="004853EB">
        <w:rPr>
          <w:rFonts w:eastAsia="Times New Roman" w:cstheme="minorHAnsi"/>
          <w:b/>
          <w:sz w:val="20"/>
          <w:szCs w:val="20"/>
          <w:lang w:eastAsia="pl-PL"/>
        </w:rPr>
        <w:t xml:space="preserve">1.4.6. </w:t>
      </w:r>
      <w:r w:rsidRPr="004853EB">
        <w:rPr>
          <w:rFonts w:eastAsia="Times New Roman" w:cstheme="minorHAnsi"/>
          <w:sz w:val="20"/>
          <w:szCs w:val="20"/>
          <w:lang w:eastAsia="pl-PL"/>
        </w:rPr>
        <w:t xml:space="preserve">Inwentaryzacja powykonawcza – pomiar powykonawczy wybudowanej drogi i sporządzenie związanej </w:t>
      </w:r>
      <w:r w:rsidR="00E45376">
        <w:rPr>
          <w:rFonts w:eastAsia="Times New Roman" w:cstheme="minorHAnsi"/>
          <w:sz w:val="20"/>
          <w:szCs w:val="20"/>
          <w:lang w:eastAsia="pl-PL"/>
        </w:rPr>
        <w:br/>
      </w:r>
      <w:r w:rsidRPr="004853EB">
        <w:rPr>
          <w:rFonts w:eastAsia="Times New Roman" w:cstheme="minorHAnsi"/>
          <w:sz w:val="20"/>
          <w:szCs w:val="20"/>
          <w:lang w:eastAsia="pl-PL"/>
        </w:rPr>
        <w:t>z nim dokumentacji geodezyjnej i kartograficznej.</w:t>
      </w:r>
    </w:p>
    <w:p w14:paraId="3E2DED5C" w14:textId="755BF512" w:rsidR="00713454" w:rsidRPr="004853EB" w:rsidRDefault="00713454" w:rsidP="00713454">
      <w:pPr>
        <w:spacing w:after="0" w:line="240" w:lineRule="auto"/>
        <w:jc w:val="both"/>
        <w:rPr>
          <w:rFonts w:eastAsia="Times New Roman" w:cstheme="minorHAnsi"/>
          <w:color w:val="000000"/>
          <w:sz w:val="20"/>
          <w:szCs w:val="20"/>
          <w:lang w:eastAsia="pl-PL"/>
        </w:rPr>
      </w:pPr>
      <w:r w:rsidRPr="004853EB">
        <w:rPr>
          <w:rFonts w:eastAsia="Times New Roman" w:cstheme="minorHAnsi"/>
          <w:b/>
          <w:sz w:val="20"/>
          <w:szCs w:val="20"/>
          <w:lang w:eastAsia="pl-PL"/>
        </w:rPr>
        <w:t xml:space="preserve">1.4.7. </w:t>
      </w:r>
      <w:r w:rsidRPr="004853EB">
        <w:rPr>
          <w:rFonts w:eastAsia="Times New Roman" w:cstheme="minorHAnsi"/>
          <w:sz w:val="20"/>
          <w:szCs w:val="20"/>
          <w:lang w:eastAsia="pl-PL"/>
        </w:rPr>
        <w:t xml:space="preserve">Pozostałe określenia podstawowe są zgodne z obowiązującymi, odpowiednimi polskimi normami </w:t>
      </w:r>
      <w:r w:rsidR="00E45376">
        <w:rPr>
          <w:rFonts w:eastAsia="Times New Roman" w:cstheme="minorHAnsi"/>
          <w:sz w:val="20"/>
          <w:szCs w:val="20"/>
          <w:lang w:eastAsia="pl-PL"/>
        </w:rPr>
        <w:br/>
      </w:r>
      <w:r w:rsidRPr="004853EB">
        <w:rPr>
          <w:rFonts w:eastAsia="Times New Roman" w:cstheme="minorHAnsi"/>
          <w:sz w:val="20"/>
          <w:szCs w:val="20"/>
          <w:lang w:eastAsia="pl-PL"/>
        </w:rPr>
        <w:t>i z definicjami</w:t>
      </w:r>
      <w:r w:rsidRPr="004853EB">
        <w:rPr>
          <w:rFonts w:eastAsia="Times New Roman" w:cstheme="minorHAnsi"/>
          <w:color w:val="000000"/>
          <w:sz w:val="20"/>
          <w:szCs w:val="20"/>
          <w:lang w:eastAsia="pl-PL"/>
        </w:rPr>
        <w:t xml:space="preserve"> podanymi w SST D-00.00.00 „Wymagania ogólne” [1] pkt 1.4.</w:t>
      </w:r>
    </w:p>
    <w:p w14:paraId="02F7B406" w14:textId="77777777" w:rsidR="00713454" w:rsidRPr="004853EB" w:rsidRDefault="00713454" w:rsidP="00713454">
      <w:pPr>
        <w:keepNext/>
        <w:keepLines/>
        <w:tabs>
          <w:tab w:val="left" w:pos="284"/>
          <w:tab w:val="left" w:pos="851"/>
        </w:tab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37" w:name="_Toc438609822"/>
      <w:bookmarkStart w:id="238" w:name="_Toc166309962"/>
      <w:bookmarkStart w:id="239" w:name="_Toc274137171"/>
      <w:bookmarkStart w:id="240" w:name="_Toc194476506"/>
      <w:bookmarkStart w:id="241" w:name="_Toc227759848"/>
      <w:bookmarkStart w:id="242" w:name="_Toc227824995"/>
      <w:r w:rsidRPr="004853EB">
        <w:rPr>
          <w:rFonts w:eastAsia="Times New Roman" w:cstheme="minorHAnsi"/>
          <w:b/>
          <w:caps/>
          <w:kern w:val="28"/>
          <w:sz w:val="20"/>
          <w:szCs w:val="20"/>
          <w:lang w:eastAsia="pl-PL"/>
        </w:rPr>
        <w:t>2</w:t>
      </w:r>
      <w:bookmarkStart w:id="243" w:name="_Toc411231970"/>
      <w:bookmarkStart w:id="244" w:name="_Toc428880129"/>
      <w:bookmarkStart w:id="245" w:name="_Toc433636047"/>
      <w:bookmarkStart w:id="246" w:name="_Toc433675538"/>
      <w:bookmarkStart w:id="247" w:name="_Toc434887984"/>
      <w:r w:rsidRPr="004853EB">
        <w:rPr>
          <w:rFonts w:eastAsia="Times New Roman" w:cstheme="minorHAnsi"/>
          <w:b/>
          <w:caps/>
          <w:kern w:val="28"/>
          <w:sz w:val="20"/>
          <w:szCs w:val="20"/>
          <w:lang w:eastAsia="pl-PL"/>
        </w:rPr>
        <w:t>. MATERIAŁY</w:t>
      </w:r>
      <w:bookmarkEnd w:id="237"/>
      <w:bookmarkEnd w:id="238"/>
      <w:bookmarkEnd w:id="239"/>
      <w:bookmarkEnd w:id="240"/>
      <w:bookmarkEnd w:id="241"/>
      <w:bookmarkEnd w:id="242"/>
      <w:bookmarkEnd w:id="243"/>
      <w:bookmarkEnd w:id="244"/>
      <w:bookmarkEnd w:id="245"/>
      <w:bookmarkEnd w:id="246"/>
      <w:bookmarkEnd w:id="247"/>
    </w:p>
    <w:p w14:paraId="73C1F63C"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48" w:name="_Toc194476507"/>
      <w:bookmarkStart w:id="249" w:name="_Toc227759849"/>
      <w:bookmarkStart w:id="250" w:name="_Toc227824996"/>
      <w:r w:rsidRPr="004853EB">
        <w:rPr>
          <w:rFonts w:eastAsia="Times New Roman" w:cstheme="minorHAnsi"/>
          <w:b/>
          <w:sz w:val="20"/>
          <w:szCs w:val="20"/>
          <w:lang w:eastAsia="pl-PL"/>
        </w:rPr>
        <w:t>2.1. Ogólne wymagania dotyczące materiałów</w:t>
      </w:r>
      <w:bookmarkEnd w:id="248"/>
      <w:bookmarkEnd w:id="249"/>
      <w:bookmarkEnd w:id="250"/>
    </w:p>
    <w:p w14:paraId="73105482" w14:textId="77777777" w:rsidR="00713454" w:rsidRPr="004853EB" w:rsidRDefault="00713454" w:rsidP="0071345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Ogólne wymagania dotyczące materiałów podano w SST D-00.00.00 „Wymagania ogólne" [1] pkt 2.</w:t>
      </w:r>
    </w:p>
    <w:p w14:paraId="5486E19B"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51" w:name="_Toc194476508"/>
      <w:bookmarkStart w:id="252" w:name="_Toc227759850"/>
      <w:bookmarkStart w:id="253" w:name="_Toc227824997"/>
      <w:r w:rsidRPr="004853EB">
        <w:rPr>
          <w:rFonts w:eastAsia="Times New Roman" w:cstheme="minorHAnsi"/>
          <w:b/>
          <w:sz w:val="20"/>
          <w:szCs w:val="20"/>
          <w:lang w:eastAsia="pl-PL"/>
        </w:rPr>
        <w:t>2.2. Materiały do wykonania robót</w:t>
      </w:r>
      <w:bookmarkEnd w:id="251"/>
      <w:bookmarkEnd w:id="252"/>
      <w:bookmarkEnd w:id="253"/>
    </w:p>
    <w:p w14:paraId="5589E42E" w14:textId="178E5B16"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Do utrwalenia punktów głównych trasy należy stosować pale drewniane z gwoździem lub prętem stalowym, słupki betonowe albo rury metalowe długości </w:t>
      </w:r>
      <w:r w:rsidR="00E45376" w:rsidRPr="004853EB">
        <w:rPr>
          <w:rFonts w:eastAsia="Times New Roman" w:cstheme="minorHAnsi"/>
          <w:sz w:val="20"/>
          <w:szCs w:val="20"/>
          <w:lang w:eastAsia="pl-PL"/>
        </w:rPr>
        <w:t>około 0</w:t>
      </w:r>
      <w:r w:rsidRPr="004853EB">
        <w:rPr>
          <w:rFonts w:eastAsia="Times New Roman" w:cstheme="minorHAnsi"/>
          <w:sz w:val="20"/>
          <w:szCs w:val="20"/>
          <w:lang w:eastAsia="pl-PL"/>
        </w:rPr>
        <w:t>,5 m.</w:t>
      </w:r>
    </w:p>
    <w:p w14:paraId="26038FA1"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Pale drewniane umieszczone poza granicą robót ziemnych, w sąsiedztwie punktów załamania trasy powinny mieć średnicę 0,15 ÷ 0,20 m i długość 1,5 ÷ 1,7 m.</w:t>
      </w:r>
    </w:p>
    <w:p w14:paraId="71A9E1EF"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 stabilizacji pozostałych punktów należy stosować paliki drewniane średnicy 0,05 ÷ 0,08 m i długości około 0,30 m, a dla punktów utrwalonych w istniejącej nawierzchni bolce stalowe średnicy 5 mm i długości 0,04 ÷ 0,05 m.</w:t>
      </w:r>
    </w:p>
    <w:p w14:paraId="1D4D94D9" w14:textId="77777777" w:rsidR="00713454" w:rsidRPr="004853EB"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„Świadki” powinny mieć długość około 0,50 m i przekrój prostokątny.</w:t>
      </w:r>
    </w:p>
    <w:p w14:paraId="44540899" w14:textId="77777777" w:rsidR="00713454" w:rsidRPr="004853EB"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 stabilizowania roboczego pikietażu trasy, poza granicą pasa robót, należy stosować pale drewniane średnicy 0,15 ÷ 0,20 m i długości 1,5 ÷ 1,7 m z tabliczkami o wymiarach uzgodnionych z Inżynierem.</w:t>
      </w:r>
    </w:p>
    <w:p w14:paraId="66DA9F29" w14:textId="77777777" w:rsidR="00713454" w:rsidRPr="004853EB"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 utrwalenia punktów osnowy geodezyjnej należy stosować materiały zgodne z instrukcjami technicznymi G-1 [5] i G-2 [6].</w:t>
      </w:r>
    </w:p>
    <w:p w14:paraId="6C18CFF8" w14:textId="77777777" w:rsidR="00713454" w:rsidRPr="004853EB" w:rsidRDefault="00713454" w:rsidP="00713454">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54" w:name="_Toc25373382"/>
      <w:bookmarkStart w:id="255" w:name="_Toc25379398"/>
      <w:bookmarkStart w:id="256" w:name="_Toc38338022"/>
      <w:bookmarkStart w:id="257" w:name="_Toc68660263"/>
      <w:bookmarkStart w:id="258" w:name="_Toc68921158"/>
      <w:bookmarkStart w:id="259" w:name="_Toc68929545"/>
      <w:bookmarkStart w:id="260" w:name="_Toc70745913"/>
      <w:bookmarkStart w:id="261" w:name="_Toc113338099"/>
      <w:bookmarkStart w:id="262" w:name="_Toc124213275"/>
      <w:bookmarkStart w:id="263" w:name="_Toc144694237"/>
      <w:bookmarkStart w:id="264" w:name="_Toc199904821"/>
      <w:bookmarkStart w:id="265" w:name="_Toc204566518"/>
      <w:bookmarkStart w:id="266" w:name="_Toc274137172"/>
      <w:bookmarkStart w:id="267" w:name="_Toc194476509"/>
      <w:bookmarkStart w:id="268" w:name="_Toc227759851"/>
      <w:bookmarkStart w:id="269" w:name="_Toc227824998"/>
      <w:r w:rsidRPr="004853EB">
        <w:rPr>
          <w:rFonts w:eastAsia="Times New Roman" w:cstheme="minorHAnsi"/>
          <w:b/>
          <w:caps/>
          <w:kern w:val="28"/>
          <w:sz w:val="20"/>
          <w:szCs w:val="20"/>
          <w:lang w:eastAsia="pl-PL"/>
        </w:rPr>
        <w:lastRenderedPageBreak/>
        <w:t xml:space="preserve">3. </w:t>
      </w:r>
      <w:bookmarkEnd w:id="254"/>
      <w:bookmarkEnd w:id="255"/>
      <w:bookmarkEnd w:id="256"/>
      <w:bookmarkEnd w:id="257"/>
      <w:bookmarkEnd w:id="258"/>
      <w:bookmarkEnd w:id="259"/>
      <w:bookmarkEnd w:id="260"/>
      <w:bookmarkEnd w:id="261"/>
      <w:bookmarkEnd w:id="262"/>
      <w:bookmarkEnd w:id="263"/>
      <w:bookmarkEnd w:id="264"/>
      <w:bookmarkEnd w:id="265"/>
      <w:bookmarkEnd w:id="266"/>
      <w:r w:rsidRPr="004853EB">
        <w:rPr>
          <w:rFonts w:eastAsia="Times New Roman" w:cstheme="minorHAnsi"/>
          <w:b/>
          <w:caps/>
          <w:kern w:val="28"/>
          <w:sz w:val="20"/>
          <w:szCs w:val="20"/>
          <w:lang w:eastAsia="pl-PL"/>
        </w:rPr>
        <w:t>SPRZĘT</w:t>
      </w:r>
      <w:bookmarkEnd w:id="267"/>
      <w:bookmarkEnd w:id="268"/>
      <w:bookmarkEnd w:id="269"/>
    </w:p>
    <w:p w14:paraId="0EEF4266"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70" w:name="_Toc194476510"/>
      <w:bookmarkStart w:id="271" w:name="_Toc227759852"/>
      <w:bookmarkStart w:id="272" w:name="_Toc227824999"/>
      <w:r w:rsidRPr="004853EB">
        <w:rPr>
          <w:rFonts w:eastAsia="Times New Roman" w:cstheme="minorHAnsi"/>
          <w:b/>
          <w:sz w:val="20"/>
          <w:szCs w:val="20"/>
          <w:lang w:eastAsia="pl-PL"/>
        </w:rPr>
        <w:t>3.1. Ogólne wymagania dotyczące sprzętu</w:t>
      </w:r>
      <w:bookmarkEnd w:id="270"/>
      <w:bookmarkEnd w:id="271"/>
      <w:bookmarkEnd w:id="272"/>
    </w:p>
    <w:p w14:paraId="0BD30CB6" w14:textId="4C30099A" w:rsidR="00713454" w:rsidRPr="004853EB"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Ogólne wymagania dotyczące sprzętu podano w </w:t>
      </w:r>
      <w:r w:rsidR="00E45376" w:rsidRPr="004853EB">
        <w:rPr>
          <w:rFonts w:eastAsia="Times New Roman" w:cstheme="minorHAnsi"/>
          <w:sz w:val="20"/>
          <w:szCs w:val="20"/>
          <w:lang w:eastAsia="pl-PL"/>
        </w:rPr>
        <w:t>SST D</w:t>
      </w:r>
      <w:r w:rsidRPr="004853EB">
        <w:rPr>
          <w:rFonts w:eastAsia="Times New Roman" w:cstheme="minorHAnsi"/>
          <w:sz w:val="20"/>
          <w:szCs w:val="20"/>
          <w:lang w:eastAsia="pl-PL"/>
        </w:rPr>
        <w:t>-00.00.00 „Wymagania ogólne” [1] pkt 3.</w:t>
      </w:r>
    </w:p>
    <w:p w14:paraId="3A9B6ACC"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73" w:name="_Toc194476511"/>
      <w:bookmarkStart w:id="274" w:name="_Toc227759853"/>
      <w:bookmarkStart w:id="275" w:name="_Toc227825000"/>
      <w:r w:rsidRPr="004853EB">
        <w:rPr>
          <w:rFonts w:eastAsia="Times New Roman" w:cstheme="minorHAnsi"/>
          <w:b/>
          <w:sz w:val="20"/>
          <w:szCs w:val="20"/>
          <w:lang w:eastAsia="pl-PL"/>
        </w:rPr>
        <w:t>3.2. Sprzęt stosowany do wykonania robót</w:t>
      </w:r>
      <w:bookmarkEnd w:id="273"/>
      <w:bookmarkEnd w:id="274"/>
      <w:bookmarkEnd w:id="275"/>
    </w:p>
    <w:p w14:paraId="775CF54A"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Przy wykonywaniu robót Wykonawca w zależności od potrzeb, powinien wykazać się możliwością korzystania ze sprzętu dostosowanego do przyjętej metody robót, jak:</w:t>
      </w:r>
    </w:p>
    <w:p w14:paraId="443B0846" w14:textId="77777777" w:rsidR="00713454" w:rsidRPr="004853EB" w:rsidRDefault="00713454" w:rsidP="00713454">
      <w:pPr>
        <w:numPr>
          <w:ilvl w:val="0"/>
          <w:numId w:val="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teodolity lub tachimetry,</w:t>
      </w:r>
    </w:p>
    <w:p w14:paraId="27B950F4" w14:textId="77777777" w:rsidR="00713454" w:rsidRPr="004853EB" w:rsidRDefault="00713454" w:rsidP="00713454">
      <w:pPr>
        <w:numPr>
          <w:ilvl w:val="0"/>
          <w:numId w:val="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niwelatory,</w:t>
      </w:r>
    </w:p>
    <w:p w14:paraId="0B636D39" w14:textId="77777777" w:rsidR="00713454" w:rsidRPr="004853EB" w:rsidRDefault="00713454" w:rsidP="00713454">
      <w:pPr>
        <w:numPr>
          <w:ilvl w:val="0"/>
          <w:numId w:val="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dalmierze,</w:t>
      </w:r>
    </w:p>
    <w:p w14:paraId="0061C940" w14:textId="77777777" w:rsidR="00713454" w:rsidRPr="004853EB" w:rsidRDefault="00713454" w:rsidP="00713454">
      <w:pPr>
        <w:numPr>
          <w:ilvl w:val="0"/>
          <w:numId w:val="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tyczki, łaty, taśmy stalowe, szpilki,</w:t>
      </w:r>
    </w:p>
    <w:p w14:paraId="42724FCD" w14:textId="77777777" w:rsidR="00713454" w:rsidRPr="004853EB" w:rsidRDefault="00713454" w:rsidP="00713454">
      <w:pPr>
        <w:numPr>
          <w:ilvl w:val="0"/>
          <w:numId w:val="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ew. odbiorniki GPS, zapewniające uzyskanie wymaganych dokładności pomiarów.</w:t>
      </w:r>
    </w:p>
    <w:p w14:paraId="366C441D" w14:textId="77777777" w:rsidR="00713454" w:rsidRPr="004853EB"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Sprzęt stosowany do odtworzenia trasy drogowej i jej punktów wysokościowych powinien gwarantować uzyskanie wymaganej dokładności pomiaru.</w:t>
      </w:r>
    </w:p>
    <w:p w14:paraId="727DF030"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76" w:name="_Toc33319442"/>
      <w:bookmarkStart w:id="277" w:name="_Toc33320734"/>
      <w:bookmarkStart w:id="278" w:name="_Toc38338023"/>
      <w:bookmarkStart w:id="279" w:name="_Toc68660264"/>
      <w:bookmarkStart w:id="280" w:name="_Toc68921159"/>
      <w:bookmarkStart w:id="281" w:name="_Toc68929546"/>
      <w:bookmarkStart w:id="282" w:name="_Toc70745914"/>
      <w:bookmarkStart w:id="283" w:name="_Toc113338100"/>
      <w:bookmarkStart w:id="284" w:name="_Toc124213276"/>
      <w:bookmarkStart w:id="285" w:name="_Toc144694238"/>
      <w:bookmarkStart w:id="286" w:name="_Toc199904822"/>
      <w:bookmarkStart w:id="287" w:name="_Toc204566519"/>
      <w:bookmarkStart w:id="288" w:name="_Toc274137173"/>
      <w:bookmarkStart w:id="289" w:name="_Toc194476512"/>
      <w:bookmarkStart w:id="290" w:name="_Toc227759854"/>
      <w:bookmarkStart w:id="291" w:name="_Toc227825001"/>
      <w:r w:rsidRPr="004853EB">
        <w:rPr>
          <w:rFonts w:eastAsia="Times New Roman" w:cstheme="minorHAnsi"/>
          <w:b/>
          <w:caps/>
          <w:kern w:val="28"/>
          <w:sz w:val="20"/>
          <w:szCs w:val="20"/>
          <w:lang w:eastAsia="pl-PL"/>
        </w:rPr>
        <w:t>4. TRANSPORT</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474519A"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2" w:name="_Toc194476513"/>
      <w:bookmarkStart w:id="293" w:name="_Toc227759855"/>
      <w:bookmarkStart w:id="294" w:name="_Toc227825002"/>
      <w:r w:rsidRPr="004853EB">
        <w:rPr>
          <w:rFonts w:eastAsia="Times New Roman" w:cstheme="minorHAnsi"/>
          <w:b/>
          <w:sz w:val="20"/>
          <w:szCs w:val="20"/>
          <w:lang w:eastAsia="pl-PL"/>
        </w:rPr>
        <w:t>4.1. Ogólne wymagania dotyczące transportu</w:t>
      </w:r>
      <w:bookmarkEnd w:id="292"/>
      <w:bookmarkEnd w:id="293"/>
      <w:bookmarkEnd w:id="294"/>
    </w:p>
    <w:p w14:paraId="5D6B7E00" w14:textId="77777777" w:rsidR="00713454" w:rsidRPr="004853EB"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transportu podano w SST D-00.00.00 „Wymagania ogólne” [1] pkt 4.</w:t>
      </w:r>
      <w:r w:rsidRPr="004853EB">
        <w:rPr>
          <w:rFonts w:eastAsia="Times New Roman" w:cstheme="minorHAnsi"/>
          <w:sz w:val="20"/>
          <w:szCs w:val="20"/>
          <w:lang w:eastAsia="pl-PL"/>
        </w:rPr>
        <w:tab/>
      </w:r>
    </w:p>
    <w:p w14:paraId="7FCDA5E8"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5" w:name="_Toc194476514"/>
      <w:bookmarkStart w:id="296" w:name="_Toc227759856"/>
      <w:bookmarkStart w:id="297" w:name="_Toc227825003"/>
      <w:r w:rsidRPr="004853EB">
        <w:rPr>
          <w:rFonts w:eastAsia="Times New Roman" w:cstheme="minorHAnsi"/>
          <w:b/>
          <w:sz w:val="20"/>
          <w:szCs w:val="20"/>
          <w:lang w:eastAsia="pl-PL"/>
        </w:rPr>
        <w:t>4.2. Transport materiałów i sprzętu</w:t>
      </w:r>
      <w:bookmarkEnd w:id="295"/>
      <w:bookmarkEnd w:id="296"/>
      <w:bookmarkEnd w:id="297"/>
    </w:p>
    <w:p w14:paraId="0F62A24E"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Sprzęt i materiały do prac geodezyjnych można przewozić dowolnym środkiem transportu.</w:t>
      </w:r>
    </w:p>
    <w:p w14:paraId="55F948E6" w14:textId="77777777" w:rsidR="00713454" w:rsidRPr="004853EB" w:rsidRDefault="00713454" w:rsidP="00713454">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98" w:name="_Toc421940500"/>
      <w:bookmarkStart w:id="299" w:name="_Toc18217006"/>
      <w:bookmarkStart w:id="300" w:name="_Toc30219220"/>
      <w:bookmarkStart w:id="301" w:name="_Toc33319443"/>
      <w:bookmarkStart w:id="302" w:name="_Toc33320735"/>
      <w:bookmarkStart w:id="303" w:name="_Toc38338024"/>
      <w:bookmarkStart w:id="304" w:name="_Toc68660265"/>
      <w:bookmarkStart w:id="305" w:name="_Toc68921160"/>
      <w:bookmarkStart w:id="306" w:name="_Toc68929547"/>
      <w:bookmarkStart w:id="307" w:name="_Toc70745915"/>
      <w:bookmarkStart w:id="308" w:name="_Toc113338101"/>
      <w:bookmarkStart w:id="309" w:name="_Toc124213277"/>
      <w:bookmarkStart w:id="310" w:name="_Toc144694239"/>
      <w:bookmarkStart w:id="311" w:name="_Toc199904823"/>
      <w:bookmarkStart w:id="312" w:name="_Toc204566520"/>
      <w:bookmarkStart w:id="313" w:name="_Toc274137174"/>
      <w:bookmarkStart w:id="314" w:name="_Toc194476515"/>
      <w:bookmarkStart w:id="315" w:name="_Toc227759857"/>
      <w:bookmarkStart w:id="316" w:name="_Toc227825004"/>
      <w:r w:rsidRPr="004853EB">
        <w:rPr>
          <w:rFonts w:eastAsia="Times New Roman" w:cstheme="minorHAnsi"/>
          <w:b/>
          <w:caps/>
          <w:kern w:val="28"/>
          <w:sz w:val="20"/>
          <w:szCs w:val="20"/>
          <w:lang w:eastAsia="pl-PL"/>
        </w:rPr>
        <w:t xml:space="preserve">5. </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853EB">
        <w:rPr>
          <w:rFonts w:eastAsia="Times New Roman" w:cstheme="minorHAnsi"/>
          <w:b/>
          <w:caps/>
          <w:kern w:val="28"/>
          <w:sz w:val="20"/>
          <w:szCs w:val="20"/>
          <w:lang w:eastAsia="pl-PL"/>
        </w:rPr>
        <w:t>WYKONANIE ROBÓT</w:t>
      </w:r>
      <w:bookmarkEnd w:id="314"/>
      <w:bookmarkEnd w:id="315"/>
      <w:bookmarkEnd w:id="316"/>
    </w:p>
    <w:p w14:paraId="576E9318"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17" w:name="_Toc194476516"/>
      <w:bookmarkStart w:id="318" w:name="_Toc227759858"/>
      <w:bookmarkStart w:id="319" w:name="_Toc227825005"/>
      <w:r w:rsidRPr="004853EB">
        <w:rPr>
          <w:rFonts w:eastAsia="Times New Roman" w:cstheme="minorHAnsi"/>
          <w:b/>
          <w:sz w:val="20"/>
          <w:szCs w:val="20"/>
          <w:lang w:eastAsia="pl-PL"/>
        </w:rPr>
        <w:t>5.1. Ogólne zasady wykonania robót</w:t>
      </w:r>
      <w:bookmarkEnd w:id="317"/>
      <w:bookmarkEnd w:id="318"/>
      <w:bookmarkEnd w:id="319"/>
    </w:p>
    <w:p w14:paraId="480DDD01" w14:textId="77777777" w:rsidR="00713454" w:rsidRPr="004853EB"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wykonania robót podano w SST D-00.00.00 „Wymagania ogólne” [1] pkt 5.</w:t>
      </w:r>
    </w:p>
    <w:p w14:paraId="56E44EAC"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20" w:name="_Toc194476517"/>
      <w:bookmarkStart w:id="321" w:name="_Toc227759859"/>
      <w:bookmarkStart w:id="322" w:name="_Toc227825006"/>
      <w:r w:rsidRPr="004853EB">
        <w:rPr>
          <w:rFonts w:eastAsia="Times New Roman" w:cstheme="minorHAnsi"/>
          <w:b/>
          <w:sz w:val="20"/>
          <w:szCs w:val="20"/>
          <w:lang w:eastAsia="pl-PL"/>
        </w:rPr>
        <w:t>5.2. Zasady wykonywania robót</w:t>
      </w:r>
      <w:bookmarkEnd w:id="320"/>
      <w:bookmarkEnd w:id="321"/>
      <w:bookmarkEnd w:id="322"/>
    </w:p>
    <w:p w14:paraId="0FAAF820"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Podstawowe czynności przy wykonywaniu robót obejmują:</w:t>
      </w:r>
    </w:p>
    <w:p w14:paraId="2CFD9CB9" w14:textId="77777777" w:rsidR="00713454" w:rsidRPr="004853EB" w:rsidRDefault="00713454" w:rsidP="00713454">
      <w:pPr>
        <w:numPr>
          <w:ilvl w:val="0"/>
          <w:numId w:val="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roboty przygotowawcze, </w:t>
      </w:r>
    </w:p>
    <w:p w14:paraId="1872286C" w14:textId="77777777" w:rsidR="00713454" w:rsidRPr="004853EB" w:rsidRDefault="00713454" w:rsidP="00713454">
      <w:pPr>
        <w:numPr>
          <w:ilvl w:val="0"/>
          <w:numId w:val="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odtworzenie trasy i punktów wysokościowych,</w:t>
      </w:r>
    </w:p>
    <w:p w14:paraId="6E856816" w14:textId="77777777" w:rsidR="00713454" w:rsidRPr="004853EB" w:rsidRDefault="00713454" w:rsidP="00713454">
      <w:pPr>
        <w:numPr>
          <w:ilvl w:val="0"/>
          <w:numId w:val="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geodezyjna inwentaryzacja powykonawcza.</w:t>
      </w:r>
    </w:p>
    <w:p w14:paraId="0EF6FE52"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23" w:name="_Toc194476518"/>
      <w:bookmarkStart w:id="324" w:name="_Toc227759860"/>
      <w:bookmarkStart w:id="325" w:name="_Toc227825007"/>
      <w:r w:rsidRPr="004853EB">
        <w:rPr>
          <w:rFonts w:eastAsia="Times New Roman" w:cstheme="minorHAnsi"/>
          <w:b/>
          <w:sz w:val="20"/>
          <w:szCs w:val="20"/>
          <w:lang w:eastAsia="pl-PL"/>
        </w:rPr>
        <w:t>5.3. Prace przygotowawcze</w:t>
      </w:r>
      <w:bookmarkEnd w:id="323"/>
      <w:bookmarkEnd w:id="324"/>
      <w:bookmarkEnd w:id="325"/>
    </w:p>
    <w:p w14:paraId="348739AD"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 przystąpieniem do robót Wykonawca robót geodezyjnych powinien:</w:t>
      </w:r>
    </w:p>
    <w:p w14:paraId="42BC69EE" w14:textId="77777777" w:rsidR="00713454" w:rsidRPr="004853EB" w:rsidRDefault="00713454" w:rsidP="00713454">
      <w:pPr>
        <w:numPr>
          <w:ilvl w:val="0"/>
          <w:numId w:val="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zapoznać się z zakresem opracowania,</w:t>
      </w:r>
    </w:p>
    <w:p w14:paraId="51389F42" w14:textId="77777777" w:rsidR="00713454" w:rsidRPr="004853EB" w:rsidRDefault="00713454" w:rsidP="00713454">
      <w:pPr>
        <w:numPr>
          <w:ilvl w:val="0"/>
          <w:numId w:val="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przeprowadzić z Zamawiającym (Inżynierem) uzgodnienia dotyczące sposobu wykonania prac,</w:t>
      </w:r>
    </w:p>
    <w:p w14:paraId="044291FA" w14:textId="77777777" w:rsidR="00713454" w:rsidRPr="004853EB" w:rsidRDefault="00713454" w:rsidP="00713454">
      <w:pPr>
        <w:numPr>
          <w:ilvl w:val="0"/>
          <w:numId w:val="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zapoznać się z dokumentacją projektową,</w:t>
      </w:r>
    </w:p>
    <w:p w14:paraId="08E6E5FC" w14:textId="77777777" w:rsidR="00713454" w:rsidRPr="004853EB" w:rsidRDefault="00713454" w:rsidP="00713454">
      <w:pPr>
        <w:numPr>
          <w:ilvl w:val="0"/>
          <w:numId w:val="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zebrać informacje o rodzaju i stanie osnów geodezyjnych na obszarze objętym budową drogi,</w:t>
      </w:r>
    </w:p>
    <w:p w14:paraId="1D11B6F0" w14:textId="77777777" w:rsidR="00713454" w:rsidRPr="004853EB" w:rsidRDefault="00713454" w:rsidP="00713454">
      <w:pPr>
        <w:numPr>
          <w:ilvl w:val="0"/>
          <w:numId w:val="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zapoznać się z przewidywanym sposobem realizacji budowy, </w:t>
      </w:r>
    </w:p>
    <w:p w14:paraId="4BA3C61E" w14:textId="77777777" w:rsidR="00713454" w:rsidRPr="004853EB" w:rsidRDefault="00713454" w:rsidP="00713454">
      <w:pPr>
        <w:numPr>
          <w:ilvl w:val="0"/>
          <w:numId w:val="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przeprowadzić wywiad szczegółowy w terenie.</w:t>
      </w:r>
    </w:p>
    <w:p w14:paraId="64F437D3"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26" w:name="_Toc194476519"/>
      <w:bookmarkStart w:id="327" w:name="_Toc227759861"/>
      <w:bookmarkStart w:id="328" w:name="_Toc227825008"/>
      <w:r w:rsidRPr="004853EB">
        <w:rPr>
          <w:rFonts w:eastAsia="Times New Roman" w:cstheme="minorHAnsi"/>
          <w:b/>
          <w:sz w:val="20"/>
          <w:szCs w:val="20"/>
          <w:lang w:eastAsia="pl-PL"/>
        </w:rPr>
        <w:t>5.4. Odtworzenie trasy drogi i punktów wysokościowych</w:t>
      </w:r>
      <w:bookmarkEnd w:id="326"/>
      <w:bookmarkEnd w:id="327"/>
      <w:bookmarkEnd w:id="328"/>
    </w:p>
    <w:p w14:paraId="080E8C12" w14:textId="77777777" w:rsidR="00713454" w:rsidRPr="004853EB"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5.4.1. </w:t>
      </w:r>
      <w:r w:rsidRPr="004853EB">
        <w:rPr>
          <w:rFonts w:eastAsia="Times New Roman" w:cstheme="minorHAnsi"/>
          <w:sz w:val="20"/>
          <w:szCs w:val="20"/>
          <w:lang w:eastAsia="pl-PL"/>
        </w:rPr>
        <w:t>Zasady wykonywania prac pomiarowych</w:t>
      </w:r>
    </w:p>
    <w:p w14:paraId="31205007"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Prace pomiarowe powinny być wykonane zgodnie z obowiązującymi Instrukcjami i wytycznymi GUGiK [3÷10].</w:t>
      </w:r>
    </w:p>
    <w:p w14:paraId="3FAAECF1"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 przystąpieniem do robót Wykonawca powinien przejąć od Zamawiającego dane zawierające lokalizację i współrzędne punktów głównych trasy oraz reperów.</w:t>
      </w:r>
    </w:p>
    <w:p w14:paraId="1B50AF92"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oparciu o materiały dostarczone przez Zamawiającego, Wykonawca powinien przeprowadzić obliczenia i pomiary geodezyjne niezbędne do szczegółowego wytyczenia robót.</w:t>
      </w:r>
    </w:p>
    <w:p w14:paraId="016C3B9A" w14:textId="69ED3C73"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Prace pomiarowe powinny być wykonane przez osoby posiadające odpowiednie kwalifikacje </w:t>
      </w:r>
      <w:r w:rsidR="00E45376">
        <w:rPr>
          <w:rFonts w:eastAsia="Times New Roman" w:cstheme="minorHAnsi"/>
          <w:sz w:val="20"/>
          <w:szCs w:val="20"/>
          <w:lang w:eastAsia="pl-PL"/>
        </w:rPr>
        <w:br/>
      </w:r>
      <w:r w:rsidRPr="004853EB">
        <w:rPr>
          <w:rFonts w:eastAsia="Times New Roman" w:cstheme="minorHAnsi"/>
          <w:sz w:val="20"/>
          <w:szCs w:val="20"/>
          <w:lang w:eastAsia="pl-PL"/>
        </w:rPr>
        <w:t>i uprawnienia.</w:t>
      </w:r>
    </w:p>
    <w:p w14:paraId="303721F8" w14:textId="4D34EA02"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t xml:space="preserve">Wykonawca powinien natychmiast poinformować Inżyniera o wszelkich błędach wykrytych </w:t>
      </w:r>
      <w:r w:rsidR="00E45376">
        <w:rPr>
          <w:rFonts w:eastAsia="Times New Roman" w:cstheme="minorHAnsi"/>
          <w:sz w:val="20"/>
          <w:szCs w:val="20"/>
          <w:lang w:eastAsia="pl-PL"/>
        </w:rPr>
        <w:br/>
      </w:r>
      <w:r w:rsidRPr="004853EB">
        <w:rPr>
          <w:rFonts w:eastAsia="Times New Roman" w:cstheme="minorHAnsi"/>
          <w:sz w:val="20"/>
          <w:szCs w:val="20"/>
          <w:lang w:eastAsia="pl-PL"/>
        </w:rPr>
        <w:t>w wytyczeniu punktów głównych trasy i (lub) reperów roboczych. Błędy te powinny być usunięte na koszt Zamawiającego.</w:t>
      </w:r>
    </w:p>
    <w:p w14:paraId="4E1EE236" w14:textId="289BABAF"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Wykonawca powinien sprawdzić czy rzędne terenu określone w dokumentacji projektowej są zgodne </w:t>
      </w:r>
      <w:r w:rsidR="00E45376">
        <w:rPr>
          <w:rFonts w:eastAsia="Times New Roman" w:cstheme="minorHAnsi"/>
          <w:sz w:val="20"/>
          <w:szCs w:val="20"/>
          <w:lang w:eastAsia="pl-PL"/>
        </w:rPr>
        <w:br/>
      </w:r>
      <w:r w:rsidRPr="004853EB">
        <w:rPr>
          <w:rFonts w:eastAsia="Times New Roman" w:cstheme="minorHAnsi"/>
          <w:sz w:val="20"/>
          <w:szCs w:val="20"/>
          <w:lang w:eastAsia="pl-PL"/>
        </w:rPr>
        <w:t xml:space="preserve">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w:t>
      </w:r>
      <w:r w:rsidR="00E45376">
        <w:rPr>
          <w:rFonts w:eastAsia="Times New Roman" w:cstheme="minorHAnsi"/>
          <w:sz w:val="20"/>
          <w:szCs w:val="20"/>
          <w:lang w:eastAsia="pl-PL"/>
        </w:rPr>
        <w:br/>
      </w:r>
      <w:r w:rsidRPr="004853EB">
        <w:rPr>
          <w:rFonts w:eastAsia="Times New Roman" w:cstheme="minorHAnsi"/>
          <w:sz w:val="20"/>
          <w:szCs w:val="20"/>
          <w:lang w:eastAsia="pl-PL"/>
        </w:rPr>
        <w:t>i rzędnych rzeczywistych, akceptowane przez Inżyniera, zostaną wykonane na koszt Zamawiającego. Zaniechanie powiadomienia Inżyniera oznacza, że roboty dodatkowe w takim przypadku obciążą Wykonawcę.</w:t>
      </w:r>
    </w:p>
    <w:p w14:paraId="11D92306"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Wszystkie roboty, które bazują na pomiarach Wykonawcy, nie mogą być rozpoczęte przed zaakceptowaniem wyników pomiarów przez Inżyniera.</w:t>
      </w:r>
    </w:p>
    <w:p w14:paraId="52216077" w14:textId="54949A3F"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Punkty wierzchołkowe, punkty główne trasy i punkty pośrednie osi trasy muszą być zaopatrzone </w:t>
      </w:r>
      <w:r w:rsidR="00E45376">
        <w:rPr>
          <w:rFonts w:eastAsia="Times New Roman" w:cstheme="minorHAnsi"/>
          <w:sz w:val="20"/>
          <w:szCs w:val="20"/>
          <w:lang w:eastAsia="pl-PL"/>
        </w:rPr>
        <w:br/>
      </w:r>
      <w:r w:rsidRPr="004853EB">
        <w:rPr>
          <w:rFonts w:eastAsia="Times New Roman" w:cstheme="minorHAnsi"/>
          <w:sz w:val="20"/>
          <w:szCs w:val="20"/>
          <w:lang w:eastAsia="pl-PL"/>
        </w:rPr>
        <w:t xml:space="preserve">w oznaczenia określające w sposób wyraźny i jednoznaczny charakterystykę i położenie tych punktów. Forma </w:t>
      </w:r>
      <w:r w:rsidR="00E45376">
        <w:rPr>
          <w:rFonts w:eastAsia="Times New Roman" w:cstheme="minorHAnsi"/>
          <w:sz w:val="20"/>
          <w:szCs w:val="20"/>
          <w:lang w:eastAsia="pl-PL"/>
        </w:rPr>
        <w:br/>
      </w:r>
      <w:r w:rsidRPr="004853EB">
        <w:rPr>
          <w:rFonts w:eastAsia="Times New Roman" w:cstheme="minorHAnsi"/>
          <w:sz w:val="20"/>
          <w:szCs w:val="20"/>
          <w:lang w:eastAsia="pl-PL"/>
        </w:rPr>
        <w:t>i wzór tych oznaczeń powinny być zaakceptowane przez Inżyniera.</w:t>
      </w:r>
    </w:p>
    <w:p w14:paraId="657E936A" w14:textId="28656306"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Wykonawca jest odpowiedzialny za zabezpieczanie wszystkich punktów pomiarowych i ich oznaczeń </w:t>
      </w:r>
      <w:r w:rsidR="00E45376">
        <w:rPr>
          <w:rFonts w:eastAsia="Times New Roman" w:cstheme="minorHAnsi"/>
          <w:sz w:val="20"/>
          <w:szCs w:val="20"/>
          <w:lang w:eastAsia="pl-PL"/>
        </w:rPr>
        <w:br/>
      </w:r>
      <w:r w:rsidRPr="004853EB">
        <w:rPr>
          <w:rFonts w:eastAsia="Times New Roman" w:cstheme="minorHAnsi"/>
          <w:sz w:val="20"/>
          <w:szCs w:val="20"/>
          <w:lang w:eastAsia="pl-PL"/>
        </w:rPr>
        <w:t>w czasie trwania robót. Jeżeli znaki pomiarowe przekazane przez Zamawiającego zostaną zniszczone przez Wykonawcę świadomie lub wskutek zaniedbania, a ich odtworzenie jest konieczne do dalszego prowadzenia robót, to zostaną one odtworzone na koszt Wykonawcy.</w:t>
      </w:r>
    </w:p>
    <w:p w14:paraId="43EA2FB6"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Wszystkie pozostałe prace pomiarowe konieczne dla prawidłowej realizacji robót należą do obowiązków Wykonawcy.</w:t>
      </w:r>
    </w:p>
    <w:p w14:paraId="0A3529AB" w14:textId="77777777" w:rsidR="00713454" w:rsidRPr="004853EB" w:rsidRDefault="00713454" w:rsidP="00713454">
      <w:pPr>
        <w:keepNext/>
        <w:overflowPunct w:val="0"/>
        <w:autoSpaceDE w:val="0"/>
        <w:autoSpaceDN w:val="0"/>
        <w:adjustRightInd w:val="0"/>
        <w:spacing w:before="120" w:after="120" w:line="240" w:lineRule="auto"/>
        <w:ind w:left="709" w:hanging="709"/>
        <w:jc w:val="both"/>
        <w:textAlignment w:val="baseline"/>
        <w:outlineLvl w:val="1"/>
        <w:rPr>
          <w:rFonts w:eastAsia="Times New Roman" w:cstheme="minorHAnsi"/>
          <w:sz w:val="20"/>
          <w:szCs w:val="20"/>
          <w:lang w:eastAsia="pl-PL"/>
        </w:rPr>
      </w:pPr>
      <w:bookmarkStart w:id="329" w:name="_Toc194476520"/>
      <w:bookmarkStart w:id="330" w:name="_Toc227759862"/>
      <w:bookmarkStart w:id="331" w:name="_Toc227825009"/>
      <w:r w:rsidRPr="004853EB">
        <w:rPr>
          <w:rFonts w:eastAsia="Times New Roman" w:cstheme="minorHAnsi"/>
          <w:b/>
          <w:sz w:val="20"/>
          <w:szCs w:val="20"/>
          <w:lang w:eastAsia="pl-PL"/>
        </w:rPr>
        <w:t xml:space="preserve">5.4.2. </w:t>
      </w:r>
      <w:r w:rsidRPr="004853EB">
        <w:rPr>
          <w:rFonts w:eastAsia="Times New Roman" w:cstheme="minorHAnsi"/>
          <w:sz w:val="20"/>
          <w:szCs w:val="20"/>
          <w:lang w:eastAsia="pl-PL"/>
        </w:rPr>
        <w:t>Sprawdzenie wyznaczenia punktów głównych osi trasy i punktów wysokościowych</w:t>
      </w:r>
      <w:bookmarkEnd w:id="329"/>
      <w:bookmarkEnd w:id="330"/>
      <w:bookmarkEnd w:id="331"/>
    </w:p>
    <w:p w14:paraId="348C42B7"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 xml:space="preserve">Punkty wierzchołkowe trasy i inne punkty główne powinny być </w:t>
      </w:r>
      <w:proofErr w:type="spellStart"/>
      <w:r w:rsidRPr="004853EB">
        <w:rPr>
          <w:rFonts w:eastAsia="Times New Roman" w:cstheme="minorHAnsi"/>
          <w:sz w:val="20"/>
          <w:szCs w:val="20"/>
          <w:lang w:eastAsia="pl-PL"/>
        </w:rPr>
        <w:t>zastabilizowane</w:t>
      </w:r>
      <w:proofErr w:type="spellEnd"/>
      <w:r w:rsidRPr="004853EB">
        <w:rPr>
          <w:rFonts w:eastAsia="Times New Roman" w:cstheme="minorHAnsi"/>
          <w:sz w:val="20"/>
          <w:szCs w:val="20"/>
          <w:lang w:eastAsia="pl-PL"/>
        </w:rP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500 m.</w:t>
      </w:r>
    </w:p>
    <w:p w14:paraId="03E825CD"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powinien założyć robocze punkty wysokościowe (repery robocze) wzdłuż osi trasy drogowej, a także przy każdym obiekcie inżynierskim. Maksymalna odległość między reperami roboczymi wzdłuż trasy drogowej w terenie płaskim powinna wynosić 500 metrów, natomiast w terenie falistym i górskim powinna być odpowiednio zmniejszona, zależnie od jego konfiguracji.</w:t>
      </w:r>
    </w:p>
    <w:p w14:paraId="7BFEC93D" w14:textId="4EB768D6"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Repery robocze należy założyć poza granicami robót związanych z wykonaniem trasy drogowej </w:t>
      </w:r>
      <w:r w:rsidR="00E45376">
        <w:rPr>
          <w:rFonts w:eastAsia="Times New Roman" w:cstheme="minorHAnsi"/>
          <w:sz w:val="20"/>
          <w:szCs w:val="20"/>
          <w:lang w:eastAsia="pl-PL"/>
        </w:rPr>
        <w:br/>
      </w:r>
      <w:r w:rsidRPr="004853EB">
        <w:rPr>
          <w:rFonts w:eastAsia="Times New Roman" w:cstheme="minorHAnsi"/>
          <w:sz w:val="20"/>
          <w:szCs w:val="20"/>
          <w:lang w:eastAsia="pl-PL"/>
        </w:rPr>
        <w:t xml:space="preserve">i obiektów towarzyszących. Jako repery robocze można wykorzystać punkty stałe na stabilnych, istniejących budowlach wzdłuż trasy drogowej. O ile brak </w:t>
      </w:r>
      <w:r w:rsidR="00E45376" w:rsidRPr="004853EB">
        <w:rPr>
          <w:rFonts w:eastAsia="Times New Roman" w:cstheme="minorHAnsi"/>
          <w:sz w:val="20"/>
          <w:szCs w:val="20"/>
          <w:lang w:eastAsia="pl-PL"/>
        </w:rPr>
        <w:t>jest takich</w:t>
      </w:r>
      <w:r w:rsidRPr="004853EB">
        <w:rPr>
          <w:rFonts w:eastAsia="Times New Roman" w:cstheme="minorHAnsi"/>
          <w:sz w:val="20"/>
          <w:szCs w:val="20"/>
          <w:lang w:eastAsia="pl-PL"/>
        </w:rPr>
        <w:t xml:space="preserve"> punktów, repery robocze należy założyć w postaci słupków betonowych lub grubych kształtowników stalowych, osadzonych w gruncie w sposób wykluczający osiadanie, w sposób zaakceptowany przez Inżyniera.</w:t>
      </w:r>
    </w:p>
    <w:p w14:paraId="787B29F5"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Rzędne reperów roboczych należy określać z taką dokładnością, aby średni błąd niwelacji po wyrównaniu był mniejszy od 4 mm/km, stosując niwelację podwójną w nawiązaniu do reperów państwowych.</w:t>
      </w:r>
    </w:p>
    <w:p w14:paraId="2805A580" w14:textId="6D3DAF15"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Repery robocze powinny być wyposażone w dodatkowe oznaczenia, zawierające wyraźne </w:t>
      </w:r>
      <w:r w:rsidR="00E45376">
        <w:rPr>
          <w:rFonts w:eastAsia="Times New Roman" w:cstheme="minorHAnsi"/>
          <w:sz w:val="20"/>
          <w:szCs w:val="20"/>
          <w:lang w:eastAsia="pl-PL"/>
        </w:rPr>
        <w:br/>
      </w:r>
      <w:r w:rsidRPr="004853EB">
        <w:rPr>
          <w:rFonts w:eastAsia="Times New Roman" w:cstheme="minorHAnsi"/>
          <w:sz w:val="20"/>
          <w:szCs w:val="20"/>
          <w:lang w:eastAsia="pl-PL"/>
        </w:rPr>
        <w:t>i jednoznaczne określenie nazwy reperu i jego rzędnej.</w:t>
      </w:r>
    </w:p>
    <w:p w14:paraId="7BAADEF6" w14:textId="66A01929" w:rsidR="00713454" w:rsidRPr="004853EB" w:rsidRDefault="00E45376"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32" w:name="_Toc194476521"/>
      <w:bookmarkStart w:id="333" w:name="_Toc227759863"/>
      <w:bookmarkStart w:id="334" w:name="_Toc227825010"/>
      <w:r w:rsidRPr="004853EB">
        <w:rPr>
          <w:rFonts w:eastAsia="Times New Roman" w:cstheme="minorHAnsi"/>
          <w:b/>
          <w:sz w:val="20"/>
          <w:szCs w:val="20"/>
          <w:lang w:eastAsia="pl-PL"/>
        </w:rPr>
        <w:t>5.4.3. Odtworzenie</w:t>
      </w:r>
      <w:r w:rsidR="00713454" w:rsidRPr="004853EB">
        <w:rPr>
          <w:rFonts w:eastAsia="Times New Roman" w:cstheme="minorHAnsi"/>
          <w:sz w:val="20"/>
          <w:szCs w:val="20"/>
          <w:lang w:eastAsia="pl-PL"/>
        </w:rPr>
        <w:t xml:space="preserve"> osi trasy</w:t>
      </w:r>
      <w:bookmarkEnd w:id="332"/>
      <w:bookmarkEnd w:id="333"/>
      <w:bookmarkEnd w:id="334"/>
    </w:p>
    <w:p w14:paraId="65387DCC"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Tyczenie osi trasy należy wykonać w oparciu o dokumentację projektową oraz inne dane geodezyjne przekazane przez Zamawiającego, przy wykorzystaniu sieci poligonizacji państwowej albo innej osnowy geodezyjnej, określonej w dokumentacji projektowej.</w:t>
      </w:r>
    </w:p>
    <w:p w14:paraId="433EF3D2"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Oś trasy powinna być wyznaczona w punktach głównych i w punktach pośrednich w odległości zależnej od charakterystyki terenu i ukształtowania trasy, lecz nie rzadziej niż co 50 metrów.</w:t>
      </w:r>
    </w:p>
    <w:p w14:paraId="611C8AAA" w14:textId="26F217DB"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Dopuszczalne odchylenie sytuacyjne wytyczonej osi trasy w stosunku do dokumentacji projektowej nie może być większe niż 5 cm dla projektowanych dróg. Rzędne niwelety punktów osi trasy należy wyznaczyć </w:t>
      </w:r>
      <w:r w:rsidR="00E45376">
        <w:rPr>
          <w:rFonts w:eastAsia="Times New Roman" w:cstheme="minorHAnsi"/>
          <w:sz w:val="20"/>
          <w:szCs w:val="20"/>
          <w:lang w:eastAsia="pl-PL"/>
        </w:rPr>
        <w:br/>
      </w:r>
      <w:r w:rsidRPr="004853EB">
        <w:rPr>
          <w:rFonts w:eastAsia="Times New Roman" w:cstheme="minorHAnsi"/>
          <w:sz w:val="20"/>
          <w:szCs w:val="20"/>
          <w:lang w:eastAsia="pl-PL"/>
        </w:rPr>
        <w:t>z dokładnością do 1 cm w stosunku do rzędnych niwelety określonych w dokumentacji projektowej.</w:t>
      </w:r>
    </w:p>
    <w:p w14:paraId="1F00919F"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Do utrwalenia osi trasy w terenie należy użyć materiałów wymienionych w </w:t>
      </w:r>
      <w:proofErr w:type="spellStart"/>
      <w:r w:rsidRPr="004853EB">
        <w:rPr>
          <w:rFonts w:eastAsia="Times New Roman" w:cstheme="minorHAnsi"/>
          <w:sz w:val="20"/>
          <w:szCs w:val="20"/>
          <w:lang w:eastAsia="pl-PL"/>
        </w:rPr>
        <w:t>pkcie</w:t>
      </w:r>
      <w:proofErr w:type="spellEnd"/>
      <w:r w:rsidRPr="004853EB">
        <w:rPr>
          <w:rFonts w:eastAsia="Times New Roman" w:cstheme="minorHAnsi"/>
          <w:sz w:val="20"/>
          <w:szCs w:val="20"/>
          <w:lang w:eastAsia="pl-PL"/>
        </w:rPr>
        <w:t> 2.2.</w:t>
      </w:r>
    </w:p>
    <w:p w14:paraId="73DF4FE2"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Usunięcie pali z osi trasy jest dopuszczalne tylko wówczas, gdy Wykonawca robót zastąpi je odpowiednimi palami po obu stronach osi, umieszczonych poza granicą robót.</w:t>
      </w:r>
    </w:p>
    <w:p w14:paraId="59088A1C"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35" w:name="_Toc194476522"/>
      <w:bookmarkStart w:id="336" w:name="_Toc227759864"/>
      <w:bookmarkStart w:id="337" w:name="_Toc227825011"/>
      <w:r w:rsidRPr="004853EB">
        <w:rPr>
          <w:rFonts w:eastAsia="Times New Roman" w:cstheme="minorHAnsi"/>
          <w:b/>
          <w:sz w:val="20"/>
          <w:szCs w:val="20"/>
          <w:lang w:eastAsia="pl-PL"/>
        </w:rPr>
        <w:t xml:space="preserve">5.4.4. </w:t>
      </w:r>
      <w:r w:rsidRPr="004853EB">
        <w:rPr>
          <w:rFonts w:eastAsia="Times New Roman" w:cstheme="minorHAnsi"/>
          <w:sz w:val="20"/>
          <w:szCs w:val="20"/>
          <w:lang w:eastAsia="pl-PL"/>
        </w:rPr>
        <w:t>Wyznaczenie przekrojów poprzecznych</w:t>
      </w:r>
      <w:bookmarkEnd w:id="335"/>
      <w:bookmarkEnd w:id="336"/>
      <w:bookmarkEnd w:id="337"/>
    </w:p>
    <w:p w14:paraId="37A73B80"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 xml:space="preserve">Wyznaczenie przekrojów poprzecznych obejmuje wyznaczenie krawędzi nasypów i wykopów na powierzchni terenu (określenie granicy robót), zgodnie z dokumentacją projektową oraz w miejscach </w:t>
      </w:r>
      <w:r w:rsidRPr="004853EB">
        <w:rPr>
          <w:rFonts w:eastAsia="Times New Roman" w:cstheme="minorHAnsi"/>
          <w:sz w:val="20"/>
          <w:szCs w:val="20"/>
          <w:lang w:eastAsia="pl-PL"/>
        </w:rPr>
        <w:lastRenderedPageBreak/>
        <w:t>wymagających uzupełnienia dla poprawnego przeprowadzenia robót i w miejscach zaakceptowanych przez Inżyniera.</w:t>
      </w:r>
    </w:p>
    <w:p w14:paraId="25A2637C"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 wyznaczania krawędzi nasypów i wykopów należy stosować dobrze widoczne paliki lub wiechy. Wiechy należy stosować w przypadku nasypów o wysokości przekraczającej 1 metr oraz wykopów głębszych niż 1 metr. Odległość między palikami lub wiechami należy dostosować do ukształtowania terenu oraz geometrii trasy drogowej. Odległość ta co najmniej powinna odpowiadać odstępowi kolejnych przekrojów poprzecznych.</w:t>
      </w:r>
    </w:p>
    <w:p w14:paraId="61CF588C"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Profilowanie przekrojów poprzecznych musi umożliwiać wykonanie nasypów i wykopów o kształcie zgodnym z dokumentacją projektową.</w:t>
      </w:r>
    </w:p>
    <w:p w14:paraId="6A84DE28" w14:textId="77777777" w:rsidR="00713454" w:rsidRPr="004853EB" w:rsidRDefault="00713454" w:rsidP="00713454">
      <w:pPr>
        <w:tabs>
          <w:tab w:val="left" w:pos="0"/>
        </w:tabs>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5.4.5. </w:t>
      </w:r>
      <w:r w:rsidRPr="004853EB">
        <w:rPr>
          <w:rFonts w:eastAsia="Times New Roman" w:cstheme="minorHAnsi"/>
          <w:sz w:val="20"/>
          <w:szCs w:val="20"/>
          <w:lang w:eastAsia="pl-PL"/>
        </w:rPr>
        <w:t>Skompletowanie dokumentacji geodezyjnej</w:t>
      </w:r>
    </w:p>
    <w:p w14:paraId="064B8292"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Dokumentację geodezyjną należy skompletować zgodnie z przepisami instrukcji 0-3 [4] z podziałem na:</w:t>
      </w:r>
    </w:p>
    <w:p w14:paraId="19DCCCF2" w14:textId="77777777" w:rsidR="00713454" w:rsidRPr="004853EB" w:rsidRDefault="00713454" w:rsidP="00713454">
      <w:pPr>
        <w:widowControl w:val="0"/>
        <w:numPr>
          <w:ilvl w:val="0"/>
          <w:numId w:val="4"/>
        </w:num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akta postępowania przeznaczone dla Wykonawcy,</w:t>
      </w:r>
    </w:p>
    <w:p w14:paraId="46AF1257" w14:textId="77777777" w:rsidR="00713454" w:rsidRPr="004853EB" w:rsidRDefault="00713454" w:rsidP="00713454">
      <w:pPr>
        <w:widowControl w:val="0"/>
        <w:numPr>
          <w:ilvl w:val="0"/>
          <w:numId w:val="5"/>
        </w:num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dokumentację techniczną przeznaczoną dla Zamawiającego,</w:t>
      </w:r>
    </w:p>
    <w:p w14:paraId="455F76CF" w14:textId="77777777" w:rsidR="00713454" w:rsidRPr="004853EB" w:rsidRDefault="00713454" w:rsidP="00713454">
      <w:pPr>
        <w:widowControl w:val="0"/>
        <w:numPr>
          <w:ilvl w:val="0"/>
          <w:numId w:val="6"/>
        </w:num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dokumentację techniczną przeznaczoną dla ośrodka dokumentacji geodezyjnej i kartograficznej.</w:t>
      </w:r>
    </w:p>
    <w:p w14:paraId="7A5DCFEB" w14:textId="0225CE26" w:rsidR="00713454" w:rsidRPr="004853EB" w:rsidRDefault="00713454" w:rsidP="00713454">
      <w:pPr>
        <w:spacing w:after="0" w:line="240" w:lineRule="auto"/>
        <w:ind w:firstLine="709"/>
        <w:jc w:val="both"/>
        <w:rPr>
          <w:rFonts w:eastAsia="Times New Roman" w:cstheme="minorHAnsi"/>
          <w:sz w:val="20"/>
          <w:szCs w:val="20"/>
          <w:lang w:eastAsia="pl-PL"/>
        </w:rPr>
      </w:pPr>
      <w:r w:rsidRPr="004853EB">
        <w:rPr>
          <w:rFonts w:eastAsia="Times New Roman" w:cstheme="minorHAnsi"/>
          <w:sz w:val="20"/>
          <w:szCs w:val="20"/>
          <w:lang w:eastAsia="pl-PL"/>
        </w:rPr>
        <w:t xml:space="preserve">Sposób skompletowania dokumentacji, o której mowa </w:t>
      </w:r>
      <w:r w:rsidR="00DD5BCD" w:rsidRPr="004853EB">
        <w:rPr>
          <w:rFonts w:eastAsia="Times New Roman" w:cstheme="minorHAnsi"/>
          <w:sz w:val="20"/>
          <w:szCs w:val="20"/>
          <w:lang w:eastAsia="pl-PL"/>
        </w:rPr>
        <w:t>w ppkcie</w:t>
      </w:r>
      <w:r w:rsidRPr="004853EB">
        <w:rPr>
          <w:rFonts w:eastAsia="Times New Roman" w:cstheme="minorHAnsi"/>
          <w:sz w:val="20"/>
          <w:szCs w:val="20"/>
          <w:lang w:eastAsia="pl-PL"/>
        </w:rPr>
        <w:t xml:space="preserve"> 3 oraz formę dokumentów należy uzgodnić z ośrodkiem dokumentacji. Zamawiający poda w ST, czy dokumentację tę należy okazać Zamawiającemu do wglądu.</w:t>
      </w:r>
    </w:p>
    <w:p w14:paraId="7BFE59B6"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38" w:name="_Toc194476523"/>
      <w:bookmarkStart w:id="339" w:name="_Toc227759865"/>
      <w:bookmarkStart w:id="340" w:name="_Toc227825012"/>
      <w:r w:rsidRPr="004853EB">
        <w:rPr>
          <w:rFonts w:eastAsia="Times New Roman" w:cstheme="minorHAnsi"/>
          <w:b/>
          <w:sz w:val="20"/>
          <w:szCs w:val="20"/>
          <w:lang w:eastAsia="pl-PL"/>
        </w:rPr>
        <w:t>5.5. Pomiar powykonawczy wybudowanej drogi</w:t>
      </w:r>
      <w:bookmarkEnd w:id="338"/>
      <w:bookmarkEnd w:id="339"/>
      <w:bookmarkEnd w:id="340"/>
    </w:p>
    <w:p w14:paraId="67C49852" w14:textId="77777777" w:rsidR="00713454" w:rsidRPr="004853EB"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5.5.1. </w:t>
      </w:r>
      <w:r w:rsidRPr="004853EB">
        <w:rPr>
          <w:rFonts w:eastAsia="Times New Roman" w:cstheme="minorHAnsi"/>
          <w:sz w:val="20"/>
          <w:szCs w:val="20"/>
          <w:lang w:eastAsia="pl-PL"/>
        </w:rPr>
        <w:t>Zebranie materiałów i informacji</w:t>
      </w:r>
    </w:p>
    <w:p w14:paraId="7C146FB5"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powinien zapoznać się z zakresem opracowania i uzyskać od Zamawiającego instrukcje dotyczące ewentualnych etapów wykonywania pomiarów powykonawczych.</w:t>
      </w:r>
    </w:p>
    <w:p w14:paraId="370E5E80" w14:textId="752D3A7A"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Pomiary powykonawcze powinny być poprzedzone uzyskaniem z ośrodków dokumentacji geodezyjnej </w:t>
      </w:r>
      <w:r w:rsidR="00DD5BCD">
        <w:rPr>
          <w:rFonts w:eastAsia="Times New Roman" w:cstheme="minorHAnsi"/>
          <w:sz w:val="20"/>
          <w:szCs w:val="20"/>
          <w:lang w:eastAsia="pl-PL"/>
        </w:rPr>
        <w:br/>
      </w:r>
      <w:r w:rsidRPr="004853EB">
        <w:rPr>
          <w:rFonts w:eastAsia="Times New Roman" w:cstheme="minorHAnsi"/>
          <w:sz w:val="20"/>
          <w:szCs w:val="20"/>
          <w:lang w:eastAsia="pl-PL"/>
        </w:rPr>
        <w:t xml:space="preserve">i kartograficznej informacji o rodzaju, położeniu i stanie punktów osnowy geodezyjnej (poziomej </w:t>
      </w:r>
      <w:r w:rsidR="00DD5BCD">
        <w:rPr>
          <w:rFonts w:eastAsia="Times New Roman" w:cstheme="minorHAnsi"/>
          <w:sz w:val="20"/>
          <w:szCs w:val="20"/>
          <w:lang w:eastAsia="pl-PL"/>
        </w:rPr>
        <w:br/>
      </w:r>
      <w:r w:rsidRPr="004853EB">
        <w:rPr>
          <w:rFonts w:eastAsia="Times New Roman" w:cstheme="minorHAnsi"/>
          <w:sz w:val="20"/>
          <w:szCs w:val="20"/>
          <w:lang w:eastAsia="pl-PL"/>
        </w:rPr>
        <w:t>i wysokościowej) oraz o mapie zasadniczej i katastralnej.</w:t>
      </w:r>
    </w:p>
    <w:p w14:paraId="3D4C3622"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przypadku stwierdzenia, że w trakcie realizacji obiektu nie została wykonana bieżąca inwentaryzacja sieci uzbrojenia terenu, należy powiadomić o tym Zamawiającego.</w:t>
      </w:r>
    </w:p>
    <w:p w14:paraId="2FC583D4"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Przy analizie zebranych materiałów i informacji należy ustalić:</w:t>
      </w:r>
    </w:p>
    <w:p w14:paraId="475F2ED0" w14:textId="77777777" w:rsidR="00713454" w:rsidRPr="004853EB" w:rsidRDefault="00713454" w:rsidP="00713454">
      <w:pPr>
        <w:numPr>
          <w:ilvl w:val="0"/>
          <w:numId w:val="7"/>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klasy i dokładności istniejących osnów geodezyjnych oraz możliwości wykorzystania ich do pomiarów powykonawczych,</w:t>
      </w:r>
    </w:p>
    <w:p w14:paraId="2993B064" w14:textId="77777777" w:rsidR="00713454" w:rsidRPr="004853EB" w:rsidRDefault="00713454" w:rsidP="00713454">
      <w:pPr>
        <w:numPr>
          <w:ilvl w:val="0"/>
          <w:numId w:val="7"/>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rodzaje układów współrzędnych i poziomów odniesienia,</w:t>
      </w:r>
    </w:p>
    <w:p w14:paraId="21E2A31A" w14:textId="77777777" w:rsidR="00713454" w:rsidRPr="004853EB" w:rsidRDefault="00713454" w:rsidP="00713454">
      <w:pPr>
        <w:numPr>
          <w:ilvl w:val="0"/>
          <w:numId w:val="7"/>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zakres i sposób aktualizacji dokumentów bazowych, znajdujących się w ośrodku dokumentacji o wyniku pomiaru powykonawczego.</w:t>
      </w:r>
    </w:p>
    <w:p w14:paraId="0E97EDD2"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5.5.2. </w:t>
      </w:r>
      <w:r w:rsidRPr="004853EB">
        <w:rPr>
          <w:rFonts w:eastAsia="Times New Roman" w:cstheme="minorHAnsi"/>
          <w:sz w:val="20"/>
          <w:szCs w:val="20"/>
          <w:lang w:eastAsia="pl-PL"/>
        </w:rPr>
        <w:t>Prace pomiarowe i kameralne</w:t>
      </w:r>
    </w:p>
    <w:p w14:paraId="758B4ECD"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pierwszej fazie prac należy wykonać: ogólne rozeznanie w terenie, odszukanie punktów istniejącej osnowy geodezyjnej z ustaleniem stanu technicznego tych punktów oraz aktualizacją opisów topograficznych, zbadanie wizur pomiędzy punktami i ewentualne ich oczyszczenie, wstępne rozeznanie odnośnie konieczności uzupełnienia lub zaprojektowania osnowy poziomej III klasy oraz osnowy pomiarowej.</w:t>
      </w:r>
    </w:p>
    <w:p w14:paraId="7C5B138B"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Następnie należy pomierzyć wznowioną lub założoną osnowę, a następnie wykonać pomiary inwentaryzacyjne, zgodnie z instrukcją G-4 [8] GUGiK, mierząc wszystkie elementy treści mapy zasadniczej oraz treść dodatkową obejmującą: granice ustalone według stanu prawnego, kilometraż dróg, znaki drogowe, punkty referencyjne,  światłem i skrajnią, wszystkie drzewa w pasie drogowym, zabytki i pomniki przyrody, wszystkie ogrodzenia z furtkami i bramami oraz z podziałem na trwałe i nietrwałe, rowy, studnie z ich średnicami, przekroje poprzeczne dróg co 20÷50 m oraz inne elementy według wymagań Zamawiającego.</w:t>
      </w:r>
    </w:p>
    <w:p w14:paraId="4D09AC1D"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Prace obliczeniowe należy wykonać przy pomocy sprzętu komputerowego. Wniesienie pomierzonej treści na mapę zasadniczą oraz mapę katastralną należy wykonać metodą klasyczną (kartowaniem i kreśleniem ręcznym) lub przy pomocy plotera.</w:t>
      </w:r>
    </w:p>
    <w:p w14:paraId="071CAEAD"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Wtórnik mapy zasadniczej dla Zamawiającego należy uzupełnić o elementy wymienione w drugim akapicie niniejszego punktu, tą samą techniką z jaką została wykonana mapa (numeryczną względnie analogową).</w:t>
      </w:r>
    </w:p>
    <w:p w14:paraId="7265EA07" w14:textId="422133D8"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Dokumentację geodezyjną i kartograficzną należy skompletować zgodnie z przepisami instrukcji 0-3 [4], z podziałem na: akta postępowania przeznaczone dla Wykonawcy, dokumentację techniczną przeznaczoną dla Zamawiającego i dokumentację techniczną przeznaczoną dla ośrodka dokumentacji geodezyjnej </w:t>
      </w:r>
      <w:r w:rsidR="00DD5BCD">
        <w:rPr>
          <w:rFonts w:eastAsia="Times New Roman" w:cstheme="minorHAnsi"/>
          <w:sz w:val="20"/>
          <w:szCs w:val="20"/>
          <w:lang w:eastAsia="pl-PL"/>
        </w:rPr>
        <w:br/>
      </w:r>
      <w:r w:rsidRPr="004853EB">
        <w:rPr>
          <w:rFonts w:eastAsia="Times New Roman" w:cstheme="minorHAnsi"/>
          <w:sz w:val="20"/>
          <w:szCs w:val="20"/>
          <w:lang w:eastAsia="pl-PL"/>
        </w:rPr>
        <w:t xml:space="preserve">i kartograficznej. Sposób skompletowania i formę dokumentacji dla ośrodka dokumentacji należy uzgodnić </w:t>
      </w:r>
      <w:r w:rsidR="00DD5BCD">
        <w:rPr>
          <w:rFonts w:eastAsia="Times New Roman" w:cstheme="minorHAnsi"/>
          <w:sz w:val="20"/>
          <w:szCs w:val="20"/>
          <w:lang w:eastAsia="pl-PL"/>
        </w:rPr>
        <w:br/>
      </w:r>
      <w:r w:rsidRPr="004853EB">
        <w:rPr>
          <w:rFonts w:eastAsia="Times New Roman" w:cstheme="minorHAnsi"/>
          <w:sz w:val="20"/>
          <w:szCs w:val="20"/>
          <w:lang w:eastAsia="pl-PL"/>
        </w:rPr>
        <w:t>z ośrodkiem oraz ustalić czy tę dokumentację należy okazać Zamawiającemu do wglądu.</w:t>
      </w:r>
    </w:p>
    <w:p w14:paraId="4ACFFDD0"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5.5.3. </w:t>
      </w:r>
      <w:r w:rsidRPr="004853EB">
        <w:rPr>
          <w:rFonts w:eastAsia="Times New Roman" w:cstheme="minorHAnsi"/>
          <w:sz w:val="20"/>
          <w:szCs w:val="20"/>
          <w:lang w:eastAsia="pl-PL"/>
        </w:rPr>
        <w:t>Dokumentacja dla Zamawiającego</w:t>
      </w:r>
    </w:p>
    <w:p w14:paraId="2848E45D"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t>Jeśli Zamawiający nie ustalił inaczej, to należy skompletować dla Zamawiającego następujące materiały:</w:t>
      </w:r>
    </w:p>
    <w:p w14:paraId="0F6D886C" w14:textId="77777777" w:rsidR="00713454" w:rsidRPr="004853EB" w:rsidRDefault="00713454" w:rsidP="00713454">
      <w:pPr>
        <w:numPr>
          <w:ilvl w:val="0"/>
          <w:numId w:val="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sprawozdanie techniczne,</w:t>
      </w:r>
    </w:p>
    <w:p w14:paraId="78175965" w14:textId="77777777" w:rsidR="00713454" w:rsidRPr="004853EB" w:rsidRDefault="00713454" w:rsidP="00713454">
      <w:pPr>
        <w:numPr>
          <w:ilvl w:val="0"/>
          <w:numId w:val="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wtórnik mapy zasadniczej uzupełniony dodatkową treścią, którą wymieniono w punkcie 5.5.2,</w:t>
      </w:r>
    </w:p>
    <w:p w14:paraId="32CD6071" w14:textId="77777777" w:rsidR="00713454" w:rsidRPr="004853EB" w:rsidRDefault="00713454" w:rsidP="00713454">
      <w:pPr>
        <w:numPr>
          <w:ilvl w:val="0"/>
          <w:numId w:val="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kopie wykazów współrzędnych punktów osnowy oraz wykazy współrzędnych punktów granicznych w postaci dysku i wydruku na papierze,</w:t>
      </w:r>
    </w:p>
    <w:p w14:paraId="0BF9A67F" w14:textId="77777777" w:rsidR="00713454" w:rsidRPr="004853EB" w:rsidRDefault="00713454" w:rsidP="00713454">
      <w:pPr>
        <w:numPr>
          <w:ilvl w:val="0"/>
          <w:numId w:val="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kopie protokołów przekazania znaków geodezyjnych pod ochronę,</w:t>
      </w:r>
    </w:p>
    <w:p w14:paraId="037508A4" w14:textId="77777777" w:rsidR="00713454" w:rsidRPr="004853EB" w:rsidRDefault="00713454" w:rsidP="00713454">
      <w:pPr>
        <w:numPr>
          <w:ilvl w:val="0"/>
          <w:numId w:val="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kopie opisów topograficznych,</w:t>
      </w:r>
    </w:p>
    <w:p w14:paraId="3BD93F64" w14:textId="77777777" w:rsidR="00713454" w:rsidRPr="004853EB" w:rsidRDefault="00713454" w:rsidP="00713454">
      <w:pPr>
        <w:numPr>
          <w:ilvl w:val="0"/>
          <w:numId w:val="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kopie szkiców polowych,</w:t>
      </w:r>
    </w:p>
    <w:p w14:paraId="1861A191" w14:textId="77777777" w:rsidR="00713454" w:rsidRPr="004853EB" w:rsidRDefault="00713454" w:rsidP="00713454">
      <w:pPr>
        <w:numPr>
          <w:ilvl w:val="0"/>
          <w:numId w:val="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nośnik elektroniczny (dysk) z mapą numeryczną oraz wydruk ploterem tych map, jeżeli mapa realizowana jest numerycznie,</w:t>
      </w:r>
    </w:p>
    <w:p w14:paraId="74800107" w14:textId="77777777" w:rsidR="00713454" w:rsidRPr="004853EB" w:rsidRDefault="00713454" w:rsidP="00713454">
      <w:pPr>
        <w:numPr>
          <w:ilvl w:val="0"/>
          <w:numId w:val="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inne materiały zgodne z wymaganiami Zamawiającego.</w:t>
      </w:r>
    </w:p>
    <w:p w14:paraId="6DB46313"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41" w:name="_Toc424534470"/>
      <w:bookmarkStart w:id="342" w:name="_Toc46644001"/>
      <w:bookmarkStart w:id="343" w:name="_Toc51995834"/>
      <w:bookmarkStart w:id="344" w:name="_Toc70745916"/>
      <w:bookmarkStart w:id="345" w:name="_Toc113338102"/>
      <w:bookmarkStart w:id="346" w:name="_Toc124213278"/>
      <w:bookmarkStart w:id="347" w:name="_Toc144694240"/>
      <w:bookmarkStart w:id="348" w:name="_Toc144793980"/>
      <w:bookmarkStart w:id="349" w:name="_Toc146429505"/>
      <w:bookmarkStart w:id="350" w:name="_Toc147039497"/>
      <w:bookmarkStart w:id="351" w:name="_Toc161023547"/>
      <w:bookmarkStart w:id="352" w:name="_Toc164048103"/>
      <w:bookmarkStart w:id="353" w:name="_Toc274137175"/>
      <w:bookmarkStart w:id="354" w:name="_Toc194476524"/>
      <w:bookmarkStart w:id="355" w:name="_Toc227759866"/>
      <w:bookmarkStart w:id="356" w:name="_Toc227825013"/>
      <w:r w:rsidRPr="004853EB">
        <w:rPr>
          <w:rFonts w:eastAsia="Times New Roman" w:cstheme="minorHAnsi"/>
          <w:b/>
          <w:caps/>
          <w:kern w:val="28"/>
          <w:sz w:val="20"/>
          <w:szCs w:val="20"/>
          <w:lang w:eastAsia="pl-PL"/>
        </w:rPr>
        <w:t>6. KONTROLA JAKOŚCI ROBÓT</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C49C1B8"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57" w:name="_Toc194476525"/>
      <w:bookmarkStart w:id="358" w:name="_Toc227759867"/>
      <w:bookmarkStart w:id="359" w:name="_Toc227825014"/>
      <w:r w:rsidRPr="004853EB">
        <w:rPr>
          <w:rFonts w:eastAsia="Times New Roman" w:cstheme="minorHAnsi"/>
          <w:b/>
          <w:sz w:val="20"/>
          <w:szCs w:val="20"/>
          <w:lang w:eastAsia="pl-PL"/>
        </w:rPr>
        <w:t>6.1. Ogólne zasady kontroli jakości robót</w:t>
      </w:r>
      <w:bookmarkEnd w:id="357"/>
      <w:bookmarkEnd w:id="358"/>
      <w:bookmarkEnd w:id="359"/>
    </w:p>
    <w:p w14:paraId="74998662"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kontroli jakości robót podano w SST D-00.00.00 „Wymagania ogólne” [1] pkt 6.</w:t>
      </w:r>
    </w:p>
    <w:p w14:paraId="40C555F0"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0" w:name="_Toc194476526"/>
      <w:bookmarkStart w:id="361" w:name="_Toc227759868"/>
      <w:bookmarkStart w:id="362" w:name="_Toc227825015"/>
      <w:r w:rsidRPr="004853EB">
        <w:rPr>
          <w:rFonts w:eastAsia="Times New Roman" w:cstheme="minorHAnsi"/>
          <w:b/>
          <w:sz w:val="20"/>
          <w:szCs w:val="20"/>
          <w:lang w:eastAsia="pl-PL"/>
        </w:rPr>
        <w:t>6.2. Kontrola jakości prac</w:t>
      </w:r>
      <w:bookmarkEnd w:id="360"/>
      <w:bookmarkEnd w:id="361"/>
      <w:bookmarkEnd w:id="362"/>
    </w:p>
    <w:p w14:paraId="6D7EA73C"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Kontrola jakości prac pomiarowych powinna obejmować:</w:t>
      </w:r>
    </w:p>
    <w:p w14:paraId="2EE29AD7" w14:textId="77777777" w:rsidR="00713454" w:rsidRPr="004853EB" w:rsidRDefault="00713454" w:rsidP="00713454">
      <w:pPr>
        <w:numPr>
          <w:ilvl w:val="0"/>
          <w:numId w:val="1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wewnętrzną kontrolę prowadzoną przez Wykonawcę robót geodezyjnych, która powinna zapewniać możliwość śledzenia przebiegu prac, oceniania ich jakości oraz usuwania nieprawidłowości mogących mieć wpływ na kolejne etapy robót,</w:t>
      </w:r>
    </w:p>
    <w:p w14:paraId="465AEF44" w14:textId="77777777" w:rsidR="00713454" w:rsidRPr="004853EB" w:rsidRDefault="00713454" w:rsidP="00713454">
      <w:pPr>
        <w:numPr>
          <w:ilvl w:val="0"/>
          <w:numId w:val="1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kontrolę prowadzoną przez służbę nadzoru (Inżyniera),</w:t>
      </w:r>
    </w:p>
    <w:p w14:paraId="2999D048" w14:textId="0ECEBD23" w:rsidR="00713454" w:rsidRPr="004853EB" w:rsidRDefault="00713454" w:rsidP="00713454">
      <w:pPr>
        <w:numPr>
          <w:ilvl w:val="0"/>
          <w:numId w:val="1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przestrzeganie ogólnych zasad prac określonych w instrukcjach i wytycznych GUGiK [3÷10], zgodnie </w:t>
      </w:r>
      <w:r w:rsidR="00DD5BCD">
        <w:rPr>
          <w:rFonts w:eastAsia="Times New Roman" w:cstheme="minorHAnsi"/>
          <w:sz w:val="20"/>
          <w:szCs w:val="20"/>
          <w:lang w:eastAsia="pl-PL"/>
        </w:rPr>
        <w:br/>
      </w:r>
      <w:r w:rsidRPr="004853EB">
        <w:rPr>
          <w:rFonts w:eastAsia="Times New Roman" w:cstheme="minorHAnsi"/>
          <w:sz w:val="20"/>
          <w:szCs w:val="20"/>
          <w:lang w:eastAsia="pl-PL"/>
        </w:rPr>
        <w:t>z wymaganiami podanymi w punkcie 5,</w:t>
      </w:r>
    </w:p>
    <w:p w14:paraId="0CD82610" w14:textId="77777777" w:rsidR="00713454" w:rsidRPr="004853EB" w:rsidRDefault="00713454" w:rsidP="00713454">
      <w:pPr>
        <w:numPr>
          <w:ilvl w:val="0"/>
          <w:numId w:val="1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sporządzenie przez Wykonawcę robót geodezyjnych protokołu z wewnętrznej kontroli robót.</w:t>
      </w:r>
    </w:p>
    <w:p w14:paraId="5B38E75D" w14:textId="77777777" w:rsidR="00713454" w:rsidRPr="004853EB"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Kontrolę należy prowadzić według ogólnych zasad określonych w instrukcjach i wytycznych GUGiK [3÷10], zgodnie z wymaganiami podanymi w punkcie 5.4.3.</w:t>
      </w:r>
    </w:p>
    <w:p w14:paraId="3110B36D"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63" w:name="_Toc274137176"/>
      <w:bookmarkStart w:id="364" w:name="_Toc194476527"/>
      <w:bookmarkStart w:id="365" w:name="_Toc227759869"/>
      <w:bookmarkStart w:id="366" w:name="_Toc227825016"/>
      <w:r w:rsidRPr="004853EB">
        <w:rPr>
          <w:rFonts w:eastAsia="Times New Roman" w:cstheme="minorHAnsi"/>
          <w:b/>
          <w:caps/>
          <w:kern w:val="28"/>
          <w:sz w:val="20"/>
          <w:szCs w:val="20"/>
          <w:lang w:eastAsia="pl-PL"/>
        </w:rPr>
        <w:t>7. OBMIAR ROBÓT</w:t>
      </w:r>
      <w:bookmarkEnd w:id="363"/>
      <w:bookmarkEnd w:id="364"/>
      <w:bookmarkEnd w:id="365"/>
      <w:bookmarkEnd w:id="366"/>
    </w:p>
    <w:p w14:paraId="68C031DD"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7" w:name="_Toc194476528"/>
      <w:bookmarkStart w:id="368" w:name="_Toc227759870"/>
      <w:bookmarkStart w:id="369" w:name="_Toc227825017"/>
      <w:r w:rsidRPr="004853EB">
        <w:rPr>
          <w:rFonts w:eastAsia="Times New Roman" w:cstheme="minorHAnsi"/>
          <w:b/>
          <w:sz w:val="20"/>
          <w:szCs w:val="20"/>
          <w:lang w:eastAsia="pl-PL"/>
        </w:rPr>
        <w:t>7.1. Ogólne zasady obmiaru robót</w:t>
      </w:r>
      <w:bookmarkEnd w:id="367"/>
      <w:bookmarkEnd w:id="368"/>
      <w:bookmarkEnd w:id="369"/>
    </w:p>
    <w:p w14:paraId="3045E040"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obmiaru robót podano w SST D-00.00.00 „Wymagania ogólne” [1] pkt 7.</w:t>
      </w:r>
    </w:p>
    <w:p w14:paraId="03B8BF7C"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0" w:name="_Toc194476529"/>
      <w:bookmarkStart w:id="371" w:name="_Toc227759871"/>
      <w:bookmarkStart w:id="372" w:name="_Toc227825018"/>
      <w:r w:rsidRPr="004853EB">
        <w:rPr>
          <w:rFonts w:eastAsia="Times New Roman" w:cstheme="minorHAnsi"/>
          <w:b/>
          <w:sz w:val="20"/>
          <w:szCs w:val="20"/>
          <w:lang w:eastAsia="pl-PL"/>
        </w:rPr>
        <w:t>7.2. Jednostka obmiarowa</w:t>
      </w:r>
      <w:bookmarkEnd w:id="370"/>
      <w:bookmarkEnd w:id="371"/>
      <w:bookmarkEnd w:id="372"/>
    </w:p>
    <w:p w14:paraId="6196AF6B"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Jednostką obmiarową jest km (kilometr) odtworzonej trasy w terenie.</w:t>
      </w:r>
    </w:p>
    <w:p w14:paraId="6CD47EA0"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Przy pomiarach powykonawczych wybudowanej drogi przyjmuje się jednostki: km (kilometr) i ha (hektar).</w:t>
      </w:r>
    </w:p>
    <w:p w14:paraId="2F0AA967"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73" w:name="_Toc274137177"/>
      <w:bookmarkStart w:id="374" w:name="_Toc194476530"/>
      <w:bookmarkStart w:id="375" w:name="_Toc227759872"/>
      <w:bookmarkStart w:id="376" w:name="_Toc227825019"/>
      <w:r w:rsidRPr="004853EB">
        <w:rPr>
          <w:rFonts w:eastAsia="Times New Roman" w:cstheme="minorHAnsi"/>
          <w:b/>
          <w:caps/>
          <w:kern w:val="28"/>
          <w:sz w:val="20"/>
          <w:szCs w:val="20"/>
          <w:lang w:eastAsia="pl-PL"/>
        </w:rPr>
        <w:t>8. ODBIÓR ROBÓT</w:t>
      </w:r>
      <w:bookmarkEnd w:id="373"/>
      <w:bookmarkEnd w:id="374"/>
      <w:bookmarkEnd w:id="375"/>
      <w:bookmarkEnd w:id="376"/>
    </w:p>
    <w:p w14:paraId="47118FD6"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7" w:name="_Toc194476531"/>
      <w:bookmarkStart w:id="378" w:name="_Toc227759873"/>
      <w:bookmarkStart w:id="379" w:name="_Toc227825020"/>
      <w:r w:rsidRPr="004853EB">
        <w:rPr>
          <w:rFonts w:eastAsia="Times New Roman" w:cstheme="minorHAnsi"/>
          <w:b/>
          <w:sz w:val="20"/>
          <w:szCs w:val="20"/>
          <w:lang w:eastAsia="pl-PL"/>
        </w:rPr>
        <w:t>8.1. Ogólne zasady odbioru robót</w:t>
      </w:r>
      <w:bookmarkEnd w:id="377"/>
      <w:bookmarkEnd w:id="378"/>
      <w:bookmarkEnd w:id="379"/>
    </w:p>
    <w:p w14:paraId="07C7E029"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Ogólne zasady odbioru robót podano w SST D-00.00.00 „Wymagania ogólne” [1] pkt 8.</w:t>
      </w:r>
    </w:p>
    <w:p w14:paraId="19EF2916"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0" w:name="_Toc194476532"/>
      <w:bookmarkStart w:id="381" w:name="_Toc227759874"/>
      <w:bookmarkStart w:id="382" w:name="_Toc227825021"/>
      <w:r w:rsidRPr="004853EB">
        <w:rPr>
          <w:rFonts w:eastAsia="Times New Roman" w:cstheme="minorHAnsi"/>
          <w:b/>
          <w:sz w:val="20"/>
          <w:szCs w:val="20"/>
          <w:lang w:eastAsia="pl-PL"/>
        </w:rPr>
        <w:t>8.2. Sposób odbioru robót</w:t>
      </w:r>
      <w:bookmarkEnd w:id="380"/>
      <w:bookmarkEnd w:id="381"/>
      <w:bookmarkEnd w:id="382"/>
    </w:p>
    <w:p w14:paraId="07080092"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Odbiór robót następuje na podstawie protokołu odbioru oraz dokumentacji technicznej przeznaczonej dla Zamawiającego.</w:t>
      </w:r>
    </w:p>
    <w:p w14:paraId="590A90C4"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83" w:name="_Toc274137178"/>
      <w:bookmarkStart w:id="384" w:name="_Toc194476533"/>
      <w:bookmarkStart w:id="385" w:name="_Toc227759875"/>
      <w:bookmarkStart w:id="386" w:name="_Toc227825022"/>
      <w:r w:rsidRPr="004853EB">
        <w:rPr>
          <w:rFonts w:eastAsia="Times New Roman" w:cstheme="minorHAnsi"/>
          <w:b/>
          <w:caps/>
          <w:kern w:val="28"/>
          <w:sz w:val="20"/>
          <w:szCs w:val="20"/>
          <w:lang w:eastAsia="pl-PL"/>
        </w:rPr>
        <w:t>9. PODSTAWA PŁATNOŚCI</w:t>
      </w:r>
      <w:bookmarkEnd w:id="383"/>
      <w:bookmarkEnd w:id="384"/>
      <w:bookmarkEnd w:id="385"/>
      <w:bookmarkEnd w:id="386"/>
    </w:p>
    <w:p w14:paraId="0560A418"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7" w:name="_Toc194476534"/>
      <w:bookmarkStart w:id="388" w:name="_Toc227759876"/>
      <w:bookmarkStart w:id="389" w:name="_Toc227825023"/>
      <w:r w:rsidRPr="004853EB">
        <w:rPr>
          <w:rFonts w:eastAsia="Times New Roman" w:cstheme="minorHAnsi"/>
          <w:b/>
          <w:sz w:val="20"/>
          <w:szCs w:val="20"/>
          <w:lang w:eastAsia="pl-PL"/>
        </w:rPr>
        <w:t>9.1. Ogólne ustalenia dotyczące podstawy płatności</w:t>
      </w:r>
      <w:bookmarkEnd w:id="387"/>
      <w:bookmarkEnd w:id="388"/>
      <w:bookmarkEnd w:id="389"/>
    </w:p>
    <w:p w14:paraId="6783EDFB"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ustalenia dotyczące podstawy płatności podano w SST D-00.00.00 „Wymagania ogólne” [1] pkt 9.</w:t>
      </w:r>
    </w:p>
    <w:p w14:paraId="4B4D980A"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0" w:name="_Toc194476535"/>
      <w:bookmarkStart w:id="391" w:name="_Toc227759877"/>
      <w:bookmarkStart w:id="392" w:name="_Toc227825024"/>
      <w:r w:rsidRPr="004853EB">
        <w:rPr>
          <w:rFonts w:eastAsia="Times New Roman" w:cstheme="minorHAnsi"/>
          <w:b/>
          <w:sz w:val="20"/>
          <w:szCs w:val="20"/>
          <w:lang w:eastAsia="pl-PL"/>
        </w:rPr>
        <w:t>9.2. Cena jednostki obmiarowej</w:t>
      </w:r>
      <w:bookmarkEnd w:id="390"/>
      <w:bookmarkEnd w:id="391"/>
      <w:bookmarkEnd w:id="392"/>
    </w:p>
    <w:p w14:paraId="7ACE9A03"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Cena wykonania robót obejmuje:</w:t>
      </w:r>
    </w:p>
    <w:p w14:paraId="62F751E2" w14:textId="77777777" w:rsidR="00713454" w:rsidRPr="004853EB" w:rsidRDefault="00713454" w:rsidP="00713454">
      <w:pPr>
        <w:numPr>
          <w:ilvl w:val="0"/>
          <w:numId w:val="9"/>
        </w:num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zakup, dostarczenie i składowanie potrzebnych materiałów,</w:t>
      </w:r>
    </w:p>
    <w:p w14:paraId="450D416A" w14:textId="77777777" w:rsidR="00713454" w:rsidRPr="004853EB" w:rsidRDefault="00713454" w:rsidP="00713454">
      <w:pPr>
        <w:numPr>
          <w:ilvl w:val="0"/>
          <w:numId w:val="9"/>
        </w:num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koszt zapewnienia niezbędnych czynników produkcji,</w:t>
      </w:r>
    </w:p>
    <w:p w14:paraId="28935215" w14:textId="77777777" w:rsidR="00713454" w:rsidRPr="004853EB" w:rsidRDefault="00713454" w:rsidP="00713454">
      <w:pPr>
        <w:numPr>
          <w:ilvl w:val="0"/>
          <w:numId w:val="9"/>
        </w:num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zakup i dostarczenie materiałów,</w:t>
      </w:r>
    </w:p>
    <w:p w14:paraId="36C0A98D" w14:textId="77777777" w:rsidR="00713454" w:rsidRPr="004853EB" w:rsidRDefault="00713454" w:rsidP="00713454">
      <w:pPr>
        <w:numPr>
          <w:ilvl w:val="0"/>
          <w:numId w:val="9"/>
        </w:num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sprawdzenie wyznaczenia punktów głównych osi trasy i punktów wysokościowych,</w:t>
      </w:r>
    </w:p>
    <w:p w14:paraId="1835495C" w14:textId="77777777" w:rsidR="00713454" w:rsidRPr="004853EB" w:rsidRDefault="00713454" w:rsidP="00713454">
      <w:pPr>
        <w:numPr>
          <w:ilvl w:val="0"/>
          <w:numId w:val="9"/>
        </w:num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uzupełnienie osi trasy dodatkowymi punktami,</w:t>
      </w:r>
    </w:p>
    <w:p w14:paraId="4F4C1EAB" w14:textId="77777777" w:rsidR="00713454" w:rsidRPr="004853EB" w:rsidRDefault="00713454" w:rsidP="00713454">
      <w:pPr>
        <w:numPr>
          <w:ilvl w:val="0"/>
          <w:numId w:val="9"/>
        </w:num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wyznaczenie dodatkowych punktów wysokościowych,</w:t>
      </w:r>
    </w:p>
    <w:p w14:paraId="36417491" w14:textId="77777777" w:rsidR="00713454" w:rsidRPr="004853EB" w:rsidRDefault="00713454" w:rsidP="00713454">
      <w:pPr>
        <w:numPr>
          <w:ilvl w:val="0"/>
          <w:numId w:val="9"/>
        </w:num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wyznaczenie zjazdów i uzgodnienie ich z właścicielami nieruchomości,</w:t>
      </w:r>
    </w:p>
    <w:p w14:paraId="0821AE7A" w14:textId="77777777" w:rsidR="00713454" w:rsidRPr="004853EB" w:rsidRDefault="00713454" w:rsidP="00713454">
      <w:pPr>
        <w:numPr>
          <w:ilvl w:val="0"/>
          <w:numId w:val="9"/>
        </w:num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wyznaczenie przekrojów poprzecznych z ewentualnym wytyczeniem dodatkowych przekrojów,</w:t>
      </w:r>
    </w:p>
    <w:p w14:paraId="0F2F42F5" w14:textId="77777777" w:rsidR="00713454" w:rsidRPr="004853EB" w:rsidRDefault="00713454" w:rsidP="00713454">
      <w:pPr>
        <w:numPr>
          <w:ilvl w:val="0"/>
          <w:numId w:val="9"/>
        </w:num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wyznaczenie punktów roboczego pikietażu trasy,</w:t>
      </w:r>
    </w:p>
    <w:p w14:paraId="2328732B" w14:textId="77777777" w:rsidR="00713454" w:rsidRPr="004853EB" w:rsidRDefault="00713454" w:rsidP="00713454">
      <w:pPr>
        <w:numPr>
          <w:ilvl w:val="0"/>
          <w:numId w:val="9"/>
        </w:num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ustawienie łat z wyznaczeniem pochylenia skarp,</w:t>
      </w:r>
    </w:p>
    <w:p w14:paraId="61D6FB01" w14:textId="77777777" w:rsidR="00713454" w:rsidRPr="004853EB" w:rsidRDefault="00713454" w:rsidP="00713454">
      <w:pPr>
        <w:numPr>
          <w:ilvl w:val="0"/>
          <w:numId w:val="9"/>
        </w:num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zastabilizowanie punktów w sposób trwały, ochrona ich przed zniszczeniem i oznakowanie ułatwiające odszukanie i ewentualne odtworzenie,</w:t>
      </w:r>
    </w:p>
    <w:p w14:paraId="0F685305" w14:textId="77777777" w:rsidR="00713454" w:rsidRPr="004853EB" w:rsidRDefault="00713454" w:rsidP="00713454">
      <w:pPr>
        <w:numPr>
          <w:ilvl w:val="0"/>
          <w:numId w:val="9"/>
        </w:num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prace pomiarowe i kameralne przy pomiarze powykonawczym wybudowanej drogi według wymagań dokumentacji technicznej,</w:t>
      </w:r>
    </w:p>
    <w:p w14:paraId="3045B1BF" w14:textId="77777777" w:rsidR="00713454" w:rsidRPr="004853EB" w:rsidRDefault="00713454" w:rsidP="00713454">
      <w:pPr>
        <w:numPr>
          <w:ilvl w:val="0"/>
          <w:numId w:val="9"/>
        </w:num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koszty ośrodków geodezyjnych.</w:t>
      </w:r>
    </w:p>
    <w:p w14:paraId="7CC0B870"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3" w:name="_Toc194476536"/>
      <w:bookmarkStart w:id="394" w:name="_Toc227759878"/>
      <w:bookmarkStart w:id="395" w:name="_Toc227825025"/>
      <w:r w:rsidRPr="004853EB">
        <w:rPr>
          <w:rFonts w:eastAsia="Times New Roman" w:cstheme="minorHAnsi"/>
          <w:b/>
          <w:sz w:val="20"/>
          <w:szCs w:val="20"/>
          <w:lang w:eastAsia="pl-PL"/>
        </w:rPr>
        <w:t>9.3. Sposób rozliczenia robót tymczasowych i prac towarzyszących</w:t>
      </w:r>
      <w:bookmarkEnd w:id="393"/>
      <w:bookmarkEnd w:id="394"/>
      <w:bookmarkEnd w:id="395"/>
    </w:p>
    <w:p w14:paraId="0870888B"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Cena wykonania robót określonych niniejszą SST obejmuje:</w:t>
      </w:r>
    </w:p>
    <w:p w14:paraId="6032E6AE"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tymczasowe, które są potrzebne do wykonania robót podstawowych, ale nie są przekazywane Zamawiającemu i są usuwane po wykonaniu robót podstawowych,</w:t>
      </w:r>
    </w:p>
    <w:p w14:paraId="1BC8852B"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prace towarzyszące, które są niezbędne do wykonania robót podstawowych, niezaliczane do robót tymczasowych, jak geodezyjne wytyczenie robót itd.</w:t>
      </w:r>
    </w:p>
    <w:p w14:paraId="76A981EF"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96" w:name="_Toc274137179"/>
      <w:bookmarkStart w:id="397" w:name="_Toc194476537"/>
      <w:bookmarkStart w:id="398" w:name="_Toc227759879"/>
      <w:bookmarkStart w:id="399" w:name="_Toc227825026"/>
      <w:r w:rsidRPr="004853EB">
        <w:rPr>
          <w:rFonts w:eastAsia="Times New Roman" w:cstheme="minorHAnsi"/>
          <w:b/>
          <w:caps/>
          <w:kern w:val="28"/>
          <w:sz w:val="20"/>
          <w:szCs w:val="20"/>
          <w:lang w:eastAsia="pl-PL"/>
        </w:rPr>
        <w:t>10. PRZEPISY ZWIĄZANE</w:t>
      </w:r>
      <w:bookmarkEnd w:id="396"/>
      <w:bookmarkEnd w:id="397"/>
      <w:bookmarkEnd w:id="398"/>
      <w:bookmarkEnd w:id="399"/>
    </w:p>
    <w:p w14:paraId="5FEA9A52"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0" w:name="_Toc194476538"/>
      <w:bookmarkStart w:id="401" w:name="_Toc227759880"/>
      <w:bookmarkStart w:id="402" w:name="_Toc227825027"/>
      <w:r w:rsidRPr="004853EB">
        <w:rPr>
          <w:rFonts w:eastAsia="Times New Roman" w:cstheme="minorHAnsi"/>
          <w:b/>
          <w:sz w:val="20"/>
          <w:szCs w:val="20"/>
          <w:lang w:eastAsia="pl-PL"/>
        </w:rPr>
        <w:t>10.1. Ogólne specyfikacje techniczne</w:t>
      </w:r>
      <w:bookmarkEnd w:id="400"/>
      <w:bookmarkEnd w:id="401"/>
      <w:bookmarkEnd w:id="402"/>
    </w:p>
    <w:p w14:paraId="462F163A" w14:textId="77777777" w:rsidR="00713454" w:rsidRPr="004853EB" w:rsidRDefault="00713454" w:rsidP="00713454">
      <w:pPr>
        <w:overflowPunct w:val="0"/>
        <w:autoSpaceDE w:val="0"/>
        <w:autoSpaceDN w:val="0"/>
        <w:adjustRightInd w:val="0"/>
        <w:spacing w:after="0" w:line="240" w:lineRule="auto"/>
        <w:ind w:left="113"/>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1.  D-00.00.00</w:t>
      </w:r>
      <w:r w:rsidRPr="004853EB">
        <w:rPr>
          <w:rFonts w:eastAsia="Times New Roman" w:cstheme="minorHAnsi"/>
          <w:sz w:val="20"/>
          <w:szCs w:val="20"/>
          <w:lang w:eastAsia="pl-PL"/>
        </w:rPr>
        <w:tab/>
        <w:t xml:space="preserve">           Wymagania ogólne</w:t>
      </w:r>
    </w:p>
    <w:p w14:paraId="17749221"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3" w:name="_Toc194476539"/>
      <w:bookmarkStart w:id="404" w:name="_Toc227759881"/>
      <w:bookmarkStart w:id="405" w:name="_Toc227825028"/>
      <w:r w:rsidRPr="004853EB">
        <w:rPr>
          <w:rFonts w:eastAsia="Times New Roman" w:cstheme="minorHAnsi"/>
          <w:b/>
          <w:sz w:val="20"/>
          <w:szCs w:val="20"/>
          <w:lang w:eastAsia="pl-PL"/>
        </w:rPr>
        <w:t>10.2. Inne dokumenty</w:t>
      </w:r>
      <w:bookmarkEnd w:id="403"/>
      <w:bookmarkEnd w:id="404"/>
      <w:bookmarkEnd w:id="405"/>
    </w:p>
    <w:p w14:paraId="6E16B468" w14:textId="77777777" w:rsidR="00713454" w:rsidRPr="004853EB" w:rsidRDefault="00713454" w:rsidP="00713454">
      <w:pPr>
        <w:numPr>
          <w:ilvl w:val="0"/>
          <w:numId w:val="10"/>
        </w:numPr>
        <w:tabs>
          <w:tab w:val="num" w:pos="-2835"/>
        </w:tabs>
        <w:overflowPunct w:val="0"/>
        <w:autoSpaceDE w:val="0"/>
        <w:autoSpaceDN w:val="0"/>
        <w:adjustRightInd w:val="0"/>
        <w:spacing w:after="0" w:line="240" w:lineRule="auto"/>
        <w:ind w:left="397"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Ustawa z dnia 17 maja 1989 r. – Prawo geodezyjne i kartograficzne (Dz. U. nr 30, poz. 163 z późniejszymi zmianami)</w:t>
      </w:r>
      <w:r w:rsidRPr="004853EB">
        <w:rPr>
          <w:rFonts w:eastAsia="Times New Roman" w:cstheme="minorHAnsi"/>
          <w:sz w:val="20"/>
          <w:szCs w:val="20"/>
          <w:lang w:eastAsia="pl-PL"/>
        </w:rPr>
        <w:br/>
        <w:t>[Instrukcje i wytyczne techniczne byłego Głównego Urzędu Geodezji i Kartografii]:</w:t>
      </w:r>
    </w:p>
    <w:p w14:paraId="7813F15D" w14:textId="77777777" w:rsidR="00713454" w:rsidRPr="004853EB" w:rsidRDefault="00713454" w:rsidP="00713454">
      <w:pPr>
        <w:numPr>
          <w:ilvl w:val="0"/>
          <w:numId w:val="10"/>
        </w:numPr>
        <w:tabs>
          <w:tab w:val="num" w:pos="-2835"/>
        </w:tabs>
        <w:overflowPunct w:val="0"/>
        <w:autoSpaceDE w:val="0"/>
        <w:autoSpaceDN w:val="0"/>
        <w:adjustRightInd w:val="0"/>
        <w:spacing w:after="0" w:line="240" w:lineRule="auto"/>
        <w:ind w:left="397"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Instrukcja techniczna 0-1. Ogólne zasady wykonywania prac geodezyjnych.</w:t>
      </w:r>
    </w:p>
    <w:p w14:paraId="301F7918" w14:textId="77777777" w:rsidR="00713454" w:rsidRPr="004853EB" w:rsidRDefault="00713454" w:rsidP="00713454">
      <w:pPr>
        <w:numPr>
          <w:ilvl w:val="0"/>
          <w:numId w:val="10"/>
        </w:numPr>
        <w:tabs>
          <w:tab w:val="num" w:pos="-2835"/>
        </w:tabs>
        <w:overflowPunct w:val="0"/>
        <w:autoSpaceDE w:val="0"/>
        <w:autoSpaceDN w:val="0"/>
        <w:adjustRightInd w:val="0"/>
        <w:spacing w:after="0" w:line="240" w:lineRule="auto"/>
        <w:ind w:left="397"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Instrukcja techniczna 0-3. Zasady kompletowania dokumentacji geodezyjnej i kartograficznej</w:t>
      </w:r>
    </w:p>
    <w:p w14:paraId="42754E62" w14:textId="77777777" w:rsidR="00713454" w:rsidRPr="004853EB" w:rsidRDefault="00713454" w:rsidP="00713454">
      <w:pPr>
        <w:numPr>
          <w:ilvl w:val="0"/>
          <w:numId w:val="10"/>
        </w:numPr>
        <w:tabs>
          <w:tab w:val="num" w:pos="-2835"/>
        </w:tabs>
        <w:overflowPunct w:val="0"/>
        <w:autoSpaceDE w:val="0"/>
        <w:autoSpaceDN w:val="0"/>
        <w:adjustRightInd w:val="0"/>
        <w:spacing w:after="0" w:line="240" w:lineRule="auto"/>
        <w:ind w:left="397"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Instrukcja techniczna G-1. Pozioma osnowa geodezyjna</w:t>
      </w:r>
    </w:p>
    <w:p w14:paraId="294CD614" w14:textId="77777777" w:rsidR="00713454" w:rsidRPr="004853EB" w:rsidRDefault="00713454" w:rsidP="00713454">
      <w:pPr>
        <w:numPr>
          <w:ilvl w:val="0"/>
          <w:numId w:val="10"/>
        </w:numPr>
        <w:tabs>
          <w:tab w:val="num" w:pos="-2835"/>
        </w:tabs>
        <w:overflowPunct w:val="0"/>
        <w:autoSpaceDE w:val="0"/>
        <w:autoSpaceDN w:val="0"/>
        <w:adjustRightInd w:val="0"/>
        <w:spacing w:after="0" w:line="240" w:lineRule="auto"/>
        <w:ind w:left="397"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Instrukcja techniczna G-2. Wysokościowa osnowa geodezyjna</w:t>
      </w:r>
    </w:p>
    <w:p w14:paraId="03BD73E4" w14:textId="77777777" w:rsidR="00713454" w:rsidRPr="004853EB" w:rsidRDefault="00713454" w:rsidP="00713454">
      <w:pPr>
        <w:numPr>
          <w:ilvl w:val="0"/>
          <w:numId w:val="10"/>
        </w:numPr>
        <w:tabs>
          <w:tab w:val="num" w:pos="-2835"/>
        </w:tabs>
        <w:overflowPunct w:val="0"/>
        <w:autoSpaceDE w:val="0"/>
        <w:autoSpaceDN w:val="0"/>
        <w:adjustRightInd w:val="0"/>
        <w:spacing w:after="0" w:line="240" w:lineRule="auto"/>
        <w:ind w:left="397"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Instrukcja techniczna G-3. Geodezyjna obsługa inwestycji</w:t>
      </w:r>
    </w:p>
    <w:p w14:paraId="1613B544" w14:textId="77777777" w:rsidR="00713454" w:rsidRPr="004853EB" w:rsidRDefault="00713454" w:rsidP="00713454">
      <w:pPr>
        <w:numPr>
          <w:ilvl w:val="0"/>
          <w:numId w:val="10"/>
        </w:numPr>
        <w:tabs>
          <w:tab w:val="num" w:pos="-2835"/>
        </w:tabs>
        <w:overflowPunct w:val="0"/>
        <w:autoSpaceDE w:val="0"/>
        <w:autoSpaceDN w:val="0"/>
        <w:adjustRightInd w:val="0"/>
        <w:spacing w:after="0" w:line="240" w:lineRule="auto"/>
        <w:ind w:left="397"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Instrukcja techniczna G-4. Pomiary sytuacyjne i wysokościowe</w:t>
      </w:r>
    </w:p>
    <w:p w14:paraId="0D1DB777" w14:textId="77777777" w:rsidR="00713454" w:rsidRPr="004853EB" w:rsidRDefault="00713454" w:rsidP="00713454">
      <w:pPr>
        <w:numPr>
          <w:ilvl w:val="0"/>
          <w:numId w:val="10"/>
        </w:numPr>
        <w:tabs>
          <w:tab w:val="num" w:pos="-2835"/>
        </w:tabs>
        <w:overflowPunct w:val="0"/>
        <w:autoSpaceDE w:val="0"/>
        <w:autoSpaceDN w:val="0"/>
        <w:adjustRightInd w:val="0"/>
        <w:spacing w:after="0" w:line="240" w:lineRule="auto"/>
        <w:ind w:left="397"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Wytyczne techniczne G-3.1. Osnowy realizacyjne</w:t>
      </w:r>
    </w:p>
    <w:p w14:paraId="481407D4" w14:textId="77777777" w:rsidR="00713454" w:rsidRPr="004853EB" w:rsidRDefault="00713454" w:rsidP="00713454">
      <w:pPr>
        <w:numPr>
          <w:ilvl w:val="0"/>
          <w:numId w:val="10"/>
        </w:numPr>
        <w:tabs>
          <w:tab w:val="num" w:pos="-2835"/>
        </w:tabs>
        <w:overflowPunct w:val="0"/>
        <w:autoSpaceDE w:val="0"/>
        <w:autoSpaceDN w:val="0"/>
        <w:adjustRightInd w:val="0"/>
        <w:spacing w:after="0" w:line="240" w:lineRule="auto"/>
        <w:ind w:left="397" w:hanging="397"/>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Wytyczne techniczne G-3.2. Pomiary realizacyjne</w:t>
      </w:r>
    </w:p>
    <w:p w14:paraId="437D2150"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3273D6FA"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210AF14A" w14:textId="77777777" w:rsidR="00713454" w:rsidRPr="004853EB" w:rsidRDefault="00713454" w:rsidP="00713454">
      <w:pPr>
        <w:keepNext/>
        <w:keepLines/>
        <w:tabs>
          <w:tab w:val="right" w:leader="dot" w:pos="9498"/>
        </w:tab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Cs w:val="20"/>
          <w:lang w:eastAsia="pl-PL"/>
        </w:rPr>
      </w:pPr>
    </w:p>
    <w:p w14:paraId="3BD76DC3" w14:textId="77777777" w:rsidR="00713454" w:rsidRPr="004853EB" w:rsidRDefault="00713454">
      <w:pPr>
        <w:rPr>
          <w:rFonts w:cstheme="minorHAnsi"/>
        </w:rPr>
      </w:pPr>
    </w:p>
    <w:p w14:paraId="529AAF6D" w14:textId="77777777" w:rsidR="00713454" w:rsidRPr="004853EB" w:rsidRDefault="00713454">
      <w:pPr>
        <w:rPr>
          <w:rFonts w:cstheme="minorHAnsi"/>
        </w:rPr>
      </w:pPr>
    </w:p>
    <w:p w14:paraId="1348BD6B" w14:textId="77777777" w:rsidR="00713454" w:rsidRPr="004853EB" w:rsidRDefault="00713454">
      <w:pPr>
        <w:rPr>
          <w:rFonts w:cstheme="minorHAnsi"/>
        </w:rPr>
      </w:pPr>
    </w:p>
    <w:p w14:paraId="68977D06" w14:textId="77777777" w:rsidR="00713454" w:rsidRPr="004853EB" w:rsidRDefault="00713454">
      <w:pPr>
        <w:rPr>
          <w:rFonts w:cstheme="minorHAnsi"/>
        </w:rPr>
      </w:pPr>
    </w:p>
    <w:p w14:paraId="16A43024" w14:textId="77777777" w:rsidR="00713454" w:rsidRPr="004853EB" w:rsidRDefault="00713454">
      <w:pPr>
        <w:rPr>
          <w:rFonts w:cstheme="minorHAnsi"/>
        </w:rPr>
      </w:pPr>
    </w:p>
    <w:p w14:paraId="33D78A34" w14:textId="77777777" w:rsidR="00713454" w:rsidRPr="004853EB" w:rsidRDefault="00713454">
      <w:pPr>
        <w:rPr>
          <w:rFonts w:cstheme="minorHAnsi"/>
        </w:rPr>
      </w:pPr>
    </w:p>
    <w:p w14:paraId="6EDDBE69" w14:textId="77777777" w:rsidR="00713454" w:rsidRPr="004853EB" w:rsidRDefault="00713454">
      <w:pPr>
        <w:rPr>
          <w:rFonts w:cstheme="minorHAnsi"/>
        </w:rPr>
      </w:pPr>
    </w:p>
    <w:p w14:paraId="4BDEB3F6" w14:textId="77777777" w:rsidR="00713454" w:rsidRPr="004853EB" w:rsidRDefault="00713454" w:rsidP="00BF7EE3">
      <w:pPr>
        <w:pStyle w:val="Nagwek1"/>
        <w:rPr>
          <w:rFonts w:asciiTheme="minorHAnsi" w:hAnsiTheme="minorHAnsi" w:cstheme="minorHAnsi"/>
          <w:sz w:val="22"/>
          <w:szCs w:val="22"/>
        </w:rPr>
      </w:pPr>
      <w:bookmarkStart w:id="406" w:name="_Toc227825029"/>
      <w:r w:rsidRPr="004853EB">
        <w:rPr>
          <w:rFonts w:asciiTheme="minorHAnsi" w:hAnsiTheme="minorHAnsi" w:cstheme="minorHAnsi"/>
          <w:sz w:val="22"/>
          <w:szCs w:val="22"/>
        </w:rPr>
        <w:lastRenderedPageBreak/>
        <w:t xml:space="preserve">D </w:t>
      </w:r>
      <w:r w:rsidR="00B26F4A" w:rsidRPr="004853EB">
        <w:rPr>
          <w:rFonts w:asciiTheme="minorHAnsi" w:hAnsiTheme="minorHAnsi" w:cstheme="minorHAnsi"/>
          <w:sz w:val="22"/>
          <w:szCs w:val="22"/>
        </w:rPr>
        <w:t>-</w:t>
      </w:r>
      <w:r w:rsidRPr="004853EB">
        <w:rPr>
          <w:rFonts w:asciiTheme="minorHAnsi" w:hAnsiTheme="minorHAnsi" w:cstheme="minorHAnsi"/>
          <w:sz w:val="22"/>
          <w:szCs w:val="22"/>
        </w:rPr>
        <w:t xml:space="preserve"> 01.02.02a ZDJĘCIE WARSTWY ZIEMI URODZAJNEJ</w:t>
      </w:r>
      <w:bookmarkEnd w:id="406"/>
    </w:p>
    <w:p w14:paraId="39AABAE9"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07" w:name="_Toc283881720"/>
      <w:bookmarkStart w:id="408" w:name="_Toc194476541"/>
      <w:bookmarkStart w:id="409" w:name="_Toc227759883"/>
      <w:bookmarkStart w:id="410" w:name="_Toc227825030"/>
      <w:r w:rsidRPr="004853EB">
        <w:rPr>
          <w:rFonts w:eastAsia="Times New Roman" w:cstheme="minorHAnsi"/>
          <w:b/>
          <w:caps/>
          <w:kern w:val="28"/>
          <w:sz w:val="20"/>
          <w:szCs w:val="20"/>
          <w:lang w:eastAsia="pl-PL"/>
        </w:rPr>
        <w:t>1. WSTĘP</w:t>
      </w:r>
      <w:bookmarkEnd w:id="407"/>
      <w:bookmarkEnd w:id="408"/>
      <w:bookmarkEnd w:id="409"/>
      <w:bookmarkEnd w:id="410"/>
    </w:p>
    <w:p w14:paraId="65D14E9D"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11" w:name="_Toc194476542"/>
      <w:bookmarkStart w:id="412" w:name="_Toc227759884"/>
      <w:bookmarkStart w:id="413" w:name="_Toc227825031"/>
      <w:r w:rsidRPr="004853EB">
        <w:rPr>
          <w:rFonts w:eastAsia="Times New Roman" w:cstheme="minorHAnsi"/>
          <w:b/>
          <w:sz w:val="20"/>
          <w:szCs w:val="20"/>
          <w:lang w:eastAsia="pl-PL"/>
        </w:rPr>
        <w:t>1.1. Przedmiot SST</w:t>
      </w:r>
      <w:bookmarkEnd w:id="411"/>
      <w:bookmarkEnd w:id="412"/>
      <w:bookmarkEnd w:id="413"/>
    </w:p>
    <w:p w14:paraId="29C1D24D"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Przedmiotem niniejszej szczegółowe specyfikacji technicznej (SST) są wymagania dotyczące wykonania i odbioru robót związanych ze zdjęciem warstwy ziemi urodzajnej.</w:t>
      </w:r>
    </w:p>
    <w:p w14:paraId="0BAD91B8"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14" w:name="_Toc194476543"/>
      <w:bookmarkStart w:id="415" w:name="_Toc227759885"/>
      <w:bookmarkStart w:id="416" w:name="_Toc227825032"/>
      <w:r w:rsidRPr="004853EB">
        <w:rPr>
          <w:rFonts w:eastAsia="Times New Roman" w:cstheme="minorHAnsi"/>
          <w:b/>
          <w:sz w:val="20"/>
          <w:szCs w:val="20"/>
          <w:lang w:eastAsia="pl-PL"/>
        </w:rPr>
        <w:t>1.2. Zakres stosowania SST</w:t>
      </w:r>
      <w:bookmarkEnd w:id="414"/>
      <w:bookmarkEnd w:id="415"/>
      <w:bookmarkEnd w:id="416"/>
    </w:p>
    <w:p w14:paraId="1CBBE6BC"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Specyfikacja techniczna jest stosowana jako dokument przetargowy i kontraktowy przy zlecaniu i realizacji robót wymienionych w pkt 1.1.</w:t>
      </w:r>
    </w:p>
    <w:p w14:paraId="6F8F782F"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17" w:name="_Toc194476544"/>
      <w:bookmarkStart w:id="418" w:name="_Toc227759886"/>
      <w:bookmarkStart w:id="419" w:name="_Toc227825033"/>
      <w:r w:rsidRPr="004853EB">
        <w:rPr>
          <w:rFonts w:eastAsia="Times New Roman" w:cstheme="minorHAnsi"/>
          <w:b/>
          <w:sz w:val="20"/>
          <w:szCs w:val="20"/>
          <w:lang w:eastAsia="pl-PL"/>
        </w:rPr>
        <w:t>1.3. Zakres robót objętych SST</w:t>
      </w:r>
      <w:bookmarkEnd w:id="417"/>
      <w:bookmarkEnd w:id="418"/>
      <w:bookmarkEnd w:id="419"/>
    </w:p>
    <w:p w14:paraId="6E02A49F" w14:textId="625D1612"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Ustalenia zawarte w niniejszej specyfikacji dotyczą zasad prowadzenia robót związanych z </w:t>
      </w:r>
      <w:bookmarkStart w:id="420" w:name="_Hlk11996465"/>
      <w:r w:rsidRPr="004853EB">
        <w:rPr>
          <w:rFonts w:eastAsia="Times New Roman" w:cstheme="minorHAnsi"/>
          <w:b/>
          <w:sz w:val="20"/>
          <w:szCs w:val="20"/>
          <w:lang w:eastAsia="pl-PL"/>
        </w:rPr>
        <w:t xml:space="preserve">Przebudową </w:t>
      </w:r>
      <w:bookmarkEnd w:id="420"/>
      <w:r w:rsidR="00DD5BCD" w:rsidRPr="004853EB">
        <w:rPr>
          <w:rFonts w:eastAsia="Times New Roman" w:cstheme="minorHAnsi"/>
          <w:b/>
          <w:sz w:val="20"/>
          <w:szCs w:val="20"/>
          <w:lang w:eastAsia="pl-PL"/>
        </w:rPr>
        <w:t>drogi powiatowej</w:t>
      </w:r>
      <w:r w:rsidRPr="004853EB">
        <w:rPr>
          <w:rFonts w:eastAsia="Times New Roman" w:cstheme="minorHAnsi"/>
          <w:b/>
          <w:sz w:val="20"/>
          <w:szCs w:val="20"/>
          <w:lang w:eastAsia="pl-PL"/>
        </w:rPr>
        <w:t xml:space="preserve"> nr </w:t>
      </w:r>
      <w:r w:rsidR="00386337" w:rsidRPr="00386337">
        <w:rPr>
          <w:rFonts w:eastAsia="Times New Roman" w:cstheme="minorHAnsi"/>
          <w:b/>
          <w:bCs/>
          <w:sz w:val="20"/>
          <w:szCs w:val="20"/>
          <w:lang w:eastAsia="pl-PL"/>
        </w:rPr>
        <w:t>4506W Zwoleń – Sarnów w miejscowości Łuczynów</w:t>
      </w:r>
      <w:r w:rsidR="00386337" w:rsidRPr="00386337">
        <w:rPr>
          <w:rFonts w:eastAsia="Times New Roman" w:cstheme="minorHAnsi"/>
          <w:b/>
          <w:sz w:val="20"/>
          <w:szCs w:val="20"/>
          <w:lang w:eastAsia="pl-PL"/>
        </w:rPr>
        <w:t xml:space="preserve"> </w:t>
      </w:r>
      <w:r w:rsidRPr="004853EB">
        <w:rPr>
          <w:rFonts w:eastAsia="Times New Roman" w:cstheme="minorHAnsi"/>
          <w:sz w:val="20"/>
          <w:szCs w:val="20"/>
          <w:lang w:eastAsia="pl-PL"/>
        </w:rPr>
        <w:t>i dotyczą zasad prowadzenia robót związanych z wykonaniem i odbiorem ręcznego lub mechanicznego usunięcia ziemi urodzajnej z terenu przewidzianego do wykonania wykopów i nasypów przy budowie drogi.</w:t>
      </w:r>
    </w:p>
    <w:p w14:paraId="76726A35"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21" w:name="_Toc194476545"/>
      <w:bookmarkStart w:id="422" w:name="_Toc227759887"/>
      <w:bookmarkStart w:id="423" w:name="_Toc227825034"/>
      <w:r w:rsidRPr="004853EB">
        <w:rPr>
          <w:rFonts w:eastAsia="Times New Roman" w:cstheme="minorHAnsi"/>
          <w:b/>
          <w:sz w:val="20"/>
          <w:szCs w:val="20"/>
          <w:lang w:eastAsia="pl-PL"/>
        </w:rPr>
        <w:t>1.4. Określenia podstawowe</w:t>
      </w:r>
      <w:bookmarkEnd w:id="421"/>
      <w:bookmarkEnd w:id="422"/>
      <w:bookmarkEnd w:id="423"/>
    </w:p>
    <w:p w14:paraId="1E617C9A" w14:textId="77777777" w:rsidR="00713454" w:rsidRPr="004853EB" w:rsidRDefault="00713454" w:rsidP="00713454">
      <w:pPr>
        <w:tabs>
          <w:tab w:val="left" w:pos="567"/>
        </w:tabs>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w:t>
      </w:r>
      <w:r w:rsidRPr="004853EB">
        <w:rPr>
          <w:rFonts w:eastAsia="Times New Roman" w:cstheme="minorHAnsi"/>
          <w:sz w:val="20"/>
          <w:szCs w:val="20"/>
          <w:lang w:eastAsia="pl-PL"/>
        </w:rPr>
        <w:tab/>
        <w:t>Ziemia urodzajna – powierzchniowa warstwa gruntu grubości 5÷30 cm o zawartości co najmniej 2% części organicznych.</w:t>
      </w:r>
    </w:p>
    <w:p w14:paraId="1CF5D17A" w14:textId="28249A44" w:rsidR="00713454" w:rsidRPr="004853EB" w:rsidRDefault="00713454" w:rsidP="00713454">
      <w:pPr>
        <w:tabs>
          <w:tab w:val="left" w:pos="567"/>
        </w:tabs>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1.4.2.</w:t>
      </w:r>
      <w:r w:rsidRPr="004853EB">
        <w:rPr>
          <w:rFonts w:eastAsia="Times New Roman" w:cstheme="minorHAnsi"/>
          <w:b/>
          <w:sz w:val="20"/>
          <w:szCs w:val="20"/>
          <w:lang w:eastAsia="pl-PL"/>
        </w:rPr>
        <w:tab/>
      </w:r>
      <w:r w:rsidRPr="004853EB">
        <w:rPr>
          <w:rFonts w:eastAsia="Times New Roman" w:cstheme="minorHAnsi"/>
          <w:sz w:val="20"/>
          <w:szCs w:val="20"/>
          <w:lang w:eastAsia="pl-PL"/>
        </w:rPr>
        <w:t xml:space="preserve">Zdjęcie warstwy ziemi urodzajnej – usunięcie powierzchniowej warstwy gruntu urodzajnego, zwykle </w:t>
      </w:r>
      <w:r w:rsidR="00DD5BCD">
        <w:rPr>
          <w:rFonts w:eastAsia="Times New Roman" w:cstheme="minorHAnsi"/>
          <w:sz w:val="20"/>
          <w:szCs w:val="20"/>
          <w:lang w:eastAsia="pl-PL"/>
        </w:rPr>
        <w:br/>
      </w:r>
      <w:r w:rsidRPr="004853EB">
        <w:rPr>
          <w:rFonts w:eastAsia="Times New Roman" w:cstheme="minorHAnsi"/>
          <w:sz w:val="20"/>
          <w:szCs w:val="20"/>
          <w:lang w:eastAsia="pl-PL"/>
        </w:rPr>
        <w:t>z terenu przewidzianego do wykonania drogowych robót ziemnych oraz składowanie jej w celu późniejszego wykorzystania przy umocnieniu skarp, rowów i rekultywacji gruntu przydrożnego.</w:t>
      </w:r>
    </w:p>
    <w:p w14:paraId="1D71EB45" w14:textId="1F3EE17F" w:rsidR="00713454" w:rsidRPr="004853EB" w:rsidRDefault="00713454" w:rsidP="00713454">
      <w:pPr>
        <w:tabs>
          <w:tab w:val="left" w:pos="567"/>
        </w:tabs>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1.4.3.</w:t>
      </w:r>
      <w:r w:rsidRPr="004853EB">
        <w:rPr>
          <w:rFonts w:eastAsia="Times New Roman" w:cstheme="minorHAnsi"/>
          <w:b/>
          <w:sz w:val="20"/>
          <w:szCs w:val="20"/>
          <w:lang w:eastAsia="pl-PL"/>
        </w:rPr>
        <w:tab/>
      </w:r>
      <w:r w:rsidRPr="004853EB">
        <w:rPr>
          <w:rFonts w:eastAsia="Times New Roman" w:cstheme="minorHAnsi"/>
          <w:sz w:val="20"/>
          <w:szCs w:val="20"/>
          <w:lang w:eastAsia="pl-PL"/>
        </w:rPr>
        <w:t xml:space="preserve">Pozostałe określenia podstawowe są zgodne z obowiązującymi, odpowiednimi polskimi normami </w:t>
      </w:r>
      <w:r w:rsidR="00DD5BCD">
        <w:rPr>
          <w:rFonts w:eastAsia="Times New Roman" w:cstheme="minorHAnsi"/>
          <w:sz w:val="20"/>
          <w:szCs w:val="20"/>
          <w:lang w:eastAsia="pl-PL"/>
        </w:rPr>
        <w:br/>
      </w:r>
      <w:r w:rsidRPr="004853EB">
        <w:rPr>
          <w:rFonts w:eastAsia="Times New Roman" w:cstheme="minorHAnsi"/>
          <w:sz w:val="20"/>
          <w:szCs w:val="20"/>
          <w:lang w:eastAsia="pl-PL"/>
        </w:rPr>
        <w:t>i z definicjami podanymi w SST D-00.00.00 „Wymagania ogólne” [1] pkt 1.4.</w:t>
      </w:r>
    </w:p>
    <w:p w14:paraId="365B8784"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24" w:name="_Toc194476546"/>
      <w:bookmarkStart w:id="425" w:name="_Toc227759888"/>
      <w:bookmarkStart w:id="426" w:name="_Toc227825035"/>
      <w:r w:rsidRPr="004853EB">
        <w:rPr>
          <w:rFonts w:eastAsia="Times New Roman" w:cstheme="minorHAnsi"/>
          <w:b/>
          <w:sz w:val="20"/>
          <w:szCs w:val="20"/>
          <w:lang w:eastAsia="pl-PL"/>
        </w:rPr>
        <w:t>1.5. Ogólne wymagania dotyczące robót</w:t>
      </w:r>
      <w:bookmarkEnd w:id="424"/>
      <w:bookmarkEnd w:id="425"/>
      <w:bookmarkEnd w:id="426"/>
    </w:p>
    <w:p w14:paraId="706A976F"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robót podano w SST D-00.00.00 „Wymagania ogólne” [1] pkt 1.5.</w:t>
      </w:r>
    </w:p>
    <w:p w14:paraId="44407E47"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27" w:name="_Toc485450211"/>
      <w:bookmarkStart w:id="428" w:name="_Toc485608031"/>
      <w:bookmarkStart w:id="429" w:name="_Toc504453010"/>
      <w:bookmarkStart w:id="430" w:name="_Toc128547951"/>
      <w:bookmarkStart w:id="431" w:name="_Toc275335783"/>
      <w:bookmarkStart w:id="432" w:name="_Toc283881721"/>
      <w:bookmarkStart w:id="433" w:name="_Toc194476547"/>
      <w:bookmarkStart w:id="434" w:name="_Toc227759889"/>
      <w:bookmarkStart w:id="435" w:name="_Toc227825036"/>
      <w:r w:rsidRPr="004853EB">
        <w:rPr>
          <w:rFonts w:eastAsia="Times New Roman" w:cstheme="minorHAnsi"/>
          <w:b/>
          <w:caps/>
          <w:kern w:val="28"/>
          <w:sz w:val="20"/>
          <w:szCs w:val="20"/>
          <w:lang w:eastAsia="pl-PL"/>
        </w:rPr>
        <w:t xml:space="preserve">2. </w:t>
      </w:r>
      <w:bookmarkEnd w:id="427"/>
      <w:bookmarkEnd w:id="428"/>
      <w:bookmarkEnd w:id="429"/>
      <w:bookmarkEnd w:id="430"/>
      <w:bookmarkEnd w:id="431"/>
      <w:bookmarkEnd w:id="432"/>
      <w:r w:rsidRPr="004853EB">
        <w:rPr>
          <w:rFonts w:eastAsia="Times New Roman" w:cstheme="minorHAnsi"/>
          <w:b/>
          <w:caps/>
          <w:kern w:val="28"/>
          <w:sz w:val="20"/>
          <w:szCs w:val="20"/>
          <w:lang w:eastAsia="pl-PL"/>
        </w:rPr>
        <w:t>MATERIAŁY</w:t>
      </w:r>
      <w:bookmarkEnd w:id="433"/>
      <w:bookmarkEnd w:id="434"/>
      <w:bookmarkEnd w:id="435"/>
    </w:p>
    <w:p w14:paraId="7939347E"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Nie występują.</w:t>
      </w:r>
    </w:p>
    <w:p w14:paraId="229FC9A6"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36" w:name="_Toc485450212"/>
      <w:bookmarkStart w:id="437" w:name="_Toc485608032"/>
      <w:bookmarkStart w:id="438" w:name="_Toc504453011"/>
      <w:bookmarkStart w:id="439" w:name="_Toc128547952"/>
      <w:bookmarkStart w:id="440" w:name="_Toc275335784"/>
      <w:bookmarkStart w:id="441" w:name="_Toc283881722"/>
      <w:bookmarkStart w:id="442" w:name="_Toc194476548"/>
      <w:bookmarkStart w:id="443" w:name="_Toc227759890"/>
      <w:bookmarkStart w:id="444" w:name="_Toc227825037"/>
      <w:r w:rsidRPr="004853EB">
        <w:rPr>
          <w:rFonts w:eastAsia="Times New Roman" w:cstheme="minorHAnsi"/>
          <w:b/>
          <w:caps/>
          <w:kern w:val="28"/>
          <w:sz w:val="20"/>
          <w:szCs w:val="20"/>
          <w:lang w:eastAsia="pl-PL"/>
        </w:rPr>
        <w:t xml:space="preserve">3. </w:t>
      </w:r>
      <w:bookmarkEnd w:id="436"/>
      <w:bookmarkEnd w:id="437"/>
      <w:bookmarkEnd w:id="438"/>
      <w:bookmarkEnd w:id="439"/>
      <w:bookmarkEnd w:id="440"/>
      <w:bookmarkEnd w:id="441"/>
      <w:r w:rsidRPr="004853EB">
        <w:rPr>
          <w:rFonts w:eastAsia="Times New Roman" w:cstheme="minorHAnsi"/>
          <w:b/>
          <w:caps/>
          <w:kern w:val="28"/>
          <w:sz w:val="20"/>
          <w:szCs w:val="20"/>
          <w:lang w:eastAsia="pl-PL"/>
        </w:rPr>
        <w:t>SPRZĘT</w:t>
      </w:r>
      <w:bookmarkEnd w:id="442"/>
      <w:bookmarkEnd w:id="443"/>
      <w:bookmarkEnd w:id="444"/>
    </w:p>
    <w:p w14:paraId="6707B327"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45" w:name="_Toc194476549"/>
      <w:bookmarkStart w:id="446" w:name="_Toc227759891"/>
      <w:bookmarkStart w:id="447" w:name="_Toc227825038"/>
      <w:r w:rsidRPr="004853EB">
        <w:rPr>
          <w:rFonts w:eastAsia="Times New Roman" w:cstheme="minorHAnsi"/>
          <w:b/>
          <w:sz w:val="20"/>
          <w:szCs w:val="20"/>
          <w:lang w:eastAsia="pl-PL"/>
        </w:rPr>
        <w:t>3.1. Ogólne wymagania dotyczące sprzętu</w:t>
      </w:r>
      <w:bookmarkEnd w:id="445"/>
      <w:bookmarkEnd w:id="446"/>
      <w:bookmarkEnd w:id="447"/>
    </w:p>
    <w:p w14:paraId="2D70D4CF"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sprzętu podano w SST D-00.00.00 „Wymagania ogólne” [1] pkt 3.</w:t>
      </w:r>
    </w:p>
    <w:p w14:paraId="5CA0C36B"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48" w:name="_Toc194476550"/>
      <w:bookmarkStart w:id="449" w:name="_Toc227759892"/>
      <w:bookmarkStart w:id="450" w:name="_Toc227825039"/>
      <w:r w:rsidRPr="004853EB">
        <w:rPr>
          <w:rFonts w:eastAsia="Times New Roman" w:cstheme="minorHAnsi"/>
          <w:b/>
          <w:sz w:val="20"/>
          <w:szCs w:val="20"/>
          <w:lang w:eastAsia="pl-PL"/>
        </w:rPr>
        <w:t>3.2. Sprzęt stosowany do wykonania robót</w:t>
      </w:r>
      <w:bookmarkEnd w:id="448"/>
      <w:bookmarkEnd w:id="449"/>
      <w:bookmarkEnd w:id="450"/>
    </w:p>
    <w:p w14:paraId="1E75BEE2" w14:textId="0025227C"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Przy wykonywaniu robót Wykonawca, w zależności od </w:t>
      </w:r>
      <w:r w:rsidR="00DD5BCD" w:rsidRPr="004853EB">
        <w:rPr>
          <w:rFonts w:eastAsia="Times New Roman" w:cstheme="minorHAnsi"/>
          <w:sz w:val="20"/>
          <w:szCs w:val="20"/>
          <w:lang w:eastAsia="pl-PL"/>
        </w:rPr>
        <w:t>potrzeb, powinien</w:t>
      </w:r>
      <w:r w:rsidRPr="004853EB">
        <w:rPr>
          <w:rFonts w:eastAsia="Times New Roman" w:cstheme="minorHAnsi"/>
          <w:sz w:val="20"/>
          <w:szCs w:val="20"/>
          <w:lang w:eastAsia="pl-PL"/>
        </w:rPr>
        <w:t xml:space="preserve"> wykazać się możliwością korzystania ze sprzętu dostosowanego do przyjętej metody robót, jak:</w:t>
      </w:r>
    </w:p>
    <w:p w14:paraId="2628A3DE" w14:textId="77777777" w:rsidR="00713454" w:rsidRPr="004853EB" w:rsidRDefault="00713454" w:rsidP="00713454">
      <w:pPr>
        <w:numPr>
          <w:ilvl w:val="0"/>
          <w:numId w:val="1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spycharki,</w:t>
      </w:r>
    </w:p>
    <w:p w14:paraId="0023453B" w14:textId="77777777" w:rsidR="00713454" w:rsidRPr="004853EB" w:rsidRDefault="00713454" w:rsidP="00713454">
      <w:pPr>
        <w:numPr>
          <w:ilvl w:val="0"/>
          <w:numId w:val="1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równiarki,</w:t>
      </w:r>
    </w:p>
    <w:p w14:paraId="6423AA25" w14:textId="77777777" w:rsidR="00713454" w:rsidRPr="004853EB" w:rsidRDefault="00713454" w:rsidP="00713454">
      <w:pPr>
        <w:numPr>
          <w:ilvl w:val="0"/>
          <w:numId w:val="1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zgarniarki,</w:t>
      </w:r>
    </w:p>
    <w:p w14:paraId="474332BF" w14:textId="77777777" w:rsidR="00713454" w:rsidRPr="004853EB" w:rsidRDefault="00713454" w:rsidP="00713454">
      <w:pPr>
        <w:numPr>
          <w:ilvl w:val="0"/>
          <w:numId w:val="1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koparki,</w:t>
      </w:r>
    </w:p>
    <w:p w14:paraId="77FEA16D" w14:textId="77777777" w:rsidR="00713454" w:rsidRPr="004853EB" w:rsidRDefault="00713454" w:rsidP="00713454">
      <w:pPr>
        <w:numPr>
          <w:ilvl w:val="0"/>
          <w:numId w:val="1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sprzęt transportowy, np. samochody wywrotki.</w:t>
      </w:r>
    </w:p>
    <w:p w14:paraId="7E83BCD8" w14:textId="77777777" w:rsidR="00713454" w:rsidRPr="004853EB"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Przy niewielkim zakresie robót lub w miejscach, gdzie sprzęt mechaniczny ma niekorzystne warunki robót – można stosować ręczne usunięcie ziemi urodzajnej.</w:t>
      </w:r>
    </w:p>
    <w:p w14:paraId="1EF09A30" w14:textId="77777777" w:rsidR="00713454" w:rsidRPr="004853EB"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Sprzęt powinien odpowiadać wymaganiom określonym w dokumentacji projektowej, ST, instrukcjach producentów lub propozycji Wykonawcy i powinien być zaakceptowany przez Inżyniera.</w:t>
      </w:r>
    </w:p>
    <w:p w14:paraId="0F57F6B0" w14:textId="77777777" w:rsidR="00713454" w:rsidRPr="004853EB" w:rsidRDefault="00713454" w:rsidP="00713454">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51" w:name="_Toc122409837"/>
      <w:bookmarkStart w:id="452" w:name="_Toc128547953"/>
      <w:bookmarkStart w:id="453" w:name="_Toc275335785"/>
      <w:bookmarkStart w:id="454" w:name="_Toc283881723"/>
      <w:bookmarkStart w:id="455" w:name="_Toc194476551"/>
      <w:bookmarkStart w:id="456" w:name="_Toc227759893"/>
      <w:bookmarkStart w:id="457" w:name="_Toc227825040"/>
      <w:r w:rsidRPr="004853EB">
        <w:rPr>
          <w:rFonts w:eastAsia="Times New Roman" w:cstheme="minorHAnsi"/>
          <w:b/>
          <w:caps/>
          <w:kern w:val="28"/>
          <w:sz w:val="20"/>
          <w:szCs w:val="20"/>
          <w:lang w:eastAsia="pl-PL"/>
        </w:rPr>
        <w:lastRenderedPageBreak/>
        <w:t xml:space="preserve">4. </w:t>
      </w:r>
      <w:bookmarkEnd w:id="451"/>
      <w:bookmarkEnd w:id="452"/>
      <w:bookmarkEnd w:id="453"/>
      <w:bookmarkEnd w:id="454"/>
      <w:r w:rsidRPr="004853EB">
        <w:rPr>
          <w:rFonts w:eastAsia="Times New Roman" w:cstheme="minorHAnsi"/>
          <w:b/>
          <w:caps/>
          <w:kern w:val="28"/>
          <w:sz w:val="20"/>
          <w:szCs w:val="20"/>
          <w:lang w:eastAsia="pl-PL"/>
        </w:rPr>
        <w:t>TRANSPORT</w:t>
      </w:r>
      <w:bookmarkEnd w:id="455"/>
      <w:bookmarkEnd w:id="456"/>
      <w:bookmarkEnd w:id="457"/>
    </w:p>
    <w:p w14:paraId="3C9F69D9"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58" w:name="_Toc194476552"/>
      <w:bookmarkStart w:id="459" w:name="_Toc227759894"/>
      <w:bookmarkStart w:id="460" w:name="_Toc227825041"/>
      <w:r w:rsidRPr="004853EB">
        <w:rPr>
          <w:rFonts w:eastAsia="Times New Roman" w:cstheme="minorHAnsi"/>
          <w:b/>
          <w:sz w:val="20"/>
          <w:szCs w:val="20"/>
          <w:lang w:eastAsia="pl-PL"/>
        </w:rPr>
        <w:t>4.1. Ogólne wymagania dotyczące transportu</w:t>
      </w:r>
      <w:bookmarkEnd w:id="458"/>
      <w:bookmarkEnd w:id="459"/>
      <w:bookmarkEnd w:id="460"/>
    </w:p>
    <w:p w14:paraId="4AAC6E3E" w14:textId="77777777" w:rsidR="00713454" w:rsidRPr="004853EB"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transportu podano w SST D-00.00.00 „Wymagania ogólne” [1] pkt 4.</w:t>
      </w:r>
      <w:r w:rsidRPr="004853EB">
        <w:rPr>
          <w:rFonts w:eastAsia="Times New Roman" w:cstheme="minorHAnsi"/>
          <w:sz w:val="20"/>
          <w:szCs w:val="20"/>
          <w:lang w:eastAsia="pl-PL"/>
        </w:rPr>
        <w:tab/>
      </w:r>
    </w:p>
    <w:p w14:paraId="540E1424"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61" w:name="_Toc194476553"/>
      <w:bookmarkStart w:id="462" w:name="_Toc227759895"/>
      <w:bookmarkStart w:id="463" w:name="_Toc227825042"/>
      <w:r w:rsidRPr="004853EB">
        <w:rPr>
          <w:rFonts w:eastAsia="Times New Roman" w:cstheme="minorHAnsi"/>
          <w:b/>
          <w:sz w:val="20"/>
          <w:szCs w:val="20"/>
          <w:lang w:eastAsia="pl-PL"/>
        </w:rPr>
        <w:t>4.2. Transport materiałów</w:t>
      </w:r>
      <w:bookmarkEnd w:id="461"/>
      <w:bookmarkEnd w:id="462"/>
      <w:bookmarkEnd w:id="463"/>
      <w:r w:rsidRPr="004853EB">
        <w:rPr>
          <w:rFonts w:eastAsia="Times New Roman" w:cstheme="minorHAnsi"/>
          <w:b/>
          <w:sz w:val="20"/>
          <w:szCs w:val="20"/>
          <w:lang w:eastAsia="pl-PL"/>
        </w:rPr>
        <w:t xml:space="preserve"> </w:t>
      </w:r>
    </w:p>
    <w:p w14:paraId="3B279E31"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Ziemię urodzajną należy:</w:t>
      </w:r>
    </w:p>
    <w:p w14:paraId="79EC93F7" w14:textId="77777777" w:rsidR="00713454" w:rsidRPr="004853EB" w:rsidRDefault="00713454" w:rsidP="00713454">
      <w:pPr>
        <w:numPr>
          <w:ilvl w:val="0"/>
          <w:numId w:val="1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przemieszczać z zastosowaniem spycharek, równiarek i ew. zgarniarek (przy dużym zakresie robót),</w:t>
      </w:r>
    </w:p>
    <w:p w14:paraId="03F56697" w14:textId="77777777" w:rsidR="00713454" w:rsidRPr="004853EB" w:rsidRDefault="00713454" w:rsidP="00713454">
      <w:pPr>
        <w:numPr>
          <w:ilvl w:val="0"/>
          <w:numId w:val="1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przewozić transportem samochodowym.</w:t>
      </w:r>
    </w:p>
    <w:p w14:paraId="786D6C12" w14:textId="77777777" w:rsidR="00713454" w:rsidRPr="004853EB"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Wybór środka transportu zależy od odległości, warunków lokalnych i przeznaczenia ziemi urodzajnej.</w:t>
      </w:r>
    </w:p>
    <w:p w14:paraId="18D7D7BE" w14:textId="77777777" w:rsidR="00713454" w:rsidRPr="004853EB" w:rsidRDefault="00713454" w:rsidP="00713454">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64" w:name="_Toc122409838"/>
      <w:bookmarkStart w:id="465" w:name="_Toc128547954"/>
      <w:bookmarkStart w:id="466" w:name="_Toc275335786"/>
      <w:bookmarkStart w:id="467" w:name="_Toc283881724"/>
      <w:bookmarkStart w:id="468" w:name="_Toc194476554"/>
      <w:bookmarkStart w:id="469" w:name="_Toc227759896"/>
      <w:bookmarkStart w:id="470" w:name="_Toc227825043"/>
      <w:r w:rsidRPr="004853EB">
        <w:rPr>
          <w:rFonts w:eastAsia="Times New Roman" w:cstheme="minorHAnsi"/>
          <w:b/>
          <w:caps/>
          <w:kern w:val="28"/>
          <w:sz w:val="20"/>
          <w:szCs w:val="20"/>
          <w:lang w:eastAsia="pl-PL"/>
        </w:rPr>
        <w:t xml:space="preserve">5. </w:t>
      </w:r>
      <w:bookmarkEnd w:id="464"/>
      <w:bookmarkEnd w:id="465"/>
      <w:bookmarkEnd w:id="466"/>
      <w:bookmarkEnd w:id="467"/>
      <w:r w:rsidRPr="004853EB">
        <w:rPr>
          <w:rFonts w:eastAsia="Times New Roman" w:cstheme="minorHAnsi"/>
          <w:b/>
          <w:caps/>
          <w:kern w:val="28"/>
          <w:sz w:val="20"/>
          <w:szCs w:val="20"/>
          <w:lang w:eastAsia="pl-PL"/>
        </w:rPr>
        <w:t>WYKONANIE ROBÓT</w:t>
      </w:r>
      <w:bookmarkEnd w:id="468"/>
      <w:bookmarkEnd w:id="469"/>
      <w:bookmarkEnd w:id="470"/>
    </w:p>
    <w:p w14:paraId="2B7C4866"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71" w:name="_Toc194476555"/>
      <w:bookmarkStart w:id="472" w:name="_Toc227759897"/>
      <w:bookmarkStart w:id="473" w:name="_Toc227825044"/>
      <w:r w:rsidRPr="004853EB">
        <w:rPr>
          <w:rFonts w:eastAsia="Times New Roman" w:cstheme="minorHAnsi"/>
          <w:b/>
          <w:sz w:val="20"/>
          <w:szCs w:val="20"/>
          <w:lang w:eastAsia="pl-PL"/>
        </w:rPr>
        <w:t>5.1. Ogólne zasady wykonania robót</w:t>
      </w:r>
      <w:bookmarkEnd w:id="471"/>
      <w:bookmarkEnd w:id="472"/>
      <w:bookmarkEnd w:id="473"/>
    </w:p>
    <w:p w14:paraId="59F2499E" w14:textId="77777777" w:rsidR="00713454" w:rsidRPr="004853EB" w:rsidRDefault="00713454" w:rsidP="00713454">
      <w:pPr>
        <w:numPr>
          <w:ilvl w:val="12"/>
          <w:numId w:val="0"/>
        </w:num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wykonania robót podano w SST D-00.00.00 „Wymagania ogólne” [1] pkt 5.</w:t>
      </w:r>
    </w:p>
    <w:p w14:paraId="3EFF2710"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74" w:name="_Toc194476556"/>
      <w:bookmarkStart w:id="475" w:name="_Toc227759898"/>
      <w:bookmarkStart w:id="476" w:name="_Toc227825045"/>
      <w:r w:rsidRPr="004853EB">
        <w:rPr>
          <w:rFonts w:eastAsia="Times New Roman" w:cstheme="minorHAnsi"/>
          <w:b/>
          <w:sz w:val="20"/>
          <w:szCs w:val="20"/>
          <w:lang w:eastAsia="pl-PL"/>
        </w:rPr>
        <w:t>5.2. Zasady wykonywania robót</w:t>
      </w:r>
      <w:bookmarkEnd w:id="474"/>
      <w:bookmarkEnd w:id="475"/>
      <w:bookmarkEnd w:id="476"/>
    </w:p>
    <w:p w14:paraId="5D8A6388" w14:textId="77777777" w:rsidR="00713454" w:rsidRPr="004853EB"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Sposób wykonania robót powinien być zgodny z dokumentacją projektową i ST. W przypadku braku wystarczających danych można korzystać z ustaleń podanych w niniejszej specyfikacji oraz z informacji podanych w załączniku.</w:t>
      </w:r>
    </w:p>
    <w:p w14:paraId="211946A1"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Podstawowe czynności przy wykonywaniu robót obejmują:</w:t>
      </w:r>
    </w:p>
    <w:p w14:paraId="61B74961"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1. roboty przygotowawcze,</w:t>
      </w:r>
    </w:p>
    <w:p w14:paraId="4F870599"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2. zdjęcie warstwy ziemi urodzajnej,</w:t>
      </w:r>
    </w:p>
    <w:p w14:paraId="09EEA5FD"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3. składowanie ziemi urodzajnej,</w:t>
      </w:r>
    </w:p>
    <w:p w14:paraId="23628180"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4. roboty wykończeniowe.</w:t>
      </w:r>
    </w:p>
    <w:p w14:paraId="150ED3E2"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77" w:name="_Toc194476557"/>
      <w:bookmarkStart w:id="478" w:name="_Toc227759899"/>
      <w:bookmarkStart w:id="479" w:name="_Toc227825046"/>
      <w:r w:rsidRPr="004853EB">
        <w:rPr>
          <w:rFonts w:eastAsia="Times New Roman" w:cstheme="minorHAnsi"/>
          <w:b/>
          <w:sz w:val="20"/>
          <w:szCs w:val="20"/>
          <w:lang w:eastAsia="pl-PL"/>
        </w:rPr>
        <w:t>5.3. Roboty przygotowawcze</w:t>
      </w:r>
      <w:bookmarkEnd w:id="477"/>
      <w:bookmarkEnd w:id="478"/>
      <w:bookmarkEnd w:id="479"/>
    </w:p>
    <w:p w14:paraId="74E34A68"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 przystąpieniem do robót należy, na podstawie dokumentacji projektowej, ST lub wskazań Inżyniera:</w:t>
      </w:r>
    </w:p>
    <w:p w14:paraId="4EAA78A8" w14:textId="77777777" w:rsidR="00713454" w:rsidRPr="004853EB" w:rsidRDefault="00713454" w:rsidP="00713454">
      <w:pPr>
        <w:numPr>
          <w:ilvl w:val="0"/>
          <w:numId w:val="1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ustalić lokalizację terenu robót,</w:t>
      </w:r>
    </w:p>
    <w:p w14:paraId="7CE3AF0D" w14:textId="77777777" w:rsidR="00713454" w:rsidRPr="004853EB" w:rsidRDefault="00713454" w:rsidP="00713454">
      <w:pPr>
        <w:numPr>
          <w:ilvl w:val="0"/>
          <w:numId w:val="1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przeprowadzić szczegółowe wytyczenie robót,</w:t>
      </w:r>
    </w:p>
    <w:p w14:paraId="45BF86C0" w14:textId="77777777" w:rsidR="00713454" w:rsidRPr="004853EB" w:rsidRDefault="00713454" w:rsidP="00713454">
      <w:pPr>
        <w:numPr>
          <w:ilvl w:val="0"/>
          <w:numId w:val="1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usunąć przeszkody, np. drzewa, krzaki, obiekty, elementy dróg, ogrodzeń itd.,</w:t>
      </w:r>
    </w:p>
    <w:p w14:paraId="5FA1457F" w14:textId="77777777" w:rsidR="00713454" w:rsidRPr="004853EB" w:rsidRDefault="00713454" w:rsidP="00713454">
      <w:pPr>
        <w:numPr>
          <w:ilvl w:val="0"/>
          <w:numId w:val="1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ew. usunąć darninę, jeśli znajduje się nad warstwą ziemi urodzajnej.</w:t>
      </w:r>
    </w:p>
    <w:p w14:paraId="48F3F97F"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80" w:name="_Toc194476558"/>
      <w:bookmarkStart w:id="481" w:name="_Toc227759900"/>
      <w:bookmarkStart w:id="482" w:name="_Toc227825047"/>
      <w:r w:rsidRPr="004853EB">
        <w:rPr>
          <w:rFonts w:eastAsia="Times New Roman" w:cstheme="minorHAnsi"/>
          <w:b/>
          <w:sz w:val="20"/>
          <w:szCs w:val="20"/>
          <w:lang w:eastAsia="pl-PL"/>
        </w:rPr>
        <w:t>5.4. Zdjęcie warstwy ziemi urodzajnej</w:t>
      </w:r>
      <w:bookmarkEnd w:id="480"/>
      <w:bookmarkEnd w:id="481"/>
      <w:bookmarkEnd w:id="482"/>
    </w:p>
    <w:p w14:paraId="52B7473D" w14:textId="77777777" w:rsidR="00713454" w:rsidRPr="004853EB"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5.4.1. </w:t>
      </w:r>
      <w:r w:rsidRPr="004853EB">
        <w:rPr>
          <w:rFonts w:eastAsia="Times New Roman" w:cstheme="minorHAnsi"/>
          <w:sz w:val="20"/>
          <w:szCs w:val="20"/>
          <w:lang w:eastAsia="pl-PL"/>
        </w:rPr>
        <w:t>Wymagania ogólne</w:t>
      </w:r>
    </w:p>
    <w:p w14:paraId="5C34E1A6"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Warstwę ziemi urodzajnej należy zdjąć z powierzchni całego pasa robót ziemnych oraz w innych miejscach określonych w dokumentacji projektowej lub wskazanych przez Inżyniera.</w:t>
      </w:r>
    </w:p>
    <w:p w14:paraId="73C18C1F" w14:textId="17320BA6"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Podczas usuwania ziemi urodzajnej należy pozostawić powierzchnię gruntu równą bez zagłębień, </w:t>
      </w:r>
      <w:r w:rsidR="00DD5BCD">
        <w:rPr>
          <w:rFonts w:eastAsia="Times New Roman" w:cstheme="minorHAnsi"/>
          <w:sz w:val="20"/>
          <w:szCs w:val="20"/>
          <w:lang w:eastAsia="pl-PL"/>
        </w:rPr>
        <w:br/>
      </w:r>
      <w:r w:rsidRPr="004853EB">
        <w:rPr>
          <w:rFonts w:eastAsia="Times New Roman" w:cstheme="minorHAnsi"/>
          <w:sz w:val="20"/>
          <w:szCs w:val="20"/>
          <w:lang w:eastAsia="pl-PL"/>
        </w:rPr>
        <w:t>w których zbierałaby się woda. W tym celu w terenie falistym usuwanie ziemi urodzajnej należy prowadzić od miejsc niższych ku wyższym (pod górę).</w:t>
      </w:r>
    </w:p>
    <w:p w14:paraId="632973E6"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Jeśli nie przewiduje się natychmiastowego wykonywania robót ziemnych, zaleca się pozostawić na miejscu warstwę ziemi urodzajnej grubości około 20 cm. Jeśli warstwa ziemi urodzajnej została zdjęta na pełną głębokość, a Wykonawca nie przystąpił do wykonywania robót drogowych, to powinien zabezpieczyć powierzchnię odsłoniętego gruntu przed negatywnymi skutkami czynników atmosferycznych. Jeżeli grunt podłoża ulegnie pogorszeniu, to Wykonawca przywróci ten grunt do stanu pierwotnego.</w:t>
      </w:r>
    </w:p>
    <w:p w14:paraId="48503B76"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Grubość zdejmowanej warstwy ziemi urodzajnej (zależna od głębokości jej zalegania, wysokości nasypu, potrzeb jej wykorzystania na budowie itp.) powinna być zgodna z ustaleniami dokumentacji projektowej, ST lub wskazana przez Inżyniera, według faktycznego stanu jej występowania.</w:t>
      </w:r>
    </w:p>
    <w:p w14:paraId="4905EFD7"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Nie należy zdejmować ziemi urodzajnej w czasie intensywnych opadów i bezpośrednio po nich, aby uniknąć zanieczyszczenia gliną lub innym gruntem nieorganicznym.</w:t>
      </w:r>
    </w:p>
    <w:p w14:paraId="03CEDA02"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5.4.2. </w:t>
      </w:r>
      <w:r w:rsidRPr="004853EB">
        <w:rPr>
          <w:rFonts w:eastAsia="Times New Roman" w:cstheme="minorHAnsi"/>
          <w:sz w:val="20"/>
          <w:szCs w:val="20"/>
          <w:lang w:eastAsia="pl-PL"/>
        </w:rPr>
        <w:t>Usunięcie ziemi urodzajnej</w:t>
      </w:r>
    </w:p>
    <w:p w14:paraId="318E3C78" w14:textId="689139E3"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Ziemię urodzajną należy zdejmować </w:t>
      </w:r>
      <w:r w:rsidR="00DD5BCD" w:rsidRPr="004853EB">
        <w:rPr>
          <w:rFonts w:eastAsia="Times New Roman" w:cstheme="minorHAnsi"/>
          <w:sz w:val="20"/>
          <w:szCs w:val="20"/>
          <w:lang w:eastAsia="pl-PL"/>
        </w:rPr>
        <w:t>mechanicznie z</w:t>
      </w:r>
      <w:r w:rsidRPr="004853EB">
        <w:rPr>
          <w:rFonts w:eastAsia="Times New Roman" w:cstheme="minorHAnsi"/>
          <w:sz w:val="20"/>
          <w:szCs w:val="20"/>
          <w:lang w:eastAsia="pl-PL"/>
        </w:rPr>
        <w:t xml:space="preserve"> zastosowaniem spycharek lub równiarek, a przy dużym zakresie robót również zgarniarek. Maszyną, która najlepiej jest przystosowana do robót jest spycharka, </w:t>
      </w:r>
      <w:r w:rsidRPr="004853EB">
        <w:rPr>
          <w:rFonts w:eastAsia="Times New Roman" w:cstheme="minorHAnsi"/>
          <w:sz w:val="20"/>
          <w:szCs w:val="20"/>
          <w:lang w:eastAsia="pl-PL"/>
        </w:rPr>
        <w:lastRenderedPageBreak/>
        <w:t>bez względu na moc silnika. Przy stosowaniu równiarek uzyskuje się znacznie mniejsze wydajności niż przy użyciu spycharek.</w:t>
      </w:r>
    </w:p>
    <w:p w14:paraId="38B294D8" w14:textId="2666AAAF"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 przypadku, gdy ziemię urodzajną można składować w pasie drogowym, wzdłuż przyszłych skarp, to spycharka usuwa ziemię urodzajną z jednej połowy pasa robót ziemnych, posuwając się w kierunku poprzecznym do osi drogi, zbiera ziemię urodzajną i odsuwa poza pas robót ziemnych. Jeżeli ziemi urodzajnej z całej połowy pasa nie da się usunąć przy jednym przejściu, spycharka powraca tym samym śladem po jej resztę. Po usunięciu całej ziemi urodzajnej na danym śladzie roboczym, spycharka powraca ukosem do środka pasa robót ziemnych </w:t>
      </w:r>
      <w:r w:rsidR="00DD5BCD">
        <w:rPr>
          <w:rFonts w:eastAsia="Times New Roman" w:cstheme="minorHAnsi"/>
          <w:sz w:val="20"/>
          <w:szCs w:val="20"/>
          <w:lang w:eastAsia="pl-PL"/>
        </w:rPr>
        <w:br/>
      </w:r>
      <w:r w:rsidRPr="004853EB">
        <w:rPr>
          <w:rFonts w:eastAsia="Times New Roman" w:cstheme="minorHAnsi"/>
          <w:sz w:val="20"/>
          <w:szCs w:val="20"/>
          <w:lang w:eastAsia="pl-PL"/>
        </w:rPr>
        <w:t>i zajmuje stanowisko przesunięte w kierunku podłużnym trasy o szerokość lemiesza, po czym cykl pracy powtarza się. Po usunięciu ziemi urodzajnej z jednej połowy na pewnej długości, odsuwa się w ten sam sposób ziemię urodzajną z drugiej połowy.</w:t>
      </w:r>
    </w:p>
    <w:p w14:paraId="360506B9"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 przypadku, gdy nie ma możliwości składowania ziemi urodzajnej w pasie drogowym lub wykorzystanie jej odbędzie się po dłuższym okresie, należy załadować ją na środki transportowe i odwieźć na miejsce hałdowania. </w:t>
      </w:r>
    </w:p>
    <w:p w14:paraId="79DFC264"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Jeśli powierzchnia zdjęcia ziemi urodzajnej jest niewielka lub nie ma możliwości mechanicznego jej usunięcia, to roboty można wykonać ręcznie. Narzędziem do ręcznego odspojenia i odrzucenia lub załadowania ziemi urodzajnej jest szpadel, a środkiem do przewozu są zwykłe taczki. Przy słabym gruncie podłoża pod koło taczek podkłada się tory z płaskownika lub desek.</w:t>
      </w:r>
    </w:p>
    <w:p w14:paraId="183178B5"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5.4.3. </w:t>
      </w:r>
      <w:r w:rsidRPr="004853EB">
        <w:rPr>
          <w:rFonts w:eastAsia="Times New Roman" w:cstheme="minorHAnsi"/>
          <w:sz w:val="20"/>
          <w:szCs w:val="20"/>
          <w:lang w:eastAsia="pl-PL"/>
        </w:rPr>
        <w:t>Składowanie ziemi urodzajnej</w:t>
      </w:r>
    </w:p>
    <w:p w14:paraId="3CF06D54"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Miejsce składowania ziemi urodzajnej powinno być przez Wykonawcę tak dobrane, aby ziemia urodzajna była zabezpieczona przed zanieczyszczeniem, a także najeżdżaniem przez pojazdy. Wykonawca jest odpowiedzialny za znalezienie miejsca składowania, uzyskanie uzgodnień od odpowiednich władz, okres składowania i doprowadzenie terenu składowiska do stanu poprzedniego.</w:t>
      </w:r>
    </w:p>
    <w:p w14:paraId="6E9F047B"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Na składowisku ziemię urodzajną należy składować w regularnych pryzmach o wysokości do 2 m i obsiać mieszankami traw ochronnych. Zgromadzona w pryzmach ziemia urodzajna nie może zawierać korzeni, kamieni i materiałów nieorganicznych.</w:t>
      </w:r>
    </w:p>
    <w:p w14:paraId="657BE222"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okresach suchych zaleca się w górnej powierzchni pryzm wyrobić nieckę głębokości do 40 cm na zbieranie wody deszczowej, która zapobiegnie szkodliwym zmianom zgromadzonej ziemi, przesiąkając do wnętrza pryzmy.</w:t>
      </w:r>
    </w:p>
    <w:p w14:paraId="5C9F3181"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Ziemię urodzajną zaleca się odchwaścić przy zastosowaniu herbicydów.</w:t>
      </w:r>
    </w:p>
    <w:p w14:paraId="623B0511"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5.4.4. </w:t>
      </w:r>
      <w:r w:rsidRPr="004853EB">
        <w:rPr>
          <w:rFonts w:eastAsia="Times New Roman" w:cstheme="minorHAnsi"/>
          <w:sz w:val="20"/>
          <w:szCs w:val="20"/>
          <w:lang w:eastAsia="pl-PL"/>
        </w:rPr>
        <w:t>Nadmiar ziemi urodzajnej</w:t>
      </w:r>
    </w:p>
    <w:p w14:paraId="0D3E49E6"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Nadmiar ziemi urodzajnej, pozostającej po wykorzystaniu jej przy umocnieniu skarp i innych robotach wykończeniowych należy wykorzystać do rekultywacji terenu po ukopach lub w innych miejscach ustalonych na podstawie decyzji właściwego organu ochrony środowiska.</w:t>
      </w:r>
    </w:p>
    <w:p w14:paraId="29A5C589"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Lokalizację miejsca odwozu nadmiaru ziemi urodzajnej wraz ze wszystkimi pozwoleniami należy przedstawić Inżynierowi.</w:t>
      </w:r>
    </w:p>
    <w:p w14:paraId="5797EF76"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83" w:name="_Toc194476559"/>
      <w:bookmarkStart w:id="484" w:name="_Toc227759901"/>
      <w:bookmarkStart w:id="485" w:name="_Toc227825048"/>
      <w:r w:rsidRPr="004853EB">
        <w:rPr>
          <w:rFonts w:eastAsia="Times New Roman" w:cstheme="minorHAnsi"/>
          <w:b/>
          <w:sz w:val="20"/>
          <w:szCs w:val="20"/>
          <w:lang w:eastAsia="pl-PL"/>
        </w:rPr>
        <w:t>5.5. Roboty wykończeniowe</w:t>
      </w:r>
      <w:bookmarkEnd w:id="483"/>
      <w:bookmarkEnd w:id="484"/>
      <w:bookmarkEnd w:id="485"/>
    </w:p>
    <w:p w14:paraId="7ACA61C6" w14:textId="77777777" w:rsidR="00713454" w:rsidRPr="004853EB"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wykończeniowe powinny być zgodne z dokumentacją projektową i ST. Do robót wykończeniowych należą prace związane z dostosowaniem wykonanych robót do istniejących warunków terenowych, takie jak roboty porządkujące otoczenie terenu robót.</w:t>
      </w:r>
    </w:p>
    <w:p w14:paraId="4115D5F3"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86" w:name="_Toc122409839"/>
      <w:bookmarkStart w:id="487" w:name="_Toc128547955"/>
      <w:bookmarkStart w:id="488" w:name="_Toc275335787"/>
      <w:bookmarkStart w:id="489" w:name="_Toc283881725"/>
      <w:bookmarkStart w:id="490" w:name="_Toc194476560"/>
      <w:bookmarkStart w:id="491" w:name="_Toc227759902"/>
      <w:bookmarkStart w:id="492" w:name="_Toc227825049"/>
      <w:r w:rsidRPr="004853EB">
        <w:rPr>
          <w:rFonts w:eastAsia="Times New Roman" w:cstheme="minorHAnsi"/>
          <w:b/>
          <w:caps/>
          <w:kern w:val="28"/>
          <w:sz w:val="20"/>
          <w:szCs w:val="20"/>
          <w:lang w:eastAsia="pl-PL"/>
        </w:rPr>
        <w:t>6. KONTROLA JAKOŚCI ROBÓT</w:t>
      </w:r>
      <w:bookmarkEnd w:id="486"/>
      <w:bookmarkEnd w:id="487"/>
      <w:bookmarkEnd w:id="488"/>
      <w:bookmarkEnd w:id="489"/>
      <w:bookmarkEnd w:id="490"/>
      <w:bookmarkEnd w:id="491"/>
      <w:bookmarkEnd w:id="492"/>
    </w:p>
    <w:p w14:paraId="7DBDB034"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93" w:name="_Toc194476561"/>
      <w:bookmarkStart w:id="494" w:name="_Toc227759903"/>
      <w:bookmarkStart w:id="495" w:name="_Toc227825050"/>
      <w:r w:rsidRPr="004853EB">
        <w:rPr>
          <w:rFonts w:eastAsia="Times New Roman" w:cstheme="minorHAnsi"/>
          <w:b/>
          <w:sz w:val="20"/>
          <w:szCs w:val="20"/>
          <w:lang w:eastAsia="pl-PL"/>
        </w:rPr>
        <w:t>6.1. Ogólne zasady kontroli jakości robót</w:t>
      </w:r>
      <w:bookmarkEnd w:id="493"/>
      <w:bookmarkEnd w:id="494"/>
      <w:bookmarkEnd w:id="495"/>
    </w:p>
    <w:p w14:paraId="711DAE6D"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kontroli jakości robót podano w SST D-00.00.00 „Wymagania ogólne” [1], pkt 6.</w:t>
      </w:r>
    </w:p>
    <w:p w14:paraId="1AB98F66"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96" w:name="_Toc194476562"/>
      <w:bookmarkStart w:id="497" w:name="_Toc227759904"/>
      <w:bookmarkStart w:id="498" w:name="_Toc227825051"/>
      <w:r w:rsidRPr="004853EB">
        <w:rPr>
          <w:rFonts w:eastAsia="Times New Roman" w:cstheme="minorHAnsi"/>
          <w:b/>
          <w:sz w:val="20"/>
          <w:szCs w:val="20"/>
          <w:lang w:eastAsia="pl-PL"/>
        </w:rPr>
        <w:t>6.2. Kontrola usunięcia ziemi urodzajnej</w:t>
      </w:r>
      <w:bookmarkEnd w:id="496"/>
      <w:bookmarkEnd w:id="497"/>
      <w:bookmarkEnd w:id="498"/>
    </w:p>
    <w:p w14:paraId="5BBF0303"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Sprawdzenie jakości robót polega na wizualnej ocenie kompletności i prawidłowości ich wykonania.</w:t>
      </w:r>
    </w:p>
    <w:p w14:paraId="49E36474"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99" w:name="_Toc213468976"/>
      <w:bookmarkStart w:id="500" w:name="_Toc268244572"/>
      <w:bookmarkStart w:id="501" w:name="_Toc275335788"/>
      <w:bookmarkStart w:id="502" w:name="_Toc283881726"/>
      <w:bookmarkStart w:id="503" w:name="_Toc194476563"/>
      <w:bookmarkStart w:id="504" w:name="_Toc227759905"/>
      <w:bookmarkStart w:id="505" w:name="_Toc227825052"/>
      <w:r w:rsidRPr="004853EB">
        <w:rPr>
          <w:rFonts w:eastAsia="Times New Roman" w:cstheme="minorHAnsi"/>
          <w:b/>
          <w:caps/>
          <w:kern w:val="28"/>
          <w:sz w:val="20"/>
          <w:szCs w:val="20"/>
          <w:lang w:eastAsia="pl-PL"/>
        </w:rPr>
        <w:t>7. OBMIAR ROBÓT</w:t>
      </w:r>
      <w:bookmarkEnd w:id="499"/>
      <w:bookmarkEnd w:id="500"/>
      <w:bookmarkEnd w:id="501"/>
      <w:bookmarkEnd w:id="502"/>
      <w:bookmarkEnd w:id="503"/>
      <w:bookmarkEnd w:id="504"/>
      <w:bookmarkEnd w:id="505"/>
    </w:p>
    <w:p w14:paraId="3391923B"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506" w:name="_Toc194476564"/>
      <w:bookmarkStart w:id="507" w:name="_Toc227759906"/>
      <w:bookmarkStart w:id="508" w:name="_Toc227825053"/>
      <w:r w:rsidRPr="004853EB">
        <w:rPr>
          <w:rFonts w:eastAsia="Times New Roman" w:cstheme="minorHAnsi"/>
          <w:b/>
          <w:sz w:val="20"/>
          <w:szCs w:val="20"/>
          <w:lang w:eastAsia="pl-PL"/>
        </w:rPr>
        <w:t>7.1. Ogólne zasady obmiaru robót</w:t>
      </w:r>
      <w:bookmarkEnd w:id="506"/>
      <w:bookmarkEnd w:id="507"/>
      <w:bookmarkEnd w:id="508"/>
    </w:p>
    <w:p w14:paraId="72A39DF9" w14:textId="0A21D902" w:rsidR="00713454" w:rsidRPr="004853EB" w:rsidRDefault="00713454" w:rsidP="00713454">
      <w:p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obmiaru robót podano w SST D-00.00.00 „Wymagania ogólne” [1</w:t>
      </w:r>
      <w:r w:rsidR="00DD5BCD" w:rsidRPr="004853EB">
        <w:rPr>
          <w:rFonts w:eastAsia="Times New Roman" w:cstheme="minorHAnsi"/>
          <w:sz w:val="20"/>
          <w:szCs w:val="20"/>
          <w:lang w:eastAsia="pl-PL"/>
        </w:rPr>
        <w:t>] pkt</w:t>
      </w:r>
      <w:r w:rsidRPr="004853EB">
        <w:rPr>
          <w:rFonts w:eastAsia="Times New Roman" w:cstheme="minorHAnsi"/>
          <w:sz w:val="20"/>
          <w:szCs w:val="20"/>
          <w:lang w:eastAsia="pl-PL"/>
        </w:rPr>
        <w:t xml:space="preserve"> 7.</w:t>
      </w:r>
    </w:p>
    <w:p w14:paraId="09F050AC"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509" w:name="_Toc194476565"/>
      <w:bookmarkStart w:id="510" w:name="_Toc227759907"/>
      <w:bookmarkStart w:id="511" w:name="_Toc227825054"/>
      <w:r w:rsidRPr="004853EB">
        <w:rPr>
          <w:rFonts w:eastAsia="Times New Roman" w:cstheme="minorHAnsi"/>
          <w:b/>
          <w:sz w:val="20"/>
          <w:szCs w:val="20"/>
          <w:lang w:eastAsia="pl-PL"/>
        </w:rPr>
        <w:lastRenderedPageBreak/>
        <w:t>7.2. Jednostka obmiarowa</w:t>
      </w:r>
      <w:bookmarkEnd w:id="509"/>
      <w:bookmarkEnd w:id="510"/>
      <w:bookmarkEnd w:id="511"/>
    </w:p>
    <w:p w14:paraId="635389A9" w14:textId="77777777" w:rsidR="00713454" w:rsidRPr="004853EB" w:rsidRDefault="00713454" w:rsidP="00713454">
      <w:p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Jednostką obmiarową jest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(metr kwadratowy) zdjętej warstwy ziemi urodzajnej o określonej grubości.</w:t>
      </w:r>
    </w:p>
    <w:p w14:paraId="16D4F48F"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512" w:name="_Toc213468977"/>
      <w:bookmarkStart w:id="513" w:name="_Toc268244573"/>
      <w:bookmarkStart w:id="514" w:name="_Toc275335789"/>
      <w:bookmarkStart w:id="515" w:name="_Toc283881727"/>
      <w:bookmarkStart w:id="516" w:name="_Toc194476566"/>
      <w:bookmarkStart w:id="517" w:name="_Toc227759908"/>
      <w:bookmarkStart w:id="518" w:name="_Toc227825055"/>
      <w:r w:rsidRPr="004853EB">
        <w:rPr>
          <w:rFonts w:eastAsia="Times New Roman" w:cstheme="minorHAnsi"/>
          <w:b/>
          <w:caps/>
          <w:kern w:val="28"/>
          <w:sz w:val="20"/>
          <w:szCs w:val="20"/>
          <w:lang w:eastAsia="pl-PL"/>
        </w:rPr>
        <w:t>8. ODBIÓR ROBÓT</w:t>
      </w:r>
      <w:bookmarkEnd w:id="512"/>
      <w:bookmarkEnd w:id="513"/>
      <w:bookmarkEnd w:id="514"/>
      <w:bookmarkEnd w:id="515"/>
      <w:bookmarkEnd w:id="516"/>
      <w:bookmarkEnd w:id="517"/>
      <w:bookmarkEnd w:id="518"/>
    </w:p>
    <w:p w14:paraId="02B6D577"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519" w:name="_Toc194476567"/>
      <w:bookmarkStart w:id="520" w:name="_Toc227759909"/>
      <w:bookmarkStart w:id="521" w:name="_Toc227825056"/>
      <w:r w:rsidRPr="004853EB">
        <w:rPr>
          <w:rFonts w:eastAsia="Times New Roman" w:cstheme="minorHAnsi"/>
          <w:b/>
          <w:sz w:val="20"/>
          <w:szCs w:val="20"/>
          <w:lang w:eastAsia="pl-PL"/>
        </w:rPr>
        <w:t>8.1. Ogólne zasady odbioru robót</w:t>
      </w:r>
      <w:bookmarkEnd w:id="519"/>
      <w:bookmarkEnd w:id="520"/>
      <w:bookmarkEnd w:id="521"/>
    </w:p>
    <w:p w14:paraId="3B27DC98" w14:textId="77777777" w:rsidR="00713454" w:rsidRPr="004853EB" w:rsidRDefault="00713454" w:rsidP="00713454">
      <w:p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odbioru robót podano w SST D-00.00.00 „Wymagania ogólne” [1] pkt 8.</w:t>
      </w:r>
    </w:p>
    <w:p w14:paraId="03468D10" w14:textId="77777777" w:rsidR="00713454" w:rsidRPr="004853EB" w:rsidRDefault="00713454" w:rsidP="00713454">
      <w:p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Roboty uznaje się za wykonane zgodnie z dokumentacją projektową, ST i wymaganiami Inżyniera, jeżeli ocena prawidłowości i kompletności ich wykonania okazała się pozytywna.</w:t>
      </w:r>
    </w:p>
    <w:p w14:paraId="449E6120"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522" w:name="_Toc213468978"/>
      <w:bookmarkStart w:id="523" w:name="_Toc268244574"/>
      <w:bookmarkStart w:id="524" w:name="_Toc275335790"/>
      <w:bookmarkStart w:id="525" w:name="_Toc283881728"/>
      <w:bookmarkStart w:id="526" w:name="_Toc194476568"/>
      <w:bookmarkStart w:id="527" w:name="_Toc227759910"/>
      <w:bookmarkStart w:id="528" w:name="_Toc227825057"/>
      <w:r w:rsidRPr="004853EB">
        <w:rPr>
          <w:rFonts w:eastAsia="Times New Roman" w:cstheme="minorHAnsi"/>
          <w:b/>
          <w:caps/>
          <w:kern w:val="28"/>
          <w:sz w:val="20"/>
          <w:szCs w:val="20"/>
          <w:lang w:eastAsia="pl-PL"/>
        </w:rPr>
        <w:t>9. PODSTAWA PŁATNOŚCI</w:t>
      </w:r>
      <w:bookmarkEnd w:id="522"/>
      <w:bookmarkEnd w:id="523"/>
      <w:bookmarkEnd w:id="524"/>
      <w:bookmarkEnd w:id="525"/>
      <w:bookmarkEnd w:id="526"/>
      <w:bookmarkEnd w:id="527"/>
      <w:bookmarkEnd w:id="528"/>
    </w:p>
    <w:p w14:paraId="0B00D8F4"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529" w:name="_Toc194476569"/>
      <w:bookmarkStart w:id="530" w:name="_Toc227759911"/>
      <w:bookmarkStart w:id="531" w:name="_Toc227825058"/>
      <w:r w:rsidRPr="004853EB">
        <w:rPr>
          <w:rFonts w:eastAsia="Times New Roman" w:cstheme="minorHAnsi"/>
          <w:b/>
          <w:sz w:val="20"/>
          <w:szCs w:val="20"/>
          <w:lang w:eastAsia="pl-PL"/>
        </w:rPr>
        <w:t>9.1. Ogólne ustalenia dotyczące podstawy płatności</w:t>
      </w:r>
      <w:bookmarkEnd w:id="529"/>
      <w:bookmarkEnd w:id="530"/>
      <w:bookmarkEnd w:id="531"/>
    </w:p>
    <w:p w14:paraId="3A8FC855" w14:textId="261A7DEB" w:rsidR="00713454" w:rsidRPr="004853EB" w:rsidRDefault="00713454" w:rsidP="00713454">
      <w:p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        </w:t>
      </w:r>
      <w:r w:rsidRPr="004853EB">
        <w:rPr>
          <w:rFonts w:eastAsia="Times New Roman" w:cstheme="minorHAnsi"/>
          <w:sz w:val="20"/>
          <w:szCs w:val="20"/>
          <w:lang w:eastAsia="pl-PL"/>
        </w:rPr>
        <w:tab/>
        <w:t xml:space="preserve"> </w:t>
      </w:r>
      <w:r w:rsidR="00DD5BCD" w:rsidRPr="004853EB">
        <w:rPr>
          <w:rFonts w:eastAsia="Times New Roman" w:cstheme="minorHAnsi"/>
          <w:sz w:val="20"/>
          <w:szCs w:val="20"/>
          <w:lang w:eastAsia="pl-PL"/>
        </w:rPr>
        <w:t>Ogólne ustalenia dotyczące podstawy płatności podano</w:t>
      </w:r>
      <w:r w:rsidRPr="004853EB">
        <w:rPr>
          <w:rFonts w:eastAsia="Times New Roman" w:cstheme="minorHAnsi"/>
          <w:sz w:val="20"/>
          <w:szCs w:val="20"/>
          <w:lang w:eastAsia="pl-PL"/>
        </w:rPr>
        <w:t xml:space="preserve"> w</w:t>
      </w:r>
      <w:r w:rsidRPr="004853EB">
        <w:rPr>
          <w:rFonts w:eastAsia="Times New Roman" w:cstheme="minorHAnsi"/>
          <w:b/>
          <w:sz w:val="20"/>
          <w:szCs w:val="20"/>
          <w:lang w:eastAsia="pl-PL"/>
        </w:rPr>
        <w:t xml:space="preserve"> </w:t>
      </w:r>
      <w:r w:rsidRPr="004853EB">
        <w:rPr>
          <w:rFonts w:eastAsia="Times New Roman" w:cstheme="minorHAnsi"/>
          <w:sz w:val="20"/>
          <w:szCs w:val="20"/>
          <w:lang w:eastAsia="pl-PL"/>
        </w:rPr>
        <w:t>SST D-00.00.00 „Wymagania ogólne” [1]  pkt 9.</w:t>
      </w:r>
    </w:p>
    <w:p w14:paraId="3905277E"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532" w:name="_Toc194476570"/>
      <w:bookmarkStart w:id="533" w:name="_Toc227759912"/>
      <w:bookmarkStart w:id="534" w:name="_Toc227825059"/>
      <w:r w:rsidRPr="004853EB">
        <w:rPr>
          <w:rFonts w:eastAsia="Times New Roman" w:cstheme="minorHAnsi"/>
          <w:b/>
          <w:sz w:val="20"/>
          <w:szCs w:val="20"/>
          <w:lang w:eastAsia="pl-PL"/>
        </w:rPr>
        <w:t>9.2. Cena jednostki obmiarowej</w:t>
      </w:r>
      <w:bookmarkEnd w:id="532"/>
      <w:bookmarkEnd w:id="533"/>
      <w:bookmarkEnd w:id="534"/>
    </w:p>
    <w:p w14:paraId="15C8D29C" w14:textId="77777777" w:rsidR="00713454" w:rsidRPr="004853EB" w:rsidRDefault="00713454" w:rsidP="00713454">
      <w:p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Cena wykonania 1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robót obejmuje:</w:t>
      </w:r>
    </w:p>
    <w:p w14:paraId="5444693C" w14:textId="77777777" w:rsidR="00713454" w:rsidRPr="004853EB" w:rsidRDefault="00713454" w:rsidP="00713454">
      <w:pPr>
        <w:numPr>
          <w:ilvl w:val="0"/>
          <w:numId w:val="15"/>
        </w:num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prace pomiarowe i roboty przygotowawcze,</w:t>
      </w:r>
    </w:p>
    <w:p w14:paraId="5F861656" w14:textId="77777777" w:rsidR="00713454" w:rsidRPr="004853EB" w:rsidRDefault="00713454" w:rsidP="00713454">
      <w:pPr>
        <w:numPr>
          <w:ilvl w:val="0"/>
          <w:numId w:val="15"/>
        </w:num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oznakowanie robót,</w:t>
      </w:r>
    </w:p>
    <w:p w14:paraId="3613BE87" w14:textId="77777777" w:rsidR="00713454" w:rsidRPr="004853EB" w:rsidRDefault="00713454" w:rsidP="00713454">
      <w:pPr>
        <w:numPr>
          <w:ilvl w:val="0"/>
          <w:numId w:val="15"/>
        </w:num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dostarczenie sprzętu,</w:t>
      </w:r>
    </w:p>
    <w:p w14:paraId="2E81205A" w14:textId="77777777" w:rsidR="00713454" w:rsidRPr="004853EB" w:rsidRDefault="00713454" w:rsidP="00713454">
      <w:pPr>
        <w:numPr>
          <w:ilvl w:val="0"/>
          <w:numId w:val="15"/>
        </w:num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zdjęcie warstwy ziemi urodzajnej,</w:t>
      </w:r>
    </w:p>
    <w:p w14:paraId="2AC2F856" w14:textId="77777777" w:rsidR="00713454" w:rsidRPr="004853EB" w:rsidRDefault="00713454" w:rsidP="00713454">
      <w:pPr>
        <w:numPr>
          <w:ilvl w:val="0"/>
          <w:numId w:val="15"/>
        </w:num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oczyszczenie ziemi urodzajnej z zanieczyszczeń jak korzenie, kamienie, glina itp.,</w:t>
      </w:r>
    </w:p>
    <w:p w14:paraId="14BDB457" w14:textId="77777777" w:rsidR="00713454" w:rsidRPr="004853EB" w:rsidRDefault="00713454" w:rsidP="00713454">
      <w:pPr>
        <w:numPr>
          <w:ilvl w:val="0"/>
          <w:numId w:val="15"/>
        </w:num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przemieszczenie lub transport ziemi roślinnej na składowisko,</w:t>
      </w:r>
    </w:p>
    <w:p w14:paraId="4CBC30D1" w14:textId="77777777" w:rsidR="00713454" w:rsidRPr="004853EB" w:rsidRDefault="00713454" w:rsidP="00713454">
      <w:pPr>
        <w:numPr>
          <w:ilvl w:val="0"/>
          <w:numId w:val="15"/>
        </w:num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składowanie ziemi urodzajnej wraz z jej zabezpieczeniem,</w:t>
      </w:r>
    </w:p>
    <w:p w14:paraId="6AA99924" w14:textId="77777777" w:rsidR="00713454" w:rsidRPr="004853EB" w:rsidRDefault="00713454" w:rsidP="00713454">
      <w:pPr>
        <w:numPr>
          <w:ilvl w:val="0"/>
          <w:numId w:val="15"/>
        </w:num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odwiezienie sprzętu.</w:t>
      </w:r>
    </w:p>
    <w:p w14:paraId="0764E468"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535" w:name="_Toc194476571"/>
      <w:bookmarkStart w:id="536" w:name="_Toc227759913"/>
      <w:bookmarkStart w:id="537" w:name="_Toc227825060"/>
      <w:r w:rsidRPr="004853EB">
        <w:rPr>
          <w:rFonts w:eastAsia="Times New Roman" w:cstheme="minorHAnsi"/>
          <w:b/>
          <w:sz w:val="20"/>
          <w:szCs w:val="20"/>
          <w:lang w:eastAsia="pl-PL"/>
        </w:rPr>
        <w:t>9.3. Sposób rozliczenia robót tymczasowych i prac towarzyszących</w:t>
      </w:r>
      <w:bookmarkEnd w:id="535"/>
      <w:bookmarkEnd w:id="536"/>
      <w:bookmarkEnd w:id="537"/>
    </w:p>
    <w:p w14:paraId="449B1397"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Cena wykonania robót określonych niniejszą SST obejmuje:</w:t>
      </w:r>
    </w:p>
    <w:p w14:paraId="0C4B6F56"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tymczasowe, które są potrzebne do wykonania robót podstawowych, ale nie są przekazywane Zamawiającemu i są usuwane po wykonaniu robót podstawowych,</w:t>
      </w:r>
    </w:p>
    <w:p w14:paraId="44FAE3CC" w14:textId="77777777" w:rsidR="00713454" w:rsidRPr="004853EB" w:rsidRDefault="00713454" w:rsidP="00713454">
      <w:pPr>
        <w:numPr>
          <w:ilvl w:val="0"/>
          <w:numId w:val="9"/>
        </w:num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prace towarzyszące, które są niezbędne do wykonania robót podstawowych, niezaliczane do robót tymczasowych, jak geodezyjne wytyczenie robót itd.</w:t>
      </w:r>
    </w:p>
    <w:p w14:paraId="6801F3BB"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538" w:name="_Toc213468979"/>
      <w:bookmarkStart w:id="539" w:name="_Toc268244575"/>
      <w:bookmarkStart w:id="540" w:name="_Toc275335791"/>
      <w:bookmarkStart w:id="541" w:name="_Toc283881729"/>
      <w:bookmarkStart w:id="542" w:name="_Toc194476572"/>
      <w:bookmarkStart w:id="543" w:name="_Toc227759914"/>
      <w:bookmarkStart w:id="544" w:name="_Toc227825061"/>
      <w:r w:rsidRPr="004853EB">
        <w:rPr>
          <w:rFonts w:eastAsia="Times New Roman" w:cstheme="minorHAnsi"/>
          <w:b/>
          <w:caps/>
          <w:kern w:val="28"/>
          <w:sz w:val="20"/>
          <w:szCs w:val="20"/>
          <w:lang w:eastAsia="pl-PL"/>
        </w:rPr>
        <w:t>10. PRZEPISY ZWIĄZANE</w:t>
      </w:r>
      <w:bookmarkEnd w:id="538"/>
      <w:bookmarkEnd w:id="539"/>
      <w:bookmarkEnd w:id="540"/>
      <w:bookmarkEnd w:id="541"/>
      <w:bookmarkEnd w:id="542"/>
      <w:bookmarkEnd w:id="543"/>
      <w:bookmarkEnd w:id="544"/>
    </w:p>
    <w:p w14:paraId="2DF038FB"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545" w:name="_Toc194476573"/>
      <w:bookmarkStart w:id="546" w:name="_Toc227759915"/>
      <w:bookmarkStart w:id="547" w:name="_Toc227825062"/>
      <w:r w:rsidRPr="004853EB">
        <w:rPr>
          <w:rFonts w:eastAsia="Times New Roman" w:cstheme="minorHAnsi"/>
          <w:b/>
          <w:sz w:val="20"/>
          <w:szCs w:val="20"/>
          <w:lang w:eastAsia="pl-PL"/>
        </w:rPr>
        <w:t>Ogólne specyfikacje techniczne (SST)</w:t>
      </w:r>
      <w:bookmarkEnd w:id="545"/>
      <w:bookmarkEnd w:id="546"/>
      <w:bookmarkEnd w:id="547"/>
    </w:p>
    <w:p w14:paraId="73C6CC2C" w14:textId="57A25842" w:rsidR="00713454" w:rsidRPr="004853EB" w:rsidRDefault="00713454" w:rsidP="00713454">
      <w:pPr>
        <w:numPr>
          <w:ilvl w:val="0"/>
          <w:numId w:val="17"/>
        </w:numPr>
        <w:overflowPunct w:val="0"/>
        <w:autoSpaceDE w:val="0"/>
        <w:autoSpaceDN w:val="0"/>
        <w:adjustRightInd w:val="0"/>
        <w:spacing w:after="0" w:line="240" w:lineRule="auto"/>
        <w:ind w:left="426"/>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D-00.00.</w:t>
      </w:r>
      <w:r w:rsidR="00DD5BCD" w:rsidRPr="004853EB">
        <w:rPr>
          <w:rFonts w:eastAsia="Times New Roman" w:cstheme="minorHAnsi"/>
          <w:sz w:val="20"/>
          <w:szCs w:val="20"/>
          <w:lang w:eastAsia="pl-PL"/>
        </w:rPr>
        <w:t>00 Wymagania</w:t>
      </w:r>
      <w:r w:rsidRPr="004853EB">
        <w:rPr>
          <w:rFonts w:eastAsia="Times New Roman" w:cstheme="minorHAnsi"/>
          <w:sz w:val="20"/>
          <w:szCs w:val="20"/>
          <w:lang w:eastAsia="pl-PL"/>
        </w:rPr>
        <w:t xml:space="preserve"> ogólne</w:t>
      </w:r>
    </w:p>
    <w:p w14:paraId="2C93AFC4"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38CACEBE"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76A0F03" w14:textId="77777777" w:rsidR="00713454" w:rsidRPr="004853EB" w:rsidRDefault="00713454" w:rsidP="00713454">
      <w:pPr>
        <w:keepNext/>
        <w:keepLines/>
        <w:suppressAutoHyphens/>
        <w:overflowPunct w:val="0"/>
        <w:autoSpaceDE w:val="0"/>
        <w:autoSpaceDN w:val="0"/>
        <w:adjustRightInd w:val="0"/>
        <w:spacing w:before="240" w:after="120" w:line="240" w:lineRule="auto"/>
        <w:jc w:val="center"/>
        <w:textAlignment w:val="baseline"/>
        <w:outlineLvl w:val="0"/>
        <w:rPr>
          <w:rFonts w:eastAsia="Times New Roman" w:cstheme="minorHAnsi"/>
          <w:b/>
          <w:caps/>
          <w:kern w:val="28"/>
          <w:sz w:val="20"/>
          <w:szCs w:val="20"/>
          <w:lang w:eastAsia="pl-PL"/>
        </w:rPr>
      </w:pPr>
      <w:bookmarkStart w:id="548" w:name="_Toc283881730"/>
      <w:bookmarkStart w:id="549" w:name="_Toc194476574"/>
      <w:bookmarkStart w:id="550" w:name="_Toc227759916"/>
      <w:bookmarkStart w:id="551" w:name="_Toc227825063"/>
      <w:r w:rsidRPr="004853EB">
        <w:rPr>
          <w:rFonts w:eastAsia="Times New Roman" w:cstheme="minorHAnsi"/>
          <w:b/>
          <w:caps/>
          <w:kern w:val="28"/>
          <w:sz w:val="20"/>
          <w:szCs w:val="20"/>
          <w:lang w:eastAsia="pl-PL"/>
        </w:rPr>
        <w:t>11. ZAŁĄCZNIK</w:t>
      </w:r>
      <w:bookmarkEnd w:id="548"/>
      <w:bookmarkEnd w:id="549"/>
      <w:bookmarkEnd w:id="550"/>
      <w:bookmarkEnd w:id="551"/>
    </w:p>
    <w:p w14:paraId="1ACEC494" w14:textId="47D2268D" w:rsidR="00713454" w:rsidRPr="004853EB" w:rsidRDefault="00DD5BCD" w:rsidP="00713454">
      <w:pPr>
        <w:overflowPunct w:val="0"/>
        <w:autoSpaceDE w:val="0"/>
        <w:autoSpaceDN w:val="0"/>
        <w:adjustRightInd w:val="0"/>
        <w:spacing w:before="120" w:after="120" w:line="240" w:lineRule="auto"/>
        <w:jc w:val="center"/>
        <w:textAlignment w:val="baseline"/>
        <w:rPr>
          <w:rFonts w:eastAsia="Times New Roman" w:cstheme="minorHAnsi"/>
          <w:b/>
          <w:sz w:val="20"/>
          <w:szCs w:val="20"/>
          <w:lang w:eastAsia="pl-PL"/>
        </w:rPr>
      </w:pPr>
      <w:r w:rsidRPr="004853EB">
        <w:rPr>
          <w:rFonts w:eastAsia="Times New Roman" w:cstheme="minorHAnsi"/>
          <w:b/>
          <w:sz w:val="20"/>
          <w:szCs w:val="20"/>
          <w:lang w:eastAsia="pl-PL"/>
        </w:rPr>
        <w:t>ZASADY ZDEJMOWANIA ZIEMI URODZAJNEJ</w:t>
      </w:r>
    </w:p>
    <w:p w14:paraId="0958171E"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b/>
          <w:sz w:val="20"/>
          <w:szCs w:val="20"/>
          <w:lang w:eastAsia="pl-PL"/>
        </w:rPr>
      </w:pPr>
      <w:r w:rsidRPr="004853EB">
        <w:rPr>
          <w:rFonts w:eastAsia="Times New Roman" w:cstheme="minorHAnsi"/>
          <w:b/>
          <w:sz w:val="20"/>
          <w:szCs w:val="20"/>
          <w:lang w:eastAsia="pl-PL"/>
        </w:rPr>
        <w:t>1. Cele usuwania ziemi urodzajnej</w:t>
      </w:r>
    </w:p>
    <w:p w14:paraId="137B99F7"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Zdjęcie ziemi urodzajnej należy do robót przygotowawczych przy budowie dróg, mających przygotować teren do wykonania wykopów i nasypów.</w:t>
      </w:r>
    </w:p>
    <w:p w14:paraId="07CE57D3"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Ziemię urodzajną (oraz darninę) usuwa się, gdyż:</w:t>
      </w:r>
    </w:p>
    <w:p w14:paraId="120BEAE2" w14:textId="77777777" w:rsidR="00713454" w:rsidRPr="004853EB" w:rsidRDefault="00713454" w:rsidP="00713454">
      <w:pPr>
        <w:numPr>
          <w:ilvl w:val="0"/>
          <w:numId w:val="16"/>
        </w:numPr>
        <w:tabs>
          <w:tab w:val="num" w:pos="284"/>
        </w:tabs>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pod nasypem uniemożliwiałaby związanie gruntu nasypanego z rodzimym, a w przypadku dużego nagromadzenia mogłaby w miarę butwienia i zmniejszania objętości, powodować osiadanie nasypu,</w:t>
      </w:r>
    </w:p>
    <w:p w14:paraId="6E3EA08A" w14:textId="77777777" w:rsidR="00713454" w:rsidRPr="004853EB" w:rsidRDefault="00713454" w:rsidP="00713454">
      <w:pPr>
        <w:numPr>
          <w:ilvl w:val="0"/>
          <w:numId w:val="16"/>
        </w:numPr>
        <w:tabs>
          <w:tab w:val="num" w:pos="284"/>
        </w:tabs>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 miejscach wykopu stałaby się niepożądaną domieszką do materiału ziemnego,</w:t>
      </w:r>
    </w:p>
    <w:p w14:paraId="73A1B010" w14:textId="77777777" w:rsidR="00713454" w:rsidRPr="004853EB" w:rsidRDefault="00713454" w:rsidP="00713454">
      <w:pPr>
        <w:numPr>
          <w:ilvl w:val="0"/>
          <w:numId w:val="16"/>
        </w:numPr>
        <w:tabs>
          <w:tab w:val="num" w:pos="284"/>
        </w:tabs>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jest nieodzownym materiałem do umocnienia skarp i rowów i za zdjęciem jej przemawiają względy ekonomiczne budowy drogi.</w:t>
      </w:r>
    </w:p>
    <w:p w14:paraId="1CEC3F3D" w14:textId="77777777" w:rsidR="00713454" w:rsidRPr="004853EB"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Ziemię urodzajną zdejmuje się w podstawie nasypu, na terenie planowanego wykopu, rowów odwadniających, żwirowni, a w przypadku zwiększonego zapotrzebowania również i w innych miejscach.</w:t>
      </w:r>
    </w:p>
    <w:p w14:paraId="2E42D084"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552" w:name="_Toc194476575"/>
      <w:bookmarkStart w:id="553" w:name="_Toc227759917"/>
      <w:bookmarkStart w:id="554" w:name="_Toc227825064"/>
      <w:r w:rsidRPr="004853EB">
        <w:rPr>
          <w:rFonts w:eastAsia="Times New Roman" w:cstheme="minorHAnsi"/>
          <w:b/>
          <w:sz w:val="20"/>
          <w:szCs w:val="20"/>
          <w:lang w:eastAsia="pl-PL"/>
        </w:rPr>
        <w:lastRenderedPageBreak/>
        <w:t>2. Charakterystyka ziemi urodzajnej</w:t>
      </w:r>
      <w:bookmarkEnd w:id="552"/>
      <w:bookmarkEnd w:id="553"/>
      <w:bookmarkEnd w:id="554"/>
    </w:p>
    <w:p w14:paraId="54462B1F"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Grubość warstwy ziemi urodzajnej waha się od 5 do 30 cm, zależnie od rodzaju gruntu podłoża i sposobu jego użytkowania. Zazwyczaj grubość ta wynosi około 20 cm. Grubość warstwy zdejmowanej ziemi urodzajnej określa się na podstawie ciemniejszej barwy i występujących korzeni. Warstwę roślinną należy zdejmować przed nastaniem mrozów.</w:t>
      </w:r>
    </w:p>
    <w:p w14:paraId="22F135EE" w14:textId="641DCB9B"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Z powierzchni zarośniętych trawą najpierw zdejmuje się darninę, zwykle na głębokość 10 cm, a dopiero następnie można zdjąć pozostałą pod spodem warstwę ziemi urodzajnej. Jeśli w czasie robót przygotowawczych usuwa się krzewy to należy uwzględniać, że połączone to jest z utratą ziemi urodzajnej, która zmieszana </w:t>
      </w:r>
      <w:r w:rsidR="00DD5BCD">
        <w:rPr>
          <w:rFonts w:eastAsia="Times New Roman" w:cstheme="minorHAnsi"/>
          <w:sz w:val="20"/>
          <w:szCs w:val="20"/>
          <w:lang w:eastAsia="pl-PL"/>
        </w:rPr>
        <w:br/>
      </w:r>
      <w:r w:rsidRPr="004853EB">
        <w:rPr>
          <w:rFonts w:eastAsia="Times New Roman" w:cstheme="minorHAnsi"/>
          <w:sz w:val="20"/>
          <w:szCs w:val="20"/>
          <w:lang w:eastAsia="pl-PL"/>
        </w:rPr>
        <w:t>z gałęziami krzewów nie nadaje się do użycia, bowiem oddzielenie jej od krzewów nie zawsze jest opłacalne.</w:t>
      </w:r>
    </w:p>
    <w:p w14:paraId="1AAEB3FE"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555" w:name="_Toc194476576"/>
      <w:bookmarkStart w:id="556" w:name="_Toc227759918"/>
      <w:bookmarkStart w:id="557" w:name="_Toc227825065"/>
      <w:r w:rsidRPr="004853EB">
        <w:rPr>
          <w:rFonts w:eastAsia="Times New Roman" w:cstheme="minorHAnsi"/>
          <w:b/>
          <w:sz w:val="20"/>
          <w:szCs w:val="20"/>
          <w:lang w:eastAsia="pl-PL"/>
        </w:rPr>
        <w:t>3. Sposób usuwania ziemi urodzajnej</w:t>
      </w:r>
      <w:bookmarkEnd w:id="555"/>
      <w:bookmarkEnd w:id="556"/>
      <w:bookmarkEnd w:id="557"/>
    </w:p>
    <w:p w14:paraId="3B3BEA85"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Ręczne zdjęcie ziemi urodzajnej można stosować wyjątkowo, przede wszystkim, gdy powierzchnia robót jest niewielka lub istnieją przeszkody w stosowaniu sprzętu mechanicznego. Narzędziem do ręcznego odspojenia i odrzucenia lub załadowania ziemi urodzajnej jest szpadel prostokątny lub zaokrąglony, a środkiem przewozu są zwykłe taczki. Jeden robotnik w ciągu 8 godzin może usunąć i odrzucić w bok na odległość do 3 m do 50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ziemi urodzajnej grubości 15 cm.</w:t>
      </w:r>
    </w:p>
    <w:p w14:paraId="04A0C297" w14:textId="66F24AB8"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 zdejmowania ziemi urodzajnej najwydajniejsza jest spycharka, której wydajność eksploatacyjna przy grubości warstwy 15 cm wynosi od 230 do 300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/h. Przy stosowaniu równiarki do zdjęcia warstwy ziemi urodzajnej należy się liczyć ze </w:t>
      </w:r>
      <w:r w:rsidR="00DD5BCD" w:rsidRPr="004853EB">
        <w:rPr>
          <w:rFonts w:eastAsia="Times New Roman" w:cstheme="minorHAnsi"/>
          <w:sz w:val="20"/>
          <w:szCs w:val="20"/>
          <w:lang w:eastAsia="pl-PL"/>
        </w:rPr>
        <w:t>znacznie mniejszymi</w:t>
      </w:r>
      <w:r w:rsidRPr="004853EB">
        <w:rPr>
          <w:rFonts w:eastAsia="Times New Roman" w:cstheme="minorHAnsi"/>
          <w:sz w:val="20"/>
          <w:szCs w:val="20"/>
          <w:lang w:eastAsia="pl-PL"/>
        </w:rPr>
        <w:t xml:space="preserve"> wydajnościami od wydajności spycharki.</w:t>
      </w:r>
    </w:p>
    <w:p w14:paraId="2655DF44"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558" w:name="_Toc194476577"/>
      <w:bookmarkStart w:id="559" w:name="_Toc227759919"/>
      <w:bookmarkStart w:id="560" w:name="_Toc227825066"/>
      <w:r w:rsidRPr="004853EB">
        <w:rPr>
          <w:rFonts w:eastAsia="Times New Roman" w:cstheme="minorHAnsi"/>
          <w:b/>
          <w:sz w:val="20"/>
          <w:szCs w:val="20"/>
          <w:lang w:eastAsia="pl-PL"/>
        </w:rPr>
        <w:t>4. Formowanie zwałów</w:t>
      </w:r>
      <w:bookmarkEnd w:id="558"/>
      <w:bookmarkEnd w:id="559"/>
      <w:bookmarkEnd w:id="560"/>
    </w:p>
    <w:p w14:paraId="47630753"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Zdjęta z pasa drogowego ziemia urodzajna powinna być składowana w zwałach położonych w pobliżu budowanej drogi lub w miejscach bardziej odległych, nie kolidujących z robotami drogowymi. Schemat zdejmowania ziemi urodzajnej przez spycharkę przedstawiono na rysunku 1.</w:t>
      </w:r>
    </w:p>
    <w:p w14:paraId="3D1CC9E7" w14:textId="77777777" w:rsidR="00713454" w:rsidRPr="004853EB" w:rsidRDefault="00713454" w:rsidP="00713454">
      <w:pPr>
        <w:overflowPunct w:val="0"/>
        <w:autoSpaceDE w:val="0"/>
        <w:autoSpaceDN w:val="0"/>
        <w:adjustRightInd w:val="0"/>
        <w:spacing w:before="120" w:after="0" w:line="240" w:lineRule="auto"/>
        <w:ind w:left="709" w:hanging="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Rys. 1. Schemat zdjęcia ziemi urodzajnej za pomocą spycharki z przesunięciem jej na zwały</w:t>
      </w:r>
    </w:p>
    <w:p w14:paraId="147A7917" w14:textId="77777777" w:rsidR="00713454" w:rsidRPr="004853EB" w:rsidRDefault="00713454" w:rsidP="00713454">
      <w:pPr>
        <w:overflowPunct w:val="0"/>
        <w:autoSpaceDE w:val="0"/>
        <w:autoSpaceDN w:val="0"/>
        <w:adjustRightInd w:val="0"/>
        <w:spacing w:after="0" w:line="240" w:lineRule="auto"/>
        <w:ind w:left="709" w:hanging="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(wg S. Datka, S. Lenczewski: Drogowe roboty ziemne, WKŁ 1979)</w:t>
      </w:r>
    </w:p>
    <w:p w14:paraId="3984167C" w14:textId="77777777" w:rsidR="00713454" w:rsidRPr="004853EB" w:rsidRDefault="00713454" w:rsidP="00713454">
      <w:pPr>
        <w:overflowPunct w:val="0"/>
        <w:autoSpaceDE w:val="0"/>
        <w:autoSpaceDN w:val="0"/>
        <w:adjustRightInd w:val="0"/>
        <w:spacing w:after="0" w:line="240" w:lineRule="auto"/>
        <w:ind w:left="709" w:hanging="709"/>
        <w:jc w:val="both"/>
        <w:textAlignment w:val="baseline"/>
        <w:rPr>
          <w:rFonts w:eastAsia="Times New Roman" w:cstheme="minorHAnsi"/>
          <w:sz w:val="20"/>
          <w:szCs w:val="20"/>
          <w:lang w:eastAsia="pl-PL"/>
        </w:rPr>
      </w:pPr>
    </w:p>
    <w:p w14:paraId="1B5F768E" w14:textId="77777777" w:rsidR="00713454" w:rsidRPr="004853EB" w:rsidRDefault="00713454" w:rsidP="00713454">
      <w:pPr>
        <w:overflowPunct w:val="0"/>
        <w:autoSpaceDE w:val="0"/>
        <w:autoSpaceDN w:val="0"/>
        <w:adjustRightInd w:val="0"/>
        <w:spacing w:after="0" w:line="240" w:lineRule="auto"/>
        <w:ind w:left="709" w:hanging="709"/>
        <w:jc w:val="center"/>
        <w:textAlignment w:val="baseline"/>
        <w:rPr>
          <w:rFonts w:eastAsia="Times New Roman" w:cstheme="minorHAnsi"/>
          <w:sz w:val="20"/>
          <w:szCs w:val="20"/>
          <w:lang w:eastAsia="pl-PL"/>
        </w:rPr>
      </w:pPr>
      <w:r w:rsidRPr="004853EB">
        <w:rPr>
          <w:rFonts w:eastAsia="Times New Roman" w:cstheme="minorHAnsi"/>
          <w:noProof/>
          <w:sz w:val="20"/>
          <w:szCs w:val="20"/>
          <w:lang w:eastAsia="pl-PL"/>
        </w:rPr>
        <w:drawing>
          <wp:inline distT="0" distB="0" distL="0" distR="0" wp14:anchorId="62FAD716" wp14:editId="3F1D4984">
            <wp:extent cx="4400550" cy="1504950"/>
            <wp:effectExtent l="0" t="0" r="0" b="0"/>
            <wp:docPr id="1" name="Obraz 1" descr="d010202ab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10202ab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00550" cy="1504950"/>
                    </a:xfrm>
                    <a:prstGeom prst="rect">
                      <a:avLst/>
                    </a:prstGeom>
                    <a:noFill/>
                    <a:ln>
                      <a:noFill/>
                    </a:ln>
                  </pic:spPr>
                </pic:pic>
              </a:graphicData>
            </a:graphic>
          </wp:inline>
        </w:drawing>
      </w:r>
    </w:p>
    <w:p w14:paraId="3853E174" w14:textId="77777777" w:rsidR="00713454" w:rsidRPr="004853EB" w:rsidRDefault="00713454" w:rsidP="00713454">
      <w:pPr>
        <w:overflowPunct w:val="0"/>
        <w:autoSpaceDE w:val="0"/>
        <w:autoSpaceDN w:val="0"/>
        <w:adjustRightInd w:val="0"/>
        <w:spacing w:after="0" w:line="240" w:lineRule="auto"/>
        <w:ind w:left="709" w:hanging="709"/>
        <w:jc w:val="center"/>
        <w:textAlignment w:val="baseline"/>
        <w:rPr>
          <w:rFonts w:eastAsia="Times New Roman" w:cstheme="minorHAnsi"/>
          <w:sz w:val="20"/>
          <w:szCs w:val="20"/>
          <w:lang w:eastAsia="pl-PL"/>
        </w:rPr>
      </w:pPr>
    </w:p>
    <w:p w14:paraId="04FCFE01" w14:textId="77777777" w:rsidR="00713454" w:rsidRPr="004853EB" w:rsidRDefault="00713454" w:rsidP="00713454">
      <w:pPr>
        <w:overflowPunct w:val="0"/>
        <w:autoSpaceDE w:val="0"/>
        <w:autoSpaceDN w:val="0"/>
        <w:adjustRightInd w:val="0"/>
        <w:spacing w:after="0" w:line="240" w:lineRule="auto"/>
        <w:ind w:left="709" w:hanging="709"/>
        <w:jc w:val="center"/>
        <w:textAlignment w:val="baseline"/>
        <w:rPr>
          <w:rFonts w:eastAsia="Times New Roman" w:cstheme="minorHAnsi"/>
          <w:sz w:val="20"/>
          <w:szCs w:val="20"/>
          <w:lang w:eastAsia="pl-PL"/>
        </w:rPr>
      </w:pPr>
    </w:p>
    <w:p w14:paraId="78A91E30" w14:textId="77777777" w:rsidR="00713454" w:rsidRPr="004853EB" w:rsidRDefault="00713454" w:rsidP="00713454">
      <w:pPr>
        <w:overflowPunct w:val="0"/>
        <w:autoSpaceDE w:val="0"/>
        <w:autoSpaceDN w:val="0"/>
        <w:adjustRightInd w:val="0"/>
        <w:spacing w:after="0" w:line="240" w:lineRule="auto"/>
        <w:ind w:left="709" w:hanging="709"/>
        <w:jc w:val="center"/>
        <w:textAlignment w:val="baseline"/>
        <w:rPr>
          <w:rFonts w:eastAsia="Times New Roman" w:cstheme="minorHAnsi"/>
          <w:sz w:val="20"/>
          <w:szCs w:val="20"/>
          <w:lang w:eastAsia="pl-PL"/>
        </w:rPr>
      </w:pPr>
    </w:p>
    <w:p w14:paraId="0AF80FA0" w14:textId="77777777" w:rsidR="00713454" w:rsidRPr="004853EB" w:rsidRDefault="00713454" w:rsidP="00713454">
      <w:pPr>
        <w:overflowPunct w:val="0"/>
        <w:autoSpaceDE w:val="0"/>
        <w:autoSpaceDN w:val="0"/>
        <w:adjustRightInd w:val="0"/>
        <w:spacing w:after="0" w:line="240" w:lineRule="auto"/>
        <w:ind w:left="709" w:hanging="709"/>
        <w:jc w:val="center"/>
        <w:textAlignment w:val="baseline"/>
        <w:rPr>
          <w:rFonts w:eastAsia="Times New Roman" w:cstheme="minorHAnsi"/>
          <w:sz w:val="20"/>
          <w:szCs w:val="20"/>
          <w:lang w:eastAsia="pl-PL"/>
        </w:rPr>
      </w:pPr>
    </w:p>
    <w:p w14:paraId="697C2E16" w14:textId="77777777" w:rsidR="00713454" w:rsidRPr="004853EB" w:rsidRDefault="00713454" w:rsidP="00713454">
      <w:pPr>
        <w:overflowPunct w:val="0"/>
        <w:autoSpaceDE w:val="0"/>
        <w:autoSpaceDN w:val="0"/>
        <w:adjustRightInd w:val="0"/>
        <w:spacing w:after="0" w:line="240" w:lineRule="auto"/>
        <w:ind w:left="709" w:hanging="709"/>
        <w:jc w:val="center"/>
        <w:textAlignment w:val="baseline"/>
        <w:rPr>
          <w:rFonts w:eastAsia="Times New Roman" w:cstheme="minorHAnsi"/>
          <w:sz w:val="20"/>
          <w:szCs w:val="20"/>
          <w:lang w:eastAsia="pl-PL"/>
        </w:rPr>
      </w:pPr>
    </w:p>
    <w:p w14:paraId="5C00EE56" w14:textId="77777777" w:rsidR="00713454" w:rsidRPr="004853EB" w:rsidRDefault="00713454" w:rsidP="00713454">
      <w:pPr>
        <w:overflowPunct w:val="0"/>
        <w:autoSpaceDE w:val="0"/>
        <w:autoSpaceDN w:val="0"/>
        <w:adjustRightInd w:val="0"/>
        <w:spacing w:after="0" w:line="240" w:lineRule="auto"/>
        <w:ind w:left="709" w:hanging="709"/>
        <w:jc w:val="center"/>
        <w:textAlignment w:val="baseline"/>
        <w:rPr>
          <w:rFonts w:eastAsia="Times New Roman" w:cstheme="minorHAnsi"/>
          <w:sz w:val="20"/>
          <w:szCs w:val="20"/>
          <w:lang w:eastAsia="pl-PL"/>
        </w:rPr>
      </w:pPr>
    </w:p>
    <w:p w14:paraId="2AC44C1C" w14:textId="77777777" w:rsidR="00713454" w:rsidRPr="004853EB" w:rsidRDefault="00713454" w:rsidP="00713454">
      <w:pPr>
        <w:overflowPunct w:val="0"/>
        <w:autoSpaceDE w:val="0"/>
        <w:autoSpaceDN w:val="0"/>
        <w:adjustRightInd w:val="0"/>
        <w:spacing w:after="0" w:line="240" w:lineRule="auto"/>
        <w:ind w:left="709" w:hanging="709"/>
        <w:jc w:val="center"/>
        <w:textAlignment w:val="baseline"/>
        <w:rPr>
          <w:rFonts w:eastAsia="Times New Roman" w:cstheme="minorHAnsi"/>
          <w:sz w:val="20"/>
          <w:szCs w:val="20"/>
          <w:lang w:eastAsia="pl-PL"/>
        </w:rPr>
      </w:pPr>
    </w:p>
    <w:p w14:paraId="47A8931B" w14:textId="77777777" w:rsidR="00713454" w:rsidRPr="004853EB" w:rsidRDefault="00713454" w:rsidP="00713454">
      <w:pPr>
        <w:overflowPunct w:val="0"/>
        <w:autoSpaceDE w:val="0"/>
        <w:autoSpaceDN w:val="0"/>
        <w:adjustRightInd w:val="0"/>
        <w:spacing w:after="0" w:line="240" w:lineRule="auto"/>
        <w:ind w:left="709" w:hanging="709"/>
        <w:jc w:val="center"/>
        <w:textAlignment w:val="baseline"/>
        <w:rPr>
          <w:rFonts w:eastAsia="Times New Roman" w:cstheme="minorHAnsi"/>
          <w:sz w:val="20"/>
          <w:szCs w:val="20"/>
          <w:lang w:eastAsia="pl-PL"/>
        </w:rPr>
      </w:pPr>
    </w:p>
    <w:p w14:paraId="292050D8" w14:textId="77777777" w:rsidR="00713454" w:rsidRPr="004853EB" w:rsidRDefault="00713454" w:rsidP="00713454">
      <w:pPr>
        <w:overflowPunct w:val="0"/>
        <w:autoSpaceDE w:val="0"/>
        <w:autoSpaceDN w:val="0"/>
        <w:adjustRightInd w:val="0"/>
        <w:spacing w:after="0" w:line="240" w:lineRule="auto"/>
        <w:ind w:left="709" w:hanging="709"/>
        <w:jc w:val="center"/>
        <w:textAlignment w:val="baseline"/>
        <w:rPr>
          <w:rFonts w:eastAsia="Times New Roman" w:cstheme="minorHAnsi"/>
          <w:sz w:val="20"/>
          <w:szCs w:val="20"/>
          <w:lang w:eastAsia="pl-PL"/>
        </w:rPr>
      </w:pPr>
    </w:p>
    <w:p w14:paraId="57CA46BC" w14:textId="77777777" w:rsidR="00713454" w:rsidRPr="004853EB" w:rsidRDefault="00713454" w:rsidP="00713454">
      <w:pPr>
        <w:overflowPunct w:val="0"/>
        <w:autoSpaceDE w:val="0"/>
        <w:autoSpaceDN w:val="0"/>
        <w:adjustRightInd w:val="0"/>
        <w:spacing w:after="0" w:line="240" w:lineRule="auto"/>
        <w:ind w:left="709" w:hanging="709"/>
        <w:jc w:val="center"/>
        <w:textAlignment w:val="baseline"/>
        <w:rPr>
          <w:rFonts w:eastAsia="Times New Roman" w:cstheme="minorHAnsi"/>
          <w:sz w:val="20"/>
          <w:szCs w:val="20"/>
          <w:lang w:eastAsia="pl-PL"/>
        </w:rPr>
      </w:pPr>
    </w:p>
    <w:p w14:paraId="06087317" w14:textId="77777777" w:rsidR="00713454" w:rsidRPr="004853EB" w:rsidRDefault="00713454" w:rsidP="00713454">
      <w:pPr>
        <w:overflowPunct w:val="0"/>
        <w:autoSpaceDE w:val="0"/>
        <w:autoSpaceDN w:val="0"/>
        <w:adjustRightInd w:val="0"/>
        <w:spacing w:after="0" w:line="240" w:lineRule="auto"/>
        <w:ind w:left="709" w:hanging="709"/>
        <w:jc w:val="center"/>
        <w:textAlignment w:val="baseline"/>
        <w:rPr>
          <w:rFonts w:eastAsia="Times New Roman" w:cstheme="minorHAnsi"/>
          <w:sz w:val="20"/>
          <w:szCs w:val="20"/>
          <w:lang w:eastAsia="pl-PL"/>
        </w:rPr>
      </w:pPr>
    </w:p>
    <w:p w14:paraId="0D33F633" w14:textId="77777777" w:rsidR="00713454" w:rsidRPr="004853EB" w:rsidRDefault="00713454">
      <w:pPr>
        <w:rPr>
          <w:rFonts w:cstheme="minorHAnsi"/>
        </w:rPr>
      </w:pPr>
    </w:p>
    <w:p w14:paraId="1D78C8E3" w14:textId="77777777" w:rsidR="00713454" w:rsidRPr="004853EB" w:rsidRDefault="00713454">
      <w:pPr>
        <w:rPr>
          <w:rFonts w:cstheme="minorHAnsi"/>
        </w:rPr>
      </w:pPr>
    </w:p>
    <w:p w14:paraId="3DBF7572" w14:textId="77777777" w:rsidR="00713454" w:rsidRPr="004853EB" w:rsidRDefault="00713454">
      <w:pPr>
        <w:rPr>
          <w:rFonts w:cstheme="minorHAnsi"/>
        </w:rPr>
      </w:pPr>
    </w:p>
    <w:p w14:paraId="75096D1A" w14:textId="77777777" w:rsidR="00713454" w:rsidRPr="004853EB" w:rsidRDefault="00713454">
      <w:pPr>
        <w:rPr>
          <w:rFonts w:cstheme="minorHAnsi"/>
        </w:rPr>
      </w:pPr>
    </w:p>
    <w:p w14:paraId="05AB84B8" w14:textId="77777777" w:rsidR="00713454" w:rsidRPr="004853EB" w:rsidRDefault="00713454">
      <w:pPr>
        <w:rPr>
          <w:rFonts w:cstheme="minorHAnsi"/>
        </w:rPr>
      </w:pPr>
    </w:p>
    <w:p w14:paraId="200F4D81" w14:textId="77777777" w:rsidR="00713454" w:rsidRPr="004853EB" w:rsidRDefault="00713454" w:rsidP="00BF7EE3">
      <w:pPr>
        <w:pStyle w:val="Nagwek1"/>
        <w:rPr>
          <w:rFonts w:asciiTheme="minorHAnsi" w:hAnsiTheme="minorHAnsi" w:cstheme="minorHAnsi"/>
          <w:sz w:val="22"/>
          <w:szCs w:val="22"/>
        </w:rPr>
      </w:pPr>
      <w:bookmarkStart w:id="561" w:name="_Toc227825067"/>
      <w:r w:rsidRPr="004853EB">
        <w:rPr>
          <w:rFonts w:asciiTheme="minorHAnsi" w:hAnsiTheme="minorHAnsi" w:cstheme="minorHAnsi"/>
          <w:sz w:val="22"/>
          <w:szCs w:val="22"/>
        </w:rPr>
        <w:lastRenderedPageBreak/>
        <w:t>D</w:t>
      </w:r>
      <w:r w:rsidR="00B26F4A" w:rsidRPr="004853EB">
        <w:rPr>
          <w:rFonts w:asciiTheme="minorHAnsi" w:hAnsiTheme="minorHAnsi" w:cstheme="minorHAnsi"/>
          <w:sz w:val="22"/>
          <w:szCs w:val="22"/>
        </w:rPr>
        <w:t xml:space="preserve"> </w:t>
      </w:r>
      <w:r w:rsidRPr="004853EB">
        <w:rPr>
          <w:rFonts w:asciiTheme="minorHAnsi" w:hAnsiTheme="minorHAnsi" w:cstheme="minorHAnsi"/>
          <w:sz w:val="22"/>
          <w:szCs w:val="22"/>
        </w:rPr>
        <w:t>-</w:t>
      </w:r>
      <w:r w:rsidR="00B26F4A" w:rsidRPr="004853EB">
        <w:rPr>
          <w:rFonts w:asciiTheme="minorHAnsi" w:hAnsiTheme="minorHAnsi" w:cstheme="minorHAnsi"/>
          <w:sz w:val="22"/>
          <w:szCs w:val="22"/>
        </w:rPr>
        <w:t xml:space="preserve"> </w:t>
      </w:r>
      <w:r w:rsidRPr="004853EB">
        <w:rPr>
          <w:rFonts w:asciiTheme="minorHAnsi" w:hAnsiTheme="minorHAnsi" w:cstheme="minorHAnsi"/>
          <w:sz w:val="22"/>
          <w:szCs w:val="22"/>
        </w:rPr>
        <w:t>01.02.04 ROZBIÓRKA ELEMENTÓW DRÓG, OGRODZEŃ</w:t>
      </w:r>
      <w:r w:rsidR="00BF7EE3" w:rsidRPr="004853EB">
        <w:rPr>
          <w:rFonts w:asciiTheme="minorHAnsi" w:hAnsiTheme="minorHAnsi" w:cstheme="minorHAnsi"/>
          <w:sz w:val="22"/>
          <w:szCs w:val="22"/>
        </w:rPr>
        <w:t xml:space="preserve"> </w:t>
      </w:r>
      <w:r w:rsidRPr="004853EB">
        <w:rPr>
          <w:rFonts w:asciiTheme="minorHAnsi" w:hAnsiTheme="minorHAnsi" w:cstheme="minorHAnsi"/>
          <w:sz w:val="22"/>
          <w:szCs w:val="22"/>
        </w:rPr>
        <w:t>I PRZEPUSTÓW</w:t>
      </w:r>
      <w:bookmarkEnd w:id="561"/>
    </w:p>
    <w:p w14:paraId="061D0C5B"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562" w:name="_Toc194476579"/>
      <w:bookmarkStart w:id="563" w:name="_Toc227759921"/>
      <w:bookmarkStart w:id="564" w:name="_Toc227825068"/>
      <w:r w:rsidRPr="004853EB">
        <w:rPr>
          <w:rFonts w:eastAsia="Times New Roman" w:cstheme="minorHAnsi"/>
          <w:b/>
          <w:caps/>
          <w:kern w:val="28"/>
          <w:sz w:val="20"/>
          <w:szCs w:val="20"/>
          <w:lang w:eastAsia="pl-PL"/>
        </w:rPr>
        <w:t>1. WSTĘP</w:t>
      </w:r>
      <w:bookmarkEnd w:id="562"/>
      <w:bookmarkEnd w:id="563"/>
      <w:bookmarkEnd w:id="564"/>
    </w:p>
    <w:p w14:paraId="236FC545"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565" w:name="_Toc194476580"/>
      <w:bookmarkStart w:id="566" w:name="_Toc227759922"/>
      <w:bookmarkStart w:id="567" w:name="_Toc227825069"/>
      <w:r w:rsidRPr="004853EB">
        <w:rPr>
          <w:rFonts w:eastAsia="Times New Roman" w:cstheme="minorHAnsi"/>
          <w:b/>
          <w:sz w:val="20"/>
          <w:szCs w:val="20"/>
          <w:lang w:eastAsia="pl-PL"/>
        </w:rPr>
        <w:t>1.1.Przedmiot SST</w:t>
      </w:r>
      <w:bookmarkEnd w:id="565"/>
      <w:bookmarkEnd w:id="566"/>
      <w:bookmarkEnd w:id="567"/>
    </w:p>
    <w:p w14:paraId="11EFA31D"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Przedmiotem niniejszej szczegółowej specyfikacji technicznej (SST) są wymagania dotyczące wykonania i odbioru robót związanych z rozbiórką elementów dróg i przepustów.</w:t>
      </w:r>
    </w:p>
    <w:p w14:paraId="3151481B"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568" w:name="_Toc194476581"/>
      <w:bookmarkStart w:id="569" w:name="_Toc227759923"/>
      <w:bookmarkStart w:id="570" w:name="_Toc227825070"/>
      <w:r w:rsidRPr="004853EB">
        <w:rPr>
          <w:rFonts w:eastAsia="Times New Roman" w:cstheme="minorHAnsi"/>
          <w:b/>
          <w:sz w:val="20"/>
          <w:szCs w:val="20"/>
          <w:lang w:eastAsia="pl-PL"/>
        </w:rPr>
        <w:t>1.2. Zakres stosowania SST</w:t>
      </w:r>
      <w:bookmarkEnd w:id="568"/>
      <w:bookmarkEnd w:id="569"/>
      <w:bookmarkEnd w:id="570"/>
    </w:p>
    <w:p w14:paraId="164812F8"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Specyfikacja techniczna jest stosowana jako dokument przetargowy i kontraktowy przy zlecaniu i realizacji robót wymienionych w pkt 1.1.</w:t>
      </w:r>
    </w:p>
    <w:p w14:paraId="660C81CB"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571" w:name="_Toc194476582"/>
      <w:bookmarkStart w:id="572" w:name="_Toc227759924"/>
      <w:bookmarkStart w:id="573" w:name="_Toc227825071"/>
      <w:r w:rsidRPr="004853EB">
        <w:rPr>
          <w:rFonts w:eastAsia="Times New Roman" w:cstheme="minorHAnsi"/>
          <w:b/>
          <w:sz w:val="20"/>
          <w:szCs w:val="20"/>
          <w:lang w:eastAsia="pl-PL"/>
        </w:rPr>
        <w:t>1.3. Zakres robót objętych SST</w:t>
      </w:r>
      <w:bookmarkEnd w:id="571"/>
      <w:bookmarkEnd w:id="572"/>
      <w:bookmarkEnd w:id="573"/>
    </w:p>
    <w:p w14:paraId="08DC3073" w14:textId="430BBBB6"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 xml:space="preserve">Ustalenia zawarte w niniejszej specyfikacji dotyczą zasad prowadzenia robót związanych z </w:t>
      </w:r>
      <w:r w:rsidRPr="004853EB">
        <w:rPr>
          <w:rFonts w:eastAsia="Times New Roman" w:cstheme="minorHAnsi"/>
          <w:b/>
          <w:sz w:val="20"/>
          <w:szCs w:val="20"/>
          <w:lang w:eastAsia="pl-PL"/>
        </w:rPr>
        <w:t xml:space="preserve">Przebudową </w:t>
      </w:r>
      <w:r w:rsidR="00DD5BCD" w:rsidRPr="004853EB">
        <w:rPr>
          <w:rFonts w:eastAsia="Times New Roman" w:cstheme="minorHAnsi"/>
          <w:b/>
          <w:sz w:val="20"/>
          <w:szCs w:val="20"/>
          <w:lang w:eastAsia="pl-PL"/>
        </w:rPr>
        <w:t>drogi powiatowej</w:t>
      </w:r>
      <w:r w:rsidRPr="004853EB">
        <w:rPr>
          <w:rFonts w:eastAsia="Times New Roman" w:cstheme="minorHAnsi"/>
          <w:b/>
          <w:sz w:val="20"/>
          <w:szCs w:val="20"/>
          <w:lang w:eastAsia="pl-PL"/>
        </w:rPr>
        <w:t xml:space="preserve"> nr </w:t>
      </w:r>
      <w:r w:rsidR="00386337" w:rsidRPr="00386337">
        <w:rPr>
          <w:rFonts w:eastAsia="Times New Roman" w:cstheme="minorHAnsi"/>
          <w:b/>
          <w:bCs/>
          <w:sz w:val="20"/>
          <w:szCs w:val="20"/>
          <w:lang w:eastAsia="pl-PL"/>
        </w:rPr>
        <w:t>4506W Zwoleń – Sarnów w miejscowości Łuczynów</w:t>
      </w:r>
      <w:r w:rsidR="00386337" w:rsidRPr="00386337">
        <w:rPr>
          <w:rFonts w:eastAsia="Times New Roman" w:cstheme="minorHAnsi"/>
          <w:b/>
          <w:sz w:val="20"/>
          <w:szCs w:val="20"/>
          <w:lang w:eastAsia="pl-PL"/>
        </w:rPr>
        <w:t xml:space="preserve"> </w:t>
      </w:r>
      <w:r w:rsidRPr="004853EB">
        <w:rPr>
          <w:rFonts w:eastAsia="Times New Roman" w:cstheme="minorHAnsi"/>
          <w:sz w:val="20"/>
          <w:szCs w:val="20"/>
          <w:lang w:eastAsia="pl-PL"/>
        </w:rPr>
        <w:t xml:space="preserve">i obejmują roboty związane </w:t>
      </w:r>
      <w:r w:rsidR="00DD5BCD">
        <w:rPr>
          <w:rFonts w:eastAsia="Times New Roman" w:cstheme="minorHAnsi"/>
          <w:sz w:val="20"/>
          <w:szCs w:val="20"/>
          <w:lang w:eastAsia="pl-PL"/>
        </w:rPr>
        <w:br/>
      </w:r>
      <w:r w:rsidRPr="004853EB">
        <w:rPr>
          <w:rFonts w:eastAsia="Times New Roman" w:cstheme="minorHAnsi"/>
          <w:sz w:val="20"/>
          <w:szCs w:val="20"/>
          <w:lang w:eastAsia="pl-PL"/>
        </w:rPr>
        <w:t>z rozbiórką:</w:t>
      </w:r>
    </w:p>
    <w:p w14:paraId="023B6E3E"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warstw nawierzchni,</w:t>
      </w:r>
    </w:p>
    <w:p w14:paraId="3D00F86C"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krawężników, obrzeży,</w:t>
      </w:r>
    </w:p>
    <w:p w14:paraId="69470E0B"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znaków drogowych,</w:t>
      </w:r>
    </w:p>
    <w:p w14:paraId="65F29F6D"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przepustów: betonowych itp.</w:t>
      </w:r>
    </w:p>
    <w:p w14:paraId="27DAF3DD"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574" w:name="_Toc194476583"/>
      <w:bookmarkStart w:id="575" w:name="_Toc227759925"/>
      <w:bookmarkStart w:id="576" w:name="_Toc227825072"/>
      <w:r w:rsidRPr="004853EB">
        <w:rPr>
          <w:rFonts w:eastAsia="Times New Roman" w:cstheme="minorHAnsi"/>
          <w:b/>
          <w:sz w:val="20"/>
          <w:szCs w:val="20"/>
          <w:lang w:eastAsia="pl-PL"/>
        </w:rPr>
        <w:t>1.4. Określenia podstawowe</w:t>
      </w:r>
      <w:bookmarkEnd w:id="574"/>
      <w:bookmarkEnd w:id="575"/>
      <w:bookmarkEnd w:id="576"/>
    </w:p>
    <w:p w14:paraId="15CA21E8" w14:textId="77777777" w:rsidR="00713454" w:rsidRPr="004853EB" w:rsidRDefault="00713454" w:rsidP="00713454">
      <w:pPr>
        <w:numPr>
          <w:ilvl w:val="12"/>
          <w:numId w:val="0"/>
        </w:num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Stosowane określenia podstawowe są zgodne z obowiązującymi, odpowiednimi polskimi normami oraz z definicjami podanymi w SST D-00.00.00 „Wymagania ogólne” pkt 1.4.</w:t>
      </w:r>
    </w:p>
    <w:p w14:paraId="068372BD"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577" w:name="_Toc194476584"/>
      <w:bookmarkStart w:id="578" w:name="_Toc227759926"/>
      <w:bookmarkStart w:id="579" w:name="_Toc227825073"/>
      <w:r w:rsidRPr="004853EB">
        <w:rPr>
          <w:rFonts w:eastAsia="Times New Roman" w:cstheme="minorHAnsi"/>
          <w:b/>
          <w:sz w:val="20"/>
          <w:szCs w:val="20"/>
          <w:lang w:eastAsia="pl-PL"/>
        </w:rPr>
        <w:t>1.5. Ogólne wymagania dotyczące robót</w:t>
      </w:r>
      <w:bookmarkEnd w:id="577"/>
      <w:bookmarkEnd w:id="578"/>
      <w:bookmarkEnd w:id="579"/>
    </w:p>
    <w:p w14:paraId="7BD56BA3"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robót podano w SST D-00.00.00 „Wymagania ogólne” pkt 1.5.</w:t>
      </w:r>
    </w:p>
    <w:p w14:paraId="458F4825" w14:textId="77777777" w:rsidR="00713454" w:rsidRPr="004853EB" w:rsidRDefault="00713454" w:rsidP="00713454">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580" w:name="_Toc194476585"/>
      <w:bookmarkStart w:id="581" w:name="_Toc227759927"/>
      <w:bookmarkStart w:id="582" w:name="_Toc227825074"/>
      <w:r w:rsidRPr="004853EB">
        <w:rPr>
          <w:rFonts w:eastAsia="Times New Roman" w:cstheme="minorHAnsi"/>
          <w:b/>
          <w:caps/>
          <w:kern w:val="28"/>
          <w:sz w:val="20"/>
          <w:szCs w:val="20"/>
          <w:lang w:eastAsia="pl-PL"/>
        </w:rPr>
        <w:t>2. MATERIAŁY</w:t>
      </w:r>
      <w:bookmarkEnd w:id="580"/>
      <w:bookmarkEnd w:id="581"/>
      <w:bookmarkEnd w:id="582"/>
    </w:p>
    <w:p w14:paraId="24CF9E11"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583" w:name="_Toc194476586"/>
      <w:bookmarkStart w:id="584" w:name="_Toc227759928"/>
      <w:bookmarkStart w:id="585" w:name="_Toc227825075"/>
      <w:r w:rsidRPr="004853EB">
        <w:rPr>
          <w:rFonts w:eastAsia="Times New Roman" w:cstheme="minorHAnsi"/>
          <w:b/>
          <w:sz w:val="20"/>
          <w:szCs w:val="20"/>
          <w:lang w:eastAsia="pl-PL"/>
        </w:rPr>
        <w:t>2.1. Ogólne wymagania dotyczące materiałów</w:t>
      </w:r>
      <w:bookmarkEnd w:id="583"/>
      <w:bookmarkEnd w:id="584"/>
      <w:bookmarkEnd w:id="585"/>
    </w:p>
    <w:p w14:paraId="4BEFB7DC"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Ogólne wymagania dotyczące materiałów, ich pozyskiwania i składowania, podano w SST D-00.00.00 „Wymagania ogólne” pkt 2.</w:t>
      </w:r>
    </w:p>
    <w:p w14:paraId="466D49EA" w14:textId="77777777" w:rsidR="00713454" w:rsidRPr="004853EB" w:rsidRDefault="00713454" w:rsidP="00713454">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586" w:name="_Toc194476587"/>
      <w:bookmarkStart w:id="587" w:name="_Toc227759929"/>
      <w:bookmarkStart w:id="588" w:name="_Toc227825076"/>
      <w:r w:rsidRPr="004853EB">
        <w:rPr>
          <w:rFonts w:eastAsia="Times New Roman" w:cstheme="minorHAnsi"/>
          <w:b/>
          <w:caps/>
          <w:kern w:val="28"/>
          <w:sz w:val="20"/>
          <w:szCs w:val="20"/>
          <w:lang w:eastAsia="pl-PL"/>
        </w:rPr>
        <w:t>3. SPRZĘT</w:t>
      </w:r>
      <w:bookmarkEnd w:id="586"/>
      <w:bookmarkEnd w:id="587"/>
      <w:bookmarkEnd w:id="588"/>
    </w:p>
    <w:p w14:paraId="69B96B6D"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589" w:name="_Toc194476588"/>
      <w:bookmarkStart w:id="590" w:name="_Toc227759930"/>
      <w:bookmarkStart w:id="591" w:name="_Toc227825077"/>
      <w:r w:rsidRPr="004853EB">
        <w:rPr>
          <w:rFonts w:eastAsia="Times New Roman" w:cstheme="minorHAnsi"/>
          <w:b/>
          <w:sz w:val="20"/>
          <w:szCs w:val="20"/>
          <w:lang w:eastAsia="pl-PL"/>
        </w:rPr>
        <w:t>3.1. Ogólne wymagania dotyczące sprzętu</w:t>
      </w:r>
      <w:bookmarkEnd w:id="589"/>
      <w:bookmarkEnd w:id="590"/>
      <w:bookmarkEnd w:id="591"/>
    </w:p>
    <w:p w14:paraId="095B1123"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sprzętu podano w SST D-00.00.00 „Wymagania ogólne” pkt 3.</w:t>
      </w:r>
    </w:p>
    <w:p w14:paraId="05AD2BB5"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592" w:name="_Toc194476589"/>
      <w:bookmarkStart w:id="593" w:name="_Toc227759931"/>
      <w:bookmarkStart w:id="594" w:name="_Toc227825078"/>
      <w:r w:rsidRPr="004853EB">
        <w:rPr>
          <w:rFonts w:eastAsia="Times New Roman" w:cstheme="minorHAnsi"/>
          <w:b/>
          <w:sz w:val="20"/>
          <w:szCs w:val="20"/>
          <w:lang w:eastAsia="pl-PL"/>
        </w:rPr>
        <w:t>3.2. Sprzęt do rozbiórki</w:t>
      </w:r>
      <w:bookmarkEnd w:id="592"/>
      <w:bookmarkEnd w:id="593"/>
      <w:bookmarkEnd w:id="594"/>
    </w:p>
    <w:p w14:paraId="5F7276E0"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 wykonania robót związanych z rozbiórką elementów dróg i przepustów może być wykorzystany sprzęt podany poniżej, lub inny zaakceptowany przez Inżyniera:</w:t>
      </w:r>
    </w:p>
    <w:p w14:paraId="45474B16"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spycharki,</w:t>
      </w:r>
    </w:p>
    <w:p w14:paraId="5B18716B"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ładowarki,</w:t>
      </w:r>
    </w:p>
    <w:p w14:paraId="53C3FB53"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żurawie samochodowe,</w:t>
      </w:r>
    </w:p>
    <w:p w14:paraId="208D76BF"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samochody ciężarowe,</w:t>
      </w:r>
    </w:p>
    <w:p w14:paraId="6E113DD3"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zrywarki,</w:t>
      </w:r>
    </w:p>
    <w:p w14:paraId="267DA996"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młoty pneumatyczne,</w:t>
      </w:r>
    </w:p>
    <w:p w14:paraId="3DDFA28E"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piły mechaniczne,</w:t>
      </w:r>
    </w:p>
    <w:p w14:paraId="476BEADE"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frezarki nawierzchni,</w:t>
      </w:r>
    </w:p>
    <w:p w14:paraId="121E12DB"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koparki.</w:t>
      </w:r>
    </w:p>
    <w:p w14:paraId="26C6049F" w14:textId="77777777" w:rsidR="00713454" w:rsidRPr="004853EB" w:rsidRDefault="00713454" w:rsidP="00713454">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595" w:name="_Toc194476590"/>
      <w:bookmarkStart w:id="596" w:name="_Toc227759932"/>
      <w:bookmarkStart w:id="597" w:name="_Toc227825079"/>
      <w:r w:rsidRPr="004853EB">
        <w:rPr>
          <w:rFonts w:eastAsia="Times New Roman" w:cstheme="minorHAnsi"/>
          <w:b/>
          <w:caps/>
          <w:kern w:val="28"/>
          <w:sz w:val="20"/>
          <w:szCs w:val="20"/>
          <w:lang w:eastAsia="pl-PL"/>
        </w:rPr>
        <w:t>4. TRANSPORT</w:t>
      </w:r>
      <w:bookmarkEnd w:id="595"/>
      <w:bookmarkEnd w:id="596"/>
      <w:bookmarkEnd w:id="597"/>
    </w:p>
    <w:p w14:paraId="15AC0FEC"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598" w:name="_Toc194476591"/>
      <w:bookmarkStart w:id="599" w:name="_Toc227759933"/>
      <w:bookmarkStart w:id="600" w:name="_Toc227825080"/>
      <w:r w:rsidRPr="004853EB">
        <w:rPr>
          <w:rFonts w:eastAsia="Times New Roman" w:cstheme="minorHAnsi"/>
          <w:b/>
          <w:sz w:val="20"/>
          <w:szCs w:val="20"/>
          <w:lang w:eastAsia="pl-PL"/>
        </w:rPr>
        <w:t>4.1. Ogólne wymagania dotyczące transportu</w:t>
      </w:r>
      <w:bookmarkEnd w:id="598"/>
      <w:bookmarkEnd w:id="599"/>
      <w:bookmarkEnd w:id="600"/>
    </w:p>
    <w:p w14:paraId="04EB8124"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transportu podano w SST D-00.00.00 „Wymagania ogólne” pkt 4.</w:t>
      </w:r>
    </w:p>
    <w:p w14:paraId="59C60297"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601" w:name="_Toc194476592"/>
      <w:bookmarkStart w:id="602" w:name="_Toc227759934"/>
      <w:bookmarkStart w:id="603" w:name="_Toc227825081"/>
      <w:r w:rsidRPr="004853EB">
        <w:rPr>
          <w:rFonts w:eastAsia="Times New Roman" w:cstheme="minorHAnsi"/>
          <w:b/>
          <w:sz w:val="20"/>
          <w:szCs w:val="20"/>
          <w:lang w:eastAsia="pl-PL"/>
        </w:rPr>
        <w:lastRenderedPageBreak/>
        <w:t>4.2. Transport materiałów z rozbiórki</w:t>
      </w:r>
      <w:bookmarkEnd w:id="601"/>
      <w:bookmarkEnd w:id="602"/>
      <w:bookmarkEnd w:id="603"/>
    </w:p>
    <w:p w14:paraId="1C5E43C2"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Materiał z rozbiórki można przewozić dowolnym środkiem transportu.</w:t>
      </w:r>
    </w:p>
    <w:p w14:paraId="675A2857" w14:textId="77777777" w:rsidR="00713454" w:rsidRPr="004853EB" w:rsidRDefault="00713454" w:rsidP="00713454">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604" w:name="_Toc194476593"/>
      <w:bookmarkStart w:id="605" w:name="_Toc227759935"/>
      <w:bookmarkStart w:id="606" w:name="_Toc227825082"/>
      <w:r w:rsidRPr="004853EB">
        <w:rPr>
          <w:rFonts w:eastAsia="Times New Roman" w:cstheme="minorHAnsi"/>
          <w:b/>
          <w:caps/>
          <w:kern w:val="28"/>
          <w:sz w:val="20"/>
          <w:szCs w:val="20"/>
          <w:lang w:eastAsia="pl-PL"/>
        </w:rPr>
        <w:t>5. WYKONANIE ROBÓT</w:t>
      </w:r>
      <w:bookmarkEnd w:id="604"/>
      <w:bookmarkEnd w:id="605"/>
      <w:bookmarkEnd w:id="606"/>
    </w:p>
    <w:p w14:paraId="08CA7AA9"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607" w:name="_Toc194476594"/>
      <w:bookmarkStart w:id="608" w:name="_Toc227759936"/>
      <w:bookmarkStart w:id="609" w:name="_Toc227825083"/>
      <w:r w:rsidRPr="004853EB">
        <w:rPr>
          <w:rFonts w:eastAsia="Times New Roman" w:cstheme="minorHAnsi"/>
          <w:b/>
          <w:sz w:val="20"/>
          <w:szCs w:val="20"/>
          <w:lang w:eastAsia="pl-PL"/>
        </w:rPr>
        <w:t>5.1. Ogólne zasady wykonania robót</w:t>
      </w:r>
      <w:bookmarkEnd w:id="607"/>
      <w:bookmarkEnd w:id="608"/>
      <w:bookmarkEnd w:id="609"/>
    </w:p>
    <w:p w14:paraId="5AD04BD5"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wykonania robót podano w SST D-00.00.00 „Wymagania ogólne” pkt 5.</w:t>
      </w:r>
    </w:p>
    <w:p w14:paraId="03FA0B31"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610" w:name="_Toc194476595"/>
      <w:bookmarkStart w:id="611" w:name="_Toc227759937"/>
      <w:bookmarkStart w:id="612" w:name="_Toc227825084"/>
      <w:r w:rsidRPr="004853EB">
        <w:rPr>
          <w:rFonts w:eastAsia="Times New Roman" w:cstheme="minorHAnsi"/>
          <w:b/>
          <w:sz w:val="20"/>
          <w:szCs w:val="20"/>
          <w:lang w:eastAsia="pl-PL"/>
        </w:rPr>
        <w:t>5.2. Wykonanie robót rozbiórkowych</w:t>
      </w:r>
      <w:bookmarkEnd w:id="610"/>
      <w:bookmarkEnd w:id="611"/>
      <w:bookmarkEnd w:id="612"/>
    </w:p>
    <w:p w14:paraId="2A8BFDFD"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Roboty rozbiórkowe elementów dróg i przepustów obejmują usunięcie z terenu budowy wszystkich elementów wymienionych w pkt 1.3, zgodnie z dokumentacją projektową, SST lub wskazanych przez Inżyniera.</w:t>
      </w:r>
    </w:p>
    <w:p w14:paraId="579BACAC"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Jeśli dokumentacja projektowa nie zawiera dokumentacji inwentaryzacyjnej lub/i rozbiórkowej, Inżynier może polecić Wykonawcy sporządzenie takiej dokumentacji, w której zostanie określony przewidziany odzysk materiałów.</w:t>
      </w:r>
    </w:p>
    <w:p w14:paraId="0A3C338E"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Roboty rozbiórkowe można wykonywać mechanicznie lub ręcznie w sposób określony w SST lub przez Inżyniera.</w:t>
      </w:r>
    </w:p>
    <w:p w14:paraId="429285BC"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przypadku usuwania warstw nawierzchni z zastosowaniem frezarek drogowych, należy spełnić warunki określone w SST D-05.03.11 „Recykling”.</w:t>
      </w:r>
    </w:p>
    <w:p w14:paraId="0A214B27"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przypadku robót rozbiórkowych przepustu należy dokonać:</w:t>
      </w:r>
    </w:p>
    <w:p w14:paraId="3A4CC014"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odkopania przepustu,</w:t>
      </w:r>
    </w:p>
    <w:p w14:paraId="2D719FDA"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rozbicia elementów, których nie przewiduje się odzyskać, w sposób ręczny lub mechaniczny z ew. przecięciem prętów zbrojeniowych i ich odgięciem,</w:t>
      </w:r>
    </w:p>
    <w:p w14:paraId="7B0E26D6" w14:textId="342D0FEE"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demontażu prefabrykowanych elementów przepustów (np. rur, elementów skrzynkowych, ramowych) </w:t>
      </w:r>
      <w:r w:rsidR="00DD5BCD">
        <w:rPr>
          <w:rFonts w:eastAsia="Times New Roman" w:cstheme="minorHAnsi"/>
          <w:sz w:val="20"/>
          <w:szCs w:val="20"/>
          <w:lang w:eastAsia="pl-PL"/>
        </w:rPr>
        <w:br/>
      </w:r>
      <w:r w:rsidRPr="004853EB">
        <w:rPr>
          <w:rFonts w:eastAsia="Times New Roman" w:cstheme="minorHAnsi"/>
          <w:sz w:val="20"/>
          <w:szCs w:val="20"/>
          <w:lang w:eastAsia="pl-PL"/>
        </w:rPr>
        <w:t>z uprzednim oczyszczeniem spoin i częściowym usunięciu ław, względnie ostrożnego rozebrania konstrukcji kamiennych, ceglanych, klinkierowych itp. przy założeniu ponownego ich wykorzystania,</w:t>
      </w:r>
    </w:p>
    <w:p w14:paraId="68F4EC3B"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oczyszczenia rozebranych elementów, przewidzianych do powtórnego użycia (z zaprawy, kawałków betonu, izolacji itp.) i ich posortowania.</w:t>
      </w:r>
    </w:p>
    <w:p w14:paraId="17178374"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Wszystkie elementy możliwe do powtórnego wykorzystania powinny być usuwane bez powodowania zbędnych uszkodzeń. O ile uzyskane elementy nie stają się własnością Wykonawcy, powinien on przewieźć je na miejsce określone w SST lub wskazane przez Inżyniera.</w:t>
      </w:r>
    </w:p>
    <w:p w14:paraId="7C1AC1D1"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Elementy i materiały, które zgodnie z SST stają się własnością Wykonawcy, powinny być usunięte z terenu budowy.</w:t>
      </w:r>
    </w:p>
    <w:p w14:paraId="298A7679"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Doły (wykopy) powstałe po rozbiórce elementów dróg, ogrodzeń i przepustów znajdujące się w miejscach, gdzie zgodnie z dokumentacją projektową będą wykonane wykopy drogowe, powinny być tymczasowo zabezpieczone. W szczególności należy zapobiec gromadzeniu się w nich wody opadowej.</w:t>
      </w:r>
    </w:p>
    <w:p w14:paraId="3FEFCA10"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Doły w miejscach, gdzie nie przewiduje się wykonania wykopów drogowych należy wypełnić, warstwami, odpowiednim gruntem do poziomu otaczającego terenu i zagęścić zgodnie z wymaganiami określonymi w SST D-02.00.00 „Roboty ziemne”.</w:t>
      </w:r>
    </w:p>
    <w:p w14:paraId="6D2793F0" w14:textId="77777777" w:rsidR="00713454" w:rsidRPr="004853EB" w:rsidRDefault="00713454" w:rsidP="00713454">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613" w:name="_Toc194476596"/>
      <w:bookmarkStart w:id="614" w:name="_Toc227759938"/>
      <w:bookmarkStart w:id="615" w:name="_Toc227825085"/>
      <w:r w:rsidRPr="004853EB">
        <w:rPr>
          <w:rFonts w:eastAsia="Times New Roman" w:cstheme="minorHAnsi"/>
          <w:b/>
          <w:caps/>
          <w:kern w:val="28"/>
          <w:sz w:val="20"/>
          <w:szCs w:val="20"/>
          <w:lang w:eastAsia="pl-PL"/>
        </w:rPr>
        <w:t>6. KONTROLA JAKOŚCI ROBÓT</w:t>
      </w:r>
      <w:bookmarkEnd w:id="613"/>
      <w:bookmarkEnd w:id="614"/>
      <w:bookmarkEnd w:id="615"/>
    </w:p>
    <w:p w14:paraId="22634D02"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616" w:name="_Toc194476597"/>
      <w:bookmarkStart w:id="617" w:name="_Toc227759939"/>
      <w:bookmarkStart w:id="618" w:name="_Toc227825086"/>
      <w:r w:rsidRPr="004853EB">
        <w:rPr>
          <w:rFonts w:eastAsia="Times New Roman" w:cstheme="minorHAnsi"/>
          <w:b/>
          <w:sz w:val="20"/>
          <w:szCs w:val="20"/>
          <w:lang w:eastAsia="pl-PL"/>
        </w:rPr>
        <w:t>6.1. Ogólne zasady kontroli jakości robót</w:t>
      </w:r>
      <w:bookmarkEnd w:id="616"/>
      <w:bookmarkEnd w:id="617"/>
      <w:bookmarkEnd w:id="618"/>
    </w:p>
    <w:p w14:paraId="568E1214"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kontroli jakości robót podano w SST D-00.00.00 „Wymagania ogólne” pkt 6.</w:t>
      </w:r>
    </w:p>
    <w:p w14:paraId="235866A1"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619" w:name="_Toc194476598"/>
      <w:bookmarkStart w:id="620" w:name="_Toc227759940"/>
      <w:bookmarkStart w:id="621" w:name="_Toc227825087"/>
      <w:r w:rsidRPr="004853EB">
        <w:rPr>
          <w:rFonts w:eastAsia="Times New Roman" w:cstheme="minorHAnsi"/>
          <w:b/>
          <w:sz w:val="20"/>
          <w:szCs w:val="20"/>
          <w:lang w:eastAsia="pl-PL"/>
        </w:rPr>
        <w:t>6.2. Kontrola jakości robót rozbiórkowych</w:t>
      </w:r>
      <w:bookmarkEnd w:id="619"/>
      <w:bookmarkEnd w:id="620"/>
      <w:bookmarkEnd w:id="621"/>
    </w:p>
    <w:p w14:paraId="1165EE68"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Kontrola jakości robót polega na wizualnej ocenie kompletności wykonanych robót rozbiórkowych oraz sprawdzeniu stopnia uszkodzenia elementów przewidzianych do powtórnego wykorzystania.</w:t>
      </w:r>
    </w:p>
    <w:p w14:paraId="0E77BCF0" w14:textId="3FC8FCFF"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Zagęszczenie gruntu wypełniającego ewentualne doły po usuniętych elementach nawierzchni, ogrodzeń </w:t>
      </w:r>
      <w:r w:rsidR="00DD5BCD">
        <w:rPr>
          <w:rFonts w:eastAsia="Times New Roman" w:cstheme="minorHAnsi"/>
          <w:sz w:val="20"/>
          <w:szCs w:val="20"/>
          <w:lang w:eastAsia="pl-PL"/>
        </w:rPr>
        <w:br/>
      </w:r>
      <w:r w:rsidRPr="004853EB">
        <w:rPr>
          <w:rFonts w:eastAsia="Times New Roman" w:cstheme="minorHAnsi"/>
          <w:sz w:val="20"/>
          <w:szCs w:val="20"/>
          <w:lang w:eastAsia="pl-PL"/>
        </w:rPr>
        <w:t>i przepustów powinno spełniać odpowiednie wymagania określone w SST D-02.00.00 „Roboty ziemne”.</w:t>
      </w:r>
    </w:p>
    <w:p w14:paraId="2297FCA9" w14:textId="77777777" w:rsidR="00713454" w:rsidRPr="004853EB" w:rsidRDefault="00713454" w:rsidP="00713454">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622" w:name="_Toc194476599"/>
      <w:bookmarkStart w:id="623" w:name="_Toc227759941"/>
      <w:bookmarkStart w:id="624" w:name="_Toc227825088"/>
      <w:r w:rsidRPr="004853EB">
        <w:rPr>
          <w:rFonts w:eastAsia="Times New Roman" w:cstheme="minorHAnsi"/>
          <w:b/>
          <w:caps/>
          <w:kern w:val="28"/>
          <w:sz w:val="20"/>
          <w:szCs w:val="20"/>
          <w:lang w:eastAsia="pl-PL"/>
        </w:rPr>
        <w:t>7. OBMIAR ROBÓT</w:t>
      </w:r>
      <w:bookmarkEnd w:id="622"/>
      <w:bookmarkEnd w:id="623"/>
      <w:bookmarkEnd w:id="624"/>
    </w:p>
    <w:p w14:paraId="3BC49F16"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625" w:name="_Toc194476600"/>
      <w:bookmarkStart w:id="626" w:name="_Toc227759942"/>
      <w:bookmarkStart w:id="627" w:name="_Toc227825089"/>
      <w:r w:rsidRPr="004853EB">
        <w:rPr>
          <w:rFonts w:eastAsia="Times New Roman" w:cstheme="minorHAnsi"/>
          <w:b/>
          <w:sz w:val="20"/>
          <w:szCs w:val="20"/>
          <w:lang w:eastAsia="pl-PL"/>
        </w:rPr>
        <w:t>7.1. Ogólne zasady obmiaru robót</w:t>
      </w:r>
      <w:bookmarkEnd w:id="625"/>
      <w:bookmarkEnd w:id="626"/>
      <w:bookmarkEnd w:id="627"/>
    </w:p>
    <w:p w14:paraId="0117D19C" w14:textId="21B7502F"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 xml:space="preserve">Ogólne zasady obmiaru robót podano w SST D-00.00.00 „Wymagania </w:t>
      </w:r>
      <w:r w:rsidR="00DD5BCD" w:rsidRPr="004853EB">
        <w:rPr>
          <w:rFonts w:eastAsia="Times New Roman" w:cstheme="minorHAnsi"/>
          <w:sz w:val="20"/>
          <w:szCs w:val="20"/>
          <w:lang w:eastAsia="pl-PL"/>
        </w:rPr>
        <w:t xml:space="preserve">ogólne” </w:t>
      </w:r>
      <w:r w:rsidRPr="004853EB">
        <w:rPr>
          <w:rFonts w:eastAsia="Times New Roman" w:cstheme="minorHAnsi"/>
          <w:sz w:val="20"/>
          <w:szCs w:val="20"/>
          <w:lang w:eastAsia="pl-PL"/>
        </w:rPr>
        <w:t>pkt 7.</w:t>
      </w:r>
    </w:p>
    <w:p w14:paraId="09D0ED25"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628" w:name="_Toc194476601"/>
      <w:bookmarkStart w:id="629" w:name="_Toc227759943"/>
      <w:bookmarkStart w:id="630" w:name="_Toc227825090"/>
      <w:r w:rsidRPr="004853EB">
        <w:rPr>
          <w:rFonts w:eastAsia="Times New Roman" w:cstheme="minorHAnsi"/>
          <w:b/>
          <w:sz w:val="20"/>
          <w:szCs w:val="20"/>
          <w:lang w:eastAsia="pl-PL"/>
        </w:rPr>
        <w:lastRenderedPageBreak/>
        <w:t>7.2. Jednostka obmiarowa</w:t>
      </w:r>
      <w:bookmarkEnd w:id="628"/>
      <w:bookmarkEnd w:id="629"/>
      <w:bookmarkEnd w:id="630"/>
    </w:p>
    <w:p w14:paraId="2F266302"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Jednostką obmiarową robót związanych z rozbiórką elementów dróg i ogrodzeń jest:</w:t>
      </w:r>
    </w:p>
    <w:p w14:paraId="6EB11C67"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dla nawierzchni -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(metr kwadratowy),</w:t>
      </w:r>
    </w:p>
    <w:p w14:paraId="1B9B875B" w14:textId="5F9C5C1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dla krawężnika, </w:t>
      </w:r>
      <w:r w:rsidR="00DD5BCD" w:rsidRPr="004853EB">
        <w:rPr>
          <w:rFonts w:eastAsia="Times New Roman" w:cstheme="minorHAnsi"/>
          <w:sz w:val="20"/>
          <w:szCs w:val="20"/>
          <w:lang w:eastAsia="pl-PL"/>
        </w:rPr>
        <w:t>obrzeża</w:t>
      </w:r>
      <w:r w:rsidRPr="004853EB">
        <w:rPr>
          <w:rFonts w:eastAsia="Times New Roman" w:cstheme="minorHAnsi"/>
          <w:sz w:val="20"/>
          <w:szCs w:val="20"/>
          <w:lang w:eastAsia="pl-PL"/>
        </w:rPr>
        <w:t xml:space="preserve"> - m (metr),</w:t>
      </w:r>
    </w:p>
    <w:p w14:paraId="38A46788"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dla znaków drogowych - szt. (sztuka),</w:t>
      </w:r>
    </w:p>
    <w:p w14:paraId="16248C19"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dla przepustów i ich elementów</w:t>
      </w:r>
    </w:p>
    <w:p w14:paraId="131F5DB2"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prefabrykowanych betonowych, żelbetowych - m (metr).</w:t>
      </w:r>
    </w:p>
    <w:p w14:paraId="355A3B80" w14:textId="77777777" w:rsidR="00713454" w:rsidRPr="004853EB" w:rsidRDefault="00713454" w:rsidP="00713454">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631" w:name="_Toc194476602"/>
      <w:bookmarkStart w:id="632" w:name="_Toc227759944"/>
      <w:bookmarkStart w:id="633" w:name="_Toc227825091"/>
      <w:r w:rsidRPr="004853EB">
        <w:rPr>
          <w:rFonts w:eastAsia="Times New Roman" w:cstheme="minorHAnsi"/>
          <w:b/>
          <w:caps/>
          <w:kern w:val="28"/>
          <w:sz w:val="20"/>
          <w:szCs w:val="20"/>
          <w:lang w:eastAsia="pl-PL"/>
        </w:rPr>
        <w:t>8. ODBIÓR ROBÓT</w:t>
      </w:r>
      <w:bookmarkEnd w:id="631"/>
      <w:bookmarkEnd w:id="632"/>
      <w:bookmarkEnd w:id="633"/>
    </w:p>
    <w:p w14:paraId="61A95C10" w14:textId="0300706F"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Ogólne zasady odbioru robót podano w SST D-00.00.00 „Wymagania ogólne” pkt 8.</w:t>
      </w:r>
    </w:p>
    <w:p w14:paraId="393DC55A" w14:textId="77777777" w:rsidR="00713454" w:rsidRPr="004853EB" w:rsidRDefault="00713454" w:rsidP="00713454">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634" w:name="_Toc194476603"/>
      <w:bookmarkStart w:id="635" w:name="_Toc227759945"/>
      <w:bookmarkStart w:id="636" w:name="_Toc227825092"/>
      <w:r w:rsidRPr="004853EB">
        <w:rPr>
          <w:rFonts w:eastAsia="Times New Roman" w:cstheme="minorHAnsi"/>
          <w:b/>
          <w:caps/>
          <w:kern w:val="28"/>
          <w:sz w:val="20"/>
          <w:szCs w:val="20"/>
          <w:lang w:eastAsia="pl-PL"/>
        </w:rPr>
        <w:t>9. PODSTAWA PŁATNOŚCI</w:t>
      </w:r>
      <w:bookmarkEnd w:id="634"/>
      <w:bookmarkEnd w:id="635"/>
      <w:bookmarkEnd w:id="636"/>
    </w:p>
    <w:p w14:paraId="11C8EAFC"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637" w:name="_Toc194476604"/>
      <w:bookmarkStart w:id="638" w:name="_Toc227759946"/>
      <w:bookmarkStart w:id="639" w:name="_Toc227825093"/>
      <w:r w:rsidRPr="004853EB">
        <w:rPr>
          <w:rFonts w:eastAsia="Times New Roman" w:cstheme="minorHAnsi"/>
          <w:b/>
          <w:sz w:val="20"/>
          <w:szCs w:val="20"/>
          <w:lang w:eastAsia="pl-PL"/>
        </w:rPr>
        <w:t>9.1. Ogólne ustalenia dotyczące podstawy płatności</w:t>
      </w:r>
      <w:bookmarkEnd w:id="637"/>
      <w:bookmarkEnd w:id="638"/>
      <w:bookmarkEnd w:id="639"/>
    </w:p>
    <w:p w14:paraId="63EB7E7E"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Ogólne ustalenia dotyczące podstawy płatności podano w SST D-00.00.00 „Wymagania ogólne” pkt 9.</w:t>
      </w:r>
    </w:p>
    <w:p w14:paraId="5C608369"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640" w:name="_Toc194476605"/>
      <w:bookmarkStart w:id="641" w:name="_Toc227759947"/>
      <w:bookmarkStart w:id="642" w:name="_Toc227825094"/>
      <w:r w:rsidRPr="004853EB">
        <w:rPr>
          <w:rFonts w:eastAsia="Times New Roman" w:cstheme="minorHAnsi"/>
          <w:b/>
          <w:sz w:val="20"/>
          <w:szCs w:val="20"/>
          <w:lang w:eastAsia="pl-PL"/>
        </w:rPr>
        <w:t>9.2. Cena jednostki obmiarowej</w:t>
      </w:r>
      <w:bookmarkEnd w:id="640"/>
      <w:bookmarkEnd w:id="641"/>
      <w:bookmarkEnd w:id="642"/>
    </w:p>
    <w:p w14:paraId="7D9E329A"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Cena wykonania robót obejmuje:</w:t>
      </w:r>
    </w:p>
    <w:p w14:paraId="39082785"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 dla rozbiórki warstw nawierzchni:</w:t>
      </w:r>
    </w:p>
    <w:p w14:paraId="08E0F09D"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wyznaczenie powierzchni przeznaczonej do rozbiórki,</w:t>
      </w:r>
    </w:p>
    <w:p w14:paraId="387B5B9A"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rozkucie i zerwanie nawierzchni,</w:t>
      </w:r>
    </w:p>
    <w:p w14:paraId="6F75EEFF"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ew. przesortowanie materiału uzyskanego z rozbiórki, w celu ponownego jej użycia, z ułożeniem na poboczu,</w:t>
      </w:r>
    </w:p>
    <w:p w14:paraId="1A5E947D"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załadunek i wywiezienie materiałów z rozbiórki,</w:t>
      </w:r>
    </w:p>
    <w:p w14:paraId="39734FF5"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wyrównanie podłoża i uporządkowanie terenu rozbiórki;</w:t>
      </w:r>
    </w:p>
    <w:p w14:paraId="17CF4DF6"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 dla rozbiórki krawężników, obrzeży:</w:t>
      </w:r>
    </w:p>
    <w:p w14:paraId="06EE95AF"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odkopanie krawężników, obrzeży i oporników wraz z wyjęciem i oczyszczeniem,</w:t>
      </w:r>
    </w:p>
    <w:p w14:paraId="09F120B6"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zerwanie podsypki cementowo-piaskowej i ew. ław,</w:t>
      </w:r>
    </w:p>
    <w:p w14:paraId="02809A32"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załadunek i wywiezienie materiału z rozbiórki,</w:t>
      </w:r>
    </w:p>
    <w:p w14:paraId="1AA82CDC"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wyrównanie podłoża i uporządkowanie terenu rozbiórki;</w:t>
      </w:r>
    </w:p>
    <w:p w14:paraId="40CDAC58"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 dla rozbiórki znaków drogowych:</w:t>
      </w:r>
    </w:p>
    <w:p w14:paraId="2D599432"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demontaż tablic znaków drogowych ze słupków,</w:t>
      </w:r>
    </w:p>
    <w:p w14:paraId="60970F0A"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odkopanie i wydobycie słupków,</w:t>
      </w:r>
    </w:p>
    <w:p w14:paraId="1E28DA69"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zasypanie dołów po słupkach wraz z zagęszczeniem do uzyskania </w:t>
      </w:r>
      <w:proofErr w:type="spellStart"/>
      <w:r w:rsidRPr="004853EB">
        <w:rPr>
          <w:rFonts w:eastAsia="Times New Roman" w:cstheme="minorHAnsi"/>
          <w:sz w:val="20"/>
          <w:szCs w:val="20"/>
          <w:lang w:eastAsia="pl-PL"/>
        </w:rPr>
        <w:t>Is</w:t>
      </w:r>
      <w:proofErr w:type="spellEnd"/>
      <w:r w:rsidRPr="004853EB">
        <w:rPr>
          <w:rFonts w:eastAsia="Times New Roman" w:cstheme="minorHAnsi"/>
          <w:sz w:val="20"/>
          <w:szCs w:val="20"/>
          <w:lang w:eastAsia="pl-PL"/>
        </w:rPr>
        <w:t xml:space="preserve"> </w:t>
      </w:r>
      <w:r w:rsidRPr="004853EB">
        <w:rPr>
          <w:rFonts w:eastAsia="Times New Roman" w:cstheme="minorHAnsi"/>
          <w:sz w:val="20"/>
          <w:szCs w:val="20"/>
          <w:lang w:eastAsia="pl-PL"/>
        </w:rPr>
        <w:sym w:font="Symbol" w:char="F0B3"/>
      </w:r>
      <w:r w:rsidRPr="004853EB">
        <w:rPr>
          <w:rFonts w:eastAsia="Times New Roman" w:cstheme="minorHAnsi"/>
          <w:sz w:val="20"/>
          <w:szCs w:val="20"/>
          <w:lang w:eastAsia="pl-PL"/>
        </w:rPr>
        <w:t xml:space="preserve"> 1,00 wg BN-77/8931-12 [9],</w:t>
      </w:r>
    </w:p>
    <w:p w14:paraId="204FB794"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załadunek i wywiezienie materiałów z rozbiórki,</w:t>
      </w:r>
    </w:p>
    <w:p w14:paraId="2D425C8B"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uporządkowanie terenu rozbiórki;</w:t>
      </w:r>
    </w:p>
    <w:p w14:paraId="65E507AD" w14:textId="77777777" w:rsidR="00713454" w:rsidRPr="004853EB" w:rsidRDefault="00713454" w:rsidP="00713454">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 dla rozbiórki przepustu:</w:t>
      </w:r>
    </w:p>
    <w:p w14:paraId="1E64671E"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odkopanie przepustu, fundamentów, ław, umocnień itp.,</w:t>
      </w:r>
    </w:p>
    <w:p w14:paraId="0CD4B9A0"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ew. ustawienie rusztowań i ich późniejsze rozebranie,</w:t>
      </w:r>
    </w:p>
    <w:p w14:paraId="57E1ECCA"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rozebranie elementów przepustu,</w:t>
      </w:r>
    </w:p>
    <w:p w14:paraId="1145EE08"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sortowanie i pryzmowanie odzyskanych materiałów,</w:t>
      </w:r>
    </w:p>
    <w:p w14:paraId="42C96AEB"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załadunek i wywiezienie materiałów z rozbiórki,</w:t>
      </w:r>
    </w:p>
    <w:p w14:paraId="4417942F"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zasypanie dołów (wykopów) gruntem z zagęszczeniem do uzyskania </w:t>
      </w:r>
      <w:proofErr w:type="spellStart"/>
      <w:r w:rsidRPr="004853EB">
        <w:rPr>
          <w:rFonts w:eastAsia="Times New Roman" w:cstheme="minorHAnsi"/>
          <w:sz w:val="20"/>
          <w:szCs w:val="20"/>
          <w:lang w:eastAsia="pl-PL"/>
        </w:rPr>
        <w:t>Is</w:t>
      </w:r>
      <w:proofErr w:type="spellEnd"/>
      <w:r w:rsidRPr="004853EB">
        <w:rPr>
          <w:rFonts w:eastAsia="Times New Roman" w:cstheme="minorHAnsi"/>
          <w:sz w:val="20"/>
          <w:szCs w:val="20"/>
          <w:lang w:eastAsia="pl-PL"/>
        </w:rPr>
        <w:t xml:space="preserve"> </w:t>
      </w:r>
      <w:r w:rsidRPr="004853EB">
        <w:rPr>
          <w:rFonts w:eastAsia="Times New Roman" w:cstheme="minorHAnsi"/>
          <w:sz w:val="20"/>
          <w:szCs w:val="20"/>
          <w:lang w:eastAsia="pl-PL"/>
        </w:rPr>
        <w:sym w:font="Symbol" w:char="F0B3"/>
      </w:r>
      <w:r w:rsidRPr="004853EB">
        <w:rPr>
          <w:rFonts w:eastAsia="Times New Roman" w:cstheme="minorHAnsi"/>
          <w:sz w:val="20"/>
          <w:szCs w:val="20"/>
          <w:lang w:eastAsia="pl-PL"/>
        </w:rPr>
        <w:t xml:space="preserve"> 1,00 wg BN-77/8931-12 [9],</w:t>
      </w:r>
    </w:p>
    <w:p w14:paraId="579CAE9B" w14:textId="77777777" w:rsidR="00713454" w:rsidRPr="004853EB" w:rsidRDefault="00713454" w:rsidP="00713454">
      <w:pPr>
        <w:numPr>
          <w:ilvl w:val="0"/>
          <w:numId w:val="9"/>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uporządkowanie terenu rozbiórki.</w:t>
      </w:r>
    </w:p>
    <w:p w14:paraId="30E360DA"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643" w:name="_Toc194476606"/>
      <w:bookmarkStart w:id="644" w:name="_Toc227759948"/>
      <w:bookmarkStart w:id="645" w:name="_Toc227825095"/>
      <w:r w:rsidRPr="004853EB">
        <w:rPr>
          <w:rFonts w:eastAsia="Times New Roman" w:cstheme="minorHAnsi"/>
          <w:b/>
          <w:caps/>
          <w:kern w:val="28"/>
          <w:sz w:val="20"/>
          <w:szCs w:val="20"/>
          <w:lang w:eastAsia="pl-PL"/>
        </w:rPr>
        <w:t>10. PRZEPISY ZWIĄZANE</w:t>
      </w:r>
      <w:bookmarkEnd w:id="643"/>
      <w:bookmarkEnd w:id="644"/>
      <w:bookmarkEnd w:id="645"/>
    </w:p>
    <w:p w14:paraId="1E075E4B" w14:textId="77777777" w:rsidR="00713454" w:rsidRPr="004853EB" w:rsidRDefault="00713454" w:rsidP="00713454">
      <w:pPr>
        <w:keepNext/>
        <w:overflowPunct w:val="0"/>
        <w:autoSpaceDE w:val="0"/>
        <w:autoSpaceDN w:val="0"/>
        <w:adjustRightInd w:val="0"/>
        <w:spacing w:after="120" w:line="240" w:lineRule="auto"/>
        <w:jc w:val="both"/>
        <w:textAlignment w:val="baseline"/>
        <w:outlineLvl w:val="1"/>
        <w:rPr>
          <w:rFonts w:eastAsia="Times New Roman" w:cstheme="minorHAnsi"/>
          <w:b/>
          <w:sz w:val="20"/>
          <w:szCs w:val="20"/>
          <w:lang w:eastAsia="pl-PL"/>
        </w:rPr>
      </w:pPr>
      <w:bookmarkStart w:id="646" w:name="_Toc194476607"/>
      <w:bookmarkStart w:id="647" w:name="_Toc227759949"/>
      <w:bookmarkStart w:id="648" w:name="_Toc227825096"/>
      <w:r w:rsidRPr="004853EB">
        <w:rPr>
          <w:rFonts w:eastAsia="Times New Roman" w:cstheme="minorHAnsi"/>
          <w:b/>
          <w:sz w:val="20"/>
          <w:szCs w:val="20"/>
          <w:lang w:eastAsia="pl-PL"/>
        </w:rPr>
        <w:t>Normy</w:t>
      </w:r>
      <w:bookmarkEnd w:id="646"/>
      <w:bookmarkEnd w:id="647"/>
      <w:bookmarkEnd w:id="648"/>
    </w:p>
    <w:tbl>
      <w:tblPr>
        <w:tblW w:w="0" w:type="auto"/>
        <w:tblLayout w:type="fixed"/>
        <w:tblCellMar>
          <w:left w:w="70" w:type="dxa"/>
          <w:right w:w="70" w:type="dxa"/>
        </w:tblCellMar>
        <w:tblLook w:val="0000" w:firstRow="0" w:lastRow="0" w:firstColumn="0" w:lastColumn="0" w:noHBand="0" w:noVBand="0"/>
      </w:tblPr>
      <w:tblGrid>
        <w:gridCol w:w="496"/>
        <w:gridCol w:w="2551"/>
        <w:gridCol w:w="6025"/>
      </w:tblGrid>
      <w:tr w:rsidR="00713454" w:rsidRPr="004853EB" w14:paraId="4718B2D6" w14:textId="77777777" w:rsidTr="00DD5BCD">
        <w:tc>
          <w:tcPr>
            <w:tcW w:w="496" w:type="dxa"/>
          </w:tcPr>
          <w:p w14:paraId="1BB92795"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2551" w:type="dxa"/>
          </w:tcPr>
          <w:p w14:paraId="29304BC8"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PN-D-95017</w:t>
            </w:r>
          </w:p>
        </w:tc>
        <w:tc>
          <w:tcPr>
            <w:tcW w:w="6025" w:type="dxa"/>
          </w:tcPr>
          <w:p w14:paraId="3CD80A87"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Surowiec drzewny. Drewno tartaczne iglaste.</w:t>
            </w:r>
          </w:p>
        </w:tc>
      </w:tr>
      <w:tr w:rsidR="00713454" w:rsidRPr="004853EB" w14:paraId="34691D48" w14:textId="77777777" w:rsidTr="00DD5BCD">
        <w:tc>
          <w:tcPr>
            <w:tcW w:w="496" w:type="dxa"/>
          </w:tcPr>
          <w:p w14:paraId="199194C2"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2551" w:type="dxa"/>
          </w:tcPr>
          <w:p w14:paraId="0104A83A"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PN-D-96000</w:t>
            </w:r>
          </w:p>
        </w:tc>
        <w:tc>
          <w:tcPr>
            <w:tcW w:w="6025" w:type="dxa"/>
          </w:tcPr>
          <w:p w14:paraId="2AB67311"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Tarcica iglasta ogólnego przeznaczenia</w:t>
            </w:r>
          </w:p>
        </w:tc>
      </w:tr>
      <w:tr w:rsidR="00713454" w:rsidRPr="004853EB" w14:paraId="0821868A" w14:textId="77777777" w:rsidTr="00DD5BCD">
        <w:tc>
          <w:tcPr>
            <w:tcW w:w="496" w:type="dxa"/>
          </w:tcPr>
          <w:p w14:paraId="3F952AC9"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2551" w:type="dxa"/>
          </w:tcPr>
          <w:p w14:paraId="5897381F"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PN-D-96002</w:t>
            </w:r>
          </w:p>
        </w:tc>
        <w:tc>
          <w:tcPr>
            <w:tcW w:w="6025" w:type="dxa"/>
          </w:tcPr>
          <w:p w14:paraId="3C50F05A"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Tarcica liściasta ogólnego przeznaczenia</w:t>
            </w:r>
          </w:p>
        </w:tc>
      </w:tr>
      <w:tr w:rsidR="00713454" w:rsidRPr="004853EB" w14:paraId="2E74438C" w14:textId="77777777" w:rsidTr="00DD5BCD">
        <w:tc>
          <w:tcPr>
            <w:tcW w:w="496" w:type="dxa"/>
          </w:tcPr>
          <w:p w14:paraId="09330772"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2551" w:type="dxa"/>
          </w:tcPr>
          <w:p w14:paraId="05B15372"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PN-H-74219</w:t>
            </w:r>
          </w:p>
        </w:tc>
        <w:tc>
          <w:tcPr>
            <w:tcW w:w="6025" w:type="dxa"/>
          </w:tcPr>
          <w:p w14:paraId="7EDAE446"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Rury stalowe bez szwu walcowane na gorąco ogólnego stosowania</w:t>
            </w:r>
          </w:p>
        </w:tc>
      </w:tr>
      <w:tr w:rsidR="00713454" w:rsidRPr="004853EB" w14:paraId="349148CA" w14:textId="77777777" w:rsidTr="00DD5BCD">
        <w:tc>
          <w:tcPr>
            <w:tcW w:w="496" w:type="dxa"/>
          </w:tcPr>
          <w:p w14:paraId="3D501DE9"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c>
          <w:tcPr>
            <w:tcW w:w="2551" w:type="dxa"/>
          </w:tcPr>
          <w:p w14:paraId="45985B7F"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PN-H-74220</w:t>
            </w:r>
          </w:p>
        </w:tc>
        <w:tc>
          <w:tcPr>
            <w:tcW w:w="6025" w:type="dxa"/>
          </w:tcPr>
          <w:p w14:paraId="00FAE78A"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Rury stalowe bez szwu ciągnione i walcowane na zimno ogólnego przeznaczenia</w:t>
            </w:r>
          </w:p>
        </w:tc>
      </w:tr>
      <w:tr w:rsidR="00713454" w:rsidRPr="004853EB" w14:paraId="4F72C485" w14:textId="77777777" w:rsidTr="00DD5BCD">
        <w:tc>
          <w:tcPr>
            <w:tcW w:w="496" w:type="dxa"/>
          </w:tcPr>
          <w:p w14:paraId="44A234F1"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tc>
        <w:tc>
          <w:tcPr>
            <w:tcW w:w="2551" w:type="dxa"/>
          </w:tcPr>
          <w:p w14:paraId="1DD5D270"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PN-H-93401</w:t>
            </w:r>
          </w:p>
        </w:tc>
        <w:tc>
          <w:tcPr>
            <w:tcW w:w="6025" w:type="dxa"/>
          </w:tcPr>
          <w:p w14:paraId="2EF6DC6B"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Stal walcowana. Kątowniki równoramienne</w:t>
            </w:r>
          </w:p>
        </w:tc>
      </w:tr>
      <w:tr w:rsidR="00713454" w:rsidRPr="004853EB" w14:paraId="6A87EC99" w14:textId="77777777" w:rsidTr="00DD5BCD">
        <w:tc>
          <w:tcPr>
            <w:tcW w:w="496" w:type="dxa"/>
          </w:tcPr>
          <w:p w14:paraId="00E9FF62"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w:t>
            </w:r>
          </w:p>
        </w:tc>
        <w:tc>
          <w:tcPr>
            <w:tcW w:w="2551" w:type="dxa"/>
          </w:tcPr>
          <w:p w14:paraId="2BF6F6A5"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PN-H-93402</w:t>
            </w:r>
          </w:p>
        </w:tc>
        <w:tc>
          <w:tcPr>
            <w:tcW w:w="6025" w:type="dxa"/>
          </w:tcPr>
          <w:p w14:paraId="3C60D995"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Kątowniki nierównoramienne stalowe walcowane na gorąco</w:t>
            </w:r>
          </w:p>
        </w:tc>
      </w:tr>
      <w:tr w:rsidR="00713454" w:rsidRPr="004853EB" w14:paraId="74AE6B7E" w14:textId="77777777" w:rsidTr="00DD5BCD">
        <w:tc>
          <w:tcPr>
            <w:tcW w:w="496" w:type="dxa"/>
          </w:tcPr>
          <w:p w14:paraId="7B8CAC67"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8.</w:t>
            </w:r>
          </w:p>
        </w:tc>
        <w:tc>
          <w:tcPr>
            <w:tcW w:w="2551" w:type="dxa"/>
          </w:tcPr>
          <w:p w14:paraId="5EBEF12A"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BN-87/5028-12</w:t>
            </w:r>
          </w:p>
        </w:tc>
        <w:tc>
          <w:tcPr>
            <w:tcW w:w="6025" w:type="dxa"/>
          </w:tcPr>
          <w:p w14:paraId="5E36BAF0" w14:textId="2178211A"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Gwoździe budowlane. Gwoździe z trzpieniem gładkim, okrągłym </w:t>
            </w:r>
            <w:r w:rsidR="00DD5BCD">
              <w:rPr>
                <w:rFonts w:eastAsia="Times New Roman" w:cstheme="minorHAnsi"/>
                <w:sz w:val="20"/>
                <w:szCs w:val="20"/>
                <w:lang w:eastAsia="pl-PL"/>
              </w:rPr>
              <w:br/>
            </w:r>
            <w:r w:rsidRPr="004853EB">
              <w:rPr>
                <w:rFonts w:eastAsia="Times New Roman" w:cstheme="minorHAnsi"/>
                <w:sz w:val="20"/>
                <w:szCs w:val="20"/>
                <w:lang w:eastAsia="pl-PL"/>
              </w:rPr>
              <w:t>i kwadratowym</w:t>
            </w:r>
          </w:p>
        </w:tc>
      </w:tr>
      <w:tr w:rsidR="00713454" w:rsidRPr="004853EB" w14:paraId="743072FF" w14:textId="77777777" w:rsidTr="00DD5BCD">
        <w:tc>
          <w:tcPr>
            <w:tcW w:w="496" w:type="dxa"/>
          </w:tcPr>
          <w:p w14:paraId="625EA699"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9.</w:t>
            </w:r>
          </w:p>
        </w:tc>
        <w:tc>
          <w:tcPr>
            <w:tcW w:w="2551" w:type="dxa"/>
          </w:tcPr>
          <w:p w14:paraId="642A3617"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BN-77/8931-12</w:t>
            </w:r>
          </w:p>
        </w:tc>
        <w:tc>
          <w:tcPr>
            <w:tcW w:w="6025" w:type="dxa"/>
          </w:tcPr>
          <w:p w14:paraId="4269E985" w14:textId="77777777" w:rsidR="00713454" w:rsidRPr="004853EB" w:rsidRDefault="00713454" w:rsidP="00713454">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Oznaczenie wskaźnika zagęszczenia gruntu.</w:t>
            </w:r>
          </w:p>
        </w:tc>
      </w:tr>
    </w:tbl>
    <w:p w14:paraId="01B89F1F"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22BD0CC1"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499F0D33"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75CA3A23"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6A253E08"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31C9B9B6"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22E637D0"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74F7DEFB"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64323AC4"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76056D82"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4946FB2E"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431EDD5E"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121F27D5"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047D132"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6E315B8E"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7692421B"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63FEF8D2"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479C8999"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B578F58"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4922F7DD"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D8BAB68"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23B919E"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24E3642"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1D847658"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7DBCC4D0"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4DD75E44"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A483689"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1F610BD3"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690F6043"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0DECD68A"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1EF2AB2"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F45E234"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1703C22E"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063D17A9"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70C163AA"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46197694"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9E6F57D"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0C64A191"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0B96F366"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39043A9D"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72497977"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07C5C1AC"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48A38547"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443CCB8F"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6B5A13D3"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79B76E8C"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0D18FC74"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1299B0E8" w14:textId="77777777" w:rsidR="00BF7EE3" w:rsidRPr="004853EB" w:rsidRDefault="00BF7EE3"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2D2461B0"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67C4799F"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777ABD0C"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3AB371F7" w14:textId="77777777" w:rsidR="00713454" w:rsidRPr="004853EB" w:rsidRDefault="00713454" w:rsidP="00BF7EE3">
      <w:pPr>
        <w:pStyle w:val="Nagwek1"/>
        <w:rPr>
          <w:rFonts w:asciiTheme="minorHAnsi" w:hAnsiTheme="minorHAnsi" w:cstheme="minorHAnsi"/>
          <w:sz w:val="22"/>
          <w:szCs w:val="22"/>
        </w:rPr>
      </w:pPr>
      <w:bookmarkStart w:id="649" w:name="_Toc227825097"/>
      <w:r w:rsidRPr="004853EB">
        <w:rPr>
          <w:rFonts w:asciiTheme="minorHAnsi" w:hAnsiTheme="minorHAnsi" w:cstheme="minorHAnsi"/>
          <w:sz w:val="22"/>
          <w:szCs w:val="22"/>
        </w:rPr>
        <w:lastRenderedPageBreak/>
        <w:t xml:space="preserve">D - 02.00.01 ROBOTY ZIEMNE. </w:t>
      </w:r>
      <w:r w:rsidR="00B26F4A" w:rsidRPr="004853EB">
        <w:rPr>
          <w:rFonts w:asciiTheme="minorHAnsi" w:hAnsiTheme="minorHAnsi" w:cstheme="minorHAnsi"/>
          <w:sz w:val="22"/>
          <w:szCs w:val="22"/>
        </w:rPr>
        <w:t xml:space="preserve">WYMAGANIA </w:t>
      </w:r>
      <w:r w:rsidRPr="004853EB">
        <w:rPr>
          <w:rFonts w:asciiTheme="minorHAnsi" w:hAnsiTheme="minorHAnsi" w:cstheme="minorHAnsi"/>
          <w:sz w:val="22"/>
          <w:szCs w:val="22"/>
        </w:rPr>
        <w:t>OGÓLNE</w:t>
      </w:r>
      <w:bookmarkEnd w:id="649"/>
    </w:p>
    <w:p w14:paraId="1127ED45" w14:textId="77777777" w:rsidR="00713454" w:rsidRPr="004853EB" w:rsidRDefault="00713454" w:rsidP="00713454">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650" w:name="_Toc405615030"/>
      <w:bookmarkStart w:id="651" w:name="_Toc407161178"/>
      <w:bookmarkStart w:id="652" w:name="_Toc418996322"/>
      <w:bookmarkStart w:id="653" w:name="_Toc418996691"/>
      <w:bookmarkStart w:id="654" w:name="_Toc418997078"/>
      <w:bookmarkStart w:id="655" w:name="_Toc418998487"/>
      <w:bookmarkStart w:id="656" w:name="_Toc418998843"/>
      <w:bookmarkStart w:id="657" w:name="_Toc419000089"/>
      <w:bookmarkStart w:id="658" w:name="_Toc194476609"/>
      <w:bookmarkStart w:id="659" w:name="_Toc227759951"/>
      <w:bookmarkStart w:id="660" w:name="_Toc227825098"/>
      <w:r w:rsidRPr="004853EB">
        <w:rPr>
          <w:rFonts w:eastAsia="Times New Roman" w:cstheme="minorHAnsi"/>
          <w:b/>
          <w:caps/>
          <w:kern w:val="28"/>
          <w:sz w:val="20"/>
          <w:szCs w:val="20"/>
          <w:lang w:eastAsia="pl-PL"/>
        </w:rPr>
        <w:t>1. Wstęp</w:t>
      </w:r>
      <w:bookmarkEnd w:id="650"/>
      <w:bookmarkEnd w:id="651"/>
      <w:bookmarkEnd w:id="652"/>
      <w:bookmarkEnd w:id="653"/>
      <w:bookmarkEnd w:id="654"/>
      <w:bookmarkEnd w:id="655"/>
      <w:bookmarkEnd w:id="656"/>
      <w:bookmarkEnd w:id="657"/>
      <w:bookmarkEnd w:id="658"/>
      <w:bookmarkEnd w:id="659"/>
      <w:bookmarkEnd w:id="660"/>
    </w:p>
    <w:p w14:paraId="43C6300E"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661" w:name="_Toc194476610"/>
      <w:bookmarkStart w:id="662" w:name="_Toc227759952"/>
      <w:bookmarkStart w:id="663" w:name="_Toc227825099"/>
      <w:r w:rsidRPr="004853EB">
        <w:rPr>
          <w:rFonts w:eastAsia="Times New Roman" w:cstheme="minorHAnsi"/>
          <w:b/>
          <w:sz w:val="20"/>
          <w:szCs w:val="20"/>
          <w:lang w:eastAsia="pl-PL"/>
        </w:rPr>
        <w:t>1.1. Przedmiot SST</w:t>
      </w:r>
      <w:bookmarkEnd w:id="661"/>
      <w:bookmarkEnd w:id="662"/>
      <w:bookmarkEnd w:id="663"/>
    </w:p>
    <w:p w14:paraId="252E6793"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r>
      <w:r w:rsidRPr="004853EB">
        <w:rPr>
          <w:rFonts w:eastAsia="Times New Roman" w:cstheme="minorHAnsi"/>
          <w:sz w:val="18"/>
          <w:szCs w:val="20"/>
          <w:lang w:eastAsia="pl-PL"/>
        </w:rPr>
        <w:t>Przedmiotem niniejszej szczegółowej specyfikacji technicznej (SST) są wymagania dotyczące wykonania i odbioru liniowych robót ziemnych.</w:t>
      </w:r>
    </w:p>
    <w:p w14:paraId="004827C1"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664" w:name="_Toc194476611"/>
      <w:bookmarkStart w:id="665" w:name="_Toc227759953"/>
      <w:bookmarkStart w:id="666" w:name="_Toc227825100"/>
      <w:r w:rsidRPr="004853EB">
        <w:rPr>
          <w:rFonts w:eastAsia="Times New Roman" w:cstheme="minorHAnsi"/>
          <w:b/>
          <w:sz w:val="20"/>
          <w:szCs w:val="20"/>
          <w:lang w:eastAsia="pl-PL"/>
        </w:rPr>
        <w:t>1.2. Zakres stosowania SST</w:t>
      </w:r>
      <w:bookmarkEnd w:id="664"/>
      <w:bookmarkEnd w:id="665"/>
      <w:bookmarkEnd w:id="666"/>
    </w:p>
    <w:p w14:paraId="6B29D72D" w14:textId="77777777" w:rsidR="00713454" w:rsidRPr="004853EB" w:rsidRDefault="00713454" w:rsidP="00713454">
      <w:pPr>
        <w:tabs>
          <w:tab w:val="left" w:pos="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Specyfikacja techniczna jest stosowana jako dokument przetargowy i kontraktowy przy zlecaniu i realizacji robót wymienionych w pkt 1.1.</w:t>
      </w:r>
    </w:p>
    <w:p w14:paraId="3F30BECD"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667" w:name="_Toc194476612"/>
      <w:bookmarkStart w:id="668" w:name="_Toc227759954"/>
      <w:bookmarkStart w:id="669" w:name="_Toc227825101"/>
      <w:r w:rsidRPr="004853EB">
        <w:rPr>
          <w:rFonts w:eastAsia="Times New Roman" w:cstheme="minorHAnsi"/>
          <w:b/>
          <w:sz w:val="20"/>
          <w:szCs w:val="20"/>
          <w:lang w:eastAsia="pl-PL"/>
        </w:rPr>
        <w:t>1.3. Zakres robót objętych SST</w:t>
      </w:r>
      <w:bookmarkEnd w:id="667"/>
      <w:bookmarkEnd w:id="668"/>
      <w:bookmarkEnd w:id="669"/>
    </w:p>
    <w:p w14:paraId="4C14A473" w14:textId="018121DA"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Ustalenia zawarte w niniejszej specyfikacji związane są z </w:t>
      </w:r>
      <w:r w:rsidRPr="004853EB">
        <w:rPr>
          <w:rFonts w:eastAsia="Times New Roman" w:cstheme="minorHAnsi"/>
          <w:b/>
          <w:sz w:val="20"/>
          <w:szCs w:val="20"/>
          <w:lang w:eastAsia="pl-PL"/>
        </w:rPr>
        <w:t xml:space="preserve">Przebudową </w:t>
      </w:r>
      <w:r w:rsidR="00DD5BCD" w:rsidRPr="004853EB">
        <w:rPr>
          <w:rFonts w:eastAsia="Times New Roman" w:cstheme="minorHAnsi"/>
          <w:b/>
          <w:sz w:val="20"/>
          <w:szCs w:val="20"/>
          <w:lang w:eastAsia="pl-PL"/>
        </w:rPr>
        <w:t>drogi powiatowej</w:t>
      </w:r>
      <w:r w:rsidRPr="004853EB">
        <w:rPr>
          <w:rFonts w:eastAsia="Times New Roman" w:cstheme="minorHAnsi"/>
          <w:b/>
          <w:sz w:val="20"/>
          <w:szCs w:val="20"/>
          <w:lang w:eastAsia="pl-PL"/>
        </w:rPr>
        <w:t xml:space="preserve"> nr </w:t>
      </w:r>
      <w:r w:rsidR="00386337" w:rsidRPr="00386337">
        <w:rPr>
          <w:rFonts w:eastAsia="Times New Roman" w:cstheme="minorHAnsi"/>
          <w:b/>
          <w:bCs/>
          <w:sz w:val="20"/>
          <w:szCs w:val="20"/>
          <w:lang w:eastAsia="pl-PL"/>
        </w:rPr>
        <w:t>4506W Zwoleń – Sarnów w miejscowości Łuczynów</w:t>
      </w:r>
      <w:r w:rsidR="00BF7EE3" w:rsidRPr="004853EB">
        <w:rPr>
          <w:rFonts w:eastAsia="Times New Roman" w:cstheme="minorHAnsi"/>
          <w:b/>
          <w:sz w:val="20"/>
          <w:szCs w:val="20"/>
          <w:lang w:eastAsia="pl-PL"/>
        </w:rPr>
        <w:t xml:space="preserve"> </w:t>
      </w:r>
      <w:r w:rsidRPr="004853EB">
        <w:rPr>
          <w:rFonts w:eastAsia="Times New Roman" w:cstheme="minorHAnsi"/>
          <w:sz w:val="20"/>
          <w:szCs w:val="20"/>
          <w:lang w:eastAsia="pl-PL"/>
        </w:rPr>
        <w:t>i obejmują:</w:t>
      </w:r>
    </w:p>
    <w:p w14:paraId="4EF5B1C8" w14:textId="77777777" w:rsidR="00713454" w:rsidRPr="004853EB" w:rsidRDefault="00713454" w:rsidP="00713454">
      <w:pPr>
        <w:numPr>
          <w:ilvl w:val="0"/>
          <w:numId w:val="1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wykonanie wykopów w gruntach nieskalistych,</w:t>
      </w:r>
    </w:p>
    <w:p w14:paraId="42B235F9" w14:textId="77777777" w:rsidR="00713454" w:rsidRPr="004853EB" w:rsidRDefault="00713454" w:rsidP="00713454">
      <w:pPr>
        <w:numPr>
          <w:ilvl w:val="0"/>
          <w:numId w:val="1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budowę nasypów drogowych,</w:t>
      </w:r>
    </w:p>
    <w:p w14:paraId="49CD7603" w14:textId="77777777" w:rsidR="00713454" w:rsidRPr="004853EB" w:rsidRDefault="00713454" w:rsidP="00713454">
      <w:pPr>
        <w:numPr>
          <w:ilvl w:val="0"/>
          <w:numId w:val="1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pozyskiwanie gruntu z ukopu lub dokopu.</w:t>
      </w:r>
    </w:p>
    <w:p w14:paraId="6A3521C9"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670" w:name="_Toc405615034"/>
      <w:bookmarkStart w:id="671" w:name="_Toc407161182"/>
      <w:bookmarkStart w:id="672" w:name="_Toc194476613"/>
      <w:bookmarkStart w:id="673" w:name="_Toc227759955"/>
      <w:bookmarkStart w:id="674" w:name="_Toc227825102"/>
      <w:r w:rsidRPr="004853EB">
        <w:rPr>
          <w:rFonts w:eastAsia="Times New Roman" w:cstheme="minorHAnsi"/>
          <w:b/>
          <w:sz w:val="20"/>
          <w:szCs w:val="20"/>
          <w:lang w:eastAsia="pl-PL"/>
        </w:rPr>
        <w:t>1.4. Określenia podstawowe</w:t>
      </w:r>
      <w:bookmarkEnd w:id="670"/>
      <w:bookmarkEnd w:id="671"/>
      <w:bookmarkEnd w:id="672"/>
      <w:bookmarkEnd w:id="673"/>
      <w:bookmarkEnd w:id="674"/>
    </w:p>
    <w:p w14:paraId="135E0DEA" w14:textId="77777777" w:rsidR="00713454" w:rsidRPr="004853EB" w:rsidRDefault="00713454" w:rsidP="00713454">
      <w:pPr>
        <w:tabs>
          <w:tab w:val="right" w:pos="-1985"/>
          <w:tab w:val="left" w:pos="567"/>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w:t>
      </w:r>
      <w:r w:rsidRPr="004853EB">
        <w:rPr>
          <w:rFonts w:eastAsia="Times New Roman" w:cstheme="minorHAnsi"/>
          <w:b/>
          <w:sz w:val="20"/>
          <w:szCs w:val="20"/>
          <w:lang w:eastAsia="pl-PL"/>
        </w:rPr>
        <w:tab/>
      </w:r>
      <w:r w:rsidRPr="004853EB">
        <w:rPr>
          <w:rFonts w:eastAsia="Times New Roman" w:cstheme="minorHAnsi"/>
          <w:sz w:val="20"/>
          <w:szCs w:val="20"/>
          <w:lang w:eastAsia="pl-PL"/>
        </w:rPr>
        <w:t>Budowla ziemna - budowla wykonana w gruncie lub z gruntu naturalnego lub z gruntu antropogenicznego spełniająca warunki stateczności i odwodnienia.</w:t>
      </w:r>
    </w:p>
    <w:p w14:paraId="1A488115" w14:textId="77777777" w:rsidR="00713454" w:rsidRPr="004853EB" w:rsidRDefault="00713454" w:rsidP="00713454">
      <w:pPr>
        <w:tabs>
          <w:tab w:val="right" w:pos="-1985"/>
          <w:tab w:val="left" w:pos="567"/>
        </w:tabs>
        <w:overflowPunct w:val="0"/>
        <w:autoSpaceDE w:val="0"/>
        <w:autoSpaceDN w:val="0"/>
        <w:adjustRightInd w:val="0"/>
        <w:spacing w:before="120" w:after="0" w:line="240" w:lineRule="auto"/>
        <w:jc w:val="both"/>
        <w:textAlignment w:val="baseline"/>
        <w:rPr>
          <w:rFonts w:eastAsia="Times New Roman" w:cstheme="minorHAnsi"/>
          <w:b/>
          <w:sz w:val="20"/>
          <w:szCs w:val="20"/>
          <w:lang w:eastAsia="pl-PL"/>
        </w:rPr>
      </w:pPr>
      <w:r w:rsidRPr="004853EB">
        <w:rPr>
          <w:rFonts w:eastAsia="Times New Roman" w:cstheme="minorHAnsi"/>
          <w:b/>
          <w:sz w:val="20"/>
          <w:szCs w:val="20"/>
          <w:lang w:eastAsia="pl-PL"/>
        </w:rPr>
        <w:t>1.4.2.</w:t>
      </w:r>
      <w:r w:rsidRPr="004853EB">
        <w:rPr>
          <w:rFonts w:eastAsia="Times New Roman" w:cstheme="minorHAnsi"/>
          <w:b/>
          <w:sz w:val="20"/>
          <w:szCs w:val="20"/>
          <w:lang w:eastAsia="pl-PL"/>
        </w:rPr>
        <w:tab/>
      </w:r>
      <w:r w:rsidRPr="004853EB">
        <w:rPr>
          <w:rFonts w:eastAsia="Times New Roman" w:cstheme="minorHAnsi"/>
          <w:sz w:val="20"/>
          <w:szCs w:val="20"/>
          <w:lang w:eastAsia="pl-PL"/>
        </w:rPr>
        <w:t>Korpus drogowy - nasyp lub ta część wykopu, która jest ograniczona koroną drogi i skarpami rowów.</w:t>
      </w:r>
      <w:r w:rsidRPr="004853EB">
        <w:rPr>
          <w:rFonts w:eastAsia="Times New Roman" w:cstheme="minorHAnsi"/>
          <w:b/>
          <w:sz w:val="20"/>
          <w:szCs w:val="20"/>
          <w:lang w:eastAsia="pl-PL"/>
        </w:rPr>
        <w:t xml:space="preserve"> </w:t>
      </w:r>
    </w:p>
    <w:p w14:paraId="6A8CC982" w14:textId="77777777" w:rsidR="00713454" w:rsidRPr="004853EB" w:rsidRDefault="00713454" w:rsidP="00713454">
      <w:pPr>
        <w:tabs>
          <w:tab w:val="right" w:pos="-1985"/>
          <w:tab w:val="left" w:pos="567"/>
        </w:tabs>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1.4.3.</w:t>
      </w:r>
      <w:r w:rsidRPr="004853EB">
        <w:rPr>
          <w:rFonts w:eastAsia="Times New Roman" w:cstheme="minorHAnsi"/>
          <w:b/>
          <w:sz w:val="20"/>
          <w:szCs w:val="20"/>
          <w:lang w:eastAsia="pl-PL"/>
        </w:rPr>
        <w:tab/>
      </w:r>
      <w:r w:rsidRPr="004853EB">
        <w:rPr>
          <w:rFonts w:eastAsia="Times New Roman" w:cstheme="minorHAnsi"/>
          <w:sz w:val="20"/>
          <w:szCs w:val="20"/>
          <w:lang w:eastAsia="pl-PL"/>
        </w:rPr>
        <w:t>Wysokość nasypu lub głębokość wykopu - różnica rzędnej terenu i rzędnej robót ziemnych, wyznaczonych w osi nasypu lub wykopu.</w:t>
      </w:r>
    </w:p>
    <w:p w14:paraId="361B79FC" w14:textId="77777777" w:rsidR="00713454" w:rsidRPr="004853EB" w:rsidRDefault="00713454" w:rsidP="00713454">
      <w:pPr>
        <w:tabs>
          <w:tab w:val="right" w:pos="-1985"/>
          <w:tab w:val="left" w:pos="567"/>
        </w:tabs>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1.4.4.</w:t>
      </w:r>
      <w:r w:rsidRPr="004853EB">
        <w:rPr>
          <w:rFonts w:eastAsia="Times New Roman" w:cstheme="minorHAnsi"/>
          <w:b/>
          <w:sz w:val="20"/>
          <w:szCs w:val="20"/>
          <w:lang w:eastAsia="pl-PL"/>
        </w:rPr>
        <w:tab/>
      </w:r>
      <w:r w:rsidRPr="004853EB">
        <w:rPr>
          <w:rFonts w:eastAsia="Times New Roman" w:cstheme="minorHAnsi"/>
          <w:sz w:val="20"/>
          <w:szCs w:val="20"/>
          <w:lang w:eastAsia="pl-PL"/>
        </w:rPr>
        <w:t>Nasyp niski - nasyp, którego wysokość jest mniejsza niż 1 m.</w:t>
      </w:r>
    </w:p>
    <w:p w14:paraId="572398C1" w14:textId="77777777" w:rsidR="00713454" w:rsidRPr="004853EB" w:rsidRDefault="00713454" w:rsidP="00713454">
      <w:pPr>
        <w:tabs>
          <w:tab w:val="left" w:pos="567"/>
        </w:tabs>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1.4.5.</w:t>
      </w:r>
      <w:r w:rsidRPr="004853EB">
        <w:rPr>
          <w:rFonts w:eastAsia="Times New Roman" w:cstheme="minorHAnsi"/>
          <w:b/>
          <w:sz w:val="20"/>
          <w:szCs w:val="20"/>
          <w:lang w:eastAsia="pl-PL"/>
        </w:rPr>
        <w:tab/>
      </w:r>
      <w:r w:rsidRPr="004853EB">
        <w:rPr>
          <w:rFonts w:eastAsia="Times New Roman" w:cstheme="minorHAnsi"/>
          <w:sz w:val="20"/>
          <w:szCs w:val="20"/>
          <w:lang w:eastAsia="pl-PL"/>
        </w:rPr>
        <w:t>Nasyp średni - nasyp, którego wysokość jest zawarta w granicach od 1 do 3 m.</w:t>
      </w:r>
    </w:p>
    <w:p w14:paraId="0BA806A6" w14:textId="77777777" w:rsidR="00713454" w:rsidRPr="004853EB" w:rsidRDefault="00713454" w:rsidP="00713454">
      <w:pPr>
        <w:tabs>
          <w:tab w:val="left" w:pos="567"/>
        </w:tabs>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1.4.6.</w:t>
      </w:r>
      <w:r w:rsidRPr="004853EB">
        <w:rPr>
          <w:rFonts w:eastAsia="Times New Roman" w:cstheme="minorHAnsi"/>
          <w:b/>
          <w:sz w:val="20"/>
          <w:szCs w:val="20"/>
          <w:lang w:eastAsia="pl-PL"/>
        </w:rPr>
        <w:tab/>
      </w:r>
      <w:r w:rsidRPr="004853EB">
        <w:rPr>
          <w:rFonts w:eastAsia="Times New Roman" w:cstheme="minorHAnsi"/>
          <w:sz w:val="20"/>
          <w:szCs w:val="20"/>
          <w:lang w:eastAsia="pl-PL"/>
        </w:rPr>
        <w:t>Wykop płytki - wykop, którego głębokość jest mniejsza niż 1 m.</w:t>
      </w:r>
    </w:p>
    <w:p w14:paraId="4813BC4F" w14:textId="77777777" w:rsidR="00713454" w:rsidRPr="004853EB" w:rsidRDefault="00713454" w:rsidP="00713454">
      <w:pPr>
        <w:tabs>
          <w:tab w:val="left" w:pos="567"/>
        </w:tabs>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1.4.7.</w:t>
      </w:r>
      <w:r w:rsidRPr="004853EB">
        <w:rPr>
          <w:rFonts w:eastAsia="Times New Roman" w:cstheme="minorHAnsi"/>
          <w:b/>
          <w:sz w:val="20"/>
          <w:szCs w:val="20"/>
          <w:lang w:eastAsia="pl-PL"/>
        </w:rPr>
        <w:tab/>
      </w:r>
      <w:r w:rsidRPr="004853EB">
        <w:rPr>
          <w:rFonts w:eastAsia="Times New Roman" w:cstheme="minorHAnsi"/>
          <w:sz w:val="20"/>
          <w:szCs w:val="20"/>
          <w:lang w:eastAsia="pl-PL"/>
        </w:rPr>
        <w:t>Wykop średni - wykop, którego głębokość jest zawarta w granicach od 1 do 3 m.</w:t>
      </w:r>
    </w:p>
    <w:p w14:paraId="382C10C5" w14:textId="77777777" w:rsidR="00713454" w:rsidRPr="004853EB" w:rsidRDefault="00713454" w:rsidP="00713454">
      <w:pPr>
        <w:numPr>
          <w:ilvl w:val="0"/>
          <w:numId w:val="19"/>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Grunt nieskalisty - każdy grunt rodzimy, nie określony w punkcie 1.4.12 jako grunt skalisty.</w:t>
      </w:r>
    </w:p>
    <w:p w14:paraId="0D8C28E4" w14:textId="77777777" w:rsidR="00713454" w:rsidRPr="004853EB" w:rsidRDefault="00713454" w:rsidP="0071345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1.4.9.</w:t>
      </w:r>
      <w:r w:rsidRPr="004853EB">
        <w:rPr>
          <w:rFonts w:eastAsia="Times New Roman" w:cstheme="minorHAnsi"/>
          <w:b/>
          <w:sz w:val="20"/>
          <w:szCs w:val="20"/>
          <w:lang w:eastAsia="pl-PL"/>
        </w:rPr>
        <w:tab/>
      </w:r>
      <w:r w:rsidRPr="004853EB">
        <w:rPr>
          <w:rFonts w:eastAsia="Times New Roman" w:cstheme="minorHAnsi"/>
          <w:sz w:val="20"/>
          <w:szCs w:val="20"/>
          <w:lang w:eastAsia="pl-PL"/>
        </w:rPr>
        <w:t>Ukop - miejsce pozyskania gruntu do wykonania nasypów, położone w obrębie pasa robót drogowych.</w:t>
      </w:r>
    </w:p>
    <w:p w14:paraId="550965B4" w14:textId="77777777" w:rsidR="00713454" w:rsidRPr="004853EB" w:rsidRDefault="00713454" w:rsidP="0071345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1.4.10.</w:t>
      </w:r>
      <w:r w:rsidRPr="004853EB">
        <w:rPr>
          <w:rFonts w:eastAsia="Times New Roman" w:cstheme="minorHAnsi"/>
          <w:b/>
          <w:sz w:val="20"/>
          <w:szCs w:val="20"/>
          <w:lang w:eastAsia="pl-PL"/>
        </w:rPr>
        <w:tab/>
      </w:r>
      <w:r w:rsidRPr="004853EB">
        <w:rPr>
          <w:rFonts w:eastAsia="Times New Roman" w:cstheme="minorHAnsi"/>
          <w:sz w:val="20"/>
          <w:szCs w:val="20"/>
          <w:lang w:eastAsia="pl-PL"/>
        </w:rPr>
        <w:t>Dokop - miejsce pozyskania gruntu do wykonania nasypów, położone poza pasem robót drogowych.</w:t>
      </w:r>
    </w:p>
    <w:p w14:paraId="648F910A" w14:textId="77777777" w:rsidR="00713454" w:rsidRPr="004853EB" w:rsidRDefault="00713454" w:rsidP="0071345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1.4.11.</w:t>
      </w:r>
      <w:r w:rsidRPr="004853EB">
        <w:rPr>
          <w:rFonts w:eastAsia="Times New Roman" w:cstheme="minorHAnsi"/>
          <w:b/>
          <w:sz w:val="20"/>
          <w:szCs w:val="20"/>
          <w:lang w:eastAsia="pl-PL"/>
        </w:rPr>
        <w:tab/>
      </w:r>
      <w:r w:rsidRPr="004853EB">
        <w:rPr>
          <w:rFonts w:eastAsia="Times New Roman" w:cstheme="minorHAnsi"/>
          <w:sz w:val="20"/>
          <w:szCs w:val="20"/>
          <w:lang w:eastAsia="pl-PL"/>
        </w:rPr>
        <w:t>Odkład - miejsce wbudowania lub składowania (odwiezienia) gruntów pozyskanych w czasie wykonywania wykopów, a nie wykorzystanych do budowy nasypów oraz innych prac związanych z trasą drogową.</w:t>
      </w:r>
    </w:p>
    <w:p w14:paraId="72BC26FD" w14:textId="77777777" w:rsidR="00713454" w:rsidRPr="004853EB" w:rsidRDefault="00713454" w:rsidP="0071345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1.4.12.</w:t>
      </w:r>
      <w:r w:rsidRPr="004853EB">
        <w:rPr>
          <w:rFonts w:eastAsia="Times New Roman" w:cstheme="minorHAnsi"/>
          <w:b/>
          <w:sz w:val="20"/>
          <w:szCs w:val="20"/>
          <w:lang w:eastAsia="pl-PL"/>
        </w:rPr>
        <w:tab/>
      </w:r>
      <w:r w:rsidRPr="004853EB">
        <w:rPr>
          <w:rFonts w:eastAsia="Times New Roman" w:cstheme="minorHAnsi"/>
          <w:sz w:val="20"/>
          <w:szCs w:val="20"/>
          <w:lang w:eastAsia="pl-PL"/>
        </w:rPr>
        <w:t xml:space="preserve">Wskaźnik zagęszczenia gruntu - wielkość charakteryzująca stan zagęszczenia gruntu, określona wg wzoru: </w:t>
      </w:r>
    </w:p>
    <w:p w14:paraId="3730A981" w14:textId="77777777" w:rsidR="00713454" w:rsidRPr="004853EB" w:rsidRDefault="00000000" w:rsidP="00713454">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Pr>
          <w:rFonts w:eastAsia="Times New Roman" w:cstheme="minorHAnsi"/>
          <w:position w:val="-26"/>
          <w:sz w:val="20"/>
          <w:szCs w:val="20"/>
          <w:lang w:eastAsia="pl-PL"/>
        </w:rPr>
        <w:pict w14:anchorId="25FC7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30pt">
            <v:imagedata r:id="rId9" o:title=""/>
          </v:shape>
        </w:pict>
      </w:r>
    </w:p>
    <w:p w14:paraId="60E37B6D" w14:textId="77777777" w:rsidR="00713454" w:rsidRPr="004853EB" w:rsidRDefault="00713454" w:rsidP="00713454">
      <w:p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gdzie:</w:t>
      </w:r>
    </w:p>
    <w:p w14:paraId="1202DBF8" w14:textId="77777777" w:rsidR="00713454" w:rsidRPr="004853EB" w:rsidRDefault="00713454" w:rsidP="00713454">
      <w:pPr>
        <w:tabs>
          <w:tab w:val="left" w:pos="426"/>
          <w:tab w:val="left" w:pos="709"/>
        </w:tabs>
        <w:overflowPunct w:val="0"/>
        <w:autoSpaceDE w:val="0"/>
        <w:autoSpaceDN w:val="0"/>
        <w:adjustRightInd w:val="0"/>
        <w:spacing w:after="0" w:line="240" w:lineRule="auto"/>
        <w:ind w:left="709" w:hanging="709"/>
        <w:jc w:val="both"/>
        <w:textAlignment w:val="baseline"/>
        <w:rPr>
          <w:rFonts w:eastAsia="Times New Roman" w:cstheme="minorHAnsi"/>
          <w:sz w:val="20"/>
          <w:szCs w:val="20"/>
          <w:lang w:eastAsia="pl-PL"/>
        </w:rPr>
      </w:pPr>
      <w:r w:rsidRPr="004853EB">
        <w:rPr>
          <w:rFonts w:eastAsia="Times New Roman" w:cstheme="minorHAnsi"/>
          <w:i/>
          <w:sz w:val="20"/>
          <w:szCs w:val="20"/>
          <w:lang w:eastAsia="pl-PL"/>
        </w:rPr>
        <w:sym w:font="Symbol" w:char="F072"/>
      </w:r>
      <w:r w:rsidRPr="004853EB">
        <w:rPr>
          <w:rFonts w:eastAsia="Times New Roman" w:cstheme="minorHAnsi"/>
          <w:sz w:val="20"/>
          <w:szCs w:val="20"/>
          <w:vertAlign w:val="subscript"/>
          <w:lang w:eastAsia="pl-PL"/>
        </w:rPr>
        <w:t>d</w:t>
      </w:r>
      <w:r w:rsidRPr="004853EB">
        <w:rPr>
          <w:rFonts w:eastAsia="Times New Roman" w:cstheme="minorHAnsi"/>
          <w:sz w:val="20"/>
          <w:szCs w:val="20"/>
          <w:lang w:eastAsia="pl-PL"/>
        </w:rPr>
        <w:tab/>
        <w:t>-</w:t>
      </w:r>
      <w:r w:rsidRPr="004853EB">
        <w:rPr>
          <w:rFonts w:eastAsia="Times New Roman" w:cstheme="minorHAnsi"/>
          <w:sz w:val="20"/>
          <w:szCs w:val="20"/>
          <w:lang w:eastAsia="pl-PL"/>
        </w:rPr>
        <w:tab/>
        <w:t>gęstość objętościowa szkieletu zagęszczonego gruntu, zgodnie z BN-77/8931-12 [9], (Mg/m</w:t>
      </w:r>
      <w:r w:rsidRPr="004853EB">
        <w:rPr>
          <w:rFonts w:eastAsia="Times New Roman" w:cstheme="minorHAnsi"/>
          <w:sz w:val="20"/>
          <w:szCs w:val="20"/>
          <w:vertAlign w:val="superscript"/>
          <w:lang w:eastAsia="pl-PL"/>
        </w:rPr>
        <w:t>3</w:t>
      </w:r>
      <w:r w:rsidRPr="004853EB">
        <w:rPr>
          <w:rFonts w:eastAsia="Times New Roman" w:cstheme="minorHAnsi"/>
          <w:sz w:val="20"/>
          <w:szCs w:val="20"/>
          <w:lang w:eastAsia="pl-PL"/>
        </w:rPr>
        <w:t>),</w:t>
      </w:r>
    </w:p>
    <w:p w14:paraId="12BD64A1" w14:textId="77777777" w:rsidR="00713454" w:rsidRPr="004853EB" w:rsidRDefault="00713454" w:rsidP="00713454">
      <w:pPr>
        <w:tabs>
          <w:tab w:val="left" w:pos="426"/>
          <w:tab w:val="left" w:pos="709"/>
        </w:tabs>
        <w:overflowPunct w:val="0"/>
        <w:autoSpaceDE w:val="0"/>
        <w:autoSpaceDN w:val="0"/>
        <w:adjustRightInd w:val="0"/>
        <w:spacing w:after="0" w:line="240" w:lineRule="auto"/>
        <w:ind w:left="709" w:hanging="709"/>
        <w:jc w:val="both"/>
        <w:textAlignment w:val="baseline"/>
        <w:rPr>
          <w:rFonts w:eastAsia="Times New Roman" w:cstheme="minorHAnsi"/>
          <w:sz w:val="20"/>
          <w:szCs w:val="20"/>
          <w:lang w:eastAsia="pl-PL"/>
        </w:rPr>
      </w:pPr>
      <w:r w:rsidRPr="004853EB">
        <w:rPr>
          <w:rFonts w:eastAsia="Times New Roman" w:cstheme="minorHAnsi"/>
          <w:i/>
          <w:sz w:val="20"/>
          <w:szCs w:val="20"/>
          <w:lang w:eastAsia="pl-PL"/>
        </w:rPr>
        <w:sym w:font="Symbol" w:char="F072"/>
      </w:r>
      <w:proofErr w:type="spellStart"/>
      <w:r w:rsidRPr="004853EB">
        <w:rPr>
          <w:rFonts w:eastAsia="Times New Roman" w:cstheme="minorHAnsi"/>
          <w:sz w:val="20"/>
          <w:szCs w:val="20"/>
          <w:vertAlign w:val="subscript"/>
          <w:lang w:eastAsia="pl-PL"/>
        </w:rPr>
        <w:t>ds</w:t>
      </w:r>
      <w:proofErr w:type="spellEnd"/>
      <w:r w:rsidRPr="004853EB">
        <w:rPr>
          <w:rFonts w:eastAsia="Times New Roman" w:cstheme="minorHAnsi"/>
          <w:sz w:val="20"/>
          <w:szCs w:val="20"/>
          <w:lang w:eastAsia="pl-PL"/>
        </w:rPr>
        <w:tab/>
        <w:t>-</w:t>
      </w:r>
      <w:r w:rsidRPr="004853EB">
        <w:rPr>
          <w:rFonts w:eastAsia="Times New Roman" w:cstheme="minorHAnsi"/>
          <w:sz w:val="20"/>
          <w:szCs w:val="20"/>
          <w:lang w:eastAsia="pl-PL"/>
        </w:rPr>
        <w:tab/>
        <w:t>maksymalna gęstość objętościowa szkieletu gruntowego przy wilgotności optymalnej, zgodnie z PN-B-04481:1988 [2], służąca do oceny zagęszczenia gruntu w robotach ziemnych, (Mg/m</w:t>
      </w:r>
      <w:r w:rsidRPr="004853EB">
        <w:rPr>
          <w:rFonts w:eastAsia="Times New Roman" w:cstheme="minorHAnsi"/>
          <w:sz w:val="20"/>
          <w:szCs w:val="20"/>
          <w:vertAlign w:val="superscript"/>
          <w:lang w:eastAsia="pl-PL"/>
        </w:rPr>
        <w:t>3</w:t>
      </w:r>
      <w:r w:rsidRPr="004853EB">
        <w:rPr>
          <w:rFonts w:eastAsia="Times New Roman" w:cstheme="minorHAnsi"/>
          <w:sz w:val="20"/>
          <w:szCs w:val="20"/>
          <w:lang w:eastAsia="pl-PL"/>
        </w:rPr>
        <w:t>).</w:t>
      </w:r>
    </w:p>
    <w:p w14:paraId="06CA3C6C" w14:textId="77777777" w:rsidR="00713454" w:rsidRPr="004853EB" w:rsidRDefault="00713454" w:rsidP="0071345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1.4.13. </w:t>
      </w:r>
      <w:r w:rsidRPr="004853EB">
        <w:rPr>
          <w:rFonts w:eastAsia="Times New Roman" w:cstheme="minorHAnsi"/>
          <w:sz w:val="20"/>
          <w:szCs w:val="20"/>
          <w:lang w:eastAsia="pl-PL"/>
        </w:rPr>
        <w:t xml:space="preserve">Wskaźnik różnoziarnistości - wielkość charakteryzująca </w:t>
      </w:r>
      <w:proofErr w:type="spellStart"/>
      <w:r w:rsidRPr="004853EB">
        <w:rPr>
          <w:rFonts w:eastAsia="Times New Roman" w:cstheme="minorHAnsi"/>
          <w:sz w:val="20"/>
          <w:szCs w:val="20"/>
          <w:lang w:eastAsia="pl-PL"/>
        </w:rPr>
        <w:t>zagęszczalność</w:t>
      </w:r>
      <w:proofErr w:type="spellEnd"/>
      <w:r w:rsidRPr="004853EB">
        <w:rPr>
          <w:rFonts w:eastAsia="Times New Roman" w:cstheme="minorHAnsi"/>
          <w:sz w:val="20"/>
          <w:szCs w:val="20"/>
          <w:lang w:eastAsia="pl-PL"/>
        </w:rPr>
        <w:t xml:space="preserve"> gruntów niespoistych, określona wg wzoru:</w:t>
      </w:r>
    </w:p>
    <w:p w14:paraId="177CBD19" w14:textId="77777777" w:rsidR="00713454" w:rsidRPr="004853EB" w:rsidRDefault="00000000" w:rsidP="0071345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r>
        <w:rPr>
          <w:rFonts w:eastAsia="Times New Roman" w:cstheme="minorHAnsi"/>
          <w:position w:val="-26"/>
          <w:sz w:val="20"/>
          <w:szCs w:val="20"/>
          <w:lang w:eastAsia="pl-PL"/>
        </w:rPr>
        <w:pict w14:anchorId="62B96F4C">
          <v:shape id="_x0000_i1026" type="#_x0000_t75" style="width:39pt;height:30pt">
            <v:imagedata r:id="rId10" o:title=""/>
          </v:shape>
        </w:pict>
      </w:r>
    </w:p>
    <w:p w14:paraId="276F34F6"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gdzie:</w:t>
      </w:r>
    </w:p>
    <w:p w14:paraId="704F82C7" w14:textId="77777777" w:rsidR="00713454" w:rsidRPr="004853EB" w:rsidRDefault="00713454" w:rsidP="00713454">
      <w:pPr>
        <w:tabs>
          <w:tab w:val="left" w:pos="426"/>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i/>
          <w:sz w:val="20"/>
          <w:szCs w:val="20"/>
          <w:lang w:eastAsia="pl-PL"/>
        </w:rPr>
        <w:t>d</w:t>
      </w:r>
      <w:r w:rsidRPr="004853EB">
        <w:rPr>
          <w:rFonts w:eastAsia="Times New Roman" w:cstheme="minorHAnsi"/>
          <w:i/>
          <w:sz w:val="20"/>
          <w:szCs w:val="20"/>
          <w:vertAlign w:val="subscript"/>
          <w:lang w:eastAsia="pl-PL"/>
        </w:rPr>
        <w:t>60</w:t>
      </w:r>
      <w:r w:rsidRPr="004853EB">
        <w:rPr>
          <w:rFonts w:eastAsia="Times New Roman" w:cstheme="minorHAnsi"/>
          <w:sz w:val="20"/>
          <w:szCs w:val="20"/>
          <w:lang w:eastAsia="pl-PL"/>
        </w:rPr>
        <w:tab/>
        <w:t>-</w:t>
      </w:r>
      <w:r w:rsidRPr="004853EB">
        <w:rPr>
          <w:rFonts w:eastAsia="Times New Roman" w:cstheme="minorHAnsi"/>
          <w:sz w:val="20"/>
          <w:szCs w:val="20"/>
          <w:lang w:eastAsia="pl-PL"/>
        </w:rPr>
        <w:tab/>
        <w:t>średnica oczek sita, przez które przechodzi 60% gruntu, (mm),</w:t>
      </w:r>
    </w:p>
    <w:p w14:paraId="3558FC16" w14:textId="77777777" w:rsidR="00713454" w:rsidRPr="004853EB" w:rsidRDefault="00713454" w:rsidP="00713454">
      <w:pPr>
        <w:tabs>
          <w:tab w:val="left" w:pos="426"/>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i/>
          <w:sz w:val="20"/>
          <w:szCs w:val="20"/>
          <w:lang w:eastAsia="pl-PL"/>
        </w:rPr>
        <w:t>d</w:t>
      </w:r>
      <w:r w:rsidRPr="004853EB">
        <w:rPr>
          <w:rFonts w:eastAsia="Times New Roman" w:cstheme="minorHAnsi"/>
          <w:i/>
          <w:sz w:val="20"/>
          <w:szCs w:val="20"/>
          <w:vertAlign w:val="subscript"/>
          <w:lang w:eastAsia="pl-PL"/>
        </w:rPr>
        <w:t>10</w:t>
      </w:r>
      <w:r w:rsidRPr="004853EB">
        <w:rPr>
          <w:rFonts w:eastAsia="Times New Roman" w:cstheme="minorHAnsi"/>
          <w:sz w:val="20"/>
          <w:szCs w:val="20"/>
          <w:lang w:eastAsia="pl-PL"/>
        </w:rPr>
        <w:tab/>
        <w:t>-</w:t>
      </w:r>
      <w:r w:rsidRPr="004853EB">
        <w:rPr>
          <w:rFonts w:eastAsia="Times New Roman" w:cstheme="minorHAnsi"/>
          <w:sz w:val="20"/>
          <w:szCs w:val="20"/>
          <w:lang w:eastAsia="pl-PL"/>
        </w:rPr>
        <w:tab/>
        <w:t>średnica oczek sita, przez które przechodzi 10% gruntu, (mm).</w:t>
      </w:r>
    </w:p>
    <w:p w14:paraId="31CBB222" w14:textId="77777777" w:rsidR="00713454" w:rsidRPr="004853EB" w:rsidRDefault="00713454" w:rsidP="0071345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lastRenderedPageBreak/>
        <w:t>1.4.14.</w:t>
      </w:r>
      <w:r w:rsidRPr="004853EB">
        <w:rPr>
          <w:rFonts w:eastAsia="Times New Roman" w:cstheme="minorHAnsi"/>
          <w:sz w:val="20"/>
          <w:szCs w:val="20"/>
          <w:lang w:eastAsia="pl-PL"/>
        </w:rPr>
        <w:t xml:space="preserve"> Wskaźnik odkształcenia gruntu - wielkość charakteryzująca stan zagęszczenia gruntu, określona wg wzoru: </w:t>
      </w:r>
    </w:p>
    <w:p w14:paraId="6E7D8988" w14:textId="77777777" w:rsidR="00713454" w:rsidRPr="004853EB" w:rsidRDefault="00000000" w:rsidP="00713454">
      <w:pPr>
        <w:tabs>
          <w:tab w:val="left" w:pos="426"/>
          <w:tab w:val="left" w:pos="709"/>
        </w:tabs>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Pr>
          <w:rFonts w:eastAsia="Times New Roman" w:cstheme="minorHAnsi"/>
          <w:position w:val="-26"/>
          <w:sz w:val="20"/>
          <w:szCs w:val="20"/>
          <w:lang w:eastAsia="pl-PL"/>
        </w:rPr>
        <w:pict w14:anchorId="7EEFA3B4">
          <v:shape id="_x0000_i1027" type="#_x0000_t75" style="width:36pt;height:30pt">
            <v:imagedata r:id="rId11" o:title=""/>
          </v:shape>
        </w:pict>
      </w:r>
    </w:p>
    <w:p w14:paraId="611215AC" w14:textId="77777777" w:rsidR="00713454" w:rsidRPr="004853EB" w:rsidRDefault="00713454" w:rsidP="00713454">
      <w:pPr>
        <w:tabs>
          <w:tab w:val="left" w:pos="426"/>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gdzie:</w:t>
      </w:r>
    </w:p>
    <w:p w14:paraId="0DD65DA6" w14:textId="77777777" w:rsidR="00713454" w:rsidRPr="004853EB" w:rsidRDefault="00713454" w:rsidP="00713454">
      <w:pPr>
        <w:tabs>
          <w:tab w:val="left" w:pos="426"/>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i/>
          <w:sz w:val="20"/>
          <w:szCs w:val="20"/>
          <w:lang w:eastAsia="pl-PL"/>
        </w:rPr>
        <w:t>E</w:t>
      </w:r>
      <w:r w:rsidRPr="004853EB">
        <w:rPr>
          <w:rFonts w:eastAsia="Times New Roman" w:cstheme="minorHAnsi"/>
          <w:i/>
          <w:sz w:val="20"/>
          <w:szCs w:val="20"/>
          <w:vertAlign w:val="subscript"/>
          <w:lang w:eastAsia="pl-PL"/>
        </w:rPr>
        <w:t>1</w:t>
      </w:r>
      <w:r w:rsidRPr="004853EB">
        <w:rPr>
          <w:rFonts w:eastAsia="Times New Roman" w:cstheme="minorHAnsi"/>
          <w:sz w:val="20"/>
          <w:szCs w:val="20"/>
          <w:lang w:eastAsia="pl-PL"/>
        </w:rPr>
        <w:tab/>
        <w:t>-</w:t>
      </w:r>
      <w:r w:rsidRPr="004853EB">
        <w:rPr>
          <w:rFonts w:eastAsia="Times New Roman" w:cstheme="minorHAnsi"/>
          <w:sz w:val="20"/>
          <w:szCs w:val="20"/>
          <w:lang w:eastAsia="pl-PL"/>
        </w:rPr>
        <w:tab/>
        <w:t>moduł odkształcenia gruntu oznaczony w pierwszym obciążeniu badanej warstwy zgodnie z PN-S-02205:1998 [4],</w:t>
      </w:r>
    </w:p>
    <w:p w14:paraId="73D36DF0" w14:textId="77777777" w:rsidR="00713454" w:rsidRPr="004853EB" w:rsidRDefault="00713454" w:rsidP="00713454">
      <w:pPr>
        <w:tabs>
          <w:tab w:val="left" w:pos="426"/>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i/>
          <w:sz w:val="20"/>
          <w:szCs w:val="20"/>
          <w:lang w:eastAsia="pl-PL"/>
        </w:rPr>
        <w:t>E</w:t>
      </w:r>
      <w:r w:rsidRPr="004853EB">
        <w:rPr>
          <w:rFonts w:eastAsia="Times New Roman" w:cstheme="minorHAnsi"/>
          <w:i/>
          <w:sz w:val="20"/>
          <w:szCs w:val="20"/>
          <w:vertAlign w:val="subscript"/>
          <w:lang w:eastAsia="pl-PL"/>
        </w:rPr>
        <w:t>2</w:t>
      </w:r>
      <w:r w:rsidRPr="004853EB">
        <w:rPr>
          <w:rFonts w:eastAsia="Times New Roman" w:cstheme="minorHAnsi"/>
          <w:sz w:val="20"/>
          <w:szCs w:val="20"/>
          <w:lang w:eastAsia="pl-PL"/>
        </w:rPr>
        <w:tab/>
        <w:t>-</w:t>
      </w:r>
      <w:r w:rsidRPr="004853EB">
        <w:rPr>
          <w:rFonts w:eastAsia="Times New Roman" w:cstheme="minorHAnsi"/>
          <w:sz w:val="20"/>
          <w:szCs w:val="20"/>
          <w:lang w:eastAsia="pl-PL"/>
        </w:rPr>
        <w:tab/>
        <w:t>moduł odkształcenia gruntu oznaczony w powtórnym obciążeniu badanej warstwy zgodnie z PN-S-02205:1998 [4].</w:t>
      </w:r>
    </w:p>
    <w:p w14:paraId="112D78B7" w14:textId="0F669FA7" w:rsidR="00713454" w:rsidRPr="004853EB" w:rsidRDefault="00713454" w:rsidP="0071345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1.4.15. </w:t>
      </w:r>
      <w:r w:rsidRPr="004853EB">
        <w:rPr>
          <w:rFonts w:eastAsia="Times New Roman" w:cstheme="minorHAnsi"/>
          <w:sz w:val="20"/>
          <w:szCs w:val="20"/>
          <w:lang w:eastAsia="pl-PL"/>
        </w:rPr>
        <w:t xml:space="preserve">Pozostałe określenia podstawowe są zgodne z obowiązującymi, odpowiednimi polskimi normami </w:t>
      </w:r>
      <w:r w:rsidR="001E0AEB">
        <w:rPr>
          <w:rFonts w:eastAsia="Times New Roman" w:cstheme="minorHAnsi"/>
          <w:sz w:val="20"/>
          <w:szCs w:val="20"/>
          <w:lang w:eastAsia="pl-PL"/>
        </w:rPr>
        <w:br/>
      </w:r>
      <w:r w:rsidRPr="004853EB">
        <w:rPr>
          <w:rFonts w:eastAsia="Times New Roman" w:cstheme="minorHAnsi"/>
          <w:sz w:val="20"/>
          <w:szCs w:val="20"/>
          <w:lang w:eastAsia="pl-PL"/>
        </w:rPr>
        <w:t>i z definicjami podanymi w SST D-00.00.00 „Wymagania ogólne” pkt 1.4.</w:t>
      </w:r>
    </w:p>
    <w:p w14:paraId="187CC6F2"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675" w:name="_Toc405615035"/>
      <w:bookmarkStart w:id="676" w:name="_Toc407161183"/>
      <w:bookmarkStart w:id="677" w:name="_Toc194476614"/>
      <w:bookmarkStart w:id="678" w:name="_Toc227759956"/>
      <w:bookmarkStart w:id="679" w:name="_Toc227825103"/>
      <w:r w:rsidRPr="004853EB">
        <w:rPr>
          <w:rFonts w:eastAsia="Times New Roman" w:cstheme="minorHAnsi"/>
          <w:b/>
          <w:sz w:val="20"/>
          <w:szCs w:val="20"/>
          <w:lang w:eastAsia="pl-PL"/>
        </w:rPr>
        <w:t>1.5. Ogólne wymagania dotyczące robót</w:t>
      </w:r>
      <w:bookmarkEnd w:id="675"/>
      <w:bookmarkEnd w:id="676"/>
      <w:bookmarkEnd w:id="677"/>
      <w:bookmarkEnd w:id="678"/>
      <w:bookmarkEnd w:id="679"/>
    </w:p>
    <w:p w14:paraId="05E8E9D0" w14:textId="77777777" w:rsidR="00713454" w:rsidRPr="004853EB"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robót podano w SST D-00.00.00 „Wymagania ogólne” pkt 1.5.</w:t>
      </w:r>
    </w:p>
    <w:p w14:paraId="535E975E" w14:textId="77777777" w:rsidR="00713454" w:rsidRPr="004853EB" w:rsidRDefault="00713454" w:rsidP="00713454">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680" w:name="_Toc405615036"/>
      <w:bookmarkStart w:id="681" w:name="_Toc407161184"/>
      <w:bookmarkStart w:id="682" w:name="_Toc418996323"/>
      <w:bookmarkStart w:id="683" w:name="_Toc418996692"/>
      <w:bookmarkStart w:id="684" w:name="_Toc418997079"/>
      <w:bookmarkStart w:id="685" w:name="_Toc418998489"/>
      <w:bookmarkStart w:id="686" w:name="_Toc418998845"/>
      <w:bookmarkStart w:id="687" w:name="_Toc419000090"/>
      <w:bookmarkStart w:id="688" w:name="_Toc194476615"/>
      <w:bookmarkStart w:id="689" w:name="_Toc227759957"/>
      <w:bookmarkStart w:id="690" w:name="_Toc227825104"/>
      <w:r w:rsidRPr="004853EB">
        <w:rPr>
          <w:rFonts w:eastAsia="Times New Roman" w:cstheme="minorHAnsi"/>
          <w:b/>
          <w:caps/>
          <w:kern w:val="28"/>
          <w:sz w:val="20"/>
          <w:szCs w:val="20"/>
          <w:lang w:eastAsia="pl-PL"/>
        </w:rPr>
        <w:t>2. materiały (grunty)</w:t>
      </w:r>
      <w:bookmarkEnd w:id="680"/>
      <w:bookmarkEnd w:id="681"/>
      <w:bookmarkEnd w:id="682"/>
      <w:bookmarkEnd w:id="683"/>
      <w:bookmarkEnd w:id="684"/>
      <w:bookmarkEnd w:id="685"/>
      <w:bookmarkEnd w:id="686"/>
      <w:bookmarkEnd w:id="687"/>
      <w:bookmarkEnd w:id="688"/>
      <w:bookmarkEnd w:id="689"/>
      <w:bookmarkEnd w:id="690"/>
    </w:p>
    <w:p w14:paraId="6EE1E3F0"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691" w:name="_Toc405615037"/>
      <w:bookmarkStart w:id="692" w:name="_Toc407161185"/>
      <w:bookmarkStart w:id="693" w:name="_Toc194476616"/>
      <w:bookmarkStart w:id="694" w:name="_Toc227759958"/>
      <w:bookmarkStart w:id="695" w:name="_Toc227825105"/>
      <w:r w:rsidRPr="004853EB">
        <w:rPr>
          <w:rFonts w:eastAsia="Times New Roman" w:cstheme="minorHAnsi"/>
          <w:b/>
          <w:sz w:val="20"/>
          <w:szCs w:val="20"/>
          <w:lang w:eastAsia="pl-PL"/>
        </w:rPr>
        <w:t>2.1. Ogólne wymagania dotyczące materiałów</w:t>
      </w:r>
      <w:bookmarkEnd w:id="691"/>
      <w:bookmarkEnd w:id="692"/>
      <w:bookmarkEnd w:id="693"/>
      <w:bookmarkEnd w:id="694"/>
      <w:bookmarkEnd w:id="695"/>
    </w:p>
    <w:p w14:paraId="6AF25284"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materiałów, ich pozyskiwania i składowania, podano w SST D-00.00.00 „Wymagania ogólne” pkt 2.</w:t>
      </w:r>
    </w:p>
    <w:p w14:paraId="6D54742F"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696" w:name="_Toc405615038"/>
      <w:bookmarkStart w:id="697" w:name="_Toc407161186"/>
      <w:bookmarkStart w:id="698" w:name="_Toc194476617"/>
      <w:bookmarkStart w:id="699" w:name="_Toc227759959"/>
      <w:bookmarkStart w:id="700" w:name="_Toc227825106"/>
      <w:r w:rsidRPr="004853EB">
        <w:rPr>
          <w:rFonts w:eastAsia="Times New Roman" w:cstheme="minorHAnsi"/>
          <w:b/>
          <w:sz w:val="20"/>
          <w:szCs w:val="20"/>
          <w:lang w:eastAsia="pl-PL"/>
        </w:rPr>
        <w:t>2.2. Podział gruntów</w:t>
      </w:r>
      <w:bookmarkEnd w:id="696"/>
      <w:bookmarkEnd w:id="697"/>
      <w:bookmarkEnd w:id="698"/>
      <w:bookmarkEnd w:id="699"/>
      <w:bookmarkEnd w:id="700"/>
    </w:p>
    <w:p w14:paraId="5BFA0E02"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Podział gruntów pod względem wysadzinowości podaje tablica 1.</w:t>
      </w:r>
    </w:p>
    <w:p w14:paraId="22F841F6"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Podział gruntów pod względem przydatności do budowy nasypów podano w SST D-02.03.01 pkt 2.</w:t>
      </w:r>
    </w:p>
    <w:p w14:paraId="29074F0A"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701" w:name="_Toc405615039"/>
      <w:bookmarkStart w:id="702" w:name="_Toc407161187"/>
      <w:bookmarkStart w:id="703" w:name="_Toc194476618"/>
      <w:bookmarkStart w:id="704" w:name="_Toc227759960"/>
      <w:bookmarkStart w:id="705" w:name="_Toc227825107"/>
      <w:r w:rsidRPr="004853EB">
        <w:rPr>
          <w:rFonts w:eastAsia="Times New Roman" w:cstheme="minorHAnsi"/>
          <w:b/>
          <w:sz w:val="20"/>
          <w:szCs w:val="20"/>
          <w:lang w:eastAsia="pl-PL"/>
        </w:rPr>
        <w:t>2.3. Zasady wykorzystania gruntów</w:t>
      </w:r>
      <w:bookmarkEnd w:id="701"/>
      <w:bookmarkEnd w:id="702"/>
      <w:bookmarkEnd w:id="703"/>
      <w:bookmarkEnd w:id="704"/>
      <w:bookmarkEnd w:id="705"/>
    </w:p>
    <w:p w14:paraId="186FEFDA"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Grunty uzyskane przy wykonywaniu wykopów powinny być przez Wykonawcę wykorzystane w maksymalnym stopniu do budowy nasypów. Grunty przydatne do budowy nasypów mogą być wywiezione poza teren budowy tylko wówczas, gdy stanowią nadmiar objętości robót ziemnych i za zezwoleniem Inżyniera.</w:t>
      </w:r>
    </w:p>
    <w:p w14:paraId="19514109"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Jeżeli grunty przydatne, uzyskane przy wykonaniu wykopów, nie będąc nadmiarem objętości robót ziemnych, zostały za zgodą Inżyniera wywiezione przez Wykonawcę poza teren budowy z przeznaczeniem innym niż budowa nasypów lub wykonanie prac objętych kontraktem, Wykonawca jest zobowiązany do dostarczenia równoważnej objętości gruntów przydatnych ze źródeł własnych, zaakceptowanych przez Inżyniera.</w:t>
      </w:r>
    </w:p>
    <w:p w14:paraId="5D38AAA5" w14:textId="77777777" w:rsidR="00713454" w:rsidRPr="004853EB"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Grunty i materiały nieprzydatne do budowy nasypów, określone w SST D-02.03.01 pkt 2.4, powinny być wywiezione przez Wykonawcę na odkład. Zapewnienie terenów na odkład należy do obowiązków Zamawiającego, o ile nie określono tego inaczej w kontrakcie. Inżynier może nakazać pozostawienie na terenie budowy gruntów, których czasowa nieprzydatność wynika jedynie z powodu zamarznięcia lub nadmiernej wilgotności.</w:t>
      </w:r>
    </w:p>
    <w:p w14:paraId="61F75481" w14:textId="77777777" w:rsidR="00713454" w:rsidRPr="004853EB"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1. Podział gruntów pod względem wysadzinowości wg PN-S-02205:1998 [4]</w:t>
      </w:r>
    </w:p>
    <w:tbl>
      <w:tblPr>
        <w:tblW w:w="0" w:type="auto"/>
        <w:tblLayout w:type="fixed"/>
        <w:tblCellMar>
          <w:left w:w="70" w:type="dxa"/>
          <w:right w:w="70" w:type="dxa"/>
        </w:tblCellMar>
        <w:tblLook w:val="0000" w:firstRow="0" w:lastRow="0" w:firstColumn="0" w:lastColumn="0" w:noHBand="0" w:noVBand="0"/>
      </w:tblPr>
      <w:tblGrid>
        <w:gridCol w:w="496"/>
        <w:gridCol w:w="1417"/>
        <w:gridCol w:w="709"/>
        <w:gridCol w:w="1628"/>
        <w:gridCol w:w="1628"/>
        <w:gridCol w:w="1629"/>
      </w:tblGrid>
      <w:tr w:rsidR="00713454" w:rsidRPr="004853EB" w14:paraId="797DAD9E" w14:textId="77777777" w:rsidTr="00713454">
        <w:tc>
          <w:tcPr>
            <w:tcW w:w="496" w:type="dxa"/>
            <w:tcBorders>
              <w:top w:val="single" w:sz="6" w:space="0" w:color="auto"/>
              <w:left w:val="single" w:sz="6" w:space="0" w:color="auto"/>
            </w:tcBorders>
          </w:tcPr>
          <w:p w14:paraId="6871CD86" w14:textId="77777777" w:rsidR="00713454" w:rsidRPr="004853EB" w:rsidRDefault="00713454" w:rsidP="00713454">
            <w:p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Lp.</w:t>
            </w:r>
          </w:p>
        </w:tc>
        <w:tc>
          <w:tcPr>
            <w:tcW w:w="1417" w:type="dxa"/>
            <w:tcBorders>
              <w:top w:val="single" w:sz="6" w:space="0" w:color="auto"/>
              <w:left w:val="single" w:sz="6" w:space="0" w:color="auto"/>
            </w:tcBorders>
          </w:tcPr>
          <w:p w14:paraId="70E686C3" w14:textId="77777777" w:rsidR="00713454" w:rsidRPr="004853EB" w:rsidRDefault="00713454" w:rsidP="00713454">
            <w:pPr>
              <w:overflowPunct w:val="0"/>
              <w:autoSpaceDE w:val="0"/>
              <w:autoSpaceDN w:val="0"/>
              <w:adjustRightInd w:val="0"/>
              <w:spacing w:before="60" w:after="0" w:line="240" w:lineRule="auto"/>
              <w:jc w:val="center"/>
              <w:textAlignment w:val="baseline"/>
              <w:rPr>
                <w:rFonts w:eastAsia="Times New Roman" w:cstheme="minorHAnsi"/>
                <w:sz w:val="16"/>
                <w:szCs w:val="20"/>
                <w:lang w:eastAsia="pl-PL"/>
              </w:rPr>
            </w:pPr>
            <w:r w:rsidRPr="004853EB">
              <w:rPr>
                <w:rFonts w:eastAsia="Times New Roman" w:cstheme="minorHAnsi"/>
                <w:sz w:val="16"/>
                <w:szCs w:val="20"/>
                <w:lang w:eastAsia="pl-PL"/>
              </w:rPr>
              <w:t>Wyszczególnienie</w:t>
            </w:r>
          </w:p>
        </w:tc>
        <w:tc>
          <w:tcPr>
            <w:tcW w:w="709" w:type="dxa"/>
            <w:tcBorders>
              <w:top w:val="single" w:sz="6" w:space="0" w:color="auto"/>
              <w:left w:val="single" w:sz="6" w:space="0" w:color="auto"/>
            </w:tcBorders>
          </w:tcPr>
          <w:p w14:paraId="56CCD50F" w14:textId="77777777" w:rsidR="00713454" w:rsidRPr="004853EB" w:rsidRDefault="00713454" w:rsidP="00713454">
            <w:p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proofErr w:type="spellStart"/>
            <w:r w:rsidRPr="004853EB">
              <w:rPr>
                <w:rFonts w:eastAsia="Times New Roman" w:cstheme="minorHAnsi"/>
                <w:sz w:val="20"/>
                <w:szCs w:val="20"/>
                <w:lang w:eastAsia="pl-PL"/>
              </w:rPr>
              <w:t>Jed</w:t>
            </w:r>
            <w:proofErr w:type="spellEnd"/>
            <w:r w:rsidRPr="004853EB">
              <w:rPr>
                <w:rFonts w:eastAsia="Times New Roman" w:cstheme="minorHAnsi"/>
                <w:sz w:val="20"/>
                <w:szCs w:val="20"/>
                <w:lang w:eastAsia="pl-PL"/>
              </w:rPr>
              <w:t>-</w:t>
            </w:r>
          </w:p>
        </w:tc>
        <w:tc>
          <w:tcPr>
            <w:tcW w:w="4885" w:type="dxa"/>
            <w:gridSpan w:val="3"/>
            <w:tcBorders>
              <w:top w:val="single" w:sz="6" w:space="0" w:color="auto"/>
              <w:left w:val="single" w:sz="6" w:space="0" w:color="auto"/>
              <w:bottom w:val="single" w:sz="6" w:space="0" w:color="auto"/>
              <w:right w:val="single" w:sz="6" w:space="0" w:color="auto"/>
            </w:tcBorders>
          </w:tcPr>
          <w:p w14:paraId="0B1681C9" w14:textId="77777777" w:rsidR="00713454" w:rsidRPr="004853EB" w:rsidRDefault="00713454" w:rsidP="00713454">
            <w:p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Grupy gruntów</w:t>
            </w:r>
          </w:p>
        </w:tc>
      </w:tr>
      <w:tr w:rsidR="00713454" w:rsidRPr="004853EB" w14:paraId="24C623A8" w14:textId="77777777" w:rsidTr="00713454">
        <w:tc>
          <w:tcPr>
            <w:tcW w:w="496" w:type="dxa"/>
            <w:tcBorders>
              <w:left w:val="single" w:sz="6" w:space="0" w:color="auto"/>
              <w:bottom w:val="double" w:sz="6" w:space="0" w:color="auto"/>
            </w:tcBorders>
          </w:tcPr>
          <w:p w14:paraId="657A900A"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tc>
        <w:tc>
          <w:tcPr>
            <w:tcW w:w="1417" w:type="dxa"/>
            <w:tcBorders>
              <w:left w:val="single" w:sz="6" w:space="0" w:color="auto"/>
              <w:bottom w:val="double" w:sz="6" w:space="0" w:color="auto"/>
            </w:tcBorders>
          </w:tcPr>
          <w:p w14:paraId="29F4C366" w14:textId="77777777" w:rsidR="00713454" w:rsidRPr="004853EB" w:rsidRDefault="00713454" w:rsidP="00713454">
            <w:pPr>
              <w:overflowPunct w:val="0"/>
              <w:autoSpaceDE w:val="0"/>
              <w:autoSpaceDN w:val="0"/>
              <w:adjustRightInd w:val="0"/>
              <w:spacing w:after="60" w:line="240" w:lineRule="auto"/>
              <w:jc w:val="center"/>
              <w:textAlignment w:val="baseline"/>
              <w:rPr>
                <w:rFonts w:eastAsia="Times New Roman" w:cstheme="minorHAnsi"/>
                <w:sz w:val="20"/>
                <w:szCs w:val="20"/>
                <w:lang w:eastAsia="pl-PL"/>
              </w:rPr>
            </w:pPr>
            <w:r w:rsidRPr="004853EB">
              <w:rPr>
                <w:rFonts w:eastAsia="Times New Roman" w:cstheme="minorHAnsi"/>
                <w:sz w:val="16"/>
                <w:szCs w:val="20"/>
                <w:lang w:eastAsia="pl-PL"/>
              </w:rPr>
              <w:t>właściwości</w:t>
            </w:r>
          </w:p>
        </w:tc>
        <w:tc>
          <w:tcPr>
            <w:tcW w:w="709" w:type="dxa"/>
            <w:tcBorders>
              <w:left w:val="single" w:sz="6" w:space="0" w:color="auto"/>
              <w:bottom w:val="double" w:sz="6" w:space="0" w:color="auto"/>
            </w:tcBorders>
          </w:tcPr>
          <w:p w14:paraId="2DF8EBE2" w14:textId="77777777" w:rsidR="00713454" w:rsidRPr="004853EB" w:rsidRDefault="00713454" w:rsidP="00713454">
            <w:pPr>
              <w:overflowPunct w:val="0"/>
              <w:autoSpaceDE w:val="0"/>
              <w:autoSpaceDN w:val="0"/>
              <w:adjustRightInd w:val="0"/>
              <w:spacing w:after="60" w:line="240" w:lineRule="auto"/>
              <w:jc w:val="center"/>
              <w:textAlignment w:val="baseline"/>
              <w:rPr>
                <w:rFonts w:eastAsia="Times New Roman" w:cstheme="minorHAnsi"/>
                <w:sz w:val="20"/>
                <w:szCs w:val="20"/>
                <w:lang w:eastAsia="pl-PL"/>
              </w:rPr>
            </w:pPr>
            <w:proofErr w:type="spellStart"/>
            <w:r w:rsidRPr="004853EB">
              <w:rPr>
                <w:rFonts w:eastAsia="Times New Roman" w:cstheme="minorHAnsi"/>
                <w:sz w:val="20"/>
                <w:szCs w:val="20"/>
                <w:lang w:eastAsia="pl-PL"/>
              </w:rPr>
              <w:t>nostki</w:t>
            </w:r>
            <w:proofErr w:type="spellEnd"/>
          </w:p>
        </w:tc>
        <w:tc>
          <w:tcPr>
            <w:tcW w:w="1628" w:type="dxa"/>
            <w:tcBorders>
              <w:top w:val="single" w:sz="6" w:space="0" w:color="auto"/>
              <w:left w:val="single" w:sz="6" w:space="0" w:color="auto"/>
              <w:bottom w:val="double" w:sz="6" w:space="0" w:color="auto"/>
              <w:right w:val="single" w:sz="6" w:space="0" w:color="auto"/>
            </w:tcBorders>
          </w:tcPr>
          <w:p w14:paraId="417E100C" w14:textId="77777777" w:rsidR="00713454" w:rsidRPr="004853EB" w:rsidRDefault="00713454" w:rsidP="00713454">
            <w:pPr>
              <w:overflowPunct w:val="0"/>
              <w:autoSpaceDE w:val="0"/>
              <w:autoSpaceDN w:val="0"/>
              <w:adjustRightInd w:val="0"/>
              <w:spacing w:after="60" w:line="240" w:lineRule="auto"/>
              <w:jc w:val="center"/>
              <w:textAlignment w:val="baseline"/>
              <w:rPr>
                <w:rFonts w:eastAsia="Times New Roman" w:cstheme="minorHAnsi"/>
                <w:sz w:val="20"/>
                <w:szCs w:val="20"/>
                <w:lang w:eastAsia="pl-PL"/>
              </w:rPr>
            </w:pPr>
            <w:proofErr w:type="spellStart"/>
            <w:r w:rsidRPr="004853EB">
              <w:rPr>
                <w:rFonts w:eastAsia="Times New Roman" w:cstheme="minorHAnsi"/>
                <w:sz w:val="20"/>
                <w:szCs w:val="20"/>
                <w:lang w:eastAsia="pl-PL"/>
              </w:rPr>
              <w:t>niewysadzinowe</w:t>
            </w:r>
            <w:proofErr w:type="spellEnd"/>
          </w:p>
        </w:tc>
        <w:tc>
          <w:tcPr>
            <w:tcW w:w="1628" w:type="dxa"/>
            <w:tcBorders>
              <w:top w:val="single" w:sz="6" w:space="0" w:color="auto"/>
              <w:left w:val="single" w:sz="6" w:space="0" w:color="auto"/>
              <w:bottom w:val="double" w:sz="6" w:space="0" w:color="auto"/>
              <w:right w:val="single" w:sz="6" w:space="0" w:color="auto"/>
            </w:tcBorders>
          </w:tcPr>
          <w:p w14:paraId="1C3A7920" w14:textId="77777777" w:rsidR="00713454" w:rsidRPr="004853EB" w:rsidRDefault="00713454" w:rsidP="00713454">
            <w:pPr>
              <w:overflowPunct w:val="0"/>
              <w:autoSpaceDE w:val="0"/>
              <w:autoSpaceDN w:val="0"/>
              <w:adjustRightInd w:val="0"/>
              <w:spacing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wątpliwe</w:t>
            </w:r>
          </w:p>
        </w:tc>
        <w:tc>
          <w:tcPr>
            <w:tcW w:w="1629" w:type="dxa"/>
            <w:tcBorders>
              <w:top w:val="single" w:sz="6" w:space="0" w:color="auto"/>
              <w:left w:val="single" w:sz="6" w:space="0" w:color="auto"/>
              <w:bottom w:val="double" w:sz="6" w:space="0" w:color="auto"/>
              <w:right w:val="single" w:sz="6" w:space="0" w:color="auto"/>
            </w:tcBorders>
          </w:tcPr>
          <w:p w14:paraId="0A456F29" w14:textId="77777777" w:rsidR="00713454" w:rsidRPr="004853EB" w:rsidRDefault="00713454" w:rsidP="00713454">
            <w:pPr>
              <w:overflowPunct w:val="0"/>
              <w:autoSpaceDE w:val="0"/>
              <w:autoSpaceDN w:val="0"/>
              <w:adjustRightInd w:val="0"/>
              <w:spacing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wysadzinowe</w:t>
            </w:r>
          </w:p>
        </w:tc>
      </w:tr>
      <w:tr w:rsidR="00713454" w:rsidRPr="004853EB" w14:paraId="484B3454" w14:textId="77777777" w:rsidTr="00713454">
        <w:tc>
          <w:tcPr>
            <w:tcW w:w="496" w:type="dxa"/>
            <w:tcBorders>
              <w:left w:val="single" w:sz="6" w:space="0" w:color="auto"/>
              <w:bottom w:val="single" w:sz="6" w:space="0" w:color="auto"/>
              <w:right w:val="single" w:sz="6" w:space="0" w:color="auto"/>
            </w:tcBorders>
          </w:tcPr>
          <w:p w14:paraId="60529A81"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1417" w:type="dxa"/>
            <w:tcBorders>
              <w:left w:val="single" w:sz="6" w:space="0" w:color="auto"/>
              <w:bottom w:val="single" w:sz="6" w:space="0" w:color="auto"/>
              <w:right w:val="single" w:sz="6" w:space="0" w:color="auto"/>
            </w:tcBorders>
          </w:tcPr>
          <w:p w14:paraId="5BFE22B9"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Rodzaj gruntu</w:t>
            </w:r>
          </w:p>
        </w:tc>
        <w:tc>
          <w:tcPr>
            <w:tcW w:w="709" w:type="dxa"/>
            <w:tcBorders>
              <w:left w:val="single" w:sz="6" w:space="0" w:color="auto"/>
              <w:bottom w:val="single" w:sz="6" w:space="0" w:color="auto"/>
              <w:right w:val="single" w:sz="6" w:space="0" w:color="auto"/>
            </w:tcBorders>
          </w:tcPr>
          <w:p w14:paraId="3F870792"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tc>
        <w:tc>
          <w:tcPr>
            <w:tcW w:w="1628" w:type="dxa"/>
            <w:tcBorders>
              <w:left w:val="single" w:sz="6" w:space="0" w:color="auto"/>
              <w:bottom w:val="single" w:sz="6" w:space="0" w:color="auto"/>
              <w:right w:val="single" w:sz="6" w:space="0" w:color="auto"/>
            </w:tcBorders>
          </w:tcPr>
          <w:p w14:paraId="3A3A4940"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rumosz niegliniasty</w:t>
            </w:r>
          </w:p>
          <w:p w14:paraId="6918F497"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żwir</w:t>
            </w:r>
          </w:p>
          <w:p w14:paraId="7D6C249C"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pospółka</w:t>
            </w:r>
          </w:p>
          <w:p w14:paraId="38C57A1F"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piasek gruby</w:t>
            </w:r>
          </w:p>
          <w:p w14:paraId="0AEABE13"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piasek średni</w:t>
            </w:r>
          </w:p>
          <w:p w14:paraId="6A8A84F7"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piasek drobny</w:t>
            </w:r>
          </w:p>
          <w:p w14:paraId="5F1BDC0F"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żużel </w:t>
            </w:r>
            <w:proofErr w:type="spellStart"/>
            <w:r w:rsidRPr="004853EB">
              <w:rPr>
                <w:rFonts w:eastAsia="Times New Roman" w:cstheme="minorHAnsi"/>
                <w:sz w:val="20"/>
                <w:szCs w:val="20"/>
                <w:lang w:eastAsia="pl-PL"/>
              </w:rPr>
              <w:t>nierozpadowy</w:t>
            </w:r>
            <w:proofErr w:type="spellEnd"/>
          </w:p>
        </w:tc>
        <w:tc>
          <w:tcPr>
            <w:tcW w:w="1628" w:type="dxa"/>
            <w:tcBorders>
              <w:left w:val="single" w:sz="6" w:space="0" w:color="auto"/>
              <w:bottom w:val="single" w:sz="6" w:space="0" w:color="auto"/>
              <w:right w:val="single" w:sz="6" w:space="0" w:color="auto"/>
            </w:tcBorders>
          </w:tcPr>
          <w:p w14:paraId="4AD60D9B"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piasek pylasty</w:t>
            </w:r>
          </w:p>
          <w:p w14:paraId="10D4CB34"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zwietrzelina gliniasta</w:t>
            </w:r>
          </w:p>
          <w:p w14:paraId="4E843FD7"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rumosz gliniasty</w:t>
            </w:r>
          </w:p>
          <w:p w14:paraId="4291EC8D"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żwir gliniasty</w:t>
            </w:r>
          </w:p>
          <w:p w14:paraId="732CC811"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pospółka gliniasta</w:t>
            </w:r>
          </w:p>
        </w:tc>
        <w:tc>
          <w:tcPr>
            <w:tcW w:w="1629" w:type="dxa"/>
            <w:tcBorders>
              <w:left w:val="single" w:sz="6" w:space="0" w:color="auto"/>
              <w:bottom w:val="single" w:sz="6" w:space="0" w:color="auto"/>
              <w:right w:val="single" w:sz="6" w:space="0" w:color="auto"/>
            </w:tcBorders>
          </w:tcPr>
          <w:p w14:paraId="18043521" w14:textId="77777777" w:rsidR="00713454" w:rsidRPr="004853EB"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18"/>
                <w:szCs w:val="20"/>
                <w:lang w:eastAsia="pl-PL"/>
              </w:rPr>
            </w:pPr>
            <w:r w:rsidRPr="004853EB">
              <w:rPr>
                <w:rFonts w:eastAsia="Times New Roman" w:cstheme="minorHAnsi"/>
                <w:b/>
                <w:sz w:val="18"/>
                <w:szCs w:val="20"/>
                <w:lang w:eastAsia="pl-PL"/>
              </w:rPr>
              <w:t>mało wysadzinowe</w:t>
            </w:r>
          </w:p>
          <w:p w14:paraId="7476FDB0"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18"/>
                <w:szCs w:val="20"/>
                <w:lang w:eastAsia="pl-PL"/>
              </w:rPr>
            </w:pPr>
            <w:r w:rsidRPr="004853EB">
              <w:rPr>
                <w:rFonts w:eastAsia="Times New Roman" w:cstheme="minorHAnsi"/>
                <w:sz w:val="18"/>
                <w:szCs w:val="20"/>
                <w:lang w:eastAsia="pl-PL"/>
              </w:rPr>
              <w:t xml:space="preserve">glina </w:t>
            </w:r>
            <w:proofErr w:type="spellStart"/>
            <w:r w:rsidRPr="004853EB">
              <w:rPr>
                <w:rFonts w:eastAsia="Times New Roman" w:cstheme="minorHAnsi"/>
                <w:sz w:val="18"/>
                <w:szCs w:val="20"/>
                <w:lang w:eastAsia="pl-PL"/>
              </w:rPr>
              <w:t>piasz</w:t>
            </w:r>
            <w:proofErr w:type="spellEnd"/>
            <w:r w:rsidRPr="004853EB">
              <w:rPr>
                <w:rFonts w:eastAsia="Times New Roman" w:cstheme="minorHAnsi"/>
                <w:sz w:val="18"/>
                <w:szCs w:val="20"/>
                <w:lang w:eastAsia="pl-PL"/>
              </w:rPr>
              <w:t>-    czysta zwięzła, glina zwięzła, glina pylasta zwięzła</w:t>
            </w:r>
          </w:p>
          <w:p w14:paraId="13EF4CD0"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18"/>
                <w:szCs w:val="20"/>
                <w:lang w:eastAsia="pl-PL"/>
              </w:rPr>
            </w:pPr>
            <w:r w:rsidRPr="004853EB">
              <w:rPr>
                <w:rFonts w:eastAsia="Times New Roman" w:cstheme="minorHAnsi"/>
                <w:sz w:val="18"/>
                <w:szCs w:val="20"/>
                <w:lang w:eastAsia="pl-PL"/>
              </w:rPr>
              <w:t xml:space="preserve">ił, ił </w:t>
            </w:r>
            <w:proofErr w:type="spellStart"/>
            <w:r w:rsidRPr="004853EB">
              <w:rPr>
                <w:rFonts w:eastAsia="Times New Roman" w:cstheme="minorHAnsi"/>
                <w:sz w:val="18"/>
                <w:szCs w:val="20"/>
                <w:lang w:eastAsia="pl-PL"/>
              </w:rPr>
              <w:t>piaszczys</w:t>
            </w:r>
            <w:proofErr w:type="spellEnd"/>
            <w:r w:rsidRPr="004853EB">
              <w:rPr>
                <w:rFonts w:eastAsia="Times New Roman" w:cstheme="minorHAnsi"/>
                <w:sz w:val="18"/>
                <w:szCs w:val="20"/>
                <w:lang w:eastAsia="pl-PL"/>
              </w:rPr>
              <w:t>-ty, ił pylasty</w:t>
            </w:r>
          </w:p>
          <w:p w14:paraId="5E629569" w14:textId="77777777" w:rsidR="00713454" w:rsidRPr="004853EB" w:rsidRDefault="00713454" w:rsidP="00713454">
            <w:pPr>
              <w:numPr>
                <w:ilvl w:val="12"/>
                <w:numId w:val="0"/>
              </w:numPr>
              <w:overflowPunct w:val="0"/>
              <w:autoSpaceDE w:val="0"/>
              <w:autoSpaceDN w:val="0"/>
              <w:adjustRightInd w:val="0"/>
              <w:spacing w:after="0" w:line="240" w:lineRule="auto"/>
              <w:textAlignment w:val="baseline"/>
              <w:rPr>
                <w:rFonts w:eastAsia="Times New Roman" w:cstheme="minorHAnsi"/>
                <w:b/>
                <w:sz w:val="18"/>
                <w:szCs w:val="20"/>
                <w:lang w:eastAsia="pl-PL"/>
              </w:rPr>
            </w:pPr>
            <w:r w:rsidRPr="004853EB">
              <w:rPr>
                <w:rFonts w:eastAsia="Times New Roman" w:cstheme="minorHAnsi"/>
                <w:b/>
                <w:sz w:val="16"/>
                <w:szCs w:val="20"/>
                <w:lang w:eastAsia="pl-PL"/>
              </w:rPr>
              <w:t>bardzo wysadzinowe</w:t>
            </w:r>
          </w:p>
          <w:p w14:paraId="070AD2C9"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18"/>
                <w:szCs w:val="20"/>
                <w:lang w:eastAsia="pl-PL"/>
              </w:rPr>
            </w:pPr>
            <w:r w:rsidRPr="004853EB">
              <w:rPr>
                <w:rFonts w:eastAsia="Times New Roman" w:cstheme="minorHAnsi"/>
                <w:sz w:val="18"/>
                <w:szCs w:val="20"/>
                <w:lang w:eastAsia="pl-PL"/>
              </w:rPr>
              <w:t>piasek gliniasty</w:t>
            </w:r>
          </w:p>
          <w:p w14:paraId="4545233D"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18"/>
                <w:szCs w:val="20"/>
                <w:lang w:eastAsia="pl-PL"/>
              </w:rPr>
            </w:pPr>
            <w:r w:rsidRPr="004853EB">
              <w:rPr>
                <w:rFonts w:eastAsia="Times New Roman" w:cstheme="minorHAnsi"/>
                <w:sz w:val="18"/>
                <w:szCs w:val="20"/>
                <w:lang w:eastAsia="pl-PL"/>
              </w:rPr>
              <w:t xml:space="preserve">pył, pył </w:t>
            </w:r>
            <w:proofErr w:type="spellStart"/>
            <w:r w:rsidRPr="004853EB">
              <w:rPr>
                <w:rFonts w:eastAsia="Times New Roman" w:cstheme="minorHAnsi"/>
                <w:sz w:val="18"/>
                <w:szCs w:val="20"/>
                <w:lang w:eastAsia="pl-PL"/>
              </w:rPr>
              <w:t>piasz</w:t>
            </w:r>
            <w:proofErr w:type="spellEnd"/>
            <w:r w:rsidRPr="004853EB">
              <w:rPr>
                <w:rFonts w:eastAsia="Times New Roman" w:cstheme="minorHAnsi"/>
                <w:sz w:val="18"/>
                <w:szCs w:val="20"/>
                <w:lang w:eastAsia="pl-PL"/>
              </w:rPr>
              <w:t>-czysty</w:t>
            </w:r>
          </w:p>
          <w:p w14:paraId="0865BA2C" w14:textId="1D4BC65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18"/>
                <w:szCs w:val="20"/>
                <w:lang w:eastAsia="pl-PL"/>
              </w:rPr>
            </w:pPr>
            <w:r w:rsidRPr="004853EB">
              <w:rPr>
                <w:rFonts w:eastAsia="Times New Roman" w:cstheme="minorHAnsi"/>
                <w:sz w:val="18"/>
                <w:szCs w:val="20"/>
                <w:lang w:eastAsia="pl-PL"/>
              </w:rPr>
              <w:t xml:space="preserve">glina </w:t>
            </w:r>
            <w:proofErr w:type="spellStart"/>
            <w:r w:rsidRPr="004853EB">
              <w:rPr>
                <w:rFonts w:eastAsia="Times New Roman" w:cstheme="minorHAnsi"/>
                <w:sz w:val="18"/>
                <w:szCs w:val="20"/>
                <w:lang w:eastAsia="pl-PL"/>
              </w:rPr>
              <w:t>piasz</w:t>
            </w:r>
            <w:proofErr w:type="spellEnd"/>
            <w:r w:rsidR="001E0AEB">
              <w:rPr>
                <w:rFonts w:eastAsia="Times New Roman" w:cstheme="minorHAnsi"/>
                <w:sz w:val="18"/>
                <w:szCs w:val="20"/>
                <w:lang w:eastAsia="pl-PL"/>
              </w:rPr>
              <w:t>-</w:t>
            </w:r>
            <w:r w:rsidRPr="004853EB">
              <w:rPr>
                <w:rFonts w:eastAsia="Times New Roman" w:cstheme="minorHAnsi"/>
                <w:sz w:val="18"/>
                <w:szCs w:val="20"/>
                <w:lang w:eastAsia="pl-PL"/>
              </w:rPr>
              <w:t xml:space="preserve"> czysta, glina, glina pylasta</w:t>
            </w:r>
          </w:p>
          <w:p w14:paraId="41A3E9C0"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18"/>
                <w:szCs w:val="20"/>
                <w:lang w:eastAsia="pl-PL"/>
              </w:rPr>
            </w:pPr>
            <w:r w:rsidRPr="004853EB">
              <w:rPr>
                <w:rFonts w:eastAsia="Times New Roman" w:cstheme="minorHAnsi"/>
                <w:sz w:val="18"/>
                <w:szCs w:val="20"/>
                <w:lang w:eastAsia="pl-PL"/>
              </w:rPr>
              <w:lastRenderedPageBreak/>
              <w:t>ił warwowy</w:t>
            </w:r>
          </w:p>
        </w:tc>
      </w:tr>
      <w:tr w:rsidR="00713454" w:rsidRPr="004853EB" w14:paraId="3842D936" w14:textId="77777777" w:rsidTr="00713454">
        <w:tc>
          <w:tcPr>
            <w:tcW w:w="496" w:type="dxa"/>
            <w:tcBorders>
              <w:top w:val="single" w:sz="6" w:space="0" w:color="auto"/>
              <w:left w:val="single" w:sz="6" w:space="0" w:color="auto"/>
              <w:bottom w:val="single" w:sz="6" w:space="0" w:color="auto"/>
              <w:right w:val="single" w:sz="6" w:space="0" w:color="auto"/>
            </w:tcBorders>
          </w:tcPr>
          <w:p w14:paraId="08236298"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2</w:t>
            </w:r>
          </w:p>
        </w:tc>
        <w:tc>
          <w:tcPr>
            <w:tcW w:w="1417" w:type="dxa"/>
            <w:tcBorders>
              <w:top w:val="single" w:sz="6" w:space="0" w:color="auto"/>
              <w:left w:val="single" w:sz="6" w:space="0" w:color="auto"/>
              <w:bottom w:val="single" w:sz="6" w:space="0" w:color="auto"/>
              <w:right w:val="single" w:sz="6" w:space="0" w:color="auto"/>
            </w:tcBorders>
          </w:tcPr>
          <w:p w14:paraId="508A2028" w14:textId="77777777" w:rsidR="00713454" w:rsidRPr="004853EB"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Zawartość cząstek</w:t>
            </w:r>
          </w:p>
          <w:p w14:paraId="5E008E8C" w14:textId="77777777" w:rsidR="00713454" w:rsidRPr="004853EB"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sym w:font="Symbol" w:char="F0A3"/>
            </w:r>
            <w:r w:rsidRPr="004853EB">
              <w:rPr>
                <w:rFonts w:eastAsia="Times New Roman" w:cstheme="minorHAnsi"/>
                <w:sz w:val="20"/>
                <w:szCs w:val="20"/>
                <w:lang w:eastAsia="pl-PL"/>
              </w:rPr>
              <w:t xml:space="preserve"> 0,075 mm</w:t>
            </w:r>
          </w:p>
          <w:p w14:paraId="56697FE7" w14:textId="77777777" w:rsidR="00713454" w:rsidRPr="004853EB"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sym w:font="Symbol" w:char="F0A3"/>
            </w:r>
            <w:r w:rsidRPr="004853EB">
              <w:rPr>
                <w:rFonts w:eastAsia="Times New Roman" w:cstheme="minorHAnsi"/>
                <w:sz w:val="20"/>
                <w:szCs w:val="20"/>
                <w:lang w:eastAsia="pl-PL"/>
              </w:rPr>
              <w:t xml:space="preserve"> 0,02   mm</w:t>
            </w:r>
          </w:p>
        </w:tc>
        <w:tc>
          <w:tcPr>
            <w:tcW w:w="709" w:type="dxa"/>
            <w:tcBorders>
              <w:top w:val="single" w:sz="6" w:space="0" w:color="auto"/>
              <w:left w:val="single" w:sz="6" w:space="0" w:color="auto"/>
              <w:bottom w:val="single" w:sz="6" w:space="0" w:color="auto"/>
              <w:right w:val="single" w:sz="6" w:space="0" w:color="auto"/>
            </w:tcBorders>
          </w:tcPr>
          <w:p w14:paraId="285CA21A"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04C3897A"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t>
            </w:r>
          </w:p>
        </w:tc>
        <w:tc>
          <w:tcPr>
            <w:tcW w:w="1628" w:type="dxa"/>
            <w:tcBorders>
              <w:top w:val="single" w:sz="6" w:space="0" w:color="auto"/>
              <w:left w:val="single" w:sz="6" w:space="0" w:color="auto"/>
              <w:bottom w:val="single" w:sz="6" w:space="0" w:color="auto"/>
              <w:right w:val="single" w:sz="6" w:space="0" w:color="auto"/>
            </w:tcBorders>
          </w:tcPr>
          <w:p w14:paraId="5C7DD27A"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62008542"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4905273E"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sym w:font="Symbol" w:char="F03C"/>
            </w:r>
            <w:r w:rsidRPr="004853EB">
              <w:rPr>
                <w:rFonts w:eastAsia="Times New Roman" w:cstheme="minorHAnsi"/>
                <w:sz w:val="20"/>
                <w:szCs w:val="20"/>
                <w:lang w:eastAsia="pl-PL"/>
              </w:rPr>
              <w:t xml:space="preserve"> 15</w:t>
            </w:r>
          </w:p>
          <w:p w14:paraId="65BF4F6F"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sym w:font="Symbol" w:char="F03C"/>
            </w:r>
            <w:r w:rsidRPr="004853EB">
              <w:rPr>
                <w:rFonts w:eastAsia="Times New Roman" w:cstheme="minorHAnsi"/>
                <w:sz w:val="20"/>
                <w:szCs w:val="20"/>
                <w:lang w:eastAsia="pl-PL"/>
              </w:rPr>
              <w:t xml:space="preserve"> 3</w:t>
            </w:r>
          </w:p>
        </w:tc>
        <w:tc>
          <w:tcPr>
            <w:tcW w:w="1628" w:type="dxa"/>
            <w:tcBorders>
              <w:top w:val="single" w:sz="6" w:space="0" w:color="auto"/>
              <w:left w:val="single" w:sz="6" w:space="0" w:color="auto"/>
              <w:bottom w:val="single" w:sz="6" w:space="0" w:color="auto"/>
              <w:right w:val="single" w:sz="6" w:space="0" w:color="auto"/>
            </w:tcBorders>
          </w:tcPr>
          <w:p w14:paraId="77575453"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6C4AEFC8"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11DDC0C6"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od 15 do 30</w:t>
            </w:r>
          </w:p>
          <w:p w14:paraId="03391BD0"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od 3 do 10</w:t>
            </w:r>
          </w:p>
        </w:tc>
        <w:tc>
          <w:tcPr>
            <w:tcW w:w="1629" w:type="dxa"/>
            <w:tcBorders>
              <w:top w:val="single" w:sz="6" w:space="0" w:color="auto"/>
              <w:left w:val="single" w:sz="6" w:space="0" w:color="auto"/>
              <w:bottom w:val="single" w:sz="6" w:space="0" w:color="auto"/>
              <w:right w:val="single" w:sz="6" w:space="0" w:color="auto"/>
            </w:tcBorders>
          </w:tcPr>
          <w:p w14:paraId="40ECB0A9"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534222C8"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2B3D25E7"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sym w:font="Symbol" w:char="F03E"/>
            </w:r>
            <w:r w:rsidRPr="004853EB">
              <w:rPr>
                <w:rFonts w:eastAsia="Times New Roman" w:cstheme="minorHAnsi"/>
                <w:sz w:val="20"/>
                <w:szCs w:val="20"/>
                <w:lang w:eastAsia="pl-PL"/>
              </w:rPr>
              <w:t xml:space="preserve"> 30</w:t>
            </w:r>
          </w:p>
          <w:p w14:paraId="63E3E130"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sym w:font="Symbol" w:char="F03E"/>
            </w:r>
            <w:r w:rsidRPr="004853EB">
              <w:rPr>
                <w:rFonts w:eastAsia="Times New Roman" w:cstheme="minorHAnsi"/>
                <w:sz w:val="20"/>
                <w:szCs w:val="20"/>
                <w:lang w:eastAsia="pl-PL"/>
              </w:rPr>
              <w:t xml:space="preserve"> 10</w:t>
            </w:r>
          </w:p>
        </w:tc>
      </w:tr>
      <w:tr w:rsidR="00713454" w:rsidRPr="004853EB" w14:paraId="5C35E5ED" w14:textId="77777777" w:rsidTr="00713454">
        <w:tc>
          <w:tcPr>
            <w:tcW w:w="496" w:type="dxa"/>
            <w:tcBorders>
              <w:top w:val="single" w:sz="6" w:space="0" w:color="auto"/>
              <w:left w:val="single" w:sz="6" w:space="0" w:color="auto"/>
              <w:bottom w:val="single" w:sz="6" w:space="0" w:color="auto"/>
              <w:right w:val="single" w:sz="6" w:space="0" w:color="auto"/>
            </w:tcBorders>
          </w:tcPr>
          <w:p w14:paraId="7793C03C"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1417" w:type="dxa"/>
            <w:tcBorders>
              <w:top w:val="single" w:sz="6" w:space="0" w:color="auto"/>
              <w:left w:val="single" w:sz="6" w:space="0" w:color="auto"/>
              <w:bottom w:val="single" w:sz="6" w:space="0" w:color="auto"/>
              <w:right w:val="single" w:sz="6" w:space="0" w:color="auto"/>
            </w:tcBorders>
          </w:tcPr>
          <w:p w14:paraId="7A42B2E8" w14:textId="77777777" w:rsidR="00713454" w:rsidRPr="004853EB"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Kapilarność bierna </w:t>
            </w:r>
            <w:proofErr w:type="spellStart"/>
            <w:r w:rsidRPr="004853EB">
              <w:rPr>
                <w:rFonts w:eastAsia="Times New Roman" w:cstheme="minorHAnsi"/>
                <w:sz w:val="20"/>
                <w:szCs w:val="20"/>
                <w:lang w:eastAsia="pl-PL"/>
              </w:rPr>
              <w:t>H</w:t>
            </w:r>
            <w:r w:rsidRPr="004853EB">
              <w:rPr>
                <w:rFonts w:eastAsia="Times New Roman" w:cstheme="minorHAnsi"/>
                <w:sz w:val="20"/>
                <w:szCs w:val="20"/>
                <w:vertAlign w:val="subscript"/>
                <w:lang w:eastAsia="pl-PL"/>
              </w:rPr>
              <w:t>kb</w:t>
            </w:r>
            <w:proofErr w:type="spellEnd"/>
          </w:p>
        </w:tc>
        <w:tc>
          <w:tcPr>
            <w:tcW w:w="709" w:type="dxa"/>
            <w:tcBorders>
              <w:top w:val="single" w:sz="6" w:space="0" w:color="auto"/>
              <w:left w:val="single" w:sz="6" w:space="0" w:color="auto"/>
              <w:bottom w:val="single" w:sz="6" w:space="0" w:color="auto"/>
              <w:right w:val="single" w:sz="6" w:space="0" w:color="auto"/>
            </w:tcBorders>
          </w:tcPr>
          <w:p w14:paraId="6BD66AE2"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1BCF6301"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w:t>
            </w:r>
          </w:p>
        </w:tc>
        <w:tc>
          <w:tcPr>
            <w:tcW w:w="1628" w:type="dxa"/>
            <w:tcBorders>
              <w:top w:val="single" w:sz="6" w:space="0" w:color="auto"/>
              <w:left w:val="single" w:sz="6" w:space="0" w:color="auto"/>
              <w:bottom w:val="single" w:sz="6" w:space="0" w:color="auto"/>
              <w:right w:val="single" w:sz="6" w:space="0" w:color="auto"/>
            </w:tcBorders>
          </w:tcPr>
          <w:p w14:paraId="7E15DD6C"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27DC840D"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sym w:font="Symbol" w:char="F03C"/>
            </w:r>
            <w:r w:rsidRPr="004853EB">
              <w:rPr>
                <w:rFonts w:eastAsia="Times New Roman" w:cstheme="minorHAnsi"/>
                <w:sz w:val="20"/>
                <w:szCs w:val="20"/>
                <w:lang w:eastAsia="pl-PL"/>
              </w:rPr>
              <w:t xml:space="preserve"> 1,0</w:t>
            </w:r>
          </w:p>
        </w:tc>
        <w:tc>
          <w:tcPr>
            <w:tcW w:w="1628" w:type="dxa"/>
            <w:tcBorders>
              <w:top w:val="single" w:sz="6" w:space="0" w:color="auto"/>
              <w:left w:val="single" w:sz="6" w:space="0" w:color="auto"/>
              <w:bottom w:val="single" w:sz="6" w:space="0" w:color="auto"/>
              <w:right w:val="single" w:sz="6" w:space="0" w:color="auto"/>
            </w:tcBorders>
          </w:tcPr>
          <w:p w14:paraId="51C2BE77"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3711A99B"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sym w:font="Symbol" w:char="F0B3"/>
            </w:r>
            <w:r w:rsidRPr="004853EB">
              <w:rPr>
                <w:rFonts w:eastAsia="Times New Roman" w:cstheme="minorHAnsi"/>
                <w:sz w:val="20"/>
                <w:szCs w:val="20"/>
                <w:lang w:eastAsia="pl-PL"/>
              </w:rPr>
              <w:t xml:space="preserve"> 1,0</w:t>
            </w:r>
          </w:p>
        </w:tc>
        <w:tc>
          <w:tcPr>
            <w:tcW w:w="1629" w:type="dxa"/>
            <w:tcBorders>
              <w:top w:val="single" w:sz="6" w:space="0" w:color="auto"/>
              <w:left w:val="single" w:sz="6" w:space="0" w:color="auto"/>
              <w:bottom w:val="single" w:sz="6" w:space="0" w:color="auto"/>
              <w:right w:val="single" w:sz="6" w:space="0" w:color="auto"/>
            </w:tcBorders>
          </w:tcPr>
          <w:p w14:paraId="3BA47900"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2FC2B8BD"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sym w:font="Symbol" w:char="F03E"/>
            </w:r>
            <w:r w:rsidRPr="004853EB">
              <w:rPr>
                <w:rFonts w:eastAsia="Times New Roman" w:cstheme="minorHAnsi"/>
                <w:sz w:val="20"/>
                <w:szCs w:val="20"/>
                <w:lang w:eastAsia="pl-PL"/>
              </w:rPr>
              <w:t xml:space="preserve"> 1,0</w:t>
            </w:r>
          </w:p>
        </w:tc>
      </w:tr>
      <w:tr w:rsidR="00713454" w:rsidRPr="004853EB" w14:paraId="273AC8D5" w14:textId="77777777" w:rsidTr="00713454">
        <w:tc>
          <w:tcPr>
            <w:tcW w:w="496" w:type="dxa"/>
            <w:tcBorders>
              <w:top w:val="single" w:sz="6" w:space="0" w:color="auto"/>
              <w:left w:val="single" w:sz="6" w:space="0" w:color="auto"/>
              <w:bottom w:val="single" w:sz="6" w:space="0" w:color="auto"/>
              <w:right w:val="single" w:sz="6" w:space="0" w:color="auto"/>
            </w:tcBorders>
          </w:tcPr>
          <w:p w14:paraId="1AC2A8F0"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1417" w:type="dxa"/>
            <w:tcBorders>
              <w:top w:val="single" w:sz="6" w:space="0" w:color="auto"/>
              <w:left w:val="single" w:sz="6" w:space="0" w:color="auto"/>
              <w:bottom w:val="single" w:sz="6" w:space="0" w:color="auto"/>
              <w:right w:val="single" w:sz="6" w:space="0" w:color="auto"/>
            </w:tcBorders>
          </w:tcPr>
          <w:p w14:paraId="38D7D1FC" w14:textId="77777777" w:rsidR="00713454" w:rsidRPr="004853EB"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Wskaźnik piaskowy WP</w:t>
            </w:r>
          </w:p>
        </w:tc>
        <w:tc>
          <w:tcPr>
            <w:tcW w:w="709" w:type="dxa"/>
            <w:tcBorders>
              <w:top w:val="single" w:sz="6" w:space="0" w:color="auto"/>
              <w:left w:val="single" w:sz="6" w:space="0" w:color="auto"/>
              <w:bottom w:val="single" w:sz="6" w:space="0" w:color="auto"/>
              <w:right w:val="single" w:sz="6" w:space="0" w:color="auto"/>
            </w:tcBorders>
          </w:tcPr>
          <w:p w14:paraId="4A9F7F5F"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tc>
        <w:tc>
          <w:tcPr>
            <w:tcW w:w="1628" w:type="dxa"/>
            <w:tcBorders>
              <w:top w:val="single" w:sz="6" w:space="0" w:color="auto"/>
              <w:left w:val="single" w:sz="6" w:space="0" w:color="auto"/>
              <w:bottom w:val="single" w:sz="6" w:space="0" w:color="auto"/>
              <w:right w:val="single" w:sz="6" w:space="0" w:color="auto"/>
            </w:tcBorders>
          </w:tcPr>
          <w:p w14:paraId="63E63CA5"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12B17DAE"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sym w:font="Symbol" w:char="F03E"/>
            </w:r>
            <w:r w:rsidRPr="004853EB">
              <w:rPr>
                <w:rFonts w:eastAsia="Times New Roman" w:cstheme="minorHAnsi"/>
                <w:sz w:val="20"/>
                <w:szCs w:val="20"/>
                <w:lang w:eastAsia="pl-PL"/>
              </w:rPr>
              <w:t xml:space="preserve"> 35</w:t>
            </w:r>
          </w:p>
        </w:tc>
        <w:tc>
          <w:tcPr>
            <w:tcW w:w="1628" w:type="dxa"/>
            <w:tcBorders>
              <w:top w:val="single" w:sz="6" w:space="0" w:color="auto"/>
              <w:left w:val="single" w:sz="6" w:space="0" w:color="auto"/>
              <w:bottom w:val="single" w:sz="6" w:space="0" w:color="auto"/>
              <w:right w:val="single" w:sz="6" w:space="0" w:color="auto"/>
            </w:tcBorders>
          </w:tcPr>
          <w:p w14:paraId="3E2F39BA"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34C67348"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od 25 do 35</w:t>
            </w:r>
          </w:p>
        </w:tc>
        <w:tc>
          <w:tcPr>
            <w:tcW w:w="1629" w:type="dxa"/>
            <w:tcBorders>
              <w:top w:val="single" w:sz="6" w:space="0" w:color="auto"/>
              <w:left w:val="single" w:sz="6" w:space="0" w:color="auto"/>
              <w:bottom w:val="single" w:sz="6" w:space="0" w:color="auto"/>
              <w:right w:val="single" w:sz="6" w:space="0" w:color="auto"/>
            </w:tcBorders>
          </w:tcPr>
          <w:p w14:paraId="3C415B69"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325CA536" w14:textId="77777777" w:rsidR="00713454" w:rsidRPr="004853EB"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sym w:font="Symbol" w:char="F03C"/>
            </w:r>
            <w:r w:rsidRPr="004853EB">
              <w:rPr>
                <w:rFonts w:eastAsia="Times New Roman" w:cstheme="minorHAnsi"/>
                <w:sz w:val="20"/>
                <w:szCs w:val="20"/>
                <w:lang w:eastAsia="pl-PL"/>
              </w:rPr>
              <w:t xml:space="preserve"> 25</w:t>
            </w:r>
          </w:p>
        </w:tc>
      </w:tr>
    </w:tbl>
    <w:p w14:paraId="15376068" w14:textId="77777777" w:rsidR="00713454" w:rsidRPr="004853EB"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087A4522" w14:textId="77777777" w:rsidR="00713454" w:rsidRPr="004853EB" w:rsidRDefault="00713454" w:rsidP="00713454">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706" w:name="_Toc418996324"/>
      <w:bookmarkStart w:id="707" w:name="_Toc418996693"/>
      <w:bookmarkStart w:id="708" w:name="_Toc418997080"/>
      <w:bookmarkStart w:id="709" w:name="_Toc418998490"/>
      <w:bookmarkStart w:id="710" w:name="_Toc418998846"/>
      <w:bookmarkStart w:id="711" w:name="_Toc419000091"/>
      <w:bookmarkStart w:id="712" w:name="_Toc194476619"/>
      <w:bookmarkStart w:id="713" w:name="_Toc227759961"/>
      <w:bookmarkStart w:id="714" w:name="_Toc227825108"/>
      <w:bookmarkStart w:id="715" w:name="_Toc405615042"/>
      <w:r w:rsidRPr="004853EB">
        <w:rPr>
          <w:rFonts w:eastAsia="Times New Roman" w:cstheme="minorHAnsi"/>
          <w:b/>
          <w:caps/>
          <w:kern w:val="28"/>
          <w:sz w:val="20"/>
          <w:szCs w:val="20"/>
          <w:lang w:eastAsia="pl-PL"/>
        </w:rPr>
        <w:t>3. sprzęt</w:t>
      </w:r>
      <w:bookmarkEnd w:id="706"/>
      <w:bookmarkEnd w:id="707"/>
      <w:bookmarkEnd w:id="708"/>
      <w:bookmarkEnd w:id="709"/>
      <w:bookmarkEnd w:id="710"/>
      <w:bookmarkEnd w:id="711"/>
      <w:bookmarkEnd w:id="712"/>
      <w:bookmarkEnd w:id="713"/>
      <w:bookmarkEnd w:id="714"/>
    </w:p>
    <w:p w14:paraId="55BAEA8A"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716" w:name="_Toc194476620"/>
      <w:bookmarkStart w:id="717" w:name="_Toc227759962"/>
      <w:bookmarkStart w:id="718" w:name="_Toc227825109"/>
      <w:r w:rsidRPr="004853EB">
        <w:rPr>
          <w:rFonts w:eastAsia="Times New Roman" w:cstheme="minorHAnsi"/>
          <w:b/>
          <w:sz w:val="20"/>
          <w:szCs w:val="20"/>
          <w:lang w:eastAsia="pl-PL"/>
        </w:rPr>
        <w:t>3.1. Ogólne wymagania dotyczące sprzętu</w:t>
      </w:r>
      <w:bookmarkEnd w:id="716"/>
      <w:bookmarkEnd w:id="717"/>
      <w:bookmarkEnd w:id="718"/>
    </w:p>
    <w:p w14:paraId="7EC48B04" w14:textId="77777777" w:rsidR="00713454" w:rsidRPr="004853EB"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4"/>
          <w:szCs w:val="20"/>
          <w:lang w:eastAsia="pl-PL"/>
        </w:rPr>
      </w:pPr>
      <w:r w:rsidRPr="004853EB">
        <w:rPr>
          <w:rFonts w:eastAsia="Times New Roman" w:cstheme="minorHAnsi"/>
          <w:sz w:val="20"/>
          <w:szCs w:val="20"/>
          <w:lang w:eastAsia="pl-PL"/>
        </w:rPr>
        <w:tab/>
        <w:t>Ogólne wymagania dotyczące sprzętu podano w SST D-00.00.00 „Wymagania ogólne” pkt 3.</w:t>
      </w:r>
    </w:p>
    <w:p w14:paraId="55162551" w14:textId="77777777" w:rsidR="00713454" w:rsidRPr="004853EB"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719" w:name="_Toc407161190"/>
      <w:bookmarkStart w:id="720" w:name="_Toc194476621"/>
      <w:bookmarkStart w:id="721" w:name="_Toc227759963"/>
      <w:bookmarkStart w:id="722" w:name="_Toc227825110"/>
      <w:r w:rsidRPr="004853EB">
        <w:rPr>
          <w:rFonts w:eastAsia="Times New Roman" w:cstheme="minorHAnsi"/>
          <w:b/>
          <w:sz w:val="20"/>
          <w:szCs w:val="20"/>
          <w:lang w:eastAsia="pl-PL"/>
        </w:rPr>
        <w:t>3.2. Sprzęt do robót ziemnych</w:t>
      </w:r>
      <w:bookmarkEnd w:id="715"/>
      <w:bookmarkEnd w:id="719"/>
      <w:bookmarkEnd w:id="720"/>
      <w:bookmarkEnd w:id="721"/>
      <w:bookmarkEnd w:id="722"/>
    </w:p>
    <w:p w14:paraId="4DA280D9" w14:textId="77777777" w:rsidR="00713454" w:rsidRPr="004853EB"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przystępujący do wykonania robót ziemnych powinien wykazać się możliwością korzystania z następującego sprzętu do:</w:t>
      </w:r>
    </w:p>
    <w:p w14:paraId="6E35D84D"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odspajania i wydobywania gruntów (narzędzia mechaniczne, młoty pneumatyczne, zrywarki, koparki, ładowarki, wiertarki mechaniczne itp.),</w:t>
      </w:r>
    </w:p>
    <w:p w14:paraId="22B7E927"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jednoczesnego wydobywania i przemieszczania gruntów (spycharki, zgarniarki, równiarki, urządzenia do hydromechanizacji itp.),</w:t>
      </w:r>
    </w:p>
    <w:p w14:paraId="0478354B"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transportu mas ziemnych (samochody wywrotki, samochody skrzyniowe, taśmociągi itp.),</w:t>
      </w:r>
    </w:p>
    <w:p w14:paraId="12A13399"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sprzętu zagęszczającego (walce, ubijaki, płyty wibracyjne itp.).</w:t>
      </w:r>
    </w:p>
    <w:p w14:paraId="4D4534A5"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723" w:name="_Toc405615043"/>
      <w:bookmarkStart w:id="724" w:name="_Toc407161191"/>
      <w:bookmarkStart w:id="725" w:name="_Toc418996325"/>
      <w:bookmarkStart w:id="726" w:name="_Toc418996694"/>
      <w:bookmarkStart w:id="727" w:name="_Toc418997081"/>
      <w:bookmarkStart w:id="728" w:name="_Toc418998491"/>
      <w:bookmarkStart w:id="729" w:name="_Toc418998847"/>
      <w:bookmarkStart w:id="730" w:name="_Toc419000092"/>
      <w:bookmarkStart w:id="731" w:name="_Toc194476622"/>
      <w:bookmarkStart w:id="732" w:name="_Toc227759964"/>
      <w:bookmarkStart w:id="733" w:name="_Toc227825111"/>
      <w:r w:rsidRPr="004853EB">
        <w:rPr>
          <w:rFonts w:eastAsia="Times New Roman" w:cstheme="minorHAnsi"/>
          <w:b/>
          <w:caps/>
          <w:kern w:val="28"/>
          <w:sz w:val="20"/>
          <w:szCs w:val="20"/>
          <w:lang w:eastAsia="pl-PL"/>
        </w:rPr>
        <w:t>4. transport</w:t>
      </w:r>
      <w:bookmarkEnd w:id="723"/>
      <w:bookmarkEnd w:id="724"/>
      <w:bookmarkEnd w:id="725"/>
      <w:bookmarkEnd w:id="726"/>
      <w:bookmarkEnd w:id="727"/>
      <w:bookmarkEnd w:id="728"/>
      <w:bookmarkEnd w:id="729"/>
      <w:bookmarkEnd w:id="730"/>
      <w:bookmarkEnd w:id="731"/>
      <w:bookmarkEnd w:id="732"/>
      <w:bookmarkEnd w:id="733"/>
    </w:p>
    <w:p w14:paraId="73018364"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734" w:name="_Toc405615044"/>
      <w:bookmarkStart w:id="735" w:name="_Toc407161192"/>
      <w:bookmarkStart w:id="736" w:name="_Toc194476623"/>
      <w:bookmarkStart w:id="737" w:name="_Toc227759965"/>
      <w:bookmarkStart w:id="738" w:name="_Toc227825112"/>
      <w:r w:rsidRPr="004853EB">
        <w:rPr>
          <w:rFonts w:eastAsia="Times New Roman" w:cstheme="minorHAnsi"/>
          <w:b/>
          <w:sz w:val="20"/>
          <w:szCs w:val="20"/>
          <w:lang w:eastAsia="pl-PL"/>
        </w:rPr>
        <w:t>4.1. Ogólne wymagania dotyczące transportu</w:t>
      </w:r>
      <w:bookmarkEnd w:id="734"/>
      <w:bookmarkEnd w:id="735"/>
      <w:bookmarkEnd w:id="736"/>
      <w:bookmarkEnd w:id="737"/>
      <w:bookmarkEnd w:id="738"/>
    </w:p>
    <w:p w14:paraId="1C1A9149"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transportu podano w SST D-00.00.00 „Wymagania ogólne” pkt 4.</w:t>
      </w:r>
    </w:p>
    <w:p w14:paraId="42445E08"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739" w:name="_Toc405615045"/>
      <w:bookmarkStart w:id="740" w:name="_Toc407161193"/>
      <w:bookmarkStart w:id="741" w:name="_Toc194476624"/>
      <w:bookmarkStart w:id="742" w:name="_Toc227759966"/>
      <w:bookmarkStart w:id="743" w:name="_Toc227825113"/>
      <w:r w:rsidRPr="004853EB">
        <w:rPr>
          <w:rFonts w:eastAsia="Times New Roman" w:cstheme="minorHAnsi"/>
          <w:b/>
          <w:sz w:val="20"/>
          <w:szCs w:val="20"/>
          <w:lang w:eastAsia="pl-PL"/>
        </w:rPr>
        <w:t>4.2. Transport gruntów</w:t>
      </w:r>
      <w:bookmarkEnd w:id="739"/>
      <w:bookmarkEnd w:id="740"/>
      <w:bookmarkEnd w:id="741"/>
      <w:bookmarkEnd w:id="742"/>
      <w:bookmarkEnd w:id="743"/>
    </w:p>
    <w:p w14:paraId="53D841CE" w14:textId="7F04B87D"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do urabiania </w:t>
      </w:r>
      <w:r w:rsidR="001E0AEB">
        <w:rPr>
          <w:rFonts w:eastAsia="Times New Roman" w:cstheme="minorHAnsi"/>
          <w:sz w:val="20"/>
          <w:szCs w:val="20"/>
          <w:lang w:eastAsia="pl-PL"/>
        </w:rPr>
        <w:br/>
      </w:r>
      <w:r w:rsidRPr="004853EB">
        <w:rPr>
          <w:rFonts w:eastAsia="Times New Roman" w:cstheme="minorHAnsi"/>
          <w:sz w:val="20"/>
          <w:szCs w:val="20"/>
          <w:lang w:eastAsia="pl-PL"/>
        </w:rPr>
        <w:t>i wbudowania gruntu (materiału).</w:t>
      </w:r>
    </w:p>
    <w:p w14:paraId="2A616111" w14:textId="77777777" w:rsidR="00713454" w:rsidRPr="004853EB"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Zwiększenie odległości transportu ponad wartości zatwierdzone nie może być podstawą roszczeń Wykonawcy, dotyczących dodatkowej zapłaty za transport, o ile zwiększone odległości nie zostały wcześniej zaakceptowane na piśmie przez Inżyniera.</w:t>
      </w:r>
    </w:p>
    <w:p w14:paraId="74D58BDC" w14:textId="77777777" w:rsidR="00713454" w:rsidRPr="004853EB" w:rsidRDefault="00713454" w:rsidP="00713454">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744" w:name="_Toc405615046"/>
      <w:bookmarkStart w:id="745" w:name="_Toc407161194"/>
      <w:bookmarkStart w:id="746" w:name="_Toc418996326"/>
      <w:bookmarkStart w:id="747" w:name="_Toc418996695"/>
      <w:bookmarkStart w:id="748" w:name="_Toc418997082"/>
      <w:bookmarkStart w:id="749" w:name="_Toc418998492"/>
      <w:bookmarkStart w:id="750" w:name="_Toc418998848"/>
      <w:bookmarkStart w:id="751" w:name="_Toc419000093"/>
      <w:bookmarkStart w:id="752" w:name="_Toc194476625"/>
      <w:bookmarkStart w:id="753" w:name="_Toc227759967"/>
      <w:bookmarkStart w:id="754" w:name="_Toc227825114"/>
      <w:r w:rsidRPr="004853EB">
        <w:rPr>
          <w:rFonts w:eastAsia="Times New Roman" w:cstheme="minorHAnsi"/>
          <w:b/>
          <w:caps/>
          <w:kern w:val="28"/>
          <w:sz w:val="20"/>
          <w:szCs w:val="20"/>
          <w:lang w:eastAsia="pl-PL"/>
        </w:rPr>
        <w:t>5. wykonanie robót</w:t>
      </w:r>
      <w:bookmarkEnd w:id="744"/>
      <w:bookmarkEnd w:id="745"/>
      <w:bookmarkEnd w:id="746"/>
      <w:bookmarkEnd w:id="747"/>
      <w:bookmarkEnd w:id="748"/>
      <w:bookmarkEnd w:id="749"/>
      <w:bookmarkEnd w:id="750"/>
      <w:bookmarkEnd w:id="751"/>
      <w:bookmarkEnd w:id="752"/>
      <w:bookmarkEnd w:id="753"/>
      <w:bookmarkEnd w:id="754"/>
    </w:p>
    <w:p w14:paraId="3F636A16"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755" w:name="_Toc405615047"/>
      <w:bookmarkStart w:id="756" w:name="_Toc407161195"/>
      <w:bookmarkStart w:id="757" w:name="_Toc194476626"/>
      <w:bookmarkStart w:id="758" w:name="_Toc227759968"/>
      <w:bookmarkStart w:id="759" w:name="_Toc227825115"/>
      <w:r w:rsidRPr="004853EB">
        <w:rPr>
          <w:rFonts w:eastAsia="Times New Roman" w:cstheme="minorHAnsi"/>
          <w:b/>
          <w:sz w:val="20"/>
          <w:szCs w:val="20"/>
          <w:lang w:eastAsia="pl-PL"/>
        </w:rPr>
        <w:t>5.1. Ogólne zasady wykonania robót</w:t>
      </w:r>
      <w:bookmarkEnd w:id="755"/>
      <w:bookmarkEnd w:id="756"/>
      <w:bookmarkEnd w:id="757"/>
      <w:bookmarkEnd w:id="758"/>
      <w:bookmarkEnd w:id="759"/>
    </w:p>
    <w:p w14:paraId="63E9AEDF"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wykonania robót podano w SST D-00.00.00 „Wymagania ogólne” pkt 5.</w:t>
      </w:r>
    </w:p>
    <w:p w14:paraId="16E69BE6"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760" w:name="_Toc405615048"/>
      <w:bookmarkStart w:id="761" w:name="_Toc407161196"/>
      <w:bookmarkStart w:id="762" w:name="_Toc194476627"/>
      <w:bookmarkStart w:id="763" w:name="_Toc227759969"/>
      <w:bookmarkStart w:id="764" w:name="_Toc227825116"/>
      <w:r w:rsidRPr="004853EB">
        <w:rPr>
          <w:rFonts w:eastAsia="Times New Roman" w:cstheme="minorHAnsi"/>
          <w:b/>
          <w:sz w:val="20"/>
          <w:szCs w:val="20"/>
          <w:lang w:eastAsia="pl-PL"/>
        </w:rPr>
        <w:t>5.2. Dokładność wykonania wykopów i nasypów</w:t>
      </w:r>
      <w:bookmarkEnd w:id="760"/>
      <w:bookmarkEnd w:id="761"/>
      <w:bookmarkEnd w:id="762"/>
      <w:bookmarkEnd w:id="763"/>
      <w:bookmarkEnd w:id="764"/>
    </w:p>
    <w:p w14:paraId="27F775D6"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Odchylenie osi korpusu ziemnego, w wykopie lub nasypie, od osi projektowanej nie powinny być większe niż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10 cm. Różnica w stosunku do projektowanych rzędnych robót ziemnych nie może przekraczać + 1 cm i -3 cm.</w:t>
      </w:r>
    </w:p>
    <w:p w14:paraId="5B705DD2"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Szerokość górnej powierzchni korpusu nie może różnić się od szerokości projektowanej o więcej niż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10 cm, a krawędzie korony drogi nie powinny mieć wyraźnych załamań w planie.</w:t>
      </w:r>
    </w:p>
    <w:p w14:paraId="00CC1B48"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Pochylenie skarp nie powinno różnić się od projektowanego o więcej niż 10% jego wartości wyrażonej tangensem kąta. Maksymalne nierówności na powierzchni skarp nie powinny przekraczać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10 cm przy pomiarze łatą 3-metrową, albo powinny być spełnione inne wymagania dotyczące nierówności, wynikające ze sposobu umocnienia powierzchni skarpy.</w:t>
      </w:r>
    </w:p>
    <w:p w14:paraId="313F5267" w14:textId="73269F26" w:rsidR="00713454" w:rsidRPr="004853EB"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 gruntach skalistych wymagania, dotyczące równości powierzchni dna wykopu oraz pochylenia </w:t>
      </w:r>
      <w:r w:rsidR="001E0AEB">
        <w:rPr>
          <w:rFonts w:eastAsia="Times New Roman" w:cstheme="minorHAnsi"/>
          <w:sz w:val="20"/>
          <w:szCs w:val="20"/>
          <w:lang w:eastAsia="pl-PL"/>
        </w:rPr>
        <w:br/>
      </w:r>
      <w:r w:rsidRPr="004853EB">
        <w:rPr>
          <w:rFonts w:eastAsia="Times New Roman" w:cstheme="minorHAnsi"/>
          <w:sz w:val="20"/>
          <w:szCs w:val="20"/>
          <w:lang w:eastAsia="pl-PL"/>
        </w:rPr>
        <w:t>i równości skarp, powinny być określone w dokumentacji projektowej i SST.</w:t>
      </w:r>
    </w:p>
    <w:p w14:paraId="65490A91"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765" w:name="_Toc405615049"/>
      <w:bookmarkStart w:id="766" w:name="_Toc407161197"/>
      <w:bookmarkStart w:id="767" w:name="_Toc194476628"/>
      <w:bookmarkStart w:id="768" w:name="_Toc227759970"/>
      <w:bookmarkStart w:id="769" w:name="_Toc227825117"/>
      <w:r w:rsidRPr="004853EB">
        <w:rPr>
          <w:rFonts w:eastAsia="Times New Roman" w:cstheme="minorHAnsi"/>
          <w:b/>
          <w:sz w:val="20"/>
          <w:szCs w:val="20"/>
          <w:lang w:eastAsia="pl-PL"/>
        </w:rPr>
        <w:lastRenderedPageBreak/>
        <w:t>5.3. Odwodnienia pasa robót ziemnych</w:t>
      </w:r>
      <w:bookmarkEnd w:id="765"/>
      <w:bookmarkEnd w:id="766"/>
      <w:bookmarkEnd w:id="767"/>
      <w:bookmarkEnd w:id="768"/>
      <w:bookmarkEnd w:id="769"/>
    </w:p>
    <w:p w14:paraId="3E273727" w14:textId="2BB46BDE"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Niezależnie od budowy urządzeń, stanowiących elementy systemów odwadniających, ujętych </w:t>
      </w:r>
      <w:r w:rsidR="001E0AEB">
        <w:rPr>
          <w:rFonts w:eastAsia="Times New Roman" w:cstheme="minorHAnsi"/>
          <w:sz w:val="20"/>
          <w:szCs w:val="20"/>
          <w:lang w:eastAsia="pl-PL"/>
        </w:rPr>
        <w:br/>
      </w:r>
      <w:r w:rsidRPr="004853EB">
        <w:rPr>
          <w:rFonts w:eastAsia="Times New Roman" w:cstheme="minorHAnsi"/>
          <w:sz w:val="20"/>
          <w:szCs w:val="20"/>
          <w:lang w:eastAsia="pl-PL"/>
        </w:rPr>
        <w:t>w dokumentacji projektowej, Wykonawca powinien, o ile wymagają tego warunki terenowe, wykonać urządzenia, które zapewnią odprowadzenie wód gruntowych i opadowych poza obszar robót ziemnych tak, aby zabezpieczyć grunty przed przewilgoceniem i nawodnieniem. Wykonawca ma obowiązek takiego wykonywania wykopów i nasypów, aby powierzchniom gruntu nadawać w całym okresie trwania robót spadki, zapewniające prawidłowe odwodnienie.</w:t>
      </w:r>
    </w:p>
    <w:p w14:paraId="017BA67E"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w:t>
      </w:r>
    </w:p>
    <w:p w14:paraId="7FAEE2A5"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Odprowadzenie wód do istniejących zbiorników naturalnych i urządzeń odwadniających musi być poprzedzone uzgodnieniem z odpowiednimi instytucjami.</w:t>
      </w:r>
    </w:p>
    <w:p w14:paraId="7339E0F4"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770" w:name="_Toc405615050"/>
      <w:bookmarkStart w:id="771" w:name="_Toc407161198"/>
      <w:bookmarkStart w:id="772" w:name="_Toc194476629"/>
      <w:bookmarkStart w:id="773" w:name="_Toc227759971"/>
      <w:bookmarkStart w:id="774" w:name="_Toc227825118"/>
      <w:r w:rsidRPr="004853EB">
        <w:rPr>
          <w:rFonts w:eastAsia="Times New Roman" w:cstheme="minorHAnsi"/>
          <w:b/>
          <w:sz w:val="20"/>
          <w:szCs w:val="20"/>
          <w:lang w:eastAsia="pl-PL"/>
        </w:rPr>
        <w:t>5.4. Odwodnienie wykopów</w:t>
      </w:r>
      <w:bookmarkEnd w:id="770"/>
      <w:bookmarkEnd w:id="771"/>
      <w:bookmarkEnd w:id="772"/>
      <w:bookmarkEnd w:id="773"/>
      <w:bookmarkEnd w:id="774"/>
    </w:p>
    <w:p w14:paraId="0E77F68A"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Technologia wykonania wykopu musi umożliwiać jego prawidłowe odwodnienie w całym okresie trwania robót ziemnych. Wykonanie wykopów powinno postępować w kierunku podnoszenia się niwelety.</w:t>
      </w:r>
    </w:p>
    <w:p w14:paraId="2B39D663"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w:t>
      </w:r>
    </w:p>
    <w:p w14:paraId="64E26E07"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Źródła wody, odsłonięte przy wykonywaniu wykopów, należy ująć w rowy i /lub dreny. Wody opadowe i gruntowe należy odprowadzić poza teren pasa robót ziemnych.</w:t>
      </w:r>
    </w:p>
    <w:p w14:paraId="5DA3E91E"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775" w:name="_Toc405615051"/>
      <w:bookmarkStart w:id="776" w:name="_Toc407161199"/>
      <w:bookmarkStart w:id="777" w:name="_Toc194476630"/>
      <w:bookmarkStart w:id="778" w:name="_Toc227759972"/>
      <w:bookmarkStart w:id="779" w:name="_Toc227825119"/>
      <w:r w:rsidRPr="004853EB">
        <w:rPr>
          <w:rFonts w:eastAsia="Times New Roman" w:cstheme="minorHAnsi"/>
          <w:b/>
          <w:sz w:val="20"/>
          <w:szCs w:val="20"/>
          <w:lang w:eastAsia="pl-PL"/>
        </w:rPr>
        <w:t>5.5. Rowy</w:t>
      </w:r>
      <w:bookmarkEnd w:id="775"/>
      <w:bookmarkEnd w:id="776"/>
      <w:bookmarkEnd w:id="777"/>
      <w:bookmarkEnd w:id="778"/>
      <w:bookmarkEnd w:id="779"/>
    </w:p>
    <w:p w14:paraId="74331749" w14:textId="77777777" w:rsidR="00713454" w:rsidRPr="004853EB"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Rowy boczne oraz rowy stokowe powinny być wykonane zgodnie z dokumentacją projektową i SST. Szerokość dna i głębokość rowu nie mogą różnić się od wymiarów projektowanych o więcej niż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5 cm. Dokładność wykonania skarp rowów powinna być zgodna z określoną dla skarp wykopów w SST D-02.01.01.</w:t>
      </w:r>
    </w:p>
    <w:p w14:paraId="6711413B"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780" w:name="_Toc405615052"/>
      <w:bookmarkStart w:id="781" w:name="_Toc407161200"/>
      <w:bookmarkStart w:id="782" w:name="_Toc418996327"/>
      <w:bookmarkStart w:id="783" w:name="_Toc418996696"/>
      <w:bookmarkStart w:id="784" w:name="_Toc418997083"/>
      <w:bookmarkStart w:id="785" w:name="_Toc418998493"/>
      <w:bookmarkStart w:id="786" w:name="_Toc418998849"/>
      <w:bookmarkStart w:id="787" w:name="_Toc419000094"/>
      <w:bookmarkStart w:id="788" w:name="_Toc194476631"/>
      <w:bookmarkStart w:id="789" w:name="_Toc227759973"/>
      <w:bookmarkStart w:id="790" w:name="_Toc227825120"/>
      <w:r w:rsidRPr="004853EB">
        <w:rPr>
          <w:rFonts w:eastAsia="Times New Roman" w:cstheme="minorHAnsi"/>
          <w:b/>
          <w:caps/>
          <w:kern w:val="28"/>
          <w:sz w:val="20"/>
          <w:szCs w:val="20"/>
          <w:lang w:eastAsia="pl-PL"/>
        </w:rPr>
        <w:t>6. kontrola jakości robót</w:t>
      </w:r>
      <w:bookmarkEnd w:id="780"/>
      <w:bookmarkEnd w:id="781"/>
      <w:bookmarkEnd w:id="782"/>
      <w:bookmarkEnd w:id="783"/>
      <w:bookmarkEnd w:id="784"/>
      <w:bookmarkEnd w:id="785"/>
      <w:bookmarkEnd w:id="786"/>
      <w:bookmarkEnd w:id="787"/>
      <w:bookmarkEnd w:id="788"/>
      <w:bookmarkEnd w:id="789"/>
      <w:bookmarkEnd w:id="790"/>
    </w:p>
    <w:p w14:paraId="1C005C10"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791" w:name="_Toc405615053"/>
      <w:bookmarkStart w:id="792" w:name="_Toc407161201"/>
      <w:bookmarkStart w:id="793" w:name="_Toc194476632"/>
      <w:bookmarkStart w:id="794" w:name="_Toc227759974"/>
      <w:bookmarkStart w:id="795" w:name="_Toc227825121"/>
      <w:r w:rsidRPr="004853EB">
        <w:rPr>
          <w:rFonts w:eastAsia="Times New Roman" w:cstheme="minorHAnsi"/>
          <w:b/>
          <w:sz w:val="20"/>
          <w:szCs w:val="20"/>
          <w:lang w:eastAsia="pl-PL"/>
        </w:rPr>
        <w:t>6.1. Ogólne zasady kontroli jakości robót</w:t>
      </w:r>
      <w:bookmarkEnd w:id="791"/>
      <w:bookmarkEnd w:id="792"/>
      <w:bookmarkEnd w:id="793"/>
      <w:bookmarkEnd w:id="794"/>
      <w:bookmarkEnd w:id="795"/>
    </w:p>
    <w:p w14:paraId="54D88D4E"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kontroli jakości robót podano w SST D-00.00.00 „Wymagania ogólne” pkt 6.</w:t>
      </w:r>
    </w:p>
    <w:p w14:paraId="12B1CBB8"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796" w:name="_Toc405615054"/>
      <w:bookmarkStart w:id="797" w:name="_Toc407161202"/>
      <w:bookmarkStart w:id="798" w:name="_Toc194476633"/>
      <w:bookmarkStart w:id="799" w:name="_Toc227759975"/>
      <w:bookmarkStart w:id="800" w:name="_Toc227825122"/>
      <w:r w:rsidRPr="004853EB">
        <w:rPr>
          <w:rFonts w:eastAsia="Times New Roman" w:cstheme="minorHAnsi"/>
          <w:b/>
          <w:sz w:val="20"/>
          <w:szCs w:val="20"/>
          <w:lang w:eastAsia="pl-PL"/>
        </w:rPr>
        <w:t>6.2. Badania i pomiary w czasie wykonywania robót ziemnych</w:t>
      </w:r>
      <w:bookmarkEnd w:id="796"/>
      <w:bookmarkEnd w:id="797"/>
      <w:bookmarkEnd w:id="798"/>
      <w:bookmarkEnd w:id="799"/>
      <w:bookmarkEnd w:id="800"/>
    </w:p>
    <w:p w14:paraId="49E11847" w14:textId="77777777" w:rsidR="00713454" w:rsidRPr="004853EB" w:rsidRDefault="00713454" w:rsidP="00713454">
      <w:pPr>
        <w:keepNext/>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6.2.1. </w:t>
      </w:r>
      <w:r w:rsidRPr="004853EB">
        <w:rPr>
          <w:rFonts w:eastAsia="Times New Roman" w:cstheme="minorHAnsi"/>
          <w:sz w:val="20"/>
          <w:szCs w:val="20"/>
          <w:lang w:eastAsia="pl-PL"/>
        </w:rPr>
        <w:t>Sprawdzenie odwodnienia</w:t>
      </w:r>
    </w:p>
    <w:p w14:paraId="5B6D2BBD"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Sprawdzenie odwodnienia korpusu ziemnego polega na kontroli zgodności z wymaganiami specyfikacji określonymi w </w:t>
      </w:r>
      <w:proofErr w:type="spellStart"/>
      <w:r w:rsidRPr="004853EB">
        <w:rPr>
          <w:rFonts w:eastAsia="Times New Roman" w:cstheme="minorHAnsi"/>
          <w:sz w:val="20"/>
          <w:szCs w:val="20"/>
          <w:lang w:eastAsia="pl-PL"/>
        </w:rPr>
        <w:t>pkcie</w:t>
      </w:r>
      <w:proofErr w:type="spellEnd"/>
      <w:r w:rsidRPr="004853EB">
        <w:rPr>
          <w:rFonts w:eastAsia="Times New Roman" w:cstheme="minorHAnsi"/>
          <w:sz w:val="20"/>
          <w:szCs w:val="20"/>
          <w:lang w:eastAsia="pl-PL"/>
        </w:rPr>
        <w:t xml:space="preserve"> 5 oraz z dokumentacją projektową.</w:t>
      </w:r>
    </w:p>
    <w:p w14:paraId="0633EA99"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Szczególną uwagę należy zwrócić na:</w:t>
      </w:r>
    </w:p>
    <w:p w14:paraId="10BBA981"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właściwe ujęcie i odprowadzenie wód opadowych,</w:t>
      </w:r>
    </w:p>
    <w:p w14:paraId="0A627D01"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właściwe ujęcie i odprowadzenie wysięków wodnych.</w:t>
      </w:r>
    </w:p>
    <w:p w14:paraId="7F62393F"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6.2.2. </w:t>
      </w:r>
      <w:r w:rsidRPr="004853EB">
        <w:rPr>
          <w:rFonts w:eastAsia="Times New Roman" w:cstheme="minorHAnsi"/>
          <w:sz w:val="20"/>
          <w:szCs w:val="20"/>
          <w:lang w:eastAsia="pl-PL"/>
        </w:rPr>
        <w:t>Sprawdzenie jakości wykonania robót</w:t>
      </w:r>
    </w:p>
    <w:p w14:paraId="763B1454"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Czynności wchodzące w zakres sprawdzenia jakości wykonania robót określono w </w:t>
      </w:r>
      <w:proofErr w:type="spellStart"/>
      <w:r w:rsidRPr="004853EB">
        <w:rPr>
          <w:rFonts w:eastAsia="Times New Roman" w:cstheme="minorHAnsi"/>
          <w:sz w:val="20"/>
          <w:szCs w:val="20"/>
          <w:lang w:eastAsia="pl-PL"/>
        </w:rPr>
        <w:t>pkcie</w:t>
      </w:r>
      <w:proofErr w:type="spellEnd"/>
      <w:r w:rsidRPr="004853EB">
        <w:rPr>
          <w:rFonts w:eastAsia="Times New Roman" w:cstheme="minorHAnsi"/>
          <w:sz w:val="20"/>
          <w:szCs w:val="20"/>
          <w:lang w:eastAsia="pl-PL"/>
        </w:rPr>
        <w:t xml:space="preserve"> 6 SST D-02.01.01, D-02.02.01 oraz D-02.03.01.</w:t>
      </w:r>
    </w:p>
    <w:p w14:paraId="5387D0D4"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801" w:name="_Toc405615055"/>
      <w:bookmarkStart w:id="802" w:name="_Toc407161203"/>
      <w:bookmarkStart w:id="803" w:name="_Toc194476634"/>
      <w:bookmarkStart w:id="804" w:name="_Toc227759976"/>
      <w:bookmarkStart w:id="805" w:name="_Toc227825123"/>
      <w:r w:rsidRPr="004853EB">
        <w:rPr>
          <w:rFonts w:eastAsia="Times New Roman" w:cstheme="minorHAnsi"/>
          <w:b/>
          <w:sz w:val="20"/>
          <w:szCs w:val="20"/>
          <w:lang w:eastAsia="pl-PL"/>
        </w:rPr>
        <w:t>6.3. Badania do odbioru korpusu ziemnego</w:t>
      </w:r>
      <w:bookmarkEnd w:id="801"/>
      <w:bookmarkEnd w:id="802"/>
      <w:bookmarkEnd w:id="803"/>
      <w:bookmarkEnd w:id="804"/>
      <w:bookmarkEnd w:id="805"/>
    </w:p>
    <w:p w14:paraId="1C6327AA" w14:textId="77777777" w:rsidR="00713454" w:rsidRPr="004853EB"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6.3.1. </w:t>
      </w:r>
      <w:r w:rsidRPr="004853EB">
        <w:rPr>
          <w:rFonts w:eastAsia="Times New Roman" w:cstheme="minorHAnsi"/>
          <w:sz w:val="20"/>
          <w:szCs w:val="20"/>
          <w:lang w:eastAsia="pl-PL"/>
        </w:rPr>
        <w:t>Częstotliwość oraz zakres badań i pomiarów</w:t>
      </w:r>
    </w:p>
    <w:p w14:paraId="22F565A6"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Częstotliwość oraz zakres badań i pomiarów do odbioru korpusu ziemnego podaje tablica 2.</w:t>
      </w:r>
    </w:p>
    <w:p w14:paraId="3B495052"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2. Częstotliwość oraz zakres badań i pomiarów wykonanych robót ziemnych</w:t>
      </w:r>
    </w:p>
    <w:tbl>
      <w:tblPr>
        <w:tblW w:w="0" w:type="auto"/>
        <w:tblLayout w:type="fixed"/>
        <w:tblCellMar>
          <w:left w:w="70" w:type="dxa"/>
          <w:right w:w="70" w:type="dxa"/>
        </w:tblCellMar>
        <w:tblLook w:val="0000" w:firstRow="0" w:lastRow="0" w:firstColumn="0" w:lastColumn="0" w:noHBand="0" w:noVBand="0"/>
      </w:tblPr>
      <w:tblGrid>
        <w:gridCol w:w="496"/>
        <w:gridCol w:w="2500"/>
        <w:gridCol w:w="4514"/>
      </w:tblGrid>
      <w:tr w:rsidR="00713454" w:rsidRPr="004853EB" w14:paraId="3B937CCE" w14:textId="77777777" w:rsidTr="00713454">
        <w:tc>
          <w:tcPr>
            <w:tcW w:w="496" w:type="dxa"/>
            <w:tcBorders>
              <w:top w:val="single" w:sz="6" w:space="0" w:color="auto"/>
              <w:left w:val="single" w:sz="6" w:space="0" w:color="auto"/>
              <w:bottom w:val="double" w:sz="6" w:space="0" w:color="auto"/>
              <w:right w:val="single" w:sz="6" w:space="0" w:color="auto"/>
            </w:tcBorders>
          </w:tcPr>
          <w:p w14:paraId="069B2A6A" w14:textId="77777777" w:rsidR="00713454" w:rsidRPr="004853EB" w:rsidRDefault="00713454" w:rsidP="00713454">
            <w:pPr>
              <w:overflowPunct w:val="0"/>
              <w:autoSpaceDE w:val="0"/>
              <w:autoSpaceDN w:val="0"/>
              <w:adjustRightInd w:val="0"/>
              <w:spacing w:before="120" w:after="12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Lp.</w:t>
            </w:r>
          </w:p>
        </w:tc>
        <w:tc>
          <w:tcPr>
            <w:tcW w:w="2500" w:type="dxa"/>
            <w:tcBorders>
              <w:top w:val="single" w:sz="6" w:space="0" w:color="auto"/>
              <w:left w:val="single" w:sz="6" w:space="0" w:color="auto"/>
              <w:bottom w:val="double" w:sz="6" w:space="0" w:color="auto"/>
              <w:right w:val="single" w:sz="6" w:space="0" w:color="auto"/>
            </w:tcBorders>
          </w:tcPr>
          <w:p w14:paraId="09B6E912" w14:textId="77777777" w:rsidR="00713454" w:rsidRPr="004853EB" w:rsidRDefault="00713454" w:rsidP="00713454">
            <w:pPr>
              <w:overflowPunct w:val="0"/>
              <w:autoSpaceDE w:val="0"/>
              <w:autoSpaceDN w:val="0"/>
              <w:adjustRightInd w:val="0"/>
              <w:spacing w:before="120" w:after="12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Badana cecha</w:t>
            </w:r>
          </w:p>
        </w:tc>
        <w:tc>
          <w:tcPr>
            <w:tcW w:w="4514" w:type="dxa"/>
            <w:tcBorders>
              <w:top w:val="single" w:sz="6" w:space="0" w:color="auto"/>
              <w:bottom w:val="double" w:sz="6" w:space="0" w:color="auto"/>
              <w:right w:val="single" w:sz="6" w:space="0" w:color="auto"/>
            </w:tcBorders>
          </w:tcPr>
          <w:p w14:paraId="491812BB" w14:textId="77777777" w:rsidR="00713454" w:rsidRPr="004853EB" w:rsidRDefault="00713454" w:rsidP="00713454">
            <w:pPr>
              <w:overflowPunct w:val="0"/>
              <w:autoSpaceDE w:val="0"/>
              <w:autoSpaceDN w:val="0"/>
              <w:adjustRightInd w:val="0"/>
              <w:spacing w:before="120" w:after="12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Minimalna częstotliwość badań i pomiarów</w:t>
            </w:r>
          </w:p>
        </w:tc>
      </w:tr>
      <w:tr w:rsidR="00713454" w:rsidRPr="004853EB" w14:paraId="52920312" w14:textId="77777777" w:rsidTr="00713454">
        <w:tc>
          <w:tcPr>
            <w:tcW w:w="496" w:type="dxa"/>
            <w:tcBorders>
              <w:left w:val="single" w:sz="6" w:space="0" w:color="auto"/>
              <w:bottom w:val="single" w:sz="6" w:space="0" w:color="auto"/>
              <w:right w:val="single" w:sz="6" w:space="0" w:color="auto"/>
            </w:tcBorders>
          </w:tcPr>
          <w:p w14:paraId="2427C1C1"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1</w:t>
            </w:r>
          </w:p>
        </w:tc>
        <w:tc>
          <w:tcPr>
            <w:tcW w:w="2500" w:type="dxa"/>
            <w:tcBorders>
              <w:left w:val="single" w:sz="6" w:space="0" w:color="auto"/>
              <w:bottom w:val="single" w:sz="6" w:space="0" w:color="auto"/>
              <w:right w:val="single" w:sz="6" w:space="0" w:color="auto"/>
            </w:tcBorders>
          </w:tcPr>
          <w:p w14:paraId="2440D791" w14:textId="77777777" w:rsidR="00713454" w:rsidRPr="004853EB" w:rsidRDefault="00713454" w:rsidP="00713454">
            <w:p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Pomiar szerokości korpusu ziemnego</w:t>
            </w:r>
          </w:p>
        </w:tc>
        <w:tc>
          <w:tcPr>
            <w:tcW w:w="4514" w:type="dxa"/>
            <w:tcBorders>
              <w:right w:val="single" w:sz="6" w:space="0" w:color="auto"/>
            </w:tcBorders>
          </w:tcPr>
          <w:p w14:paraId="669A8FF8"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Pomiar taśmą, szablonem, łatą o długości 3 m i poziomicą lub niwelatorem, w odstępach co 200 m na</w:t>
            </w:r>
          </w:p>
        </w:tc>
      </w:tr>
      <w:tr w:rsidR="00713454" w:rsidRPr="004853EB" w14:paraId="33015A99" w14:textId="77777777" w:rsidTr="00713454">
        <w:tc>
          <w:tcPr>
            <w:tcW w:w="496" w:type="dxa"/>
            <w:tcBorders>
              <w:top w:val="single" w:sz="6" w:space="0" w:color="auto"/>
              <w:left w:val="single" w:sz="6" w:space="0" w:color="auto"/>
              <w:bottom w:val="single" w:sz="6" w:space="0" w:color="auto"/>
              <w:right w:val="single" w:sz="6" w:space="0" w:color="auto"/>
            </w:tcBorders>
          </w:tcPr>
          <w:p w14:paraId="468CAB8C"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2500" w:type="dxa"/>
            <w:tcBorders>
              <w:top w:val="single" w:sz="6" w:space="0" w:color="auto"/>
              <w:left w:val="single" w:sz="6" w:space="0" w:color="auto"/>
              <w:bottom w:val="single" w:sz="6" w:space="0" w:color="auto"/>
              <w:right w:val="single" w:sz="6" w:space="0" w:color="auto"/>
            </w:tcBorders>
          </w:tcPr>
          <w:p w14:paraId="1D9DE3D1" w14:textId="77777777" w:rsidR="00713454" w:rsidRPr="004853EB" w:rsidRDefault="00713454" w:rsidP="00713454">
            <w:p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Pomiar szerokości dna rowów</w:t>
            </w:r>
          </w:p>
        </w:tc>
        <w:tc>
          <w:tcPr>
            <w:tcW w:w="4514" w:type="dxa"/>
            <w:tcBorders>
              <w:right w:val="single" w:sz="6" w:space="0" w:color="auto"/>
            </w:tcBorders>
          </w:tcPr>
          <w:p w14:paraId="4D39871E"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prostych, w punktach głównych łuku, co 100 m na łukach o R </w:t>
            </w:r>
            <w:r w:rsidRPr="004853EB">
              <w:rPr>
                <w:rFonts w:eastAsia="Times New Roman" w:cstheme="minorHAnsi"/>
                <w:sz w:val="20"/>
                <w:szCs w:val="20"/>
                <w:lang w:eastAsia="pl-PL"/>
              </w:rPr>
              <w:sym w:font="Symbol" w:char="F0B3"/>
            </w:r>
            <w:r w:rsidRPr="004853EB">
              <w:rPr>
                <w:rFonts w:eastAsia="Times New Roman" w:cstheme="minorHAnsi"/>
                <w:sz w:val="20"/>
                <w:szCs w:val="20"/>
                <w:lang w:eastAsia="pl-PL"/>
              </w:rPr>
              <w:t xml:space="preserve"> 100 m co 50 m na łukach o R </w:t>
            </w:r>
            <w:r w:rsidRPr="004853EB">
              <w:rPr>
                <w:rFonts w:eastAsia="Times New Roman" w:cstheme="minorHAnsi"/>
                <w:sz w:val="20"/>
                <w:szCs w:val="20"/>
                <w:lang w:eastAsia="pl-PL"/>
              </w:rPr>
              <w:sym w:font="Symbol" w:char="F03C"/>
            </w:r>
            <w:r w:rsidRPr="004853EB">
              <w:rPr>
                <w:rFonts w:eastAsia="Times New Roman" w:cstheme="minorHAnsi"/>
                <w:sz w:val="20"/>
                <w:szCs w:val="20"/>
                <w:lang w:eastAsia="pl-PL"/>
              </w:rPr>
              <w:t xml:space="preserve"> 100 m</w:t>
            </w:r>
          </w:p>
        </w:tc>
      </w:tr>
      <w:tr w:rsidR="00713454" w:rsidRPr="004853EB" w14:paraId="39112422" w14:textId="77777777" w:rsidTr="00713454">
        <w:tc>
          <w:tcPr>
            <w:tcW w:w="496" w:type="dxa"/>
            <w:tcBorders>
              <w:top w:val="single" w:sz="6" w:space="0" w:color="auto"/>
              <w:left w:val="single" w:sz="6" w:space="0" w:color="auto"/>
              <w:bottom w:val="single" w:sz="6" w:space="0" w:color="auto"/>
              <w:right w:val="single" w:sz="6" w:space="0" w:color="auto"/>
            </w:tcBorders>
          </w:tcPr>
          <w:p w14:paraId="55FD6B1C"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2500" w:type="dxa"/>
            <w:tcBorders>
              <w:top w:val="single" w:sz="6" w:space="0" w:color="auto"/>
              <w:left w:val="single" w:sz="6" w:space="0" w:color="auto"/>
              <w:bottom w:val="single" w:sz="6" w:space="0" w:color="auto"/>
              <w:right w:val="single" w:sz="6" w:space="0" w:color="auto"/>
            </w:tcBorders>
          </w:tcPr>
          <w:p w14:paraId="7602EE9B" w14:textId="77777777" w:rsidR="00713454" w:rsidRPr="004853EB" w:rsidRDefault="00713454" w:rsidP="00713454">
            <w:p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Pomiar rzędnych powierzchni korpusu ziemnego</w:t>
            </w:r>
          </w:p>
        </w:tc>
        <w:tc>
          <w:tcPr>
            <w:tcW w:w="4514" w:type="dxa"/>
            <w:tcBorders>
              <w:right w:val="single" w:sz="6" w:space="0" w:color="auto"/>
            </w:tcBorders>
          </w:tcPr>
          <w:p w14:paraId="69889D8D"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oraz w miejscach, które budzą wątpliwości</w:t>
            </w:r>
          </w:p>
        </w:tc>
      </w:tr>
      <w:tr w:rsidR="00713454" w:rsidRPr="004853EB" w14:paraId="2EC321B1" w14:textId="77777777" w:rsidTr="00713454">
        <w:tc>
          <w:tcPr>
            <w:tcW w:w="496" w:type="dxa"/>
            <w:tcBorders>
              <w:top w:val="single" w:sz="6" w:space="0" w:color="auto"/>
              <w:left w:val="single" w:sz="6" w:space="0" w:color="auto"/>
              <w:bottom w:val="single" w:sz="6" w:space="0" w:color="auto"/>
              <w:right w:val="single" w:sz="6" w:space="0" w:color="auto"/>
            </w:tcBorders>
          </w:tcPr>
          <w:p w14:paraId="61A3F422"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2500" w:type="dxa"/>
            <w:tcBorders>
              <w:top w:val="single" w:sz="6" w:space="0" w:color="auto"/>
              <w:left w:val="single" w:sz="6" w:space="0" w:color="auto"/>
              <w:bottom w:val="single" w:sz="6" w:space="0" w:color="auto"/>
              <w:right w:val="single" w:sz="6" w:space="0" w:color="auto"/>
            </w:tcBorders>
          </w:tcPr>
          <w:p w14:paraId="69D996A3"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Pomiar pochylenia skarp</w:t>
            </w:r>
          </w:p>
        </w:tc>
        <w:tc>
          <w:tcPr>
            <w:tcW w:w="4514" w:type="dxa"/>
            <w:tcBorders>
              <w:right w:val="single" w:sz="6" w:space="0" w:color="auto"/>
            </w:tcBorders>
          </w:tcPr>
          <w:p w14:paraId="5B74E6B2"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r>
      <w:tr w:rsidR="00713454" w:rsidRPr="004853EB" w14:paraId="420C03F5" w14:textId="77777777" w:rsidTr="00713454">
        <w:tc>
          <w:tcPr>
            <w:tcW w:w="496" w:type="dxa"/>
            <w:tcBorders>
              <w:top w:val="single" w:sz="6" w:space="0" w:color="auto"/>
              <w:left w:val="single" w:sz="6" w:space="0" w:color="auto"/>
              <w:bottom w:val="single" w:sz="6" w:space="0" w:color="auto"/>
              <w:right w:val="single" w:sz="6" w:space="0" w:color="auto"/>
            </w:tcBorders>
          </w:tcPr>
          <w:p w14:paraId="0EF053C7"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c>
          <w:tcPr>
            <w:tcW w:w="2500" w:type="dxa"/>
            <w:tcBorders>
              <w:top w:val="single" w:sz="6" w:space="0" w:color="auto"/>
              <w:left w:val="single" w:sz="6" w:space="0" w:color="auto"/>
              <w:bottom w:val="single" w:sz="6" w:space="0" w:color="auto"/>
              <w:right w:val="single" w:sz="6" w:space="0" w:color="auto"/>
            </w:tcBorders>
          </w:tcPr>
          <w:p w14:paraId="34CAAFEB" w14:textId="77777777" w:rsidR="00713454" w:rsidRPr="004853EB" w:rsidRDefault="00713454" w:rsidP="00713454">
            <w:p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Pomiar równości powierzchni korpusu</w:t>
            </w:r>
          </w:p>
        </w:tc>
        <w:tc>
          <w:tcPr>
            <w:tcW w:w="4514" w:type="dxa"/>
            <w:tcBorders>
              <w:right w:val="single" w:sz="6" w:space="0" w:color="auto"/>
            </w:tcBorders>
          </w:tcPr>
          <w:p w14:paraId="5ECB8DCE"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r>
      <w:tr w:rsidR="00713454" w:rsidRPr="004853EB" w14:paraId="6FBE7DF8" w14:textId="77777777" w:rsidTr="00713454">
        <w:tc>
          <w:tcPr>
            <w:tcW w:w="496" w:type="dxa"/>
            <w:tcBorders>
              <w:top w:val="single" w:sz="6" w:space="0" w:color="auto"/>
              <w:left w:val="single" w:sz="6" w:space="0" w:color="auto"/>
              <w:bottom w:val="single" w:sz="6" w:space="0" w:color="auto"/>
              <w:right w:val="single" w:sz="6" w:space="0" w:color="auto"/>
            </w:tcBorders>
          </w:tcPr>
          <w:p w14:paraId="6200ABF6"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tc>
        <w:tc>
          <w:tcPr>
            <w:tcW w:w="2500" w:type="dxa"/>
            <w:tcBorders>
              <w:top w:val="single" w:sz="6" w:space="0" w:color="auto"/>
              <w:left w:val="single" w:sz="6" w:space="0" w:color="auto"/>
              <w:bottom w:val="single" w:sz="6" w:space="0" w:color="auto"/>
              <w:right w:val="single" w:sz="6" w:space="0" w:color="auto"/>
            </w:tcBorders>
          </w:tcPr>
          <w:p w14:paraId="4ED1F407"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Pomiar równości skarp</w:t>
            </w:r>
          </w:p>
        </w:tc>
        <w:tc>
          <w:tcPr>
            <w:tcW w:w="4514" w:type="dxa"/>
            <w:tcBorders>
              <w:bottom w:val="single" w:sz="6" w:space="0" w:color="auto"/>
              <w:right w:val="single" w:sz="6" w:space="0" w:color="auto"/>
            </w:tcBorders>
          </w:tcPr>
          <w:p w14:paraId="678B8D74"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r>
      <w:tr w:rsidR="00713454" w:rsidRPr="004853EB" w14:paraId="18B7748D" w14:textId="77777777" w:rsidTr="00713454">
        <w:tc>
          <w:tcPr>
            <w:tcW w:w="496" w:type="dxa"/>
            <w:tcBorders>
              <w:left w:val="single" w:sz="6" w:space="0" w:color="auto"/>
              <w:bottom w:val="single" w:sz="6" w:space="0" w:color="auto"/>
              <w:right w:val="single" w:sz="6" w:space="0" w:color="auto"/>
            </w:tcBorders>
          </w:tcPr>
          <w:p w14:paraId="79F38355"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w:t>
            </w:r>
          </w:p>
        </w:tc>
        <w:tc>
          <w:tcPr>
            <w:tcW w:w="2500" w:type="dxa"/>
            <w:tcBorders>
              <w:left w:val="single" w:sz="6" w:space="0" w:color="auto"/>
              <w:bottom w:val="single" w:sz="6" w:space="0" w:color="auto"/>
              <w:right w:val="single" w:sz="6" w:space="0" w:color="auto"/>
            </w:tcBorders>
          </w:tcPr>
          <w:p w14:paraId="0E0257FB"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Pomiar spadku podłużnego powierzchni korpusu lub dna rowu</w:t>
            </w:r>
          </w:p>
        </w:tc>
        <w:tc>
          <w:tcPr>
            <w:tcW w:w="4514" w:type="dxa"/>
            <w:tcBorders>
              <w:left w:val="single" w:sz="6" w:space="0" w:color="auto"/>
              <w:bottom w:val="single" w:sz="6" w:space="0" w:color="auto"/>
              <w:right w:val="single" w:sz="6" w:space="0" w:color="auto"/>
            </w:tcBorders>
          </w:tcPr>
          <w:p w14:paraId="0AF5F4A7"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Pomiar niwelatorem rzędnych w odstępach co 200 m oraz w punktach wątpliwych</w:t>
            </w:r>
          </w:p>
        </w:tc>
      </w:tr>
      <w:tr w:rsidR="00713454" w:rsidRPr="004853EB" w14:paraId="21E4993D" w14:textId="77777777" w:rsidTr="00713454">
        <w:tc>
          <w:tcPr>
            <w:tcW w:w="496" w:type="dxa"/>
            <w:tcBorders>
              <w:top w:val="single" w:sz="6" w:space="0" w:color="auto"/>
              <w:left w:val="single" w:sz="6" w:space="0" w:color="auto"/>
              <w:bottom w:val="single" w:sz="6" w:space="0" w:color="auto"/>
              <w:right w:val="single" w:sz="6" w:space="0" w:color="auto"/>
            </w:tcBorders>
          </w:tcPr>
          <w:p w14:paraId="50FEFC72"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8</w:t>
            </w:r>
          </w:p>
        </w:tc>
        <w:tc>
          <w:tcPr>
            <w:tcW w:w="2500" w:type="dxa"/>
            <w:tcBorders>
              <w:top w:val="single" w:sz="6" w:space="0" w:color="auto"/>
              <w:left w:val="single" w:sz="6" w:space="0" w:color="auto"/>
              <w:bottom w:val="single" w:sz="6" w:space="0" w:color="auto"/>
              <w:right w:val="single" w:sz="6" w:space="0" w:color="auto"/>
            </w:tcBorders>
          </w:tcPr>
          <w:p w14:paraId="6127763B"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Badanie zagęszczenia gruntu</w:t>
            </w:r>
          </w:p>
        </w:tc>
        <w:tc>
          <w:tcPr>
            <w:tcW w:w="4514" w:type="dxa"/>
            <w:tcBorders>
              <w:top w:val="single" w:sz="6" w:space="0" w:color="auto"/>
              <w:left w:val="single" w:sz="6" w:space="0" w:color="auto"/>
              <w:bottom w:val="single" w:sz="6" w:space="0" w:color="auto"/>
              <w:right w:val="single" w:sz="6" w:space="0" w:color="auto"/>
            </w:tcBorders>
          </w:tcPr>
          <w:p w14:paraId="41EFA6F3" w14:textId="6C670B1F"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Wskaźnik zagęszczenia określać dla każdej ułożonej </w:t>
            </w:r>
            <w:r w:rsidR="00B67D8D" w:rsidRPr="004853EB">
              <w:rPr>
                <w:rFonts w:eastAsia="Times New Roman" w:cstheme="minorHAnsi"/>
                <w:sz w:val="20"/>
                <w:szCs w:val="20"/>
                <w:lang w:eastAsia="pl-PL"/>
              </w:rPr>
              <w:t>warstwy,</w:t>
            </w:r>
            <w:r w:rsidRPr="004853EB">
              <w:rPr>
                <w:rFonts w:eastAsia="Times New Roman" w:cstheme="minorHAnsi"/>
                <w:sz w:val="20"/>
                <w:szCs w:val="20"/>
                <w:lang w:eastAsia="pl-PL"/>
              </w:rPr>
              <w:t xml:space="preserve"> lecz nie rzadziej niż w trzech punktach na 1000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warstwy</w:t>
            </w:r>
          </w:p>
        </w:tc>
      </w:tr>
    </w:tbl>
    <w:p w14:paraId="59D76E48"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38AEB80B"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6.3.2. </w:t>
      </w:r>
      <w:r w:rsidRPr="004853EB">
        <w:rPr>
          <w:rFonts w:eastAsia="Times New Roman" w:cstheme="minorHAnsi"/>
          <w:sz w:val="20"/>
          <w:szCs w:val="20"/>
          <w:lang w:eastAsia="pl-PL"/>
        </w:rPr>
        <w:t>Szerokość korpusu ziemnego</w:t>
      </w:r>
    </w:p>
    <w:p w14:paraId="21D74973"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Szerokość korpusu ziemnego nie może różnić się od szerokości projektowanej o więcej niż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10 cm.</w:t>
      </w:r>
    </w:p>
    <w:p w14:paraId="5B29973E" w14:textId="77777777" w:rsidR="00713454" w:rsidRPr="004853EB" w:rsidRDefault="00713454" w:rsidP="00713454">
      <w:pPr>
        <w:keepNext/>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6.3.3. </w:t>
      </w:r>
      <w:r w:rsidRPr="004853EB">
        <w:rPr>
          <w:rFonts w:eastAsia="Times New Roman" w:cstheme="minorHAnsi"/>
          <w:sz w:val="20"/>
          <w:szCs w:val="20"/>
          <w:lang w:eastAsia="pl-PL"/>
        </w:rPr>
        <w:t>Szerokość dna rowów</w:t>
      </w:r>
    </w:p>
    <w:p w14:paraId="659C16E3" w14:textId="77777777" w:rsidR="00713454" w:rsidRPr="004853EB"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Szerokość dna rowów nie może różnić się od szerokości projektowanej o więcej niż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5 cm.</w:t>
      </w:r>
    </w:p>
    <w:p w14:paraId="3026FBDA" w14:textId="77777777" w:rsidR="00713454" w:rsidRPr="004853EB" w:rsidRDefault="00713454" w:rsidP="00713454">
      <w:pPr>
        <w:keepNext/>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6.3.4. </w:t>
      </w:r>
      <w:r w:rsidRPr="004853EB">
        <w:rPr>
          <w:rFonts w:eastAsia="Times New Roman" w:cstheme="minorHAnsi"/>
          <w:sz w:val="20"/>
          <w:szCs w:val="20"/>
          <w:lang w:eastAsia="pl-PL"/>
        </w:rPr>
        <w:t>Rzędne korony korpusu ziemnego</w:t>
      </w:r>
    </w:p>
    <w:p w14:paraId="6298978F"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Rzędne korony korpusu ziemnego nie mogą różnić się od rzędnych projektowanych o więcej niż -3 cm lub +1 cm.</w:t>
      </w:r>
    </w:p>
    <w:p w14:paraId="12FB4017"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6.3.5. </w:t>
      </w:r>
      <w:r w:rsidRPr="004853EB">
        <w:rPr>
          <w:rFonts w:eastAsia="Times New Roman" w:cstheme="minorHAnsi"/>
          <w:sz w:val="20"/>
          <w:szCs w:val="20"/>
          <w:lang w:eastAsia="pl-PL"/>
        </w:rPr>
        <w:t>Pochylenie skarp</w:t>
      </w:r>
    </w:p>
    <w:p w14:paraId="4BD65E7D"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Pochylenie skarp nie może różnić się od pochylenia projektowanego o więcej niż 10% wartości pochylenia wyrażonego tangensem kąta.</w:t>
      </w:r>
    </w:p>
    <w:p w14:paraId="79F3BAB9"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6.3.6. </w:t>
      </w:r>
      <w:r w:rsidRPr="004853EB">
        <w:rPr>
          <w:rFonts w:eastAsia="Times New Roman" w:cstheme="minorHAnsi"/>
          <w:sz w:val="20"/>
          <w:szCs w:val="20"/>
          <w:lang w:eastAsia="pl-PL"/>
        </w:rPr>
        <w:t>Równość korony korpusu</w:t>
      </w:r>
    </w:p>
    <w:p w14:paraId="164F38D4"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Nierówności powierzchni korpusu ziemnego mierzone łatą 3-metrową, nie mogą przekraczać 3 cm.</w:t>
      </w:r>
    </w:p>
    <w:p w14:paraId="7843ECF6"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6.3.7. </w:t>
      </w:r>
      <w:r w:rsidRPr="004853EB">
        <w:rPr>
          <w:rFonts w:eastAsia="Times New Roman" w:cstheme="minorHAnsi"/>
          <w:sz w:val="20"/>
          <w:szCs w:val="20"/>
          <w:lang w:eastAsia="pl-PL"/>
        </w:rPr>
        <w:t>Równość skarp</w:t>
      </w:r>
    </w:p>
    <w:p w14:paraId="60E6924D"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Nierówności skarp, mierzone łatą 3-metrową, nie mogą przekraczać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10 cm.</w:t>
      </w:r>
    </w:p>
    <w:p w14:paraId="08877469"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6.3.8. </w:t>
      </w:r>
      <w:r w:rsidRPr="004853EB">
        <w:rPr>
          <w:rFonts w:eastAsia="Times New Roman" w:cstheme="minorHAnsi"/>
          <w:sz w:val="20"/>
          <w:szCs w:val="20"/>
          <w:lang w:eastAsia="pl-PL"/>
        </w:rPr>
        <w:t>Spadek podłużny korony korpusu lub dna rowu</w:t>
      </w:r>
    </w:p>
    <w:p w14:paraId="4F898ADA"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Spadek podłużny powierzchni korpusu ziemnego lub dna rowu, sprawdzony przez pomiar niwelatorem rzędnych wysokościowych, nie może dawać różnic, w stosunku do rzędnych projektowanych, większych niż -3 cm lub +1 cm.</w:t>
      </w:r>
    </w:p>
    <w:p w14:paraId="6AA0BB90"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6.3.9. </w:t>
      </w:r>
      <w:r w:rsidRPr="004853EB">
        <w:rPr>
          <w:rFonts w:eastAsia="Times New Roman" w:cstheme="minorHAnsi"/>
          <w:sz w:val="20"/>
          <w:szCs w:val="20"/>
          <w:lang w:eastAsia="pl-PL"/>
        </w:rPr>
        <w:t>Zagęszczenie gruntu</w:t>
      </w:r>
    </w:p>
    <w:p w14:paraId="33487282" w14:textId="3C3B0C2B"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Wskaźnik zagęszczenia gruntu określony zgodnie z BN-77/8931-12 [9] powinien być zgodny z założonym dla odpowiedniej kategorii ruchu. W przypadku </w:t>
      </w:r>
      <w:r w:rsidR="00B67D8D" w:rsidRPr="004853EB">
        <w:rPr>
          <w:rFonts w:eastAsia="Times New Roman" w:cstheme="minorHAnsi"/>
          <w:sz w:val="20"/>
          <w:szCs w:val="20"/>
          <w:lang w:eastAsia="pl-PL"/>
        </w:rPr>
        <w:t>gruntów,</w:t>
      </w:r>
      <w:r w:rsidRPr="004853EB">
        <w:rPr>
          <w:rFonts w:eastAsia="Times New Roman" w:cstheme="minorHAnsi"/>
          <w:sz w:val="20"/>
          <w:szCs w:val="20"/>
          <w:lang w:eastAsia="pl-PL"/>
        </w:rPr>
        <w:t xml:space="preserve"> dla których nie można określić wskaźnika zagęszczenia należy określić wskaźnik odkształcenia I</w:t>
      </w:r>
      <w:r w:rsidRPr="004853EB">
        <w:rPr>
          <w:rFonts w:eastAsia="Times New Roman" w:cstheme="minorHAnsi"/>
          <w:sz w:val="20"/>
          <w:szCs w:val="20"/>
          <w:vertAlign w:val="subscript"/>
          <w:lang w:eastAsia="pl-PL"/>
        </w:rPr>
        <w:t>0</w:t>
      </w:r>
      <w:r w:rsidRPr="004853EB">
        <w:rPr>
          <w:rFonts w:eastAsia="Times New Roman" w:cstheme="minorHAnsi"/>
          <w:sz w:val="20"/>
          <w:szCs w:val="20"/>
          <w:lang w:eastAsia="pl-PL"/>
        </w:rPr>
        <w:t>, zgodnie z normą PN-S-02205:1998 [4].</w:t>
      </w:r>
    </w:p>
    <w:p w14:paraId="7D5DADFB"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806" w:name="_Toc405615056"/>
      <w:bookmarkStart w:id="807" w:name="_Toc407161204"/>
      <w:bookmarkStart w:id="808" w:name="_Toc194476635"/>
      <w:bookmarkStart w:id="809" w:name="_Toc227759977"/>
      <w:bookmarkStart w:id="810" w:name="_Toc227825124"/>
      <w:r w:rsidRPr="004853EB">
        <w:rPr>
          <w:rFonts w:eastAsia="Times New Roman" w:cstheme="minorHAnsi"/>
          <w:b/>
          <w:sz w:val="20"/>
          <w:szCs w:val="20"/>
          <w:lang w:eastAsia="pl-PL"/>
        </w:rPr>
        <w:t>6.4. Zasady postępowania z wadliwie wykonanymi robotami</w:t>
      </w:r>
      <w:bookmarkEnd w:id="806"/>
      <w:bookmarkEnd w:id="807"/>
      <w:bookmarkEnd w:id="808"/>
      <w:bookmarkEnd w:id="809"/>
      <w:bookmarkEnd w:id="810"/>
    </w:p>
    <w:p w14:paraId="0DE85E56"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Wszystkie materiały nie spełniające wymagań podanych w odpowiednich punktach specyfikacji, zostaną odrzucone. Jeśli materiały nie spełniające wymagań zostaną wbudowane lub zastosowane, to na polecenie Inżyniera Wykonawca wymieni je na właściwe, na własny koszt.</w:t>
      </w:r>
    </w:p>
    <w:p w14:paraId="2677CF4D"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Wszystkie roboty, które wykazują większe odchylenia cech od określonych w punktach 5 i 6 specyfikacji powinny być ponownie wykonane przez Wykonawcę na jego koszt.</w:t>
      </w:r>
    </w:p>
    <w:p w14:paraId="5D589071" w14:textId="77777777" w:rsidR="00713454" w:rsidRPr="004853EB"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t>Na pisemne wystąpienie Wykonawcy, Inżynier może uznać wadę za nie mającą zasadniczego wpływu na cechy eksploatacyjne drogi i ustali zakres i wielkość potrąceń za obniżoną jakość.</w:t>
      </w:r>
    </w:p>
    <w:p w14:paraId="29AA263B" w14:textId="77777777" w:rsidR="00713454" w:rsidRPr="004853EB" w:rsidRDefault="00713454" w:rsidP="00713454">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811" w:name="_Toc405615057"/>
      <w:bookmarkStart w:id="812" w:name="_Toc407161205"/>
      <w:bookmarkStart w:id="813" w:name="_Toc418996328"/>
      <w:bookmarkStart w:id="814" w:name="_Toc418996697"/>
      <w:bookmarkStart w:id="815" w:name="_Toc418997084"/>
      <w:bookmarkStart w:id="816" w:name="_Toc418998494"/>
      <w:bookmarkStart w:id="817" w:name="_Toc418998850"/>
      <w:bookmarkStart w:id="818" w:name="_Toc419000095"/>
      <w:bookmarkStart w:id="819" w:name="_Toc194476636"/>
      <w:bookmarkStart w:id="820" w:name="_Toc227759978"/>
      <w:bookmarkStart w:id="821" w:name="_Toc227825125"/>
      <w:r w:rsidRPr="004853EB">
        <w:rPr>
          <w:rFonts w:eastAsia="Times New Roman" w:cstheme="minorHAnsi"/>
          <w:b/>
          <w:caps/>
          <w:kern w:val="28"/>
          <w:sz w:val="20"/>
          <w:szCs w:val="20"/>
          <w:lang w:eastAsia="pl-PL"/>
        </w:rPr>
        <w:t>7. obmiar robót</w:t>
      </w:r>
      <w:bookmarkEnd w:id="811"/>
      <w:bookmarkEnd w:id="812"/>
      <w:bookmarkEnd w:id="813"/>
      <w:bookmarkEnd w:id="814"/>
      <w:bookmarkEnd w:id="815"/>
      <w:bookmarkEnd w:id="816"/>
      <w:bookmarkEnd w:id="817"/>
      <w:bookmarkEnd w:id="818"/>
      <w:bookmarkEnd w:id="819"/>
      <w:bookmarkEnd w:id="820"/>
      <w:bookmarkEnd w:id="821"/>
    </w:p>
    <w:p w14:paraId="7F895D7A"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822" w:name="_Toc405615058"/>
      <w:bookmarkStart w:id="823" w:name="_Toc407161206"/>
      <w:bookmarkStart w:id="824" w:name="_Toc194476637"/>
      <w:bookmarkStart w:id="825" w:name="_Toc227759979"/>
      <w:bookmarkStart w:id="826" w:name="_Toc227825126"/>
      <w:r w:rsidRPr="004853EB">
        <w:rPr>
          <w:rFonts w:eastAsia="Times New Roman" w:cstheme="minorHAnsi"/>
          <w:b/>
          <w:sz w:val="20"/>
          <w:szCs w:val="20"/>
          <w:lang w:eastAsia="pl-PL"/>
        </w:rPr>
        <w:t>7.1. Ogólne zasady obmiaru robót</w:t>
      </w:r>
      <w:bookmarkEnd w:id="822"/>
      <w:bookmarkEnd w:id="823"/>
      <w:bookmarkEnd w:id="824"/>
      <w:bookmarkEnd w:id="825"/>
      <w:bookmarkEnd w:id="826"/>
    </w:p>
    <w:p w14:paraId="53D40C6D"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obmiaru robót podano w SST D-00.00.00 „Wymagania ogólne” pkt 7.</w:t>
      </w:r>
    </w:p>
    <w:p w14:paraId="08ED9C39"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827" w:name="_Toc405615059"/>
      <w:bookmarkStart w:id="828" w:name="_Toc407161207"/>
      <w:bookmarkStart w:id="829" w:name="_Toc194476638"/>
      <w:bookmarkStart w:id="830" w:name="_Toc227759980"/>
      <w:bookmarkStart w:id="831" w:name="_Toc227825127"/>
      <w:r w:rsidRPr="004853EB">
        <w:rPr>
          <w:rFonts w:eastAsia="Times New Roman" w:cstheme="minorHAnsi"/>
          <w:b/>
          <w:sz w:val="20"/>
          <w:szCs w:val="20"/>
          <w:lang w:eastAsia="pl-PL"/>
        </w:rPr>
        <w:t>7.2. Obmiar robót ziemnych</w:t>
      </w:r>
      <w:bookmarkEnd w:id="827"/>
      <w:bookmarkEnd w:id="828"/>
      <w:bookmarkEnd w:id="829"/>
      <w:bookmarkEnd w:id="830"/>
      <w:bookmarkEnd w:id="831"/>
    </w:p>
    <w:p w14:paraId="1E8EFC65" w14:textId="77777777" w:rsidR="00713454" w:rsidRPr="004853EB"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Jednostka obmiarową jest m</w:t>
      </w:r>
      <w:r w:rsidRPr="004853EB">
        <w:rPr>
          <w:rFonts w:eastAsia="Times New Roman" w:cstheme="minorHAnsi"/>
          <w:sz w:val="20"/>
          <w:szCs w:val="20"/>
          <w:vertAlign w:val="superscript"/>
          <w:lang w:eastAsia="pl-PL"/>
        </w:rPr>
        <w:t>3</w:t>
      </w:r>
      <w:r w:rsidRPr="004853EB">
        <w:rPr>
          <w:rFonts w:eastAsia="Times New Roman" w:cstheme="minorHAnsi"/>
          <w:sz w:val="20"/>
          <w:szCs w:val="20"/>
          <w:lang w:eastAsia="pl-PL"/>
        </w:rPr>
        <w:t xml:space="preserve"> (metr sześcienny) wykonanych robót ziemnych.</w:t>
      </w:r>
    </w:p>
    <w:p w14:paraId="6E755F51" w14:textId="77777777" w:rsidR="00713454" w:rsidRPr="004853EB" w:rsidRDefault="00713454" w:rsidP="00713454">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832" w:name="_Toc405615060"/>
      <w:bookmarkStart w:id="833" w:name="_Toc407161208"/>
      <w:bookmarkStart w:id="834" w:name="_Toc418996329"/>
      <w:bookmarkStart w:id="835" w:name="_Toc418996698"/>
      <w:bookmarkStart w:id="836" w:name="_Toc418997085"/>
      <w:bookmarkStart w:id="837" w:name="_Toc418998495"/>
      <w:bookmarkStart w:id="838" w:name="_Toc418998851"/>
      <w:bookmarkStart w:id="839" w:name="_Toc419000096"/>
      <w:bookmarkStart w:id="840" w:name="_Toc194476639"/>
      <w:bookmarkStart w:id="841" w:name="_Toc227759981"/>
      <w:bookmarkStart w:id="842" w:name="_Toc227825128"/>
      <w:r w:rsidRPr="004853EB">
        <w:rPr>
          <w:rFonts w:eastAsia="Times New Roman" w:cstheme="minorHAnsi"/>
          <w:b/>
          <w:caps/>
          <w:kern w:val="28"/>
          <w:sz w:val="20"/>
          <w:szCs w:val="20"/>
          <w:lang w:eastAsia="pl-PL"/>
        </w:rPr>
        <w:t>8. odbiór robót</w:t>
      </w:r>
      <w:bookmarkEnd w:id="832"/>
      <w:bookmarkEnd w:id="833"/>
      <w:bookmarkEnd w:id="834"/>
      <w:bookmarkEnd w:id="835"/>
      <w:bookmarkEnd w:id="836"/>
      <w:bookmarkEnd w:id="837"/>
      <w:bookmarkEnd w:id="838"/>
      <w:bookmarkEnd w:id="839"/>
      <w:bookmarkEnd w:id="840"/>
      <w:bookmarkEnd w:id="841"/>
      <w:bookmarkEnd w:id="842"/>
    </w:p>
    <w:p w14:paraId="27D6A236"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odbioru robót podano w SST D-00.00.00 „Wymagania ogólne” pkt 8.</w:t>
      </w:r>
    </w:p>
    <w:p w14:paraId="7019A7CA" w14:textId="77777777" w:rsidR="00713454" w:rsidRPr="004853EB"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Roboty ziemne uznaje się za wykonane zgodnie z dokumentacją projektową, SST i wymaganiami Inżyniera, jeżeli wszystkie pomiary i badania z zachowaniem tolerancji wg pkt 6 dały wyniki pozytywne.</w:t>
      </w:r>
    </w:p>
    <w:p w14:paraId="2346D6BD" w14:textId="77777777" w:rsidR="00713454" w:rsidRPr="004853EB" w:rsidRDefault="00713454" w:rsidP="00713454">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843" w:name="_Toc405615061"/>
      <w:bookmarkStart w:id="844" w:name="_Toc407161209"/>
      <w:bookmarkStart w:id="845" w:name="_Toc418996330"/>
      <w:bookmarkStart w:id="846" w:name="_Toc418996699"/>
      <w:bookmarkStart w:id="847" w:name="_Toc418997086"/>
      <w:bookmarkStart w:id="848" w:name="_Toc418998496"/>
      <w:bookmarkStart w:id="849" w:name="_Toc418998852"/>
      <w:bookmarkStart w:id="850" w:name="_Toc419000097"/>
      <w:bookmarkStart w:id="851" w:name="_Toc194476640"/>
      <w:bookmarkStart w:id="852" w:name="_Toc227759982"/>
      <w:bookmarkStart w:id="853" w:name="_Toc227825129"/>
      <w:r w:rsidRPr="004853EB">
        <w:rPr>
          <w:rFonts w:eastAsia="Times New Roman" w:cstheme="minorHAnsi"/>
          <w:b/>
          <w:caps/>
          <w:kern w:val="28"/>
          <w:sz w:val="20"/>
          <w:szCs w:val="20"/>
          <w:lang w:eastAsia="pl-PL"/>
        </w:rPr>
        <w:t>9. podstawa płatności</w:t>
      </w:r>
      <w:bookmarkEnd w:id="843"/>
      <w:bookmarkEnd w:id="844"/>
      <w:bookmarkEnd w:id="845"/>
      <w:bookmarkEnd w:id="846"/>
      <w:bookmarkEnd w:id="847"/>
      <w:bookmarkEnd w:id="848"/>
      <w:bookmarkEnd w:id="849"/>
      <w:bookmarkEnd w:id="850"/>
      <w:bookmarkEnd w:id="851"/>
      <w:bookmarkEnd w:id="852"/>
      <w:bookmarkEnd w:id="853"/>
    </w:p>
    <w:p w14:paraId="6FA8C8EE"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ustalenia dotyczące podstawy płatności podano w SST D-00.00.00 „Wymagania ogólne” pkt 9.</w:t>
      </w:r>
    </w:p>
    <w:p w14:paraId="39313C1C" w14:textId="77777777" w:rsidR="00713454" w:rsidRPr="004853EB"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Zakres czynności objętych ceną jednostkową podano w SST D-02.01.01, oraz D-02.03.01 pkt 9.</w:t>
      </w:r>
    </w:p>
    <w:p w14:paraId="30DBDC82" w14:textId="77777777" w:rsidR="00713454" w:rsidRPr="004853EB" w:rsidRDefault="00713454" w:rsidP="00713454">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854" w:name="_Toc405615062"/>
      <w:bookmarkStart w:id="855" w:name="_Toc407161210"/>
      <w:bookmarkStart w:id="856" w:name="_Toc418994924"/>
      <w:bookmarkStart w:id="857" w:name="_Toc418996331"/>
      <w:bookmarkStart w:id="858" w:name="_Toc418996700"/>
      <w:bookmarkStart w:id="859" w:name="_Toc418997087"/>
      <w:bookmarkStart w:id="860" w:name="_Toc418998497"/>
      <w:bookmarkStart w:id="861" w:name="_Toc418998853"/>
      <w:bookmarkStart w:id="862" w:name="_Toc419000098"/>
      <w:bookmarkStart w:id="863" w:name="_Toc194476641"/>
      <w:bookmarkStart w:id="864" w:name="_Toc227759983"/>
      <w:bookmarkStart w:id="865" w:name="_Toc227825130"/>
      <w:r w:rsidRPr="004853EB">
        <w:rPr>
          <w:rFonts w:eastAsia="Times New Roman" w:cstheme="minorHAnsi"/>
          <w:b/>
          <w:caps/>
          <w:kern w:val="28"/>
          <w:sz w:val="20"/>
          <w:szCs w:val="20"/>
          <w:lang w:eastAsia="pl-PL"/>
        </w:rPr>
        <w:t>10. przepisy związane</w:t>
      </w:r>
      <w:bookmarkEnd w:id="854"/>
      <w:bookmarkEnd w:id="855"/>
      <w:bookmarkEnd w:id="856"/>
      <w:bookmarkEnd w:id="857"/>
      <w:bookmarkEnd w:id="858"/>
      <w:bookmarkEnd w:id="859"/>
      <w:bookmarkEnd w:id="860"/>
      <w:bookmarkEnd w:id="861"/>
      <w:bookmarkEnd w:id="862"/>
      <w:bookmarkEnd w:id="863"/>
      <w:bookmarkEnd w:id="864"/>
      <w:bookmarkEnd w:id="865"/>
    </w:p>
    <w:p w14:paraId="7DA73500"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866" w:name="_Toc405615063"/>
      <w:bookmarkStart w:id="867" w:name="_Toc407161211"/>
      <w:bookmarkStart w:id="868" w:name="_Toc194476642"/>
      <w:bookmarkStart w:id="869" w:name="_Toc227759984"/>
      <w:bookmarkStart w:id="870" w:name="_Toc227825131"/>
      <w:r w:rsidRPr="004853EB">
        <w:rPr>
          <w:rFonts w:eastAsia="Times New Roman" w:cstheme="minorHAnsi"/>
          <w:b/>
          <w:sz w:val="20"/>
          <w:szCs w:val="20"/>
          <w:lang w:eastAsia="pl-PL"/>
        </w:rPr>
        <w:t>10.1. Normy</w:t>
      </w:r>
      <w:bookmarkEnd w:id="866"/>
      <w:bookmarkEnd w:id="867"/>
      <w:bookmarkEnd w:id="868"/>
      <w:bookmarkEnd w:id="869"/>
      <w:bookmarkEnd w:id="870"/>
    </w:p>
    <w:tbl>
      <w:tblPr>
        <w:tblW w:w="0" w:type="auto"/>
        <w:tblLayout w:type="fixed"/>
        <w:tblCellMar>
          <w:left w:w="70" w:type="dxa"/>
          <w:right w:w="70" w:type="dxa"/>
        </w:tblCellMar>
        <w:tblLook w:val="0000" w:firstRow="0" w:lastRow="0" w:firstColumn="0" w:lastColumn="0" w:noHBand="0" w:noVBand="0"/>
      </w:tblPr>
      <w:tblGrid>
        <w:gridCol w:w="354"/>
        <w:gridCol w:w="1879"/>
        <w:gridCol w:w="5277"/>
      </w:tblGrid>
      <w:tr w:rsidR="00713454" w:rsidRPr="004853EB" w14:paraId="06CD3C10" w14:textId="77777777" w:rsidTr="00713454">
        <w:tc>
          <w:tcPr>
            <w:tcW w:w="354" w:type="dxa"/>
          </w:tcPr>
          <w:p w14:paraId="12A92FAC"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1879" w:type="dxa"/>
          </w:tcPr>
          <w:p w14:paraId="7F9697E5"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PN-B-02480:1986</w:t>
            </w:r>
          </w:p>
        </w:tc>
        <w:tc>
          <w:tcPr>
            <w:tcW w:w="5277" w:type="dxa"/>
          </w:tcPr>
          <w:p w14:paraId="4F4E3828"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Grunty budowlane. Określenia. Symbole. Podział i opis gruntów</w:t>
            </w:r>
          </w:p>
        </w:tc>
      </w:tr>
      <w:tr w:rsidR="00713454" w:rsidRPr="004853EB" w14:paraId="69B242D1" w14:textId="77777777" w:rsidTr="00713454">
        <w:tc>
          <w:tcPr>
            <w:tcW w:w="354" w:type="dxa"/>
          </w:tcPr>
          <w:p w14:paraId="0A85EA03"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1879" w:type="dxa"/>
          </w:tcPr>
          <w:p w14:paraId="4E6F3168"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PN-B-04481:1988</w:t>
            </w:r>
          </w:p>
        </w:tc>
        <w:tc>
          <w:tcPr>
            <w:tcW w:w="5277" w:type="dxa"/>
          </w:tcPr>
          <w:p w14:paraId="1AC74517"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Grunty budowlane. Badania próbek gruntów</w:t>
            </w:r>
          </w:p>
        </w:tc>
      </w:tr>
      <w:tr w:rsidR="00713454" w:rsidRPr="004853EB" w14:paraId="008C4082" w14:textId="77777777" w:rsidTr="00713454">
        <w:tc>
          <w:tcPr>
            <w:tcW w:w="354" w:type="dxa"/>
          </w:tcPr>
          <w:p w14:paraId="76BA465B"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1879" w:type="dxa"/>
          </w:tcPr>
          <w:p w14:paraId="632A099E"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PN-B-04493:1960</w:t>
            </w:r>
          </w:p>
        </w:tc>
        <w:tc>
          <w:tcPr>
            <w:tcW w:w="5277" w:type="dxa"/>
          </w:tcPr>
          <w:p w14:paraId="5EBFD647"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Grunty budowlane. Oznaczanie kapilarności biernej</w:t>
            </w:r>
          </w:p>
        </w:tc>
      </w:tr>
      <w:tr w:rsidR="00713454" w:rsidRPr="004853EB" w14:paraId="249F1734" w14:textId="77777777" w:rsidTr="00713454">
        <w:tc>
          <w:tcPr>
            <w:tcW w:w="354" w:type="dxa"/>
          </w:tcPr>
          <w:p w14:paraId="1F935F1F"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1879" w:type="dxa"/>
          </w:tcPr>
          <w:p w14:paraId="73B4DBF6"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PN-S-02205:1998</w:t>
            </w:r>
          </w:p>
        </w:tc>
        <w:tc>
          <w:tcPr>
            <w:tcW w:w="5277" w:type="dxa"/>
          </w:tcPr>
          <w:p w14:paraId="7C675E71"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Drogi samochodowe. Roboty ziemne. Wymagania i badania</w:t>
            </w:r>
          </w:p>
        </w:tc>
      </w:tr>
      <w:tr w:rsidR="00713454" w:rsidRPr="004853EB" w14:paraId="1803FF90" w14:textId="77777777" w:rsidTr="00713454">
        <w:tc>
          <w:tcPr>
            <w:tcW w:w="354" w:type="dxa"/>
          </w:tcPr>
          <w:p w14:paraId="0649ED00"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c>
          <w:tcPr>
            <w:tcW w:w="1879" w:type="dxa"/>
          </w:tcPr>
          <w:p w14:paraId="5D15DAEF"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BN-64/8931-01</w:t>
            </w:r>
          </w:p>
        </w:tc>
        <w:tc>
          <w:tcPr>
            <w:tcW w:w="5277" w:type="dxa"/>
          </w:tcPr>
          <w:p w14:paraId="2A7CFD09"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Drogi samochodowe. Oznaczenie wskaźnika piaskowego</w:t>
            </w:r>
          </w:p>
        </w:tc>
      </w:tr>
      <w:tr w:rsidR="00713454" w:rsidRPr="004853EB" w14:paraId="371DFDF9" w14:textId="77777777" w:rsidTr="00713454">
        <w:tc>
          <w:tcPr>
            <w:tcW w:w="354" w:type="dxa"/>
          </w:tcPr>
          <w:p w14:paraId="6C70011D"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tc>
        <w:tc>
          <w:tcPr>
            <w:tcW w:w="1879" w:type="dxa"/>
          </w:tcPr>
          <w:p w14:paraId="1FE7B285"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BN-64/8931-02</w:t>
            </w:r>
          </w:p>
        </w:tc>
        <w:tc>
          <w:tcPr>
            <w:tcW w:w="5277" w:type="dxa"/>
          </w:tcPr>
          <w:p w14:paraId="16B84AE5"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Drogi samochodowe. Oznaczenie modułu odkształcenia nawierzchni podatnych i podłoża przez obciążenie płytą</w:t>
            </w:r>
          </w:p>
        </w:tc>
      </w:tr>
      <w:tr w:rsidR="00713454" w:rsidRPr="004853EB" w14:paraId="67D2110F" w14:textId="77777777" w:rsidTr="00713454">
        <w:tc>
          <w:tcPr>
            <w:tcW w:w="354" w:type="dxa"/>
          </w:tcPr>
          <w:p w14:paraId="14A4F793"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w:t>
            </w:r>
          </w:p>
        </w:tc>
        <w:tc>
          <w:tcPr>
            <w:tcW w:w="1879" w:type="dxa"/>
          </w:tcPr>
          <w:p w14:paraId="17BA8C22"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BN-77/8931-12</w:t>
            </w:r>
          </w:p>
        </w:tc>
        <w:tc>
          <w:tcPr>
            <w:tcW w:w="5277" w:type="dxa"/>
          </w:tcPr>
          <w:p w14:paraId="6A9EC400"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Oznaczenie wskaźnika zagęszczenia gruntu</w:t>
            </w:r>
          </w:p>
        </w:tc>
      </w:tr>
      <w:tr w:rsidR="00713454" w:rsidRPr="004853EB" w14:paraId="51C754B5" w14:textId="77777777" w:rsidTr="00713454">
        <w:tc>
          <w:tcPr>
            <w:tcW w:w="354" w:type="dxa"/>
          </w:tcPr>
          <w:p w14:paraId="00E55D38"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tc>
        <w:tc>
          <w:tcPr>
            <w:tcW w:w="1879" w:type="dxa"/>
          </w:tcPr>
          <w:p w14:paraId="7A35EEFA"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c>
          <w:tcPr>
            <w:tcW w:w="5277" w:type="dxa"/>
          </w:tcPr>
          <w:p w14:paraId="021DF186"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r>
      <w:tr w:rsidR="00713454" w:rsidRPr="004853EB" w14:paraId="26FFDCA7" w14:textId="77777777" w:rsidTr="00713454">
        <w:tc>
          <w:tcPr>
            <w:tcW w:w="354" w:type="dxa"/>
          </w:tcPr>
          <w:p w14:paraId="670971FB"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tc>
        <w:tc>
          <w:tcPr>
            <w:tcW w:w="1879" w:type="dxa"/>
          </w:tcPr>
          <w:p w14:paraId="70668CF0"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c>
          <w:tcPr>
            <w:tcW w:w="5277" w:type="dxa"/>
          </w:tcPr>
          <w:p w14:paraId="2939BC77"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r>
    </w:tbl>
    <w:p w14:paraId="40C0A7B8"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871" w:name="_Toc405615064"/>
      <w:bookmarkStart w:id="872" w:name="_Toc407161212"/>
      <w:bookmarkStart w:id="873" w:name="_Toc194476643"/>
      <w:bookmarkStart w:id="874" w:name="_Toc227759985"/>
      <w:bookmarkStart w:id="875" w:name="_Toc227825132"/>
      <w:r w:rsidRPr="004853EB">
        <w:rPr>
          <w:rFonts w:eastAsia="Times New Roman" w:cstheme="minorHAnsi"/>
          <w:b/>
          <w:sz w:val="20"/>
          <w:szCs w:val="20"/>
          <w:lang w:eastAsia="pl-PL"/>
        </w:rPr>
        <w:t>10.2. Inne dokumenty</w:t>
      </w:r>
      <w:bookmarkEnd w:id="871"/>
      <w:bookmarkEnd w:id="872"/>
      <w:bookmarkEnd w:id="873"/>
      <w:bookmarkEnd w:id="874"/>
      <w:bookmarkEnd w:id="875"/>
    </w:p>
    <w:p w14:paraId="39EF0866" w14:textId="216D4EB8" w:rsidR="00713454" w:rsidRPr="004853EB" w:rsidRDefault="00713454" w:rsidP="00713454">
      <w:pPr>
        <w:numPr>
          <w:ilvl w:val="0"/>
          <w:numId w:val="20"/>
        </w:numPr>
        <w:tabs>
          <w:tab w:val="left" w:pos="426"/>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Wykonanie i odbiór robót ziemnych dla dróg szybkiego ruchu, IBDiM, </w:t>
      </w:r>
      <w:r w:rsidR="00B67D8D" w:rsidRPr="004853EB">
        <w:rPr>
          <w:rFonts w:eastAsia="Times New Roman" w:cstheme="minorHAnsi"/>
          <w:sz w:val="20"/>
          <w:szCs w:val="20"/>
          <w:lang w:eastAsia="pl-PL"/>
        </w:rPr>
        <w:t>Warszawa 1978.</w:t>
      </w:r>
    </w:p>
    <w:p w14:paraId="222200A1" w14:textId="74C6ABAA" w:rsidR="00713454" w:rsidRPr="004853EB" w:rsidRDefault="00713454" w:rsidP="00713454">
      <w:pPr>
        <w:numPr>
          <w:ilvl w:val="0"/>
          <w:numId w:val="20"/>
        </w:numPr>
        <w:tabs>
          <w:tab w:val="left" w:pos="426"/>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Instrukcja badań podłoża gruntowego budowli drogowych i mostowych, </w:t>
      </w:r>
      <w:r w:rsidR="00B67D8D" w:rsidRPr="004853EB">
        <w:rPr>
          <w:rFonts w:eastAsia="Times New Roman" w:cstheme="minorHAnsi"/>
          <w:sz w:val="20"/>
          <w:szCs w:val="20"/>
          <w:lang w:eastAsia="pl-PL"/>
        </w:rPr>
        <w:t>GDDP, Warszawa</w:t>
      </w:r>
      <w:r w:rsidRPr="004853EB">
        <w:rPr>
          <w:rFonts w:eastAsia="Times New Roman" w:cstheme="minorHAnsi"/>
          <w:sz w:val="20"/>
          <w:szCs w:val="20"/>
          <w:lang w:eastAsia="pl-PL"/>
        </w:rPr>
        <w:t xml:space="preserve"> 1998.</w:t>
      </w:r>
    </w:p>
    <w:p w14:paraId="0D7EF696" w14:textId="77777777" w:rsidR="00713454" w:rsidRPr="004853EB" w:rsidRDefault="00713454" w:rsidP="00713454">
      <w:pPr>
        <w:numPr>
          <w:ilvl w:val="0"/>
          <w:numId w:val="20"/>
        </w:numPr>
        <w:tabs>
          <w:tab w:val="left" w:pos="426"/>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Katalog typowych konstrukcji nawierzchni podatnych i półsztywnych, IBDiM, Warszawa 1997.</w:t>
      </w:r>
    </w:p>
    <w:p w14:paraId="5AC680A7" w14:textId="77777777" w:rsidR="00713454" w:rsidRPr="004853EB" w:rsidRDefault="00713454" w:rsidP="00713454">
      <w:pPr>
        <w:numPr>
          <w:ilvl w:val="0"/>
          <w:numId w:val="20"/>
        </w:numPr>
        <w:tabs>
          <w:tab w:val="left" w:pos="426"/>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Wytyczne wzmacniania podłoża gruntowego w budownictwie drogowym, IBDiM, Warszawa 2002.</w:t>
      </w:r>
    </w:p>
    <w:p w14:paraId="0C426E4C" w14:textId="77777777" w:rsidR="00713454" w:rsidRPr="004853EB" w:rsidRDefault="00713454">
      <w:pPr>
        <w:rPr>
          <w:rFonts w:cstheme="minorHAnsi"/>
        </w:rPr>
      </w:pPr>
    </w:p>
    <w:p w14:paraId="6B8E151A" w14:textId="77777777" w:rsidR="00713454" w:rsidRPr="004853EB" w:rsidRDefault="00713454">
      <w:pPr>
        <w:rPr>
          <w:rFonts w:cstheme="minorHAnsi"/>
        </w:rPr>
      </w:pPr>
    </w:p>
    <w:p w14:paraId="44CC68D4" w14:textId="77777777" w:rsidR="00713454" w:rsidRPr="004853EB" w:rsidRDefault="00713454">
      <w:pPr>
        <w:rPr>
          <w:rFonts w:cstheme="minorHAnsi"/>
        </w:rPr>
      </w:pPr>
    </w:p>
    <w:p w14:paraId="70DE5385" w14:textId="77777777" w:rsidR="00713454" w:rsidRPr="004853EB" w:rsidRDefault="00713454">
      <w:pPr>
        <w:rPr>
          <w:rFonts w:cstheme="minorHAnsi"/>
        </w:rPr>
      </w:pPr>
    </w:p>
    <w:p w14:paraId="1C371299" w14:textId="77777777" w:rsidR="00713454" w:rsidRPr="004853EB" w:rsidRDefault="00713454">
      <w:pPr>
        <w:rPr>
          <w:rFonts w:cstheme="minorHAnsi"/>
        </w:rPr>
      </w:pPr>
    </w:p>
    <w:p w14:paraId="07D14609" w14:textId="77777777" w:rsidR="00713454" w:rsidRPr="004853EB" w:rsidRDefault="00713454">
      <w:pPr>
        <w:rPr>
          <w:rFonts w:cstheme="minorHAnsi"/>
        </w:rPr>
      </w:pPr>
    </w:p>
    <w:p w14:paraId="02788191" w14:textId="77777777" w:rsidR="00713454" w:rsidRPr="004853EB" w:rsidRDefault="00713454">
      <w:pPr>
        <w:rPr>
          <w:rFonts w:cstheme="minorHAnsi"/>
        </w:rPr>
      </w:pPr>
    </w:p>
    <w:p w14:paraId="640F574A" w14:textId="77777777" w:rsidR="00713454" w:rsidRPr="004853EB" w:rsidRDefault="00713454">
      <w:pPr>
        <w:rPr>
          <w:rFonts w:cstheme="minorHAnsi"/>
        </w:rPr>
      </w:pPr>
    </w:p>
    <w:p w14:paraId="3B9493E4" w14:textId="77777777" w:rsidR="00713454" w:rsidRPr="004853EB" w:rsidRDefault="00713454">
      <w:pPr>
        <w:rPr>
          <w:rFonts w:cstheme="minorHAnsi"/>
        </w:rPr>
      </w:pPr>
    </w:p>
    <w:p w14:paraId="4DFA72C9" w14:textId="77777777" w:rsidR="00713454" w:rsidRPr="004853EB" w:rsidRDefault="00713454">
      <w:pPr>
        <w:rPr>
          <w:rFonts w:cstheme="minorHAnsi"/>
        </w:rPr>
      </w:pPr>
    </w:p>
    <w:p w14:paraId="1C126482"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b/>
          <w:bCs/>
          <w:sz w:val="20"/>
          <w:szCs w:val="20"/>
          <w:lang w:eastAsia="pl-PL"/>
        </w:rPr>
      </w:pPr>
    </w:p>
    <w:p w14:paraId="08A6A0C1" w14:textId="77777777" w:rsidR="00713454" w:rsidRPr="004853EB" w:rsidRDefault="00713454" w:rsidP="00BF7EE3">
      <w:pPr>
        <w:pStyle w:val="Nagwek1"/>
        <w:rPr>
          <w:rFonts w:asciiTheme="minorHAnsi" w:hAnsiTheme="minorHAnsi" w:cstheme="minorHAnsi"/>
          <w:sz w:val="22"/>
          <w:szCs w:val="22"/>
        </w:rPr>
      </w:pPr>
      <w:bookmarkStart w:id="876" w:name="_Toc227825133"/>
      <w:r w:rsidRPr="004853EB">
        <w:rPr>
          <w:rFonts w:asciiTheme="minorHAnsi" w:hAnsiTheme="minorHAnsi" w:cstheme="minorHAnsi"/>
          <w:bCs/>
          <w:sz w:val="22"/>
          <w:szCs w:val="22"/>
        </w:rPr>
        <w:lastRenderedPageBreak/>
        <w:t>D - 02.01.01 WYKONANIE WYKOPÓW W GRUNTACH NIESKALISTYCH</w:t>
      </w:r>
      <w:bookmarkEnd w:id="876"/>
    </w:p>
    <w:p w14:paraId="7B71B133" w14:textId="77777777" w:rsidR="00713454" w:rsidRPr="00B67D8D" w:rsidRDefault="00713454" w:rsidP="00713454">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877" w:name="_Toc407161213"/>
      <w:bookmarkStart w:id="878" w:name="_Toc418994925"/>
      <w:bookmarkStart w:id="879" w:name="_Toc418996332"/>
      <w:bookmarkStart w:id="880" w:name="_Toc418996701"/>
      <w:bookmarkStart w:id="881" w:name="_Toc418997088"/>
      <w:bookmarkStart w:id="882" w:name="_Toc418998498"/>
      <w:bookmarkStart w:id="883" w:name="_Toc418998854"/>
      <w:bookmarkStart w:id="884" w:name="_Toc419000099"/>
      <w:bookmarkStart w:id="885" w:name="_Toc194476645"/>
      <w:bookmarkStart w:id="886" w:name="_Toc227759987"/>
      <w:bookmarkStart w:id="887" w:name="_Toc227825134"/>
      <w:r w:rsidRPr="00B67D8D">
        <w:rPr>
          <w:rFonts w:eastAsia="Times New Roman" w:cstheme="minorHAnsi"/>
          <w:b/>
          <w:caps/>
          <w:kern w:val="28"/>
          <w:sz w:val="20"/>
          <w:szCs w:val="20"/>
          <w:lang w:eastAsia="pl-PL"/>
        </w:rPr>
        <w:t>1. WSTĘP</w:t>
      </w:r>
      <w:bookmarkEnd w:id="877"/>
      <w:bookmarkEnd w:id="878"/>
      <w:bookmarkEnd w:id="879"/>
      <w:bookmarkEnd w:id="880"/>
      <w:bookmarkEnd w:id="881"/>
      <w:bookmarkEnd w:id="882"/>
      <w:bookmarkEnd w:id="883"/>
      <w:bookmarkEnd w:id="884"/>
      <w:bookmarkEnd w:id="885"/>
      <w:bookmarkEnd w:id="886"/>
      <w:bookmarkEnd w:id="887"/>
    </w:p>
    <w:p w14:paraId="53A7EE5B"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18"/>
          <w:szCs w:val="20"/>
          <w:lang w:eastAsia="pl-PL"/>
        </w:rPr>
      </w:pPr>
      <w:bookmarkStart w:id="888" w:name="_Toc407161214"/>
      <w:bookmarkStart w:id="889" w:name="_Toc194476646"/>
      <w:bookmarkStart w:id="890" w:name="_Toc227759988"/>
      <w:bookmarkStart w:id="891" w:name="_Toc227825135"/>
      <w:r w:rsidRPr="004853EB">
        <w:rPr>
          <w:rFonts w:eastAsia="Times New Roman" w:cstheme="minorHAnsi"/>
          <w:b/>
          <w:sz w:val="18"/>
          <w:szCs w:val="20"/>
          <w:lang w:eastAsia="pl-PL"/>
        </w:rPr>
        <w:t>1.1. Przedmiot SST</w:t>
      </w:r>
      <w:bookmarkEnd w:id="888"/>
      <w:bookmarkEnd w:id="889"/>
      <w:bookmarkEnd w:id="890"/>
      <w:bookmarkEnd w:id="891"/>
    </w:p>
    <w:p w14:paraId="6C700A93"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18"/>
          <w:szCs w:val="20"/>
          <w:lang w:eastAsia="pl-PL"/>
        </w:rPr>
      </w:pPr>
      <w:r w:rsidRPr="004853EB">
        <w:rPr>
          <w:rFonts w:eastAsia="Times New Roman" w:cstheme="minorHAnsi"/>
          <w:sz w:val="18"/>
          <w:szCs w:val="20"/>
          <w:lang w:eastAsia="pl-PL"/>
        </w:rPr>
        <w:tab/>
        <w:t>Przedmiotem niniejszej szczegółowej specyfikacji technicznej (SST) są wymagania dotyczące wykonania i odbioru wykopów w gruntach nieskalistych</w:t>
      </w:r>
    </w:p>
    <w:p w14:paraId="21528A5D"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18"/>
          <w:szCs w:val="20"/>
          <w:lang w:eastAsia="pl-PL"/>
        </w:rPr>
      </w:pPr>
      <w:bookmarkStart w:id="892" w:name="_Toc407161215"/>
      <w:bookmarkStart w:id="893" w:name="_Toc194476647"/>
      <w:bookmarkStart w:id="894" w:name="_Toc227759989"/>
      <w:bookmarkStart w:id="895" w:name="_Toc227825136"/>
      <w:r w:rsidRPr="004853EB">
        <w:rPr>
          <w:rFonts w:eastAsia="Times New Roman" w:cstheme="minorHAnsi"/>
          <w:b/>
          <w:sz w:val="18"/>
          <w:szCs w:val="20"/>
          <w:lang w:eastAsia="pl-PL"/>
        </w:rPr>
        <w:t>1.2. Zakres stosowania SST</w:t>
      </w:r>
      <w:bookmarkEnd w:id="892"/>
      <w:bookmarkEnd w:id="893"/>
      <w:bookmarkEnd w:id="894"/>
      <w:bookmarkEnd w:id="895"/>
    </w:p>
    <w:p w14:paraId="7692C70E"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18"/>
          <w:szCs w:val="20"/>
          <w:lang w:eastAsia="pl-PL"/>
        </w:rPr>
      </w:pPr>
      <w:r w:rsidRPr="004853EB">
        <w:rPr>
          <w:rFonts w:eastAsia="Times New Roman" w:cstheme="minorHAnsi"/>
          <w:sz w:val="18"/>
          <w:szCs w:val="20"/>
          <w:lang w:eastAsia="pl-PL"/>
        </w:rPr>
        <w:tab/>
      </w:r>
      <w:r w:rsidRPr="004853EB">
        <w:rPr>
          <w:rFonts w:eastAsia="Times New Roman" w:cstheme="minorHAnsi"/>
          <w:sz w:val="18"/>
          <w:szCs w:val="18"/>
          <w:lang w:eastAsia="pl-PL"/>
        </w:rPr>
        <w:t>Specyfikacja techniczna jest stosowana jako dokument przetargowy i kontraktowy przy zlecaniu i realizacji robót wymienionych w pkt 1.1.</w:t>
      </w:r>
    </w:p>
    <w:p w14:paraId="77EB69E8"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18"/>
          <w:szCs w:val="20"/>
          <w:lang w:eastAsia="pl-PL"/>
        </w:rPr>
      </w:pPr>
      <w:bookmarkStart w:id="896" w:name="_Toc407161216"/>
      <w:bookmarkStart w:id="897" w:name="_Toc194476648"/>
      <w:bookmarkStart w:id="898" w:name="_Toc227759990"/>
      <w:bookmarkStart w:id="899" w:name="_Toc227825137"/>
      <w:r w:rsidRPr="004853EB">
        <w:rPr>
          <w:rFonts w:eastAsia="Times New Roman" w:cstheme="minorHAnsi"/>
          <w:b/>
          <w:sz w:val="18"/>
          <w:szCs w:val="20"/>
          <w:lang w:eastAsia="pl-PL"/>
        </w:rPr>
        <w:t>1.3. Zakres robót objętych SST</w:t>
      </w:r>
      <w:bookmarkEnd w:id="896"/>
      <w:bookmarkEnd w:id="897"/>
      <w:bookmarkEnd w:id="898"/>
      <w:bookmarkEnd w:id="899"/>
    </w:p>
    <w:p w14:paraId="1D4AD302" w14:textId="1DD318E9"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18"/>
          <w:szCs w:val="20"/>
          <w:lang w:eastAsia="pl-PL"/>
        </w:rPr>
      </w:pPr>
      <w:r w:rsidRPr="004853EB">
        <w:rPr>
          <w:rFonts w:eastAsia="Times New Roman" w:cstheme="minorHAnsi"/>
          <w:sz w:val="18"/>
          <w:szCs w:val="20"/>
          <w:lang w:eastAsia="pl-PL"/>
        </w:rPr>
        <w:tab/>
        <w:t xml:space="preserve">Ustalenia zawarte w niniejszej specyfikacji związane są z </w:t>
      </w:r>
      <w:r w:rsidRPr="004853EB">
        <w:rPr>
          <w:rFonts w:eastAsia="Times New Roman" w:cstheme="minorHAnsi"/>
          <w:b/>
          <w:sz w:val="20"/>
          <w:szCs w:val="20"/>
          <w:lang w:eastAsia="pl-PL"/>
        </w:rPr>
        <w:t xml:space="preserve">Przebudową </w:t>
      </w:r>
      <w:r w:rsidR="00B67D8D" w:rsidRPr="004853EB">
        <w:rPr>
          <w:rFonts w:eastAsia="Times New Roman" w:cstheme="minorHAnsi"/>
          <w:b/>
          <w:sz w:val="20"/>
          <w:szCs w:val="20"/>
          <w:lang w:eastAsia="pl-PL"/>
        </w:rPr>
        <w:t>drogi powiatowej</w:t>
      </w:r>
      <w:r w:rsidRPr="004853EB">
        <w:rPr>
          <w:rFonts w:eastAsia="Times New Roman" w:cstheme="minorHAnsi"/>
          <w:b/>
          <w:sz w:val="20"/>
          <w:szCs w:val="20"/>
          <w:lang w:eastAsia="pl-PL"/>
        </w:rPr>
        <w:t xml:space="preserve"> nr </w:t>
      </w:r>
      <w:r w:rsidR="00386337" w:rsidRPr="00386337">
        <w:rPr>
          <w:rFonts w:eastAsia="Times New Roman" w:cstheme="minorHAnsi"/>
          <w:b/>
          <w:bCs/>
          <w:sz w:val="20"/>
          <w:szCs w:val="20"/>
          <w:lang w:eastAsia="pl-PL"/>
        </w:rPr>
        <w:t>4506W Zwoleń – Sarnów w miejscowości Łuczynów</w:t>
      </w:r>
      <w:r w:rsidR="00386337" w:rsidRPr="00386337">
        <w:rPr>
          <w:rFonts w:eastAsia="Times New Roman" w:cstheme="minorHAnsi"/>
          <w:b/>
          <w:sz w:val="20"/>
          <w:szCs w:val="20"/>
          <w:lang w:eastAsia="pl-PL"/>
        </w:rPr>
        <w:t xml:space="preserve"> </w:t>
      </w:r>
      <w:r w:rsidRPr="004853EB">
        <w:rPr>
          <w:rFonts w:eastAsia="Times New Roman" w:cstheme="minorHAnsi"/>
          <w:sz w:val="18"/>
          <w:szCs w:val="20"/>
          <w:lang w:eastAsia="pl-PL"/>
        </w:rPr>
        <w:t>i obejmują wykonanie wykopów w gruntach nieskalistych.</w:t>
      </w:r>
    </w:p>
    <w:p w14:paraId="5A8DB297"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18"/>
          <w:szCs w:val="20"/>
          <w:lang w:eastAsia="pl-PL"/>
        </w:rPr>
      </w:pPr>
      <w:bookmarkStart w:id="900" w:name="_Toc407161217"/>
      <w:bookmarkStart w:id="901" w:name="_Toc194476649"/>
      <w:bookmarkStart w:id="902" w:name="_Toc227759991"/>
      <w:bookmarkStart w:id="903" w:name="_Toc227825138"/>
      <w:r w:rsidRPr="004853EB">
        <w:rPr>
          <w:rFonts w:eastAsia="Times New Roman" w:cstheme="minorHAnsi"/>
          <w:b/>
          <w:sz w:val="18"/>
          <w:szCs w:val="20"/>
          <w:lang w:eastAsia="pl-PL"/>
        </w:rPr>
        <w:t>1.4. Określenia podstawowe</w:t>
      </w:r>
      <w:bookmarkEnd w:id="900"/>
      <w:bookmarkEnd w:id="901"/>
      <w:bookmarkEnd w:id="902"/>
      <w:bookmarkEnd w:id="903"/>
    </w:p>
    <w:p w14:paraId="090933E9"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18"/>
          <w:szCs w:val="20"/>
          <w:lang w:eastAsia="pl-PL"/>
        </w:rPr>
      </w:pPr>
      <w:r w:rsidRPr="004853EB">
        <w:rPr>
          <w:rFonts w:eastAsia="Times New Roman" w:cstheme="minorHAnsi"/>
          <w:sz w:val="18"/>
          <w:szCs w:val="20"/>
          <w:lang w:eastAsia="pl-PL"/>
        </w:rPr>
        <w:tab/>
        <w:t>Podstawowe określenia zostały podane w SST D-02.00.01 pkt 1.4.</w:t>
      </w:r>
    </w:p>
    <w:p w14:paraId="41191815"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18"/>
          <w:szCs w:val="20"/>
          <w:lang w:eastAsia="pl-PL"/>
        </w:rPr>
      </w:pPr>
      <w:bookmarkStart w:id="904" w:name="_Toc407161218"/>
      <w:bookmarkStart w:id="905" w:name="_Toc194476650"/>
      <w:bookmarkStart w:id="906" w:name="_Toc227759992"/>
      <w:bookmarkStart w:id="907" w:name="_Toc227825139"/>
      <w:r w:rsidRPr="004853EB">
        <w:rPr>
          <w:rFonts w:eastAsia="Times New Roman" w:cstheme="minorHAnsi"/>
          <w:b/>
          <w:sz w:val="18"/>
          <w:szCs w:val="20"/>
          <w:lang w:eastAsia="pl-PL"/>
        </w:rPr>
        <w:t>1.5. Ogólne wymagania dotyczące robót</w:t>
      </w:r>
      <w:bookmarkEnd w:id="904"/>
      <w:bookmarkEnd w:id="905"/>
      <w:bookmarkEnd w:id="906"/>
      <w:bookmarkEnd w:id="907"/>
    </w:p>
    <w:p w14:paraId="7ABDBE6F" w14:textId="77777777" w:rsidR="00713454" w:rsidRPr="004853EB" w:rsidRDefault="00713454" w:rsidP="00713454">
      <w:pPr>
        <w:overflowPunct w:val="0"/>
        <w:autoSpaceDE w:val="0"/>
        <w:autoSpaceDN w:val="0"/>
        <w:adjustRightInd w:val="0"/>
        <w:spacing w:after="120" w:line="240" w:lineRule="auto"/>
        <w:jc w:val="both"/>
        <w:textAlignment w:val="baseline"/>
        <w:rPr>
          <w:rFonts w:eastAsia="Times New Roman" w:cstheme="minorHAnsi"/>
          <w:sz w:val="18"/>
          <w:szCs w:val="20"/>
          <w:lang w:eastAsia="pl-PL"/>
        </w:rPr>
      </w:pPr>
      <w:r w:rsidRPr="004853EB">
        <w:rPr>
          <w:rFonts w:eastAsia="Times New Roman" w:cstheme="minorHAnsi"/>
          <w:sz w:val="18"/>
          <w:szCs w:val="20"/>
          <w:lang w:eastAsia="pl-PL"/>
        </w:rPr>
        <w:tab/>
        <w:t>Ogólne wymagania dotyczące robót podano w SST D-02.00.01 pkt 1.5.</w:t>
      </w:r>
    </w:p>
    <w:p w14:paraId="5C3F9C3D" w14:textId="77777777" w:rsidR="00713454" w:rsidRPr="00B67D8D" w:rsidRDefault="00713454" w:rsidP="00713454">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908" w:name="_Toc407161219"/>
      <w:bookmarkStart w:id="909" w:name="_Toc418994926"/>
      <w:bookmarkStart w:id="910" w:name="_Toc418996333"/>
      <w:bookmarkStart w:id="911" w:name="_Toc418996702"/>
      <w:bookmarkStart w:id="912" w:name="_Toc418997089"/>
      <w:bookmarkStart w:id="913" w:name="_Toc418998499"/>
      <w:bookmarkStart w:id="914" w:name="_Toc418998855"/>
      <w:bookmarkStart w:id="915" w:name="_Toc419000100"/>
      <w:bookmarkStart w:id="916" w:name="_Toc194476651"/>
      <w:bookmarkStart w:id="917" w:name="_Toc227759993"/>
      <w:bookmarkStart w:id="918" w:name="_Toc227825140"/>
      <w:r w:rsidRPr="00B67D8D">
        <w:rPr>
          <w:rFonts w:eastAsia="Times New Roman" w:cstheme="minorHAnsi"/>
          <w:b/>
          <w:caps/>
          <w:kern w:val="28"/>
          <w:sz w:val="20"/>
          <w:szCs w:val="20"/>
          <w:lang w:eastAsia="pl-PL"/>
        </w:rPr>
        <w:t>2. materiały (grunty)</w:t>
      </w:r>
      <w:bookmarkEnd w:id="908"/>
      <w:bookmarkEnd w:id="909"/>
      <w:bookmarkEnd w:id="910"/>
      <w:bookmarkEnd w:id="911"/>
      <w:bookmarkEnd w:id="912"/>
      <w:bookmarkEnd w:id="913"/>
      <w:bookmarkEnd w:id="914"/>
      <w:bookmarkEnd w:id="915"/>
      <w:bookmarkEnd w:id="916"/>
      <w:bookmarkEnd w:id="917"/>
      <w:bookmarkEnd w:id="918"/>
    </w:p>
    <w:p w14:paraId="0F59AA01"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Materiał występujący w podłożu wykopu jest gruntem rodzimym, który będzie stanowił podłoże nawierzchni. Zgodnie z Katalogiem typowych konstrukcji nawierzchni podatnych i półsztywnych [12] powinien charakteryzować się grupą nośności G</w:t>
      </w:r>
      <w:r w:rsidRPr="00B67D8D">
        <w:rPr>
          <w:rFonts w:eastAsia="Times New Roman" w:cstheme="minorHAnsi"/>
          <w:sz w:val="20"/>
          <w:szCs w:val="20"/>
          <w:vertAlign w:val="subscript"/>
          <w:lang w:eastAsia="pl-PL"/>
        </w:rPr>
        <w:t>1</w:t>
      </w:r>
      <w:r w:rsidRPr="00B67D8D">
        <w:rPr>
          <w:rFonts w:eastAsia="Times New Roman" w:cstheme="minorHAnsi"/>
          <w:sz w:val="20"/>
          <w:szCs w:val="20"/>
          <w:lang w:eastAsia="pl-PL"/>
        </w:rPr>
        <w:t>.</w:t>
      </w:r>
      <w:r w:rsidRPr="00B67D8D">
        <w:rPr>
          <w:rFonts w:eastAsia="Times New Roman" w:cstheme="minorHAnsi"/>
          <w:sz w:val="20"/>
          <w:szCs w:val="20"/>
          <w:vertAlign w:val="subscript"/>
          <w:lang w:eastAsia="pl-PL"/>
        </w:rPr>
        <w:t xml:space="preserve"> </w:t>
      </w:r>
      <w:r w:rsidRPr="00B67D8D">
        <w:rPr>
          <w:rFonts w:eastAsia="Times New Roman" w:cstheme="minorHAnsi"/>
          <w:sz w:val="20"/>
          <w:szCs w:val="20"/>
          <w:lang w:eastAsia="pl-PL"/>
        </w:rPr>
        <w:t xml:space="preserve"> Gdy podłoże nawierzchni zaklasyfikowano do innej grupy nośności, należy podłoże doprowadzić do grupy nośności G</w:t>
      </w:r>
      <w:r w:rsidRPr="00B67D8D">
        <w:rPr>
          <w:rFonts w:eastAsia="Times New Roman" w:cstheme="minorHAnsi"/>
          <w:sz w:val="20"/>
          <w:szCs w:val="20"/>
          <w:vertAlign w:val="subscript"/>
          <w:lang w:eastAsia="pl-PL"/>
        </w:rPr>
        <w:t>1</w:t>
      </w:r>
      <w:r w:rsidRPr="00B67D8D">
        <w:rPr>
          <w:rFonts w:eastAsia="Times New Roman" w:cstheme="minorHAnsi"/>
          <w:sz w:val="20"/>
          <w:szCs w:val="20"/>
          <w:lang w:eastAsia="pl-PL"/>
        </w:rPr>
        <w:t xml:space="preserve"> zgodnie z dokumentacja projektową i SST.</w:t>
      </w:r>
    </w:p>
    <w:p w14:paraId="7DDB93AB" w14:textId="77777777" w:rsidR="00713454" w:rsidRPr="00B67D8D" w:rsidRDefault="00713454" w:rsidP="00713454">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919" w:name="_Toc407161220"/>
      <w:bookmarkStart w:id="920" w:name="_Toc418994927"/>
      <w:bookmarkStart w:id="921" w:name="_Toc418996334"/>
      <w:bookmarkStart w:id="922" w:name="_Toc418996703"/>
      <w:bookmarkStart w:id="923" w:name="_Toc418997090"/>
      <w:bookmarkStart w:id="924" w:name="_Toc418998500"/>
      <w:bookmarkStart w:id="925" w:name="_Toc418998856"/>
      <w:bookmarkStart w:id="926" w:name="_Toc419000101"/>
      <w:bookmarkStart w:id="927" w:name="_Toc194476652"/>
      <w:bookmarkStart w:id="928" w:name="_Toc227759994"/>
      <w:bookmarkStart w:id="929" w:name="_Toc227825141"/>
      <w:r w:rsidRPr="00B67D8D">
        <w:rPr>
          <w:rFonts w:eastAsia="Times New Roman" w:cstheme="minorHAnsi"/>
          <w:b/>
          <w:caps/>
          <w:kern w:val="28"/>
          <w:sz w:val="20"/>
          <w:szCs w:val="20"/>
          <w:lang w:eastAsia="pl-PL"/>
        </w:rPr>
        <w:t>3. sprzęt</w:t>
      </w:r>
      <w:bookmarkEnd w:id="919"/>
      <w:bookmarkEnd w:id="920"/>
      <w:bookmarkEnd w:id="921"/>
      <w:bookmarkEnd w:id="922"/>
      <w:bookmarkEnd w:id="923"/>
      <w:bookmarkEnd w:id="924"/>
      <w:bookmarkEnd w:id="925"/>
      <w:bookmarkEnd w:id="926"/>
      <w:bookmarkEnd w:id="927"/>
      <w:bookmarkEnd w:id="928"/>
      <w:bookmarkEnd w:id="929"/>
    </w:p>
    <w:p w14:paraId="6BBD06DF" w14:textId="38AC5068" w:rsidR="00713454" w:rsidRPr="00B67D8D"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 xml:space="preserve">Ogólne wymagania i ustalenia dotyczące sprzętu określono w </w:t>
      </w:r>
      <w:r w:rsidR="00B67D8D" w:rsidRPr="00B67D8D">
        <w:rPr>
          <w:rFonts w:eastAsia="Times New Roman" w:cstheme="minorHAnsi"/>
          <w:sz w:val="20"/>
          <w:szCs w:val="20"/>
          <w:lang w:eastAsia="pl-PL"/>
        </w:rPr>
        <w:t>SST D</w:t>
      </w:r>
      <w:r w:rsidRPr="00B67D8D">
        <w:rPr>
          <w:rFonts w:eastAsia="Times New Roman" w:cstheme="minorHAnsi"/>
          <w:sz w:val="20"/>
          <w:szCs w:val="20"/>
          <w:lang w:eastAsia="pl-PL"/>
        </w:rPr>
        <w:t>-02.00.01 pkt 3.</w:t>
      </w:r>
    </w:p>
    <w:p w14:paraId="4DBD8DAD" w14:textId="77777777" w:rsidR="00713454" w:rsidRPr="00B67D8D" w:rsidRDefault="00713454" w:rsidP="00713454">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930" w:name="_Toc407161221"/>
      <w:bookmarkStart w:id="931" w:name="_Toc418994928"/>
      <w:bookmarkStart w:id="932" w:name="_Toc418996335"/>
      <w:bookmarkStart w:id="933" w:name="_Toc418996704"/>
      <w:bookmarkStart w:id="934" w:name="_Toc418997091"/>
      <w:bookmarkStart w:id="935" w:name="_Toc418998501"/>
      <w:bookmarkStart w:id="936" w:name="_Toc418998857"/>
      <w:bookmarkStart w:id="937" w:name="_Toc419000102"/>
      <w:bookmarkStart w:id="938" w:name="_Toc194476653"/>
      <w:bookmarkStart w:id="939" w:name="_Toc227759995"/>
      <w:bookmarkStart w:id="940" w:name="_Toc227825142"/>
      <w:r w:rsidRPr="00B67D8D">
        <w:rPr>
          <w:rFonts w:eastAsia="Times New Roman" w:cstheme="minorHAnsi"/>
          <w:b/>
          <w:caps/>
          <w:kern w:val="28"/>
          <w:sz w:val="20"/>
          <w:szCs w:val="20"/>
          <w:lang w:eastAsia="pl-PL"/>
        </w:rPr>
        <w:t>4. transport</w:t>
      </w:r>
      <w:bookmarkEnd w:id="930"/>
      <w:bookmarkEnd w:id="931"/>
      <w:bookmarkEnd w:id="932"/>
      <w:bookmarkEnd w:id="933"/>
      <w:bookmarkEnd w:id="934"/>
      <w:bookmarkEnd w:id="935"/>
      <w:bookmarkEnd w:id="936"/>
      <w:bookmarkEnd w:id="937"/>
      <w:bookmarkEnd w:id="938"/>
      <w:bookmarkEnd w:id="939"/>
      <w:bookmarkEnd w:id="940"/>
    </w:p>
    <w:p w14:paraId="7BF0F8A4" w14:textId="77777777" w:rsidR="00713454" w:rsidRPr="00B67D8D"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Ogólne wymagania i ustalenia dotyczące transportu określono w SST D-02.00.01 pkt 4.</w:t>
      </w:r>
    </w:p>
    <w:p w14:paraId="667FA0C4" w14:textId="77777777" w:rsidR="00713454" w:rsidRPr="00B67D8D" w:rsidRDefault="00713454" w:rsidP="00713454">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941" w:name="_Toc407161222"/>
      <w:bookmarkStart w:id="942" w:name="_Toc418994929"/>
      <w:bookmarkStart w:id="943" w:name="_Toc418996336"/>
      <w:bookmarkStart w:id="944" w:name="_Toc418996705"/>
      <w:bookmarkStart w:id="945" w:name="_Toc418997092"/>
      <w:bookmarkStart w:id="946" w:name="_Toc418998502"/>
      <w:bookmarkStart w:id="947" w:name="_Toc418998858"/>
      <w:bookmarkStart w:id="948" w:name="_Toc419000103"/>
      <w:bookmarkStart w:id="949" w:name="_Toc194476654"/>
      <w:bookmarkStart w:id="950" w:name="_Toc227759996"/>
      <w:bookmarkStart w:id="951" w:name="_Toc227825143"/>
      <w:r w:rsidRPr="00B67D8D">
        <w:rPr>
          <w:rFonts w:eastAsia="Times New Roman" w:cstheme="minorHAnsi"/>
          <w:b/>
          <w:caps/>
          <w:kern w:val="28"/>
          <w:sz w:val="20"/>
          <w:szCs w:val="20"/>
          <w:lang w:eastAsia="pl-PL"/>
        </w:rPr>
        <w:t>5. wykonanie robót</w:t>
      </w:r>
      <w:bookmarkEnd w:id="941"/>
      <w:bookmarkEnd w:id="942"/>
      <w:bookmarkEnd w:id="943"/>
      <w:bookmarkEnd w:id="944"/>
      <w:bookmarkEnd w:id="945"/>
      <w:bookmarkEnd w:id="946"/>
      <w:bookmarkEnd w:id="947"/>
      <w:bookmarkEnd w:id="948"/>
      <w:bookmarkEnd w:id="949"/>
      <w:bookmarkEnd w:id="950"/>
      <w:bookmarkEnd w:id="951"/>
    </w:p>
    <w:p w14:paraId="49475C57"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952" w:name="_Toc407161223"/>
      <w:bookmarkStart w:id="953" w:name="_Toc194476655"/>
      <w:bookmarkStart w:id="954" w:name="_Toc227759997"/>
      <w:bookmarkStart w:id="955" w:name="_Toc227825144"/>
      <w:r w:rsidRPr="00B67D8D">
        <w:rPr>
          <w:rFonts w:eastAsia="Times New Roman" w:cstheme="minorHAnsi"/>
          <w:b/>
          <w:sz w:val="20"/>
          <w:szCs w:val="20"/>
          <w:lang w:eastAsia="pl-PL"/>
        </w:rPr>
        <w:t>5.1. Zasady prowadzenia robót</w:t>
      </w:r>
      <w:bookmarkEnd w:id="952"/>
      <w:bookmarkEnd w:id="953"/>
      <w:bookmarkEnd w:id="954"/>
      <w:bookmarkEnd w:id="955"/>
    </w:p>
    <w:p w14:paraId="51AE46FA"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Ogólne zasady prowadzenia robót podano w SST D-02.00.01 pkt 5.</w:t>
      </w:r>
    </w:p>
    <w:p w14:paraId="25E5C8B4" w14:textId="45958863"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 xml:space="preserve">Sposób wykonania skarp wykopu powinien gwarantować ich stateczność w całym okresie prowadzenia robót, </w:t>
      </w:r>
      <w:r w:rsidR="00B67D8D" w:rsidRPr="00B67D8D">
        <w:rPr>
          <w:rFonts w:eastAsia="Times New Roman" w:cstheme="minorHAnsi"/>
          <w:sz w:val="20"/>
          <w:szCs w:val="20"/>
          <w:lang w:eastAsia="pl-PL"/>
        </w:rPr>
        <w:br/>
      </w:r>
      <w:r w:rsidRPr="00B67D8D">
        <w:rPr>
          <w:rFonts w:eastAsia="Times New Roman" w:cstheme="minorHAnsi"/>
          <w:sz w:val="20"/>
          <w:szCs w:val="20"/>
          <w:lang w:eastAsia="pl-PL"/>
        </w:rPr>
        <w:t>a naprawa uszkodzeń, wynikających z nieprawidłowego ukształtowania skarp wykopu, ich podcięcia lub innych odstępstw od dokumentacji projektowej obciąża Wykonawcę.</w:t>
      </w:r>
    </w:p>
    <w:p w14:paraId="7B5159BC"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Inżyniera.</w:t>
      </w:r>
    </w:p>
    <w:p w14:paraId="7AEC71E9" w14:textId="103D88ED"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 xml:space="preserve">Odspojone grunty przydatne do wykonania nasypów powinny być bezpośrednio wbudowane w nasyp lub przewiezione na odkład. O ile Inżynier dopuści czasowe składowanie </w:t>
      </w:r>
      <w:r w:rsidR="00B67D8D" w:rsidRPr="00B67D8D">
        <w:rPr>
          <w:rFonts w:eastAsia="Times New Roman" w:cstheme="minorHAnsi"/>
          <w:sz w:val="20"/>
          <w:szCs w:val="20"/>
          <w:lang w:eastAsia="pl-PL"/>
        </w:rPr>
        <w:t>odspojonych gruntów</w:t>
      </w:r>
      <w:r w:rsidRPr="00B67D8D">
        <w:rPr>
          <w:rFonts w:eastAsia="Times New Roman" w:cstheme="minorHAnsi"/>
          <w:sz w:val="20"/>
          <w:szCs w:val="20"/>
          <w:lang w:eastAsia="pl-PL"/>
        </w:rPr>
        <w:t>, należy je odpowiednio zabezpieczyć przed nadmiernym zawilgoceniem.</w:t>
      </w:r>
    </w:p>
    <w:p w14:paraId="5BDAF825"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956" w:name="_Toc407161224"/>
      <w:bookmarkStart w:id="957" w:name="_Toc194476656"/>
      <w:bookmarkStart w:id="958" w:name="_Toc227759998"/>
      <w:bookmarkStart w:id="959" w:name="_Toc227825145"/>
      <w:r w:rsidRPr="00B67D8D">
        <w:rPr>
          <w:rFonts w:eastAsia="Times New Roman" w:cstheme="minorHAnsi"/>
          <w:b/>
          <w:sz w:val="20"/>
          <w:szCs w:val="20"/>
          <w:lang w:eastAsia="pl-PL"/>
        </w:rPr>
        <w:t>5.2. Wymagania dotyczące zagęszczenia</w:t>
      </w:r>
      <w:bookmarkEnd w:id="956"/>
      <w:r w:rsidRPr="00B67D8D">
        <w:rPr>
          <w:rFonts w:eastAsia="Times New Roman" w:cstheme="minorHAnsi"/>
          <w:b/>
          <w:sz w:val="20"/>
          <w:szCs w:val="20"/>
          <w:lang w:eastAsia="pl-PL"/>
        </w:rPr>
        <w:t xml:space="preserve"> i nośności gruntu</w:t>
      </w:r>
      <w:bookmarkEnd w:id="957"/>
      <w:bookmarkEnd w:id="958"/>
      <w:bookmarkEnd w:id="959"/>
    </w:p>
    <w:p w14:paraId="7A6E910F"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Zagęszczenie gruntu w wykopach i miejscach zerowych robót ziemnych powinno spełniać wymagania, dotyczące minimalnej wartości wskaźnika zagęszczenia (</w:t>
      </w:r>
      <w:proofErr w:type="spellStart"/>
      <w:r w:rsidRPr="00B67D8D">
        <w:rPr>
          <w:rFonts w:eastAsia="Times New Roman" w:cstheme="minorHAnsi"/>
          <w:sz w:val="20"/>
          <w:szCs w:val="20"/>
          <w:lang w:eastAsia="pl-PL"/>
        </w:rPr>
        <w:t>I</w:t>
      </w:r>
      <w:r w:rsidRPr="00B67D8D">
        <w:rPr>
          <w:rFonts w:eastAsia="Times New Roman" w:cstheme="minorHAnsi"/>
          <w:sz w:val="20"/>
          <w:szCs w:val="20"/>
          <w:vertAlign w:val="subscript"/>
          <w:lang w:eastAsia="pl-PL"/>
        </w:rPr>
        <w:t>s</w:t>
      </w:r>
      <w:proofErr w:type="spellEnd"/>
      <w:r w:rsidRPr="00B67D8D">
        <w:rPr>
          <w:rFonts w:eastAsia="Times New Roman" w:cstheme="minorHAnsi"/>
          <w:sz w:val="20"/>
          <w:szCs w:val="20"/>
          <w:lang w:eastAsia="pl-PL"/>
        </w:rPr>
        <w:t>), podanego w tablicy 1.</w:t>
      </w:r>
    </w:p>
    <w:p w14:paraId="7EBFE2AF" w14:textId="77777777" w:rsidR="00713454" w:rsidRPr="00B67D8D" w:rsidRDefault="00713454" w:rsidP="00713454">
      <w:pPr>
        <w:overflowPunct w:val="0"/>
        <w:autoSpaceDE w:val="0"/>
        <w:autoSpaceDN w:val="0"/>
        <w:adjustRightInd w:val="0"/>
        <w:spacing w:before="120" w:after="120" w:line="240" w:lineRule="auto"/>
        <w:ind w:left="851" w:hanging="851"/>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Tablica 1. Minimalne wartości wskaźnika zagęszczenia w wykopach i miejscach zerowych robót ziemnych</w:t>
      </w:r>
    </w:p>
    <w:tbl>
      <w:tblPr>
        <w:tblW w:w="0" w:type="auto"/>
        <w:tblLayout w:type="fixed"/>
        <w:tblCellMar>
          <w:left w:w="70" w:type="dxa"/>
          <w:right w:w="70" w:type="dxa"/>
        </w:tblCellMar>
        <w:tblLook w:val="0000" w:firstRow="0" w:lastRow="0" w:firstColumn="0" w:lastColumn="0" w:noHBand="0" w:noVBand="0"/>
      </w:tblPr>
      <w:tblGrid>
        <w:gridCol w:w="3189"/>
        <w:gridCol w:w="3827"/>
      </w:tblGrid>
      <w:tr w:rsidR="00713454" w:rsidRPr="00B67D8D" w14:paraId="485E5B8C" w14:textId="77777777" w:rsidTr="00713454">
        <w:tc>
          <w:tcPr>
            <w:tcW w:w="3189" w:type="dxa"/>
            <w:tcBorders>
              <w:top w:val="single" w:sz="4" w:space="0" w:color="auto"/>
              <w:left w:val="single" w:sz="4" w:space="0" w:color="auto"/>
              <w:bottom w:val="single" w:sz="4" w:space="0" w:color="auto"/>
              <w:right w:val="single" w:sz="4" w:space="0" w:color="auto"/>
            </w:tcBorders>
          </w:tcPr>
          <w:p w14:paraId="226845B1"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Strefa korpusu</w:t>
            </w:r>
          </w:p>
        </w:tc>
        <w:tc>
          <w:tcPr>
            <w:tcW w:w="3827" w:type="dxa"/>
            <w:tcBorders>
              <w:top w:val="single" w:sz="4" w:space="0" w:color="auto"/>
              <w:left w:val="single" w:sz="4" w:space="0" w:color="auto"/>
              <w:bottom w:val="single" w:sz="4" w:space="0" w:color="auto"/>
              <w:right w:val="single" w:sz="4" w:space="0" w:color="auto"/>
            </w:tcBorders>
          </w:tcPr>
          <w:p w14:paraId="1546635B" w14:textId="77777777" w:rsidR="00713454" w:rsidRPr="00B67D8D" w:rsidRDefault="00713454" w:rsidP="00713454">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 xml:space="preserve">Minimalna wartość </w:t>
            </w:r>
            <w:proofErr w:type="spellStart"/>
            <w:r w:rsidRPr="00B67D8D">
              <w:rPr>
                <w:rFonts w:eastAsia="Times New Roman" w:cstheme="minorHAnsi"/>
                <w:sz w:val="20"/>
                <w:szCs w:val="20"/>
                <w:lang w:eastAsia="pl-PL"/>
              </w:rPr>
              <w:t>I</w:t>
            </w:r>
            <w:r w:rsidRPr="00B67D8D">
              <w:rPr>
                <w:rFonts w:eastAsia="Times New Roman" w:cstheme="minorHAnsi"/>
                <w:sz w:val="20"/>
                <w:szCs w:val="20"/>
                <w:vertAlign w:val="subscript"/>
                <w:lang w:eastAsia="pl-PL"/>
              </w:rPr>
              <w:t>s</w:t>
            </w:r>
            <w:proofErr w:type="spellEnd"/>
            <w:r w:rsidRPr="00B67D8D">
              <w:rPr>
                <w:rFonts w:eastAsia="Times New Roman" w:cstheme="minorHAnsi"/>
                <w:sz w:val="20"/>
                <w:szCs w:val="20"/>
                <w:lang w:eastAsia="pl-PL"/>
              </w:rPr>
              <w:t xml:space="preserve"> dla dróg - kategoria ruchu KR1:</w:t>
            </w:r>
          </w:p>
        </w:tc>
      </w:tr>
      <w:tr w:rsidR="00713454" w:rsidRPr="00B67D8D" w14:paraId="29415D32" w14:textId="77777777" w:rsidTr="00713454">
        <w:trPr>
          <w:cantSplit/>
        </w:trPr>
        <w:tc>
          <w:tcPr>
            <w:tcW w:w="3189" w:type="dxa"/>
            <w:tcBorders>
              <w:top w:val="single" w:sz="4" w:space="0" w:color="auto"/>
              <w:left w:val="single" w:sz="6" w:space="0" w:color="auto"/>
              <w:bottom w:val="single" w:sz="6" w:space="0" w:color="auto"/>
              <w:right w:val="single" w:sz="6" w:space="0" w:color="auto"/>
            </w:tcBorders>
          </w:tcPr>
          <w:p w14:paraId="66EADA41" w14:textId="77777777" w:rsidR="00713454" w:rsidRPr="00B67D8D"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lastRenderedPageBreak/>
              <w:t>Górna warstwa o grubości 20 cm</w:t>
            </w:r>
          </w:p>
        </w:tc>
        <w:tc>
          <w:tcPr>
            <w:tcW w:w="3827" w:type="dxa"/>
            <w:tcBorders>
              <w:top w:val="single" w:sz="4" w:space="0" w:color="auto"/>
              <w:left w:val="single" w:sz="6" w:space="0" w:color="auto"/>
              <w:bottom w:val="single" w:sz="6" w:space="0" w:color="auto"/>
              <w:right w:val="single" w:sz="6" w:space="0" w:color="auto"/>
            </w:tcBorders>
          </w:tcPr>
          <w:p w14:paraId="5AC3EBFE" w14:textId="77777777" w:rsidR="00713454" w:rsidRPr="00B67D8D" w:rsidRDefault="00713454" w:rsidP="00713454">
            <w:pPr>
              <w:overflowPunct w:val="0"/>
              <w:autoSpaceDE w:val="0"/>
              <w:autoSpaceDN w:val="0"/>
              <w:adjustRightInd w:val="0"/>
              <w:spacing w:before="120" w:after="12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1,00</w:t>
            </w:r>
          </w:p>
        </w:tc>
      </w:tr>
      <w:tr w:rsidR="00713454" w:rsidRPr="00B67D8D" w14:paraId="6D8D2143" w14:textId="77777777" w:rsidTr="00713454">
        <w:trPr>
          <w:cantSplit/>
        </w:trPr>
        <w:tc>
          <w:tcPr>
            <w:tcW w:w="3189" w:type="dxa"/>
            <w:tcBorders>
              <w:top w:val="single" w:sz="6" w:space="0" w:color="auto"/>
              <w:left w:val="single" w:sz="6" w:space="0" w:color="auto"/>
              <w:bottom w:val="single" w:sz="6" w:space="0" w:color="auto"/>
              <w:right w:val="single" w:sz="6" w:space="0" w:color="auto"/>
            </w:tcBorders>
          </w:tcPr>
          <w:p w14:paraId="4BA10C8C" w14:textId="77777777" w:rsidR="00713454" w:rsidRPr="00B67D8D"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Na głębokości od 20 do 50 cm od powierzchni robót ziemnych</w:t>
            </w:r>
          </w:p>
        </w:tc>
        <w:tc>
          <w:tcPr>
            <w:tcW w:w="3827" w:type="dxa"/>
            <w:tcBorders>
              <w:top w:val="single" w:sz="6" w:space="0" w:color="auto"/>
              <w:left w:val="single" w:sz="6" w:space="0" w:color="auto"/>
              <w:bottom w:val="single" w:sz="6" w:space="0" w:color="auto"/>
              <w:right w:val="single" w:sz="6" w:space="0" w:color="auto"/>
            </w:tcBorders>
          </w:tcPr>
          <w:p w14:paraId="7C6B3856" w14:textId="77777777" w:rsidR="00713454" w:rsidRPr="00B67D8D"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385D4782" w14:textId="77777777" w:rsidR="00713454" w:rsidRPr="00B67D8D"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0,97</w:t>
            </w:r>
          </w:p>
        </w:tc>
      </w:tr>
    </w:tbl>
    <w:p w14:paraId="5A41FBC7"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3064E5A0"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 xml:space="preserve">Jeżeli grunty rodzime w wykopach i miejscach zerowych nie spełniają wymaganego wskaźnika zagęszczenia, to przed ułożeniem konstrukcji nawierzchni należy je dogęścić do wartości </w:t>
      </w:r>
      <w:proofErr w:type="spellStart"/>
      <w:r w:rsidRPr="00B67D8D">
        <w:rPr>
          <w:rFonts w:eastAsia="Times New Roman" w:cstheme="minorHAnsi"/>
          <w:sz w:val="20"/>
          <w:szCs w:val="20"/>
          <w:lang w:eastAsia="pl-PL"/>
        </w:rPr>
        <w:t>I</w:t>
      </w:r>
      <w:r w:rsidRPr="00B67D8D">
        <w:rPr>
          <w:rFonts w:eastAsia="Times New Roman" w:cstheme="minorHAnsi"/>
          <w:sz w:val="20"/>
          <w:szCs w:val="20"/>
          <w:vertAlign w:val="subscript"/>
          <w:lang w:eastAsia="pl-PL"/>
        </w:rPr>
        <w:t>s</w:t>
      </w:r>
      <w:proofErr w:type="spellEnd"/>
      <w:r w:rsidRPr="00B67D8D">
        <w:rPr>
          <w:rFonts w:eastAsia="Times New Roman" w:cstheme="minorHAnsi"/>
          <w:sz w:val="20"/>
          <w:szCs w:val="20"/>
          <w:lang w:eastAsia="pl-PL"/>
        </w:rPr>
        <w:t>, podanych w tablicy 1.</w:t>
      </w:r>
    </w:p>
    <w:p w14:paraId="29C9E6EB"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o ile nie są określone w SST, proponuje Wykonawca i przedstawia do akceptacji Inżynierowi.</w:t>
      </w:r>
    </w:p>
    <w:p w14:paraId="41AC9D43"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Dodatkowo można sprawdzić nośność warstwy gruntu na powierzchni robót ziemnych na podstawie pomiaru wtórnego modułu odkształcenia E</w:t>
      </w:r>
      <w:r w:rsidRPr="00B67D8D">
        <w:rPr>
          <w:rFonts w:eastAsia="Times New Roman" w:cstheme="minorHAnsi"/>
          <w:sz w:val="20"/>
          <w:szCs w:val="20"/>
          <w:vertAlign w:val="subscript"/>
          <w:lang w:eastAsia="pl-PL"/>
        </w:rPr>
        <w:t>2</w:t>
      </w:r>
      <w:r w:rsidRPr="00B67D8D">
        <w:rPr>
          <w:rFonts w:eastAsia="Times New Roman" w:cstheme="minorHAnsi"/>
          <w:sz w:val="20"/>
          <w:szCs w:val="20"/>
          <w:lang w:eastAsia="pl-PL"/>
        </w:rPr>
        <w:t xml:space="preserve"> zgodnie z PN-02205:1998 [4] rysunek 4.</w:t>
      </w:r>
    </w:p>
    <w:p w14:paraId="1619EFA8"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960" w:name="_Toc407161225"/>
      <w:bookmarkStart w:id="961" w:name="_Toc194476657"/>
      <w:bookmarkStart w:id="962" w:name="_Toc227759999"/>
      <w:bookmarkStart w:id="963" w:name="_Toc227825146"/>
      <w:r w:rsidRPr="00B67D8D">
        <w:rPr>
          <w:rFonts w:eastAsia="Times New Roman" w:cstheme="minorHAnsi"/>
          <w:b/>
          <w:sz w:val="20"/>
          <w:szCs w:val="20"/>
          <w:lang w:eastAsia="pl-PL"/>
        </w:rPr>
        <w:t>5.3. Ruch budowlany</w:t>
      </w:r>
      <w:bookmarkEnd w:id="960"/>
      <w:bookmarkEnd w:id="961"/>
      <w:bookmarkEnd w:id="962"/>
      <w:bookmarkEnd w:id="963"/>
    </w:p>
    <w:p w14:paraId="7C0BAB1D"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Nie należy dopuszczać ruchu budowlanego po dnie wykopu o ile grubość warstwy gruntu (nadkładu) powyżej rzędnych robót ziemnych jest mniejsza niż 0,3 m.</w:t>
      </w:r>
    </w:p>
    <w:p w14:paraId="66B06262"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Z chwilą przystąpienia do ostatecznego profilowania dna wykopu dopuszcza się po nim jedynie ruch maszyn wykonujących tę czynność budowlaną. Może odbywać się jedynie sporadyczny ruch pojazdów, które nie spowodują uszkodzeń powierzchni korpusu.</w:t>
      </w:r>
    </w:p>
    <w:p w14:paraId="17BB2458" w14:textId="77777777" w:rsidR="00713454" w:rsidRPr="00B67D8D"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Naprawa uszkodzeń powierzchni robót ziemnych, wynikających z niedotrzymania podanych powyżej warunków obciąża Wykonawcę robót ziemnych.</w:t>
      </w:r>
    </w:p>
    <w:p w14:paraId="016DF62D" w14:textId="77777777" w:rsidR="00713454" w:rsidRPr="00B67D8D" w:rsidRDefault="00713454" w:rsidP="00713454">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964" w:name="_Toc407161226"/>
      <w:bookmarkStart w:id="965" w:name="_Toc418994930"/>
      <w:bookmarkStart w:id="966" w:name="_Toc418996337"/>
      <w:bookmarkStart w:id="967" w:name="_Toc418996706"/>
      <w:bookmarkStart w:id="968" w:name="_Toc418997093"/>
      <w:bookmarkStart w:id="969" w:name="_Toc418998503"/>
      <w:bookmarkStart w:id="970" w:name="_Toc418998859"/>
      <w:bookmarkStart w:id="971" w:name="_Toc419000104"/>
      <w:bookmarkStart w:id="972" w:name="_Toc194476658"/>
      <w:bookmarkStart w:id="973" w:name="_Toc227760000"/>
      <w:bookmarkStart w:id="974" w:name="_Toc227825147"/>
      <w:r w:rsidRPr="00B67D8D">
        <w:rPr>
          <w:rFonts w:eastAsia="Times New Roman" w:cstheme="minorHAnsi"/>
          <w:b/>
          <w:caps/>
          <w:kern w:val="28"/>
          <w:sz w:val="20"/>
          <w:szCs w:val="20"/>
          <w:lang w:eastAsia="pl-PL"/>
        </w:rPr>
        <w:t>6. kontrola jakości robót</w:t>
      </w:r>
      <w:bookmarkEnd w:id="964"/>
      <w:bookmarkEnd w:id="965"/>
      <w:bookmarkEnd w:id="966"/>
      <w:bookmarkEnd w:id="967"/>
      <w:bookmarkEnd w:id="968"/>
      <w:bookmarkEnd w:id="969"/>
      <w:bookmarkEnd w:id="970"/>
      <w:bookmarkEnd w:id="971"/>
      <w:bookmarkEnd w:id="972"/>
      <w:bookmarkEnd w:id="973"/>
      <w:bookmarkEnd w:id="974"/>
    </w:p>
    <w:p w14:paraId="7289C448"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975" w:name="_Toc407161227"/>
      <w:bookmarkStart w:id="976" w:name="_Toc194476659"/>
      <w:bookmarkStart w:id="977" w:name="_Toc227760001"/>
      <w:bookmarkStart w:id="978" w:name="_Toc227825148"/>
      <w:r w:rsidRPr="00B67D8D">
        <w:rPr>
          <w:rFonts w:eastAsia="Times New Roman" w:cstheme="minorHAnsi"/>
          <w:b/>
          <w:sz w:val="20"/>
          <w:szCs w:val="20"/>
          <w:lang w:eastAsia="pl-PL"/>
        </w:rPr>
        <w:t>6.1. Ogólne zasady kontroli jakości robót</w:t>
      </w:r>
      <w:bookmarkEnd w:id="975"/>
      <w:bookmarkEnd w:id="976"/>
      <w:bookmarkEnd w:id="977"/>
      <w:bookmarkEnd w:id="978"/>
    </w:p>
    <w:p w14:paraId="2A3BF73E"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Ogólne zasady kontroli jakości robót podano w SST D-02.00.01 pkt 6.</w:t>
      </w:r>
    </w:p>
    <w:p w14:paraId="5988D8EB"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979" w:name="_Toc407161228"/>
      <w:bookmarkStart w:id="980" w:name="_Toc194476660"/>
      <w:bookmarkStart w:id="981" w:name="_Toc227760002"/>
      <w:bookmarkStart w:id="982" w:name="_Toc227825149"/>
      <w:r w:rsidRPr="00B67D8D">
        <w:rPr>
          <w:rFonts w:eastAsia="Times New Roman" w:cstheme="minorHAnsi"/>
          <w:b/>
          <w:sz w:val="20"/>
          <w:szCs w:val="20"/>
          <w:lang w:eastAsia="pl-PL"/>
        </w:rPr>
        <w:t>6.2. Kontrola wykonania wykopów</w:t>
      </w:r>
      <w:bookmarkEnd w:id="979"/>
      <w:bookmarkEnd w:id="980"/>
      <w:bookmarkEnd w:id="981"/>
      <w:bookmarkEnd w:id="982"/>
    </w:p>
    <w:p w14:paraId="71F68F94" w14:textId="139D7E4E"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 xml:space="preserve">Kontrola wykonania wykopów polega na sprawdzeniu zgodności z wymaganiami określonymi </w:t>
      </w:r>
      <w:r w:rsidR="00B67D8D">
        <w:rPr>
          <w:rFonts w:eastAsia="Times New Roman" w:cstheme="minorHAnsi"/>
          <w:sz w:val="20"/>
          <w:szCs w:val="20"/>
          <w:lang w:eastAsia="pl-PL"/>
        </w:rPr>
        <w:br/>
      </w:r>
      <w:r w:rsidRPr="00B67D8D">
        <w:rPr>
          <w:rFonts w:eastAsia="Times New Roman" w:cstheme="minorHAnsi"/>
          <w:sz w:val="20"/>
          <w:szCs w:val="20"/>
          <w:lang w:eastAsia="pl-PL"/>
        </w:rPr>
        <w:t>w dokumentacji projektowej i SST. W czasie kontroli szczególną uwagę należy zwrócić na:</w:t>
      </w:r>
    </w:p>
    <w:p w14:paraId="1AEF034D" w14:textId="41FA5021" w:rsidR="00713454" w:rsidRPr="00B67D8D" w:rsidRDefault="00713454" w:rsidP="00713454">
      <w:pPr>
        <w:numPr>
          <w:ilvl w:val="0"/>
          <w:numId w:val="2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 xml:space="preserve">sposób odspajania gruntów </w:t>
      </w:r>
      <w:r w:rsidR="00B67D8D" w:rsidRPr="00B67D8D">
        <w:rPr>
          <w:rFonts w:eastAsia="Times New Roman" w:cstheme="minorHAnsi"/>
          <w:sz w:val="20"/>
          <w:szCs w:val="20"/>
          <w:lang w:eastAsia="pl-PL"/>
        </w:rPr>
        <w:t>niepogarszający</w:t>
      </w:r>
      <w:r w:rsidRPr="00B67D8D">
        <w:rPr>
          <w:rFonts w:eastAsia="Times New Roman" w:cstheme="minorHAnsi"/>
          <w:sz w:val="20"/>
          <w:szCs w:val="20"/>
          <w:lang w:eastAsia="pl-PL"/>
        </w:rPr>
        <w:t xml:space="preserve"> ich właściwości,</w:t>
      </w:r>
    </w:p>
    <w:p w14:paraId="5E5E4F0D" w14:textId="77777777" w:rsidR="00713454" w:rsidRPr="00B67D8D" w:rsidRDefault="00713454" w:rsidP="00713454">
      <w:pPr>
        <w:numPr>
          <w:ilvl w:val="0"/>
          <w:numId w:val="2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zapewnienie stateczności skarp,</w:t>
      </w:r>
    </w:p>
    <w:p w14:paraId="630B9AC2" w14:textId="77777777" w:rsidR="00713454" w:rsidRPr="00B67D8D" w:rsidRDefault="00713454" w:rsidP="00713454">
      <w:pPr>
        <w:numPr>
          <w:ilvl w:val="0"/>
          <w:numId w:val="2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odwodnienie wykopów w czasie wykonywania robót i po ich zakończeniu,</w:t>
      </w:r>
    </w:p>
    <w:p w14:paraId="4F3CFA0A" w14:textId="77777777" w:rsidR="00713454" w:rsidRPr="00B67D8D" w:rsidRDefault="00713454" w:rsidP="00713454">
      <w:pPr>
        <w:numPr>
          <w:ilvl w:val="0"/>
          <w:numId w:val="2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dokładność wykonania wykopów (usytuowanie i wykończenie),</w:t>
      </w:r>
    </w:p>
    <w:p w14:paraId="71512B3F" w14:textId="77777777" w:rsidR="00713454" w:rsidRPr="00B67D8D" w:rsidRDefault="00713454" w:rsidP="00713454">
      <w:pPr>
        <w:numPr>
          <w:ilvl w:val="0"/>
          <w:numId w:val="21"/>
        </w:num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 xml:space="preserve">zagęszczenie górnej strefy korpusu w wykopie według wymagań określonych w </w:t>
      </w:r>
      <w:proofErr w:type="spellStart"/>
      <w:r w:rsidRPr="00B67D8D">
        <w:rPr>
          <w:rFonts w:eastAsia="Times New Roman" w:cstheme="minorHAnsi"/>
          <w:sz w:val="20"/>
          <w:szCs w:val="20"/>
          <w:lang w:eastAsia="pl-PL"/>
        </w:rPr>
        <w:t>pkcie</w:t>
      </w:r>
      <w:proofErr w:type="spellEnd"/>
      <w:r w:rsidRPr="00B67D8D">
        <w:rPr>
          <w:rFonts w:eastAsia="Times New Roman" w:cstheme="minorHAnsi"/>
          <w:sz w:val="20"/>
          <w:szCs w:val="20"/>
          <w:lang w:eastAsia="pl-PL"/>
        </w:rPr>
        <w:t> 5.2.</w:t>
      </w:r>
    </w:p>
    <w:p w14:paraId="51F4F304" w14:textId="77777777" w:rsidR="00713454" w:rsidRPr="00B67D8D" w:rsidRDefault="00713454" w:rsidP="00713454">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983" w:name="_Toc407161229"/>
      <w:bookmarkStart w:id="984" w:name="_Toc418994931"/>
      <w:bookmarkStart w:id="985" w:name="_Toc418996338"/>
      <w:bookmarkStart w:id="986" w:name="_Toc418996707"/>
      <w:bookmarkStart w:id="987" w:name="_Toc418997094"/>
      <w:bookmarkStart w:id="988" w:name="_Toc418998504"/>
      <w:bookmarkStart w:id="989" w:name="_Toc418998860"/>
      <w:bookmarkStart w:id="990" w:name="_Toc419000105"/>
      <w:bookmarkStart w:id="991" w:name="_Toc194476661"/>
      <w:bookmarkStart w:id="992" w:name="_Toc227760003"/>
      <w:bookmarkStart w:id="993" w:name="_Toc227825150"/>
      <w:r w:rsidRPr="00B67D8D">
        <w:rPr>
          <w:rFonts w:eastAsia="Times New Roman" w:cstheme="minorHAnsi"/>
          <w:b/>
          <w:caps/>
          <w:kern w:val="28"/>
          <w:sz w:val="20"/>
          <w:szCs w:val="20"/>
          <w:lang w:eastAsia="pl-PL"/>
        </w:rPr>
        <w:t>7. obmiar robót</w:t>
      </w:r>
      <w:bookmarkEnd w:id="983"/>
      <w:bookmarkEnd w:id="984"/>
      <w:bookmarkEnd w:id="985"/>
      <w:bookmarkEnd w:id="986"/>
      <w:bookmarkEnd w:id="987"/>
      <w:bookmarkEnd w:id="988"/>
      <w:bookmarkEnd w:id="989"/>
      <w:bookmarkEnd w:id="990"/>
      <w:bookmarkEnd w:id="991"/>
      <w:bookmarkEnd w:id="992"/>
      <w:bookmarkEnd w:id="993"/>
    </w:p>
    <w:p w14:paraId="3D1BC648"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994" w:name="_Toc407161230"/>
      <w:bookmarkStart w:id="995" w:name="_Toc194476662"/>
      <w:bookmarkStart w:id="996" w:name="_Toc227760004"/>
      <w:bookmarkStart w:id="997" w:name="_Toc227825151"/>
      <w:r w:rsidRPr="00B67D8D">
        <w:rPr>
          <w:rFonts w:eastAsia="Times New Roman" w:cstheme="minorHAnsi"/>
          <w:b/>
          <w:sz w:val="20"/>
          <w:szCs w:val="20"/>
          <w:lang w:eastAsia="pl-PL"/>
        </w:rPr>
        <w:t>7.1. Ogólne zasady obmiaru robót</w:t>
      </w:r>
      <w:bookmarkEnd w:id="994"/>
      <w:bookmarkEnd w:id="995"/>
      <w:bookmarkEnd w:id="996"/>
      <w:bookmarkEnd w:id="997"/>
    </w:p>
    <w:p w14:paraId="6D928C39"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Ogólne zasady obmiaru robót podano w SST D-02.00.01 pkt 7.</w:t>
      </w:r>
    </w:p>
    <w:p w14:paraId="2A1A5F45"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998" w:name="_Toc407161231"/>
      <w:bookmarkStart w:id="999" w:name="_Toc194476663"/>
      <w:bookmarkStart w:id="1000" w:name="_Toc227760005"/>
      <w:bookmarkStart w:id="1001" w:name="_Toc227825152"/>
      <w:r w:rsidRPr="00B67D8D">
        <w:rPr>
          <w:rFonts w:eastAsia="Times New Roman" w:cstheme="minorHAnsi"/>
          <w:b/>
          <w:sz w:val="20"/>
          <w:szCs w:val="20"/>
          <w:lang w:eastAsia="pl-PL"/>
        </w:rPr>
        <w:t>7.2. Jednostka obmiarowa</w:t>
      </w:r>
      <w:bookmarkEnd w:id="998"/>
      <w:bookmarkEnd w:id="999"/>
      <w:bookmarkEnd w:id="1000"/>
      <w:bookmarkEnd w:id="1001"/>
    </w:p>
    <w:p w14:paraId="50C59795" w14:textId="77777777" w:rsidR="00713454" w:rsidRPr="00B67D8D"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Jednostką obmiarową jest m</w:t>
      </w:r>
      <w:r w:rsidRPr="00B67D8D">
        <w:rPr>
          <w:rFonts w:eastAsia="Times New Roman" w:cstheme="minorHAnsi"/>
          <w:sz w:val="20"/>
          <w:szCs w:val="20"/>
          <w:vertAlign w:val="superscript"/>
          <w:lang w:eastAsia="pl-PL"/>
        </w:rPr>
        <w:t>3</w:t>
      </w:r>
      <w:r w:rsidRPr="00B67D8D">
        <w:rPr>
          <w:rFonts w:eastAsia="Times New Roman" w:cstheme="minorHAnsi"/>
          <w:sz w:val="20"/>
          <w:szCs w:val="20"/>
          <w:lang w:eastAsia="pl-PL"/>
        </w:rPr>
        <w:t xml:space="preserve"> (metr sześcienny) wykonanego wykopu.</w:t>
      </w:r>
    </w:p>
    <w:p w14:paraId="47550DD7" w14:textId="77777777" w:rsidR="00713454" w:rsidRPr="00B67D8D" w:rsidRDefault="00713454" w:rsidP="00713454">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1002" w:name="_Toc407161232"/>
      <w:bookmarkStart w:id="1003" w:name="_Toc418994932"/>
      <w:bookmarkStart w:id="1004" w:name="_Toc418996339"/>
      <w:bookmarkStart w:id="1005" w:name="_Toc418996708"/>
      <w:bookmarkStart w:id="1006" w:name="_Toc418997095"/>
      <w:bookmarkStart w:id="1007" w:name="_Toc418998505"/>
      <w:bookmarkStart w:id="1008" w:name="_Toc418998861"/>
      <w:bookmarkStart w:id="1009" w:name="_Toc419000106"/>
      <w:bookmarkStart w:id="1010" w:name="_Toc194476664"/>
      <w:bookmarkStart w:id="1011" w:name="_Toc227760006"/>
      <w:bookmarkStart w:id="1012" w:name="_Toc227825153"/>
      <w:r w:rsidRPr="00B67D8D">
        <w:rPr>
          <w:rFonts w:eastAsia="Times New Roman" w:cstheme="minorHAnsi"/>
          <w:b/>
          <w:caps/>
          <w:kern w:val="28"/>
          <w:sz w:val="20"/>
          <w:szCs w:val="20"/>
          <w:lang w:eastAsia="pl-PL"/>
        </w:rPr>
        <w:t>8. odbiór robót</w:t>
      </w:r>
      <w:bookmarkEnd w:id="1002"/>
      <w:bookmarkEnd w:id="1003"/>
      <w:bookmarkEnd w:id="1004"/>
      <w:bookmarkEnd w:id="1005"/>
      <w:bookmarkEnd w:id="1006"/>
      <w:bookmarkEnd w:id="1007"/>
      <w:bookmarkEnd w:id="1008"/>
      <w:bookmarkEnd w:id="1009"/>
      <w:bookmarkEnd w:id="1010"/>
      <w:bookmarkEnd w:id="1011"/>
      <w:bookmarkEnd w:id="1012"/>
    </w:p>
    <w:p w14:paraId="2500BB5D" w14:textId="77777777" w:rsidR="00713454" w:rsidRPr="00B67D8D"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Ogólne zasady odbioru robót podano w SST D-02.00.01 pkt 8.</w:t>
      </w:r>
    </w:p>
    <w:p w14:paraId="2820927D" w14:textId="77777777" w:rsidR="00713454" w:rsidRPr="00B67D8D" w:rsidRDefault="00713454" w:rsidP="00713454">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1013" w:name="_Toc407161233"/>
      <w:bookmarkStart w:id="1014" w:name="_Toc418994933"/>
      <w:bookmarkStart w:id="1015" w:name="_Toc418996340"/>
      <w:bookmarkStart w:id="1016" w:name="_Toc418996709"/>
      <w:bookmarkStart w:id="1017" w:name="_Toc418997096"/>
      <w:bookmarkStart w:id="1018" w:name="_Toc418998506"/>
      <w:bookmarkStart w:id="1019" w:name="_Toc418998862"/>
      <w:bookmarkStart w:id="1020" w:name="_Toc419000107"/>
      <w:bookmarkStart w:id="1021" w:name="_Toc194476665"/>
      <w:bookmarkStart w:id="1022" w:name="_Toc227760007"/>
      <w:bookmarkStart w:id="1023" w:name="_Toc227825154"/>
      <w:r w:rsidRPr="00B67D8D">
        <w:rPr>
          <w:rFonts w:eastAsia="Times New Roman" w:cstheme="minorHAnsi"/>
          <w:b/>
          <w:caps/>
          <w:kern w:val="28"/>
          <w:sz w:val="20"/>
          <w:szCs w:val="20"/>
          <w:lang w:eastAsia="pl-PL"/>
        </w:rPr>
        <w:t>9. podstawa płatności</w:t>
      </w:r>
      <w:bookmarkEnd w:id="1013"/>
      <w:bookmarkEnd w:id="1014"/>
      <w:bookmarkEnd w:id="1015"/>
      <w:bookmarkEnd w:id="1016"/>
      <w:bookmarkEnd w:id="1017"/>
      <w:bookmarkEnd w:id="1018"/>
      <w:bookmarkEnd w:id="1019"/>
      <w:bookmarkEnd w:id="1020"/>
      <w:bookmarkEnd w:id="1021"/>
      <w:bookmarkEnd w:id="1022"/>
      <w:bookmarkEnd w:id="1023"/>
    </w:p>
    <w:p w14:paraId="04A085A1"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024" w:name="_Toc407161234"/>
      <w:bookmarkStart w:id="1025" w:name="_Toc194476666"/>
      <w:bookmarkStart w:id="1026" w:name="_Toc227760008"/>
      <w:bookmarkStart w:id="1027" w:name="_Toc227825155"/>
      <w:r w:rsidRPr="00B67D8D">
        <w:rPr>
          <w:rFonts w:eastAsia="Times New Roman" w:cstheme="minorHAnsi"/>
          <w:b/>
          <w:sz w:val="20"/>
          <w:szCs w:val="20"/>
          <w:lang w:eastAsia="pl-PL"/>
        </w:rPr>
        <w:t>9.1. Ogólne ustalenia dotyczące podstawy płatności</w:t>
      </w:r>
      <w:bookmarkEnd w:id="1024"/>
      <w:bookmarkEnd w:id="1025"/>
      <w:bookmarkEnd w:id="1026"/>
      <w:bookmarkEnd w:id="1027"/>
    </w:p>
    <w:p w14:paraId="1D331827"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Ogólne ustalenia dotyczące podstawy płatności podano w SST D-02.00.01 pkt 9.</w:t>
      </w:r>
    </w:p>
    <w:p w14:paraId="4C325F84"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028" w:name="_Toc407161235"/>
      <w:bookmarkStart w:id="1029" w:name="_Toc194476667"/>
      <w:bookmarkStart w:id="1030" w:name="_Toc227760009"/>
      <w:bookmarkStart w:id="1031" w:name="_Toc227825156"/>
      <w:r w:rsidRPr="00B67D8D">
        <w:rPr>
          <w:rFonts w:eastAsia="Times New Roman" w:cstheme="minorHAnsi"/>
          <w:b/>
          <w:sz w:val="20"/>
          <w:szCs w:val="20"/>
          <w:lang w:eastAsia="pl-PL"/>
        </w:rPr>
        <w:t>9.2. Cena jednostki obmiarowej</w:t>
      </w:r>
      <w:bookmarkEnd w:id="1028"/>
      <w:bookmarkEnd w:id="1029"/>
      <w:bookmarkEnd w:id="1030"/>
      <w:bookmarkEnd w:id="1031"/>
    </w:p>
    <w:p w14:paraId="43873281"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Cena wykonania 1 m</w:t>
      </w:r>
      <w:r w:rsidRPr="00B67D8D">
        <w:rPr>
          <w:rFonts w:eastAsia="Times New Roman" w:cstheme="minorHAnsi"/>
          <w:sz w:val="20"/>
          <w:szCs w:val="20"/>
          <w:vertAlign w:val="superscript"/>
          <w:lang w:eastAsia="pl-PL"/>
        </w:rPr>
        <w:t>3</w:t>
      </w:r>
      <w:r w:rsidRPr="00B67D8D">
        <w:rPr>
          <w:rFonts w:eastAsia="Times New Roman" w:cstheme="minorHAnsi"/>
          <w:sz w:val="20"/>
          <w:szCs w:val="20"/>
          <w:lang w:eastAsia="pl-PL"/>
        </w:rPr>
        <w:t xml:space="preserve"> wykopów w gruntach nieskalistych obejmuje:</w:t>
      </w:r>
    </w:p>
    <w:p w14:paraId="34A959C1"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prace pomiarowe i roboty przygotowawcze,</w:t>
      </w:r>
    </w:p>
    <w:p w14:paraId="5FE50140"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lastRenderedPageBreak/>
        <w:t>oznakowanie robót,</w:t>
      </w:r>
    </w:p>
    <w:p w14:paraId="6F6DE0AB" w14:textId="3AE0D9E1"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wykonanie wykopu z transportem urobku na nasyp lub odkład, obejmujące: odspojenie, przemieszczenie, załadunek, przewiezienie i wyładunek,</w:t>
      </w:r>
    </w:p>
    <w:p w14:paraId="6550F9F4"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odwodnienie wykopu na czas jego wykonywania,</w:t>
      </w:r>
    </w:p>
    <w:p w14:paraId="6E91ECF7"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 xml:space="preserve">profilowanie dna wykopu, rowów, skarp, </w:t>
      </w:r>
    </w:p>
    <w:p w14:paraId="6F3CAC13"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 xml:space="preserve">zagęszczenie powierzchni wykopu, </w:t>
      </w:r>
    </w:p>
    <w:p w14:paraId="05A247EC"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przeprowadzenie pomiarów i badań laboratoryjnych, wymaganych w specyfikacji technicznej,</w:t>
      </w:r>
    </w:p>
    <w:p w14:paraId="3DADD551"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 xml:space="preserve">rozplantowanie urobku na odkładzie, </w:t>
      </w:r>
    </w:p>
    <w:p w14:paraId="50DD6130"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wykonanie, a następnie rozebranie dróg dojazdowych,</w:t>
      </w:r>
    </w:p>
    <w:p w14:paraId="57E64355"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rekultywację terenu.</w:t>
      </w:r>
      <w:r w:rsidRPr="00B67D8D">
        <w:rPr>
          <w:rFonts w:eastAsia="Times New Roman" w:cstheme="minorHAnsi"/>
          <w:sz w:val="20"/>
          <w:szCs w:val="20"/>
          <w:lang w:eastAsia="pl-PL"/>
        </w:rPr>
        <w:tab/>
      </w:r>
    </w:p>
    <w:p w14:paraId="37B1E600" w14:textId="77777777" w:rsidR="00713454" w:rsidRPr="00B67D8D" w:rsidRDefault="00713454" w:rsidP="00713454">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032" w:name="_Toc407161236"/>
      <w:bookmarkStart w:id="1033" w:name="_Toc418994934"/>
      <w:bookmarkStart w:id="1034" w:name="_Toc418996341"/>
      <w:bookmarkStart w:id="1035" w:name="_Toc418996710"/>
      <w:bookmarkStart w:id="1036" w:name="_Toc418997097"/>
      <w:bookmarkStart w:id="1037" w:name="_Toc418998507"/>
      <w:bookmarkStart w:id="1038" w:name="_Toc418998863"/>
      <w:bookmarkStart w:id="1039" w:name="_Toc419000108"/>
      <w:bookmarkStart w:id="1040" w:name="_Toc194476668"/>
      <w:bookmarkStart w:id="1041" w:name="_Toc227760010"/>
      <w:bookmarkStart w:id="1042" w:name="_Toc227825157"/>
      <w:r w:rsidRPr="00B67D8D">
        <w:rPr>
          <w:rFonts w:eastAsia="Times New Roman" w:cstheme="minorHAnsi"/>
          <w:b/>
          <w:caps/>
          <w:kern w:val="28"/>
          <w:sz w:val="20"/>
          <w:szCs w:val="20"/>
          <w:lang w:eastAsia="pl-PL"/>
        </w:rPr>
        <w:t>10. przepisy związane</w:t>
      </w:r>
      <w:bookmarkEnd w:id="1032"/>
      <w:bookmarkEnd w:id="1033"/>
      <w:bookmarkEnd w:id="1034"/>
      <w:bookmarkEnd w:id="1035"/>
      <w:bookmarkEnd w:id="1036"/>
      <w:bookmarkEnd w:id="1037"/>
      <w:bookmarkEnd w:id="1038"/>
      <w:bookmarkEnd w:id="1039"/>
      <w:bookmarkEnd w:id="1040"/>
      <w:bookmarkEnd w:id="1041"/>
      <w:bookmarkEnd w:id="1042"/>
    </w:p>
    <w:p w14:paraId="3ED16AD6" w14:textId="77777777" w:rsidR="00713454" w:rsidRPr="00B67D8D"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Spis przepisów związanych podano w SST D-02.00.01 pkt 10.</w:t>
      </w:r>
    </w:p>
    <w:p w14:paraId="346A23BD" w14:textId="77777777" w:rsidR="00713454" w:rsidRPr="00B67D8D" w:rsidRDefault="00713454" w:rsidP="00BF7EE3">
      <w:pPr>
        <w:pStyle w:val="Nagwek3"/>
        <w:rPr>
          <w:rFonts w:asciiTheme="minorHAnsi" w:hAnsiTheme="minorHAnsi" w:cstheme="minorHAnsi"/>
          <w:b/>
          <w:bCs/>
          <w:sz w:val="20"/>
        </w:rPr>
      </w:pPr>
      <w:bookmarkStart w:id="1043" w:name="_Toc227825158"/>
      <w:r w:rsidRPr="00B67D8D">
        <w:rPr>
          <w:rFonts w:asciiTheme="minorHAnsi" w:hAnsiTheme="minorHAnsi" w:cstheme="minorHAnsi"/>
          <w:b/>
          <w:bCs/>
          <w:sz w:val="20"/>
        </w:rPr>
        <w:t xml:space="preserve">D </w:t>
      </w:r>
      <w:r w:rsidR="00B26F4A" w:rsidRPr="00B67D8D">
        <w:rPr>
          <w:rFonts w:asciiTheme="minorHAnsi" w:hAnsiTheme="minorHAnsi" w:cstheme="minorHAnsi"/>
          <w:b/>
          <w:bCs/>
          <w:sz w:val="20"/>
        </w:rPr>
        <w:t>-</w:t>
      </w:r>
      <w:r w:rsidRPr="00B67D8D">
        <w:rPr>
          <w:rFonts w:asciiTheme="minorHAnsi" w:hAnsiTheme="minorHAnsi" w:cstheme="minorHAnsi"/>
          <w:b/>
          <w:bCs/>
          <w:sz w:val="20"/>
        </w:rPr>
        <w:t xml:space="preserve"> 03.01.03 b OCZYSZCZENIE ROWU Z NAMUŁU</w:t>
      </w:r>
      <w:bookmarkEnd w:id="1043"/>
    </w:p>
    <w:p w14:paraId="66E9EAEA" w14:textId="77777777" w:rsidR="00713454" w:rsidRPr="00B67D8D"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044" w:name="_Toc282519909"/>
      <w:bookmarkStart w:id="1045" w:name="_Toc194476721"/>
      <w:bookmarkStart w:id="1046" w:name="_Toc227760012"/>
      <w:bookmarkStart w:id="1047" w:name="_Toc227825159"/>
      <w:r w:rsidRPr="00B67D8D">
        <w:rPr>
          <w:rFonts w:eastAsia="Times New Roman" w:cstheme="minorHAnsi"/>
          <w:b/>
          <w:caps/>
          <w:kern w:val="28"/>
          <w:sz w:val="20"/>
          <w:szCs w:val="20"/>
          <w:lang w:eastAsia="pl-PL"/>
        </w:rPr>
        <w:t>1. WSTĘP</w:t>
      </w:r>
      <w:bookmarkEnd w:id="1044"/>
      <w:bookmarkEnd w:id="1045"/>
      <w:bookmarkEnd w:id="1046"/>
      <w:bookmarkEnd w:id="1047"/>
    </w:p>
    <w:p w14:paraId="36E60A5F"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048" w:name="_Toc194476722"/>
      <w:bookmarkStart w:id="1049" w:name="_Toc227760013"/>
      <w:bookmarkStart w:id="1050" w:name="_Toc227825160"/>
      <w:r w:rsidRPr="00B67D8D">
        <w:rPr>
          <w:rFonts w:eastAsia="Times New Roman" w:cstheme="minorHAnsi"/>
          <w:b/>
          <w:sz w:val="20"/>
          <w:szCs w:val="20"/>
          <w:lang w:eastAsia="pl-PL"/>
        </w:rPr>
        <w:t>1.1. Przedmiot SST</w:t>
      </w:r>
      <w:bookmarkEnd w:id="1048"/>
      <w:bookmarkEnd w:id="1049"/>
      <w:bookmarkEnd w:id="1050"/>
    </w:p>
    <w:p w14:paraId="32289F8D"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 xml:space="preserve">Przedmiotem niniejszej szczegółowej specyfikacji technicznej (SST) są wymagania dotyczące wykonania i odbioru robót związanych z oczyszczeniem rowu z namułu. </w:t>
      </w:r>
    </w:p>
    <w:p w14:paraId="5B7DB12C"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051" w:name="_Toc194476723"/>
      <w:bookmarkStart w:id="1052" w:name="_Toc227760014"/>
      <w:bookmarkStart w:id="1053" w:name="_Toc227825161"/>
      <w:r w:rsidRPr="00B67D8D">
        <w:rPr>
          <w:rFonts w:eastAsia="Times New Roman" w:cstheme="minorHAnsi"/>
          <w:b/>
          <w:sz w:val="20"/>
          <w:szCs w:val="20"/>
          <w:lang w:eastAsia="pl-PL"/>
        </w:rPr>
        <w:t>1.2. Zakres stosowania SST</w:t>
      </w:r>
      <w:bookmarkEnd w:id="1051"/>
      <w:bookmarkEnd w:id="1052"/>
      <w:bookmarkEnd w:id="1053"/>
    </w:p>
    <w:p w14:paraId="0002D3BC"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b/>
          <w:sz w:val="20"/>
          <w:szCs w:val="20"/>
          <w:lang w:eastAsia="pl-PL"/>
        </w:rPr>
        <w:tab/>
      </w:r>
      <w:r w:rsidRPr="00B67D8D">
        <w:rPr>
          <w:rFonts w:eastAsia="Times New Roman" w:cstheme="minorHAnsi"/>
          <w:sz w:val="20"/>
          <w:szCs w:val="20"/>
          <w:lang w:eastAsia="pl-PL"/>
        </w:rPr>
        <w:t>Specyfikacja techniczna jest stosowana jako dokument przetargowy i kontraktowy przy zlecaniu i realizacji robót wymienionych w pkt 1.1.</w:t>
      </w:r>
    </w:p>
    <w:p w14:paraId="0781723F"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054" w:name="_Toc194476724"/>
      <w:bookmarkStart w:id="1055" w:name="_Toc227760015"/>
      <w:bookmarkStart w:id="1056" w:name="_Toc227825162"/>
      <w:r w:rsidRPr="00B67D8D">
        <w:rPr>
          <w:rFonts w:eastAsia="Times New Roman" w:cstheme="minorHAnsi"/>
          <w:b/>
          <w:sz w:val="20"/>
          <w:szCs w:val="20"/>
          <w:lang w:eastAsia="pl-PL"/>
        </w:rPr>
        <w:t>1.3. Zakres robót objętych SST</w:t>
      </w:r>
      <w:bookmarkEnd w:id="1054"/>
      <w:bookmarkEnd w:id="1055"/>
      <w:bookmarkEnd w:id="1056"/>
    </w:p>
    <w:p w14:paraId="0C088F0B" w14:textId="724B01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b/>
          <w:sz w:val="20"/>
          <w:szCs w:val="20"/>
          <w:lang w:eastAsia="pl-PL"/>
        </w:rPr>
        <w:tab/>
      </w:r>
      <w:r w:rsidRPr="00B67D8D">
        <w:rPr>
          <w:rFonts w:eastAsia="Times New Roman" w:cstheme="minorHAnsi"/>
          <w:sz w:val="20"/>
          <w:szCs w:val="20"/>
          <w:lang w:val="pl" w:eastAsia="pl-PL"/>
        </w:rPr>
        <w:t xml:space="preserve">Ustalenia zawarte w niniejszej specyfikacji związane są z </w:t>
      </w:r>
      <w:r w:rsidRPr="00B67D8D">
        <w:rPr>
          <w:rFonts w:eastAsia="Times New Roman" w:cstheme="minorHAnsi"/>
          <w:b/>
          <w:sz w:val="20"/>
          <w:szCs w:val="20"/>
          <w:lang w:eastAsia="pl-PL"/>
        </w:rPr>
        <w:t xml:space="preserve">Przebudową </w:t>
      </w:r>
      <w:r w:rsidR="00B67D8D" w:rsidRPr="00B67D8D">
        <w:rPr>
          <w:rFonts w:eastAsia="Times New Roman" w:cstheme="minorHAnsi"/>
          <w:b/>
          <w:sz w:val="20"/>
          <w:szCs w:val="20"/>
          <w:lang w:eastAsia="pl-PL"/>
        </w:rPr>
        <w:t>drogi powiatowej</w:t>
      </w:r>
      <w:r w:rsidRPr="00B67D8D">
        <w:rPr>
          <w:rFonts w:eastAsia="Times New Roman" w:cstheme="minorHAnsi"/>
          <w:b/>
          <w:sz w:val="20"/>
          <w:szCs w:val="20"/>
          <w:lang w:eastAsia="pl-PL"/>
        </w:rPr>
        <w:t xml:space="preserve"> nr </w:t>
      </w:r>
      <w:r w:rsidR="00386337" w:rsidRPr="00B67D8D">
        <w:rPr>
          <w:rFonts w:eastAsia="Times New Roman" w:cstheme="minorHAnsi"/>
          <w:b/>
          <w:bCs/>
          <w:sz w:val="20"/>
          <w:szCs w:val="20"/>
          <w:lang w:eastAsia="pl-PL"/>
        </w:rPr>
        <w:t>4506W Zwoleń – Sarnów w miejscowości Łuczynów</w:t>
      </w:r>
      <w:r w:rsidRPr="00B67D8D">
        <w:rPr>
          <w:rFonts w:eastAsia="Times New Roman" w:cstheme="minorHAnsi"/>
          <w:b/>
          <w:sz w:val="20"/>
          <w:szCs w:val="20"/>
          <w:lang w:eastAsia="pl-PL"/>
        </w:rPr>
        <w:t xml:space="preserve"> </w:t>
      </w:r>
      <w:r w:rsidRPr="00B67D8D">
        <w:rPr>
          <w:rFonts w:eastAsia="Times New Roman" w:cstheme="minorHAnsi"/>
          <w:sz w:val="20"/>
          <w:szCs w:val="20"/>
          <w:lang w:eastAsia="pl-PL"/>
        </w:rPr>
        <w:t xml:space="preserve">i dotyczą zasad prowadzenia robót związanych z wykonaniem </w:t>
      </w:r>
      <w:r w:rsidR="00B67D8D">
        <w:rPr>
          <w:rFonts w:eastAsia="Times New Roman" w:cstheme="minorHAnsi"/>
          <w:sz w:val="20"/>
          <w:szCs w:val="20"/>
          <w:lang w:eastAsia="pl-PL"/>
        </w:rPr>
        <w:br/>
      </w:r>
      <w:r w:rsidRPr="00B67D8D">
        <w:rPr>
          <w:rFonts w:eastAsia="Times New Roman" w:cstheme="minorHAnsi"/>
          <w:sz w:val="20"/>
          <w:szCs w:val="20"/>
          <w:lang w:eastAsia="pl-PL"/>
        </w:rPr>
        <w:t>i odbiorem czynności związanych z usunięciem z rowu namułu, stanowiącego cząstki gleby zmyte z powierzchni terenu i uniesione przez wodę i osadzone na dnie rowu. Usunięcie naniesionego namułu z rowu pozwala na prawidłowe funkcjonowanie cieku przydrożnego.</w:t>
      </w:r>
    </w:p>
    <w:p w14:paraId="3F644421"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057" w:name="_Toc194476725"/>
      <w:bookmarkStart w:id="1058" w:name="_Toc227760016"/>
      <w:bookmarkStart w:id="1059" w:name="_Toc227825163"/>
      <w:r w:rsidRPr="00B67D8D">
        <w:rPr>
          <w:rFonts w:eastAsia="Times New Roman" w:cstheme="minorHAnsi"/>
          <w:b/>
          <w:sz w:val="20"/>
          <w:szCs w:val="20"/>
          <w:lang w:eastAsia="pl-PL"/>
        </w:rPr>
        <w:t>1.4. Określenia podstawowe</w:t>
      </w:r>
      <w:bookmarkEnd w:id="1057"/>
      <w:bookmarkEnd w:id="1058"/>
      <w:bookmarkEnd w:id="1059"/>
    </w:p>
    <w:p w14:paraId="04966A09" w14:textId="77777777" w:rsidR="00713454" w:rsidRPr="00B67D8D" w:rsidRDefault="00713454" w:rsidP="00713454">
      <w:pPr>
        <w:tabs>
          <w:tab w:val="left" w:pos="567"/>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b/>
          <w:sz w:val="20"/>
          <w:szCs w:val="20"/>
          <w:lang w:eastAsia="pl-PL"/>
        </w:rPr>
        <w:t>1.4.1.</w:t>
      </w:r>
      <w:r w:rsidRPr="00B67D8D">
        <w:rPr>
          <w:rFonts w:eastAsia="Times New Roman" w:cstheme="minorHAnsi"/>
          <w:sz w:val="20"/>
          <w:szCs w:val="20"/>
          <w:lang w:eastAsia="pl-PL"/>
        </w:rPr>
        <w:tab/>
        <w:t>Oczyszczenie rowu – usuwanie naniesionego materiału zanieczyszczającego z rowu, utrudniającego prawidłowe funkcjonowanie urządzenia odwadniającego.</w:t>
      </w:r>
    </w:p>
    <w:p w14:paraId="196E9B56" w14:textId="77777777" w:rsidR="00713454" w:rsidRPr="00B67D8D" w:rsidRDefault="00713454" w:rsidP="00713454">
      <w:pPr>
        <w:tabs>
          <w:tab w:val="left" w:pos="567"/>
        </w:tabs>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B67D8D">
        <w:rPr>
          <w:rFonts w:eastAsia="Times New Roman" w:cstheme="minorHAnsi"/>
          <w:b/>
          <w:sz w:val="20"/>
          <w:szCs w:val="20"/>
          <w:lang w:eastAsia="pl-PL"/>
        </w:rPr>
        <w:t>1.4.2.</w:t>
      </w:r>
      <w:r w:rsidRPr="00B67D8D">
        <w:rPr>
          <w:rFonts w:eastAsia="Times New Roman" w:cstheme="minorHAnsi"/>
          <w:b/>
          <w:sz w:val="20"/>
          <w:szCs w:val="20"/>
          <w:lang w:eastAsia="pl-PL"/>
        </w:rPr>
        <w:tab/>
      </w:r>
      <w:r w:rsidRPr="00B67D8D">
        <w:rPr>
          <w:rFonts w:eastAsia="Times New Roman" w:cstheme="minorHAnsi"/>
          <w:sz w:val="20"/>
          <w:szCs w:val="20"/>
          <w:lang w:eastAsia="pl-PL"/>
        </w:rPr>
        <w:t>Namuł – drobne cząstki gleby zmyte z powierzchni terenu lub wymyte z koryta cieku, uniesione przez wodę i osadzające się na dnie rowu.</w:t>
      </w:r>
    </w:p>
    <w:p w14:paraId="4349F155" w14:textId="4284332F" w:rsidR="00713454" w:rsidRPr="00B67D8D" w:rsidRDefault="00713454" w:rsidP="00713454">
      <w:pPr>
        <w:tabs>
          <w:tab w:val="left" w:pos="567"/>
        </w:tabs>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B67D8D">
        <w:rPr>
          <w:rFonts w:eastAsia="Times New Roman" w:cstheme="minorHAnsi"/>
          <w:b/>
          <w:sz w:val="20"/>
          <w:szCs w:val="20"/>
          <w:lang w:eastAsia="pl-PL"/>
        </w:rPr>
        <w:t>1.4.3.</w:t>
      </w:r>
      <w:r w:rsidRPr="00B67D8D">
        <w:rPr>
          <w:rFonts w:eastAsia="Times New Roman" w:cstheme="minorHAnsi"/>
          <w:b/>
          <w:sz w:val="20"/>
          <w:szCs w:val="20"/>
          <w:lang w:eastAsia="pl-PL"/>
        </w:rPr>
        <w:tab/>
      </w:r>
      <w:r w:rsidRPr="00B67D8D">
        <w:rPr>
          <w:rFonts w:eastAsia="Times New Roman" w:cstheme="minorHAnsi"/>
          <w:sz w:val="20"/>
          <w:szCs w:val="20"/>
          <w:lang w:eastAsia="pl-PL"/>
        </w:rPr>
        <w:t xml:space="preserve">Pozostałe określenia podstawowe są zgodne z obowiązującymi, odpowiednimi polskimi normami </w:t>
      </w:r>
      <w:r w:rsidR="00B67D8D">
        <w:rPr>
          <w:rFonts w:eastAsia="Times New Roman" w:cstheme="minorHAnsi"/>
          <w:sz w:val="20"/>
          <w:szCs w:val="20"/>
          <w:lang w:eastAsia="pl-PL"/>
        </w:rPr>
        <w:br/>
      </w:r>
      <w:r w:rsidRPr="00B67D8D">
        <w:rPr>
          <w:rFonts w:eastAsia="Times New Roman" w:cstheme="minorHAnsi"/>
          <w:sz w:val="20"/>
          <w:szCs w:val="20"/>
          <w:lang w:eastAsia="pl-PL"/>
        </w:rPr>
        <w:t>i z definicjami podanymi w SST D-00.00.00 „Wymagania ogólne” [1] pkt 1.4.</w:t>
      </w:r>
    </w:p>
    <w:p w14:paraId="06BC2179"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060" w:name="_Toc194476726"/>
      <w:bookmarkStart w:id="1061" w:name="_Toc227760017"/>
      <w:bookmarkStart w:id="1062" w:name="_Toc227825164"/>
      <w:r w:rsidRPr="00B67D8D">
        <w:rPr>
          <w:rFonts w:eastAsia="Times New Roman" w:cstheme="minorHAnsi"/>
          <w:b/>
          <w:sz w:val="20"/>
          <w:szCs w:val="20"/>
          <w:lang w:eastAsia="pl-PL"/>
        </w:rPr>
        <w:t>1.5. Ogólne wymagania dotyczące robót</w:t>
      </w:r>
      <w:bookmarkEnd w:id="1060"/>
      <w:bookmarkEnd w:id="1061"/>
      <w:bookmarkEnd w:id="1062"/>
    </w:p>
    <w:p w14:paraId="7A5CDF64"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Ogólne wymagania dotyczące robót podano w SST D-00.00.00 „Wymagania ogólne” [1] pkt 1.5.</w:t>
      </w:r>
    </w:p>
    <w:p w14:paraId="57F3079F" w14:textId="77777777" w:rsidR="00713454" w:rsidRPr="00B67D8D"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063" w:name="_Toc282519910"/>
      <w:bookmarkStart w:id="1064" w:name="_Toc194476727"/>
      <w:bookmarkStart w:id="1065" w:name="_Toc227760018"/>
      <w:bookmarkStart w:id="1066" w:name="_Toc227825165"/>
      <w:r w:rsidRPr="00B67D8D">
        <w:rPr>
          <w:rFonts w:eastAsia="Times New Roman" w:cstheme="minorHAnsi"/>
          <w:b/>
          <w:caps/>
          <w:kern w:val="28"/>
          <w:sz w:val="20"/>
          <w:szCs w:val="20"/>
          <w:lang w:eastAsia="pl-PL"/>
        </w:rPr>
        <w:t xml:space="preserve">2. </w:t>
      </w:r>
      <w:bookmarkEnd w:id="1063"/>
      <w:r w:rsidRPr="00B67D8D">
        <w:rPr>
          <w:rFonts w:eastAsia="Times New Roman" w:cstheme="minorHAnsi"/>
          <w:b/>
          <w:caps/>
          <w:kern w:val="28"/>
          <w:sz w:val="20"/>
          <w:szCs w:val="20"/>
          <w:lang w:eastAsia="pl-PL"/>
        </w:rPr>
        <w:t>MATERIAŁY</w:t>
      </w:r>
      <w:bookmarkEnd w:id="1064"/>
      <w:bookmarkEnd w:id="1065"/>
      <w:bookmarkEnd w:id="1066"/>
    </w:p>
    <w:p w14:paraId="21784830"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Nie występują.</w:t>
      </w:r>
    </w:p>
    <w:p w14:paraId="1E7622B8" w14:textId="77777777" w:rsidR="00713454" w:rsidRPr="00B67D8D"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067" w:name="_Toc282519911"/>
      <w:bookmarkStart w:id="1068" w:name="_Toc194476728"/>
      <w:bookmarkStart w:id="1069" w:name="_Toc227760019"/>
      <w:bookmarkStart w:id="1070" w:name="_Toc227825166"/>
      <w:r w:rsidRPr="00B67D8D">
        <w:rPr>
          <w:rFonts w:eastAsia="Times New Roman" w:cstheme="minorHAnsi"/>
          <w:b/>
          <w:caps/>
          <w:kern w:val="28"/>
          <w:sz w:val="20"/>
          <w:szCs w:val="20"/>
          <w:lang w:eastAsia="pl-PL"/>
        </w:rPr>
        <w:t xml:space="preserve">3. </w:t>
      </w:r>
      <w:bookmarkEnd w:id="1067"/>
      <w:r w:rsidRPr="00B67D8D">
        <w:rPr>
          <w:rFonts w:eastAsia="Times New Roman" w:cstheme="minorHAnsi"/>
          <w:b/>
          <w:caps/>
          <w:kern w:val="28"/>
          <w:sz w:val="20"/>
          <w:szCs w:val="20"/>
          <w:lang w:eastAsia="pl-PL"/>
        </w:rPr>
        <w:t>SPRZĘT</w:t>
      </w:r>
      <w:bookmarkEnd w:id="1068"/>
      <w:bookmarkEnd w:id="1069"/>
      <w:bookmarkEnd w:id="1070"/>
    </w:p>
    <w:p w14:paraId="351EB90C"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071" w:name="_Toc194476729"/>
      <w:bookmarkStart w:id="1072" w:name="_Toc227760020"/>
      <w:bookmarkStart w:id="1073" w:name="_Toc227825167"/>
      <w:r w:rsidRPr="00B67D8D">
        <w:rPr>
          <w:rFonts w:eastAsia="Times New Roman" w:cstheme="minorHAnsi"/>
          <w:b/>
          <w:sz w:val="20"/>
          <w:szCs w:val="20"/>
          <w:lang w:eastAsia="pl-PL"/>
        </w:rPr>
        <w:t>3.1. Ogólne wymagania dotyczące sprzętu</w:t>
      </w:r>
      <w:bookmarkEnd w:id="1071"/>
      <w:bookmarkEnd w:id="1072"/>
      <w:bookmarkEnd w:id="1073"/>
    </w:p>
    <w:p w14:paraId="76ADD0C8"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Ogólne wymagania dotyczące sprzętu podano w SST D-00.00.00 „Wymagania ogólne” [1], pkt 3.</w:t>
      </w:r>
    </w:p>
    <w:p w14:paraId="052F772E"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074" w:name="_Toc194476730"/>
      <w:bookmarkStart w:id="1075" w:name="_Toc227760021"/>
      <w:bookmarkStart w:id="1076" w:name="_Toc227825168"/>
      <w:r w:rsidRPr="00B67D8D">
        <w:rPr>
          <w:rFonts w:eastAsia="Times New Roman" w:cstheme="minorHAnsi"/>
          <w:b/>
          <w:sz w:val="20"/>
          <w:szCs w:val="20"/>
          <w:lang w:eastAsia="pl-PL"/>
        </w:rPr>
        <w:t>3.2. Sprzęt stosowany do wykonania robót</w:t>
      </w:r>
      <w:bookmarkEnd w:id="1074"/>
      <w:bookmarkEnd w:id="1075"/>
      <w:bookmarkEnd w:id="1076"/>
    </w:p>
    <w:p w14:paraId="08FBD031" w14:textId="77777777" w:rsidR="00713454" w:rsidRPr="00B67D8D"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Przy wykonywaniu robót Wykonawca, w zależności od potrzeb, powinien wykazać się możliwością korzystania ze sprzętu dostosowanego do przyjętej metody robót, jak:</w:t>
      </w:r>
    </w:p>
    <w:p w14:paraId="3F6EAF48" w14:textId="77777777" w:rsidR="00713454" w:rsidRPr="00B67D8D" w:rsidRDefault="00713454">
      <w:pPr>
        <w:numPr>
          <w:ilvl w:val="0"/>
          <w:numId w:val="3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lastRenderedPageBreak/>
        <w:t>łopaty, szpadle, ew. kilofy, siekiery,</w:t>
      </w:r>
    </w:p>
    <w:p w14:paraId="144741F0" w14:textId="77777777" w:rsidR="00713454" w:rsidRPr="00B67D8D" w:rsidRDefault="00713454">
      <w:pPr>
        <w:numPr>
          <w:ilvl w:val="0"/>
          <w:numId w:val="3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urządzenia do transportowania i przemieszczania usuniętego namułu jak wiadra, taczki itp.</w:t>
      </w:r>
    </w:p>
    <w:p w14:paraId="0CB9536E" w14:textId="77777777" w:rsidR="00713454" w:rsidRPr="00B67D8D" w:rsidRDefault="00713454" w:rsidP="00713454">
      <w:pPr>
        <w:overflowPunct w:val="0"/>
        <w:autoSpaceDE w:val="0"/>
        <w:autoSpaceDN w:val="0"/>
        <w:adjustRightInd w:val="0"/>
        <w:spacing w:after="0" w:line="240" w:lineRule="auto"/>
        <w:ind w:left="709"/>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W niektórych przypadkach można też stosować:</w:t>
      </w:r>
    </w:p>
    <w:p w14:paraId="3CC26220" w14:textId="77777777" w:rsidR="00713454" w:rsidRPr="00B67D8D" w:rsidRDefault="00713454">
      <w:pPr>
        <w:numPr>
          <w:ilvl w:val="0"/>
          <w:numId w:val="3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ubijaki ręczne,</w:t>
      </w:r>
    </w:p>
    <w:p w14:paraId="083B4430" w14:textId="77777777" w:rsidR="00713454" w:rsidRPr="00B67D8D" w:rsidRDefault="00713454">
      <w:pPr>
        <w:numPr>
          <w:ilvl w:val="0"/>
          <w:numId w:val="3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równiarki.</w:t>
      </w:r>
    </w:p>
    <w:p w14:paraId="64B3A1C1" w14:textId="77777777" w:rsidR="00713454" w:rsidRPr="00B67D8D" w:rsidRDefault="00713454" w:rsidP="00713454">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077" w:name="_Toc282519912"/>
      <w:bookmarkStart w:id="1078" w:name="_Toc194476731"/>
      <w:bookmarkStart w:id="1079" w:name="_Toc227760022"/>
      <w:bookmarkStart w:id="1080" w:name="_Toc227825169"/>
      <w:r w:rsidRPr="00B67D8D">
        <w:rPr>
          <w:rFonts w:eastAsia="Times New Roman" w:cstheme="minorHAnsi"/>
          <w:b/>
          <w:caps/>
          <w:kern w:val="28"/>
          <w:sz w:val="20"/>
          <w:szCs w:val="20"/>
          <w:lang w:eastAsia="pl-PL"/>
        </w:rPr>
        <w:t>4. TRANSPORT</w:t>
      </w:r>
      <w:bookmarkEnd w:id="1077"/>
      <w:bookmarkEnd w:id="1078"/>
      <w:bookmarkEnd w:id="1079"/>
      <w:bookmarkEnd w:id="1080"/>
    </w:p>
    <w:p w14:paraId="5A514B6B" w14:textId="77777777" w:rsidR="00713454" w:rsidRPr="00B67D8D"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081" w:name="_Toc194476732"/>
      <w:bookmarkStart w:id="1082" w:name="_Toc227760023"/>
      <w:bookmarkStart w:id="1083" w:name="_Toc227825170"/>
      <w:r w:rsidRPr="00B67D8D">
        <w:rPr>
          <w:rFonts w:eastAsia="Times New Roman" w:cstheme="minorHAnsi"/>
          <w:b/>
          <w:sz w:val="20"/>
          <w:szCs w:val="20"/>
          <w:lang w:eastAsia="pl-PL"/>
        </w:rPr>
        <w:t>4.1. Ogólne wymagania dotyczące transportu</w:t>
      </w:r>
      <w:bookmarkEnd w:id="1081"/>
      <w:bookmarkEnd w:id="1082"/>
      <w:bookmarkEnd w:id="1083"/>
    </w:p>
    <w:p w14:paraId="7BC72DB2" w14:textId="77777777" w:rsidR="00713454" w:rsidRPr="00B67D8D"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Ogólne wymagania dotyczące transportu podano w SST D-00.00.00 „Wymagania ogólne” [1], pkt 4.</w:t>
      </w:r>
      <w:r w:rsidRPr="00B67D8D">
        <w:rPr>
          <w:rFonts w:eastAsia="Times New Roman" w:cstheme="minorHAnsi"/>
          <w:sz w:val="20"/>
          <w:szCs w:val="20"/>
          <w:lang w:eastAsia="pl-PL"/>
        </w:rPr>
        <w:tab/>
      </w:r>
    </w:p>
    <w:p w14:paraId="23310019"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084" w:name="_Toc194476733"/>
      <w:bookmarkStart w:id="1085" w:name="_Toc227760024"/>
      <w:bookmarkStart w:id="1086" w:name="_Toc227825171"/>
      <w:r w:rsidRPr="00B67D8D">
        <w:rPr>
          <w:rFonts w:eastAsia="Times New Roman" w:cstheme="minorHAnsi"/>
          <w:b/>
          <w:sz w:val="20"/>
          <w:szCs w:val="20"/>
          <w:lang w:eastAsia="pl-PL"/>
        </w:rPr>
        <w:t>4.2. Transport zanieczyszczeń</w:t>
      </w:r>
      <w:bookmarkEnd w:id="1084"/>
      <w:bookmarkEnd w:id="1085"/>
      <w:bookmarkEnd w:id="1086"/>
    </w:p>
    <w:p w14:paraId="29DD916E" w14:textId="77777777" w:rsidR="00713454" w:rsidRPr="00B67D8D" w:rsidRDefault="00713454" w:rsidP="00713454">
      <w:pPr>
        <w:keepNext/>
        <w:overflowPunct w:val="0"/>
        <w:autoSpaceDE w:val="0"/>
        <w:autoSpaceDN w:val="0"/>
        <w:adjustRightInd w:val="0"/>
        <w:spacing w:after="0" w:line="240" w:lineRule="auto"/>
        <w:jc w:val="both"/>
        <w:textAlignment w:val="baseline"/>
        <w:outlineLvl w:val="1"/>
        <w:rPr>
          <w:rFonts w:eastAsia="Times New Roman" w:cstheme="minorHAnsi"/>
          <w:sz w:val="20"/>
          <w:szCs w:val="20"/>
          <w:lang w:eastAsia="pl-PL"/>
        </w:rPr>
      </w:pPr>
      <w:r w:rsidRPr="00B67D8D">
        <w:rPr>
          <w:rFonts w:eastAsia="Times New Roman" w:cstheme="minorHAnsi"/>
          <w:sz w:val="20"/>
          <w:szCs w:val="20"/>
          <w:lang w:eastAsia="pl-PL"/>
        </w:rPr>
        <w:tab/>
      </w:r>
      <w:bookmarkStart w:id="1087" w:name="_Toc194476734"/>
      <w:bookmarkStart w:id="1088" w:name="_Toc227760025"/>
      <w:bookmarkStart w:id="1089" w:name="_Toc227825172"/>
      <w:r w:rsidRPr="00B67D8D">
        <w:rPr>
          <w:rFonts w:eastAsia="Times New Roman" w:cstheme="minorHAnsi"/>
          <w:sz w:val="20"/>
          <w:szCs w:val="20"/>
          <w:lang w:eastAsia="pl-PL"/>
        </w:rPr>
        <w:t>Transport i przemieszczenie zebranych zanieczyszczeń, w tym namułu, można dokonać:</w:t>
      </w:r>
      <w:bookmarkEnd w:id="1087"/>
      <w:bookmarkEnd w:id="1088"/>
      <w:bookmarkEnd w:id="1089"/>
    </w:p>
    <w:p w14:paraId="3420F457" w14:textId="77777777" w:rsidR="00713454" w:rsidRPr="00B67D8D" w:rsidRDefault="00713454">
      <w:pPr>
        <w:numPr>
          <w:ilvl w:val="0"/>
          <w:numId w:val="3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na krótkie odległości: taczkami, przenoszone wiadrami, szuflami itp.,</w:t>
      </w:r>
    </w:p>
    <w:p w14:paraId="6F4A7D1A" w14:textId="77777777" w:rsidR="00713454" w:rsidRPr="00B67D8D" w:rsidRDefault="00713454">
      <w:pPr>
        <w:numPr>
          <w:ilvl w:val="0"/>
          <w:numId w:val="3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na dłuższe odległości: ciągnikami z przyczepą, samochodami itp.</w:t>
      </w:r>
    </w:p>
    <w:p w14:paraId="17AE43F0" w14:textId="77777777" w:rsidR="00713454" w:rsidRPr="00B67D8D"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090" w:name="_Toc282519913"/>
      <w:bookmarkStart w:id="1091" w:name="_Toc194476735"/>
      <w:bookmarkStart w:id="1092" w:name="_Toc227760026"/>
      <w:bookmarkStart w:id="1093" w:name="_Toc227825173"/>
      <w:r w:rsidRPr="00B67D8D">
        <w:rPr>
          <w:rFonts w:eastAsia="Times New Roman" w:cstheme="minorHAnsi"/>
          <w:b/>
          <w:caps/>
          <w:kern w:val="28"/>
          <w:sz w:val="20"/>
          <w:szCs w:val="20"/>
          <w:lang w:eastAsia="pl-PL"/>
        </w:rPr>
        <w:t xml:space="preserve">5. </w:t>
      </w:r>
      <w:bookmarkEnd w:id="1090"/>
      <w:r w:rsidRPr="00B67D8D">
        <w:rPr>
          <w:rFonts w:eastAsia="Times New Roman" w:cstheme="minorHAnsi"/>
          <w:b/>
          <w:caps/>
          <w:kern w:val="28"/>
          <w:sz w:val="20"/>
          <w:szCs w:val="20"/>
          <w:lang w:eastAsia="pl-PL"/>
        </w:rPr>
        <w:t>WYKONANIE ROBÓT</w:t>
      </w:r>
      <w:bookmarkEnd w:id="1091"/>
      <w:bookmarkEnd w:id="1092"/>
      <w:bookmarkEnd w:id="1093"/>
    </w:p>
    <w:p w14:paraId="1370FA79" w14:textId="77777777" w:rsidR="00713454" w:rsidRPr="00B67D8D"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094" w:name="_Toc194476736"/>
      <w:bookmarkStart w:id="1095" w:name="_Toc227760027"/>
      <w:bookmarkStart w:id="1096" w:name="_Toc227825174"/>
      <w:r w:rsidRPr="00B67D8D">
        <w:rPr>
          <w:rFonts w:eastAsia="Times New Roman" w:cstheme="minorHAnsi"/>
          <w:b/>
          <w:sz w:val="20"/>
          <w:szCs w:val="20"/>
          <w:lang w:eastAsia="pl-PL"/>
        </w:rPr>
        <w:t>5.1. Ogólne zasady wykonania robót</w:t>
      </w:r>
      <w:bookmarkEnd w:id="1094"/>
      <w:bookmarkEnd w:id="1095"/>
      <w:bookmarkEnd w:id="1096"/>
    </w:p>
    <w:p w14:paraId="7045B4D8" w14:textId="77777777" w:rsidR="00713454" w:rsidRPr="00B67D8D" w:rsidRDefault="00713454" w:rsidP="00713454">
      <w:pPr>
        <w:numPr>
          <w:ilvl w:val="12"/>
          <w:numId w:val="0"/>
        </w:num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Ogólne zasady wykonania robót podano w SST D-00.00.00 „Wymagania ogólne” [1], pkt 5.</w:t>
      </w:r>
    </w:p>
    <w:p w14:paraId="3D37A7D9"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097" w:name="_Toc194476737"/>
      <w:bookmarkStart w:id="1098" w:name="_Toc227760028"/>
      <w:bookmarkStart w:id="1099" w:name="_Toc227825175"/>
      <w:r w:rsidRPr="00B67D8D">
        <w:rPr>
          <w:rFonts w:eastAsia="Times New Roman" w:cstheme="minorHAnsi"/>
          <w:b/>
          <w:sz w:val="20"/>
          <w:szCs w:val="20"/>
          <w:lang w:eastAsia="pl-PL"/>
        </w:rPr>
        <w:t>5.2. Zasady wykonywania robót</w:t>
      </w:r>
      <w:bookmarkEnd w:id="1097"/>
      <w:bookmarkEnd w:id="1098"/>
      <w:bookmarkEnd w:id="1099"/>
    </w:p>
    <w:p w14:paraId="1B2F0088" w14:textId="77777777" w:rsidR="00713454" w:rsidRPr="00B67D8D"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Sposób wykonania robót powinien być zgodny z dokumentacją projektową i ST. W przypadku braku wystarczających danych można korzystać z ustaleń podanych w niniejszej specyfikacji oraz z informacji podanych w załącznikach.</w:t>
      </w:r>
    </w:p>
    <w:p w14:paraId="75342CEE"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Podstawowe czynności przy wykonywaniu robót obejmują:</w:t>
      </w:r>
    </w:p>
    <w:p w14:paraId="6DACAA42"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1.  roboty przygotowawcze,</w:t>
      </w:r>
    </w:p>
    <w:p w14:paraId="140C934D" w14:textId="77777777" w:rsidR="00713454" w:rsidRPr="00B67D8D" w:rsidRDefault="00713454" w:rsidP="00713454">
      <w:p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2. wydobycie i usunięcie namułu na przyległy teren lub odwiezienie na składowisko odpadów,</w:t>
      </w:r>
    </w:p>
    <w:p w14:paraId="417BA50C"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3.  wyprofilowanie dna i skarp rowu,</w:t>
      </w:r>
    </w:p>
    <w:p w14:paraId="3F77A06A"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4.  roboty wykończeniowe.</w:t>
      </w:r>
    </w:p>
    <w:p w14:paraId="6B51E14A"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100" w:name="_Toc194476738"/>
      <w:bookmarkStart w:id="1101" w:name="_Toc227760029"/>
      <w:bookmarkStart w:id="1102" w:name="_Toc227825176"/>
      <w:r w:rsidRPr="00B67D8D">
        <w:rPr>
          <w:rFonts w:eastAsia="Times New Roman" w:cstheme="minorHAnsi"/>
          <w:b/>
          <w:sz w:val="20"/>
          <w:szCs w:val="20"/>
          <w:lang w:eastAsia="pl-PL"/>
        </w:rPr>
        <w:t>5.3. Roboty przygotowawcze</w:t>
      </w:r>
      <w:bookmarkEnd w:id="1100"/>
      <w:bookmarkEnd w:id="1101"/>
      <w:bookmarkEnd w:id="1102"/>
    </w:p>
    <w:p w14:paraId="3F3CCB78"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Przed przystąpieniem do robót należy, na podstawie dokumentacji projektowej, ST lub wskazań Inżyniera:</w:t>
      </w:r>
    </w:p>
    <w:p w14:paraId="1A56908A" w14:textId="77777777" w:rsidR="00713454" w:rsidRPr="00B67D8D" w:rsidRDefault="00713454" w:rsidP="00713454">
      <w:pPr>
        <w:numPr>
          <w:ilvl w:val="0"/>
          <w:numId w:val="1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ustalić lokalizację terenu robót,</w:t>
      </w:r>
    </w:p>
    <w:p w14:paraId="05F3BEBA" w14:textId="77777777" w:rsidR="00713454" w:rsidRPr="00B67D8D" w:rsidRDefault="00713454" w:rsidP="00713454">
      <w:pPr>
        <w:numPr>
          <w:ilvl w:val="0"/>
          <w:numId w:val="1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usunąć przeszkody, utrudniające wykonanie robót,</w:t>
      </w:r>
    </w:p>
    <w:p w14:paraId="72E888B5" w14:textId="77777777" w:rsidR="00713454" w:rsidRPr="00B67D8D" w:rsidRDefault="00713454" w:rsidP="00713454">
      <w:pPr>
        <w:numPr>
          <w:ilvl w:val="0"/>
          <w:numId w:val="1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zgromadzić sprzęt potrzebny do rozpoczęcia robót.</w:t>
      </w:r>
    </w:p>
    <w:p w14:paraId="5DD18F39"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103" w:name="_Toc194476739"/>
      <w:bookmarkStart w:id="1104" w:name="_Toc227760030"/>
      <w:bookmarkStart w:id="1105" w:name="_Toc227825177"/>
      <w:r w:rsidRPr="00B67D8D">
        <w:rPr>
          <w:rFonts w:eastAsia="Times New Roman" w:cstheme="minorHAnsi"/>
          <w:b/>
          <w:sz w:val="20"/>
          <w:szCs w:val="20"/>
          <w:lang w:eastAsia="pl-PL"/>
        </w:rPr>
        <w:t>5.4. Oczyszczenie rowu z namułu</w:t>
      </w:r>
      <w:bookmarkEnd w:id="1103"/>
      <w:bookmarkEnd w:id="1104"/>
      <w:bookmarkEnd w:id="1105"/>
    </w:p>
    <w:p w14:paraId="4B706721"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Rowy drogowe powinny być przez cały rok, oprócz zimy, utrzymywane w sposób, który umożliwi im spełniać swoje zadanie poprawnie. W czasie oględzin okresowych należy zaobserwować wszystkie miejsca wymagające interwencji, dotyczącej oczyszczenia rowu z namułu oraz ewentualnie z trawy i chwastów. Rowy oczyszcza się w miarę potrzeb, najkorzystniej po kilku dniach deszczowych.</w:t>
      </w:r>
    </w:p>
    <w:p w14:paraId="32314CA2"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Rowy zaleca się czyścić od dołu do góry, tj. poczynając od wylotu rowu w kierunku punktów położonych wyżej. Czyszczenie rowu powinno się odbywać w sposób, przy którym zostaje przywrócony spadek dna i zdolność przepustowa rowu. W związku z tym nie należy podcinać skarpy rowu w płaszczyźnie pionowej lub do niej zbliżonej, lecz w pochyleniu takim jakie zostało dla rowu zaprojektowane. Należy również uważać, aby niepotrzebnie nie naruszyć skarp już utrwalonych przez darniowanie.</w:t>
      </w:r>
    </w:p>
    <w:p w14:paraId="2855AF0E" w14:textId="64AC5CC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 xml:space="preserve">Należy uważać, aby nie obniżyć dna rowu (patrz zał. 2, rys. 2.2a) i nie wytworzyć przez to zagłębionych odcinków, przyczyniających się do powstania zastoin wody. W toku oczyszczania należy sprawdzać profil podłużny dna rowu i w razie potrzeby przeprowadzić jego regulację. W przypadku powstania wyrw i zagłębień </w:t>
      </w:r>
      <w:r w:rsidR="00B67D8D">
        <w:rPr>
          <w:rFonts w:eastAsia="Times New Roman" w:cstheme="minorHAnsi"/>
          <w:sz w:val="20"/>
          <w:szCs w:val="20"/>
          <w:lang w:eastAsia="pl-PL"/>
        </w:rPr>
        <w:br/>
      </w:r>
      <w:r w:rsidRPr="00B67D8D">
        <w:rPr>
          <w:rFonts w:eastAsia="Times New Roman" w:cstheme="minorHAnsi"/>
          <w:sz w:val="20"/>
          <w:szCs w:val="20"/>
          <w:lang w:eastAsia="pl-PL"/>
        </w:rPr>
        <w:t>w dnie rowu, wypełnia się je odpowiednim gruntem, zagęszcza i wyrównuje.</w:t>
      </w:r>
    </w:p>
    <w:p w14:paraId="7A297B82"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Roboty oczyszczające rowu wykonuje się przeważnie ręcznie przy pomocy łopat, szpadli, sztychówek itp. Przy większym zakresie robót i przy specjalnie dogodnych warunkach można do tego celu stosować równiarki.</w:t>
      </w:r>
    </w:p>
    <w:p w14:paraId="247418BF"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106" w:name="_Toc194476740"/>
      <w:bookmarkStart w:id="1107" w:name="_Toc227760031"/>
      <w:bookmarkStart w:id="1108" w:name="_Toc227825178"/>
      <w:r w:rsidRPr="00B67D8D">
        <w:rPr>
          <w:rFonts w:eastAsia="Times New Roman" w:cstheme="minorHAnsi"/>
          <w:b/>
          <w:sz w:val="20"/>
          <w:szCs w:val="20"/>
          <w:lang w:eastAsia="pl-PL"/>
        </w:rPr>
        <w:lastRenderedPageBreak/>
        <w:t>5.5. Usunięcie namułu poza rów</w:t>
      </w:r>
      <w:bookmarkEnd w:id="1106"/>
      <w:bookmarkEnd w:id="1107"/>
      <w:bookmarkEnd w:id="1108"/>
    </w:p>
    <w:p w14:paraId="14E62E3B"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Materiał zebrany z oczyszczenia rowu należy usunąć poza drogę. Nie powinien być składany ani na poboczach, ani tuż za skarpą rowu (patrz zał. 2, rys. 2.2b) w postaci niskich wałów ziemnych, gdyż sprzyja to ponownemu zamuleniu rowów przez obsuwanie się ziemi do rowu. Ponadto taki wał nadaje drodze i jej sąsiedztwu nieestetyczny wygląd oraz zwiększa niebezpieczeństwo dla szybkiego ruchu samochodowego.</w:t>
      </w:r>
    </w:p>
    <w:p w14:paraId="5D8854EA"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Ponieważ wydobyty z rowu materiał może być zanieczyszczony nie należy go umieszczać poza obrębem drogi, w zagłębieniach terenu lub rozrzucać  po przyległych polach w okresach wolnych od zasiewów.</w:t>
      </w:r>
    </w:p>
    <w:p w14:paraId="522E79C9"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Z zasady, namuł i grunt usunięty z rowu powinien być wywieziony na składowisko odpadów, zlokalizowane na:</w:t>
      </w:r>
    </w:p>
    <w:p w14:paraId="5C02F99F" w14:textId="77777777" w:rsidR="00713454" w:rsidRPr="00B67D8D" w:rsidRDefault="00713454">
      <w:pPr>
        <w:numPr>
          <w:ilvl w:val="0"/>
          <w:numId w:val="3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wysypisku publicznym (np. gminnym, miejskim),</w:t>
      </w:r>
    </w:p>
    <w:p w14:paraId="792F2E49" w14:textId="77777777" w:rsidR="00713454" w:rsidRPr="00B67D8D" w:rsidRDefault="00713454">
      <w:pPr>
        <w:numPr>
          <w:ilvl w:val="0"/>
          <w:numId w:val="3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składowisku własnym, urządzonym zgodnie z warunkami i decyzjami wydanymi przez właściwe władze ochrony środowiska.</w:t>
      </w:r>
    </w:p>
    <w:p w14:paraId="220FAB72" w14:textId="77777777" w:rsidR="00713454" w:rsidRPr="00B67D8D"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Sposób i miejsce składowania zanieczyszczeń powinny być zaakceptowane przez Inżyniera.</w:t>
      </w:r>
    </w:p>
    <w:p w14:paraId="4E30F0E1" w14:textId="77777777" w:rsidR="00713454" w:rsidRPr="00B67D8D"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Jeżeli Inżynier zezwoli na czasowe, krótkotrwałe składowanie zanieczyszczeń w pobliżu oczyszczonych urządzeń odwadniających, to miejsce składowania należy wybrać w taki sposób, aby spływy deszczowe nie mogły przemieszczać zanieczyszczeń z powrotem do miejsc, z których je pobrano lub wprowadzać nieczystości do wód gruntowych i powierzchniowych.</w:t>
      </w:r>
    </w:p>
    <w:p w14:paraId="4695D7FB"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109" w:name="_Toc194476741"/>
      <w:bookmarkStart w:id="1110" w:name="_Toc227760032"/>
      <w:bookmarkStart w:id="1111" w:name="_Toc227825179"/>
      <w:r w:rsidRPr="00B67D8D">
        <w:rPr>
          <w:rFonts w:eastAsia="Times New Roman" w:cstheme="minorHAnsi"/>
          <w:b/>
          <w:sz w:val="20"/>
          <w:szCs w:val="20"/>
          <w:lang w:eastAsia="pl-PL"/>
        </w:rPr>
        <w:t>5.6. Profilowanie skarp i dna rowu</w:t>
      </w:r>
      <w:bookmarkEnd w:id="1109"/>
      <w:bookmarkEnd w:id="1110"/>
      <w:bookmarkEnd w:id="1111"/>
    </w:p>
    <w:p w14:paraId="7D8B95C4"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Po wykonaniu robót oczyszczających dna rowu z namułu należy doprowadzić przekrój rowu do pierwotnego wyglądu. Wszystkie uszkodzenia skarp w postaci wyrw, wypełnia się właściwym gruntem, ubezpieczając jednocześnie powierzchnię jak na przyległym otoczeniu.</w:t>
      </w:r>
    </w:p>
    <w:p w14:paraId="6EFD7B62" w14:textId="43701BCE"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 xml:space="preserve">Na wszystkich odcinkach rowu, gdzie nastąpiły deformacje skarp i dna, zmieniające profil podłużny </w:t>
      </w:r>
      <w:r w:rsidR="00B67D8D">
        <w:rPr>
          <w:rFonts w:eastAsia="Times New Roman" w:cstheme="minorHAnsi"/>
          <w:sz w:val="20"/>
          <w:szCs w:val="20"/>
          <w:lang w:eastAsia="pl-PL"/>
        </w:rPr>
        <w:br/>
      </w:r>
      <w:r w:rsidRPr="00B67D8D">
        <w:rPr>
          <w:rFonts w:eastAsia="Times New Roman" w:cstheme="minorHAnsi"/>
          <w:sz w:val="20"/>
          <w:szCs w:val="20"/>
          <w:lang w:eastAsia="pl-PL"/>
        </w:rPr>
        <w:t>i przekrój poprzeczny rowu należy dokonać wyprofilowania tych elementów, doprowadzając do odnowienia rowu. Roboty te należy wykonać „pod szablon” i ze sprawdzeniem spadku podłużnego rowu.</w:t>
      </w:r>
    </w:p>
    <w:p w14:paraId="0D73501F"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112" w:name="_Toc194476742"/>
      <w:bookmarkStart w:id="1113" w:name="_Toc227760033"/>
      <w:bookmarkStart w:id="1114" w:name="_Toc227825180"/>
      <w:r w:rsidRPr="00B67D8D">
        <w:rPr>
          <w:rFonts w:eastAsia="Times New Roman" w:cstheme="minorHAnsi"/>
          <w:b/>
          <w:sz w:val="20"/>
          <w:szCs w:val="20"/>
          <w:lang w:eastAsia="pl-PL"/>
        </w:rPr>
        <w:t>5.7. Analiza przyczyn zamulania rowu</w:t>
      </w:r>
      <w:bookmarkEnd w:id="1112"/>
      <w:bookmarkEnd w:id="1113"/>
      <w:bookmarkEnd w:id="1114"/>
    </w:p>
    <w:p w14:paraId="1BD56FEF"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W czasie wykonywania prac związanych z usuwaniem namułu, należy przeanalizować przyczyny zamulania rowu, aby je usunąć, a co najmniej złagodzić.</w:t>
      </w:r>
    </w:p>
    <w:p w14:paraId="6633DFEA"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Szczególną uwagę należy zwrócić na spadki podłużne i przekrój poprzeczny rowu. Jako środki zaradcze można m.in. rozważać:</w:t>
      </w:r>
    </w:p>
    <w:p w14:paraId="6F2207C5" w14:textId="77777777" w:rsidR="00713454" w:rsidRPr="00B67D8D" w:rsidRDefault="00713454">
      <w:pPr>
        <w:numPr>
          <w:ilvl w:val="0"/>
          <w:numId w:val="35"/>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odpowiednie umocnienie dna i skarp,</w:t>
      </w:r>
    </w:p>
    <w:p w14:paraId="079102C3" w14:textId="77777777" w:rsidR="00713454" w:rsidRPr="00B67D8D" w:rsidRDefault="00713454">
      <w:pPr>
        <w:numPr>
          <w:ilvl w:val="0"/>
          <w:numId w:val="35"/>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zwiększenie przekroju poprzecznego rowu (co obniżyłoby prędkość przepływu wody).</w:t>
      </w:r>
    </w:p>
    <w:p w14:paraId="61239F6C" w14:textId="77777777" w:rsidR="00713454" w:rsidRPr="00B67D8D"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Cena wykonania tych robót powinna być ujęta w innych pozycjach kosztorysowych.</w:t>
      </w:r>
    </w:p>
    <w:p w14:paraId="2EA7CEFF"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115" w:name="_Toc194476743"/>
      <w:bookmarkStart w:id="1116" w:name="_Toc227760034"/>
      <w:bookmarkStart w:id="1117" w:name="_Toc227825181"/>
      <w:r w:rsidRPr="00B67D8D">
        <w:rPr>
          <w:rFonts w:eastAsia="Times New Roman" w:cstheme="minorHAnsi"/>
          <w:b/>
          <w:sz w:val="20"/>
          <w:szCs w:val="20"/>
          <w:lang w:eastAsia="pl-PL"/>
        </w:rPr>
        <w:t>5.8. Roboty wykończeniowe</w:t>
      </w:r>
      <w:bookmarkEnd w:id="1115"/>
      <w:bookmarkEnd w:id="1116"/>
      <w:bookmarkEnd w:id="1117"/>
    </w:p>
    <w:p w14:paraId="76BCE187" w14:textId="77777777" w:rsidR="00713454" w:rsidRPr="00B67D8D"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Roboty wykończeniowe, zgodne z dokumentacją projektową, ST lub wskazaniami Inżyniera dotyczą prac związanych z dostosowaniem wykonanych robót do istniejących warunków terenowych, takie jak:</w:t>
      </w:r>
    </w:p>
    <w:p w14:paraId="4724F087"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uzupełnienie zniszczonych w czasie robót istniejących elementów drogowych lub terenowych,</w:t>
      </w:r>
    </w:p>
    <w:p w14:paraId="6F2C47E0"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roboty porządkujące otoczenie terenu robót,</w:t>
      </w:r>
    </w:p>
    <w:p w14:paraId="10CE5E9B"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usunięcie oznakowania drogi wprowadzonego na okres robót.</w:t>
      </w:r>
    </w:p>
    <w:p w14:paraId="58100818" w14:textId="77777777" w:rsidR="00713454" w:rsidRPr="00B67D8D" w:rsidRDefault="00713454" w:rsidP="00713454">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118" w:name="_Toc421940501"/>
      <w:bookmarkStart w:id="1119" w:name="_Toc24955913"/>
      <w:bookmarkStart w:id="1120" w:name="_Toc25128887"/>
      <w:bookmarkStart w:id="1121" w:name="_Toc25373385"/>
      <w:bookmarkStart w:id="1122" w:name="_Toc25379401"/>
      <w:bookmarkStart w:id="1123" w:name="_Toc174333138"/>
      <w:bookmarkStart w:id="1124" w:name="_Toc179183771"/>
      <w:bookmarkStart w:id="1125" w:name="_Toc198436140"/>
      <w:bookmarkStart w:id="1126" w:name="_Toc282519914"/>
      <w:bookmarkStart w:id="1127" w:name="_Toc194476744"/>
      <w:bookmarkStart w:id="1128" w:name="_Toc227760035"/>
      <w:bookmarkStart w:id="1129" w:name="_Toc227825182"/>
      <w:r w:rsidRPr="00B67D8D">
        <w:rPr>
          <w:rFonts w:eastAsia="Times New Roman" w:cstheme="minorHAnsi"/>
          <w:b/>
          <w:caps/>
          <w:kern w:val="28"/>
          <w:sz w:val="20"/>
          <w:szCs w:val="20"/>
          <w:lang w:eastAsia="pl-PL"/>
        </w:rPr>
        <w:t xml:space="preserve">6. </w:t>
      </w:r>
      <w:bookmarkEnd w:id="1118"/>
      <w:bookmarkEnd w:id="1119"/>
      <w:bookmarkEnd w:id="1120"/>
      <w:bookmarkEnd w:id="1121"/>
      <w:bookmarkEnd w:id="1122"/>
      <w:bookmarkEnd w:id="1123"/>
      <w:bookmarkEnd w:id="1124"/>
      <w:bookmarkEnd w:id="1125"/>
      <w:bookmarkEnd w:id="1126"/>
      <w:r w:rsidRPr="00B67D8D">
        <w:rPr>
          <w:rFonts w:eastAsia="Times New Roman" w:cstheme="minorHAnsi"/>
          <w:b/>
          <w:caps/>
          <w:kern w:val="28"/>
          <w:sz w:val="20"/>
          <w:szCs w:val="20"/>
          <w:lang w:eastAsia="pl-PL"/>
        </w:rPr>
        <w:t>KONTROLA JAKOŚCI ROBÓT</w:t>
      </w:r>
      <w:bookmarkEnd w:id="1127"/>
      <w:bookmarkEnd w:id="1128"/>
      <w:bookmarkEnd w:id="1129"/>
    </w:p>
    <w:p w14:paraId="7A136BDD" w14:textId="77777777" w:rsidR="00713454" w:rsidRPr="00B67D8D"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130" w:name="_Toc194476745"/>
      <w:bookmarkStart w:id="1131" w:name="_Toc227760036"/>
      <w:bookmarkStart w:id="1132" w:name="_Toc227825183"/>
      <w:r w:rsidRPr="00B67D8D">
        <w:rPr>
          <w:rFonts w:eastAsia="Times New Roman" w:cstheme="minorHAnsi"/>
          <w:b/>
          <w:sz w:val="20"/>
          <w:szCs w:val="20"/>
          <w:lang w:eastAsia="pl-PL"/>
        </w:rPr>
        <w:t>6.1. Ogólne zasady kontroli jakości robót</w:t>
      </w:r>
      <w:bookmarkEnd w:id="1130"/>
      <w:bookmarkEnd w:id="1131"/>
      <w:bookmarkEnd w:id="1132"/>
    </w:p>
    <w:p w14:paraId="561DF3BF" w14:textId="77777777" w:rsidR="00713454" w:rsidRPr="00B67D8D"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Ogólne zasady kontroli jakości robót podano w SST   D-00.00.00 „Wymagania ogólne” [1] pkt 6.</w:t>
      </w:r>
    </w:p>
    <w:p w14:paraId="561CC6F8" w14:textId="77777777" w:rsidR="00713454" w:rsidRPr="00B67D8D"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133" w:name="_Toc194476746"/>
      <w:bookmarkStart w:id="1134" w:name="_Toc227760037"/>
      <w:bookmarkStart w:id="1135" w:name="_Toc227825184"/>
      <w:r w:rsidRPr="00B67D8D">
        <w:rPr>
          <w:rFonts w:eastAsia="Times New Roman" w:cstheme="minorHAnsi"/>
          <w:b/>
          <w:sz w:val="20"/>
          <w:szCs w:val="20"/>
          <w:lang w:eastAsia="pl-PL"/>
        </w:rPr>
        <w:t>6.2. Badania przed przystąpieniem do robót</w:t>
      </w:r>
      <w:bookmarkEnd w:id="1133"/>
      <w:bookmarkEnd w:id="1134"/>
      <w:bookmarkEnd w:id="1135"/>
    </w:p>
    <w:p w14:paraId="2909F71B"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Nie przewiduje się.</w:t>
      </w:r>
    </w:p>
    <w:p w14:paraId="7E598692"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136" w:name="_Toc194476747"/>
      <w:bookmarkStart w:id="1137" w:name="_Toc227760038"/>
      <w:bookmarkStart w:id="1138" w:name="_Toc227825185"/>
      <w:r w:rsidRPr="00B67D8D">
        <w:rPr>
          <w:rFonts w:eastAsia="Times New Roman" w:cstheme="minorHAnsi"/>
          <w:b/>
          <w:sz w:val="20"/>
          <w:szCs w:val="20"/>
          <w:lang w:eastAsia="pl-PL"/>
        </w:rPr>
        <w:t>6.3. Badania w czasie robót</w:t>
      </w:r>
      <w:bookmarkEnd w:id="1136"/>
      <w:bookmarkEnd w:id="1137"/>
      <w:bookmarkEnd w:id="1138"/>
    </w:p>
    <w:p w14:paraId="4B8C7EFB" w14:textId="77777777" w:rsidR="00713454" w:rsidRPr="00B67D8D"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 xml:space="preserve">Częstotliwość oraz zakres badań i pomiarów, które należy wykonać w czasie robót podaje tablica 1. </w:t>
      </w:r>
    </w:p>
    <w:p w14:paraId="10C87C6A" w14:textId="77777777" w:rsidR="00CF69C0" w:rsidRDefault="00CF69C0" w:rsidP="00713454">
      <w:pPr>
        <w:numPr>
          <w:ilvl w:val="12"/>
          <w:numId w:val="0"/>
        </w:num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p>
    <w:p w14:paraId="664961FF" w14:textId="77777777" w:rsidR="00CF69C0" w:rsidRDefault="00CF69C0" w:rsidP="00713454">
      <w:pPr>
        <w:numPr>
          <w:ilvl w:val="12"/>
          <w:numId w:val="0"/>
        </w:num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p>
    <w:p w14:paraId="6CD00CC8" w14:textId="77777777" w:rsidR="00CF69C0" w:rsidRDefault="00CF69C0" w:rsidP="00713454">
      <w:pPr>
        <w:numPr>
          <w:ilvl w:val="12"/>
          <w:numId w:val="0"/>
        </w:num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p>
    <w:p w14:paraId="67F04B68" w14:textId="28415113" w:rsidR="00713454" w:rsidRPr="00B67D8D" w:rsidRDefault="00713454" w:rsidP="00713454">
      <w:pPr>
        <w:numPr>
          <w:ilvl w:val="12"/>
          <w:numId w:val="0"/>
        </w:num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lastRenderedPageBreak/>
        <w:t>Tablica 1.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43"/>
        <w:gridCol w:w="1276"/>
        <w:gridCol w:w="2268"/>
      </w:tblGrid>
      <w:tr w:rsidR="00713454" w:rsidRPr="00B67D8D" w14:paraId="505B0998" w14:textId="77777777" w:rsidTr="00713454">
        <w:tc>
          <w:tcPr>
            <w:tcW w:w="496" w:type="dxa"/>
            <w:tcBorders>
              <w:bottom w:val="single" w:sz="4" w:space="0" w:color="auto"/>
            </w:tcBorders>
          </w:tcPr>
          <w:p w14:paraId="0889C806" w14:textId="77777777" w:rsidR="00713454" w:rsidRPr="00B67D8D" w:rsidRDefault="00713454" w:rsidP="00713454">
            <w:pPr>
              <w:numPr>
                <w:ilvl w:val="12"/>
                <w:numId w:val="0"/>
              </w:numPr>
              <w:overflowPunct w:val="0"/>
              <w:autoSpaceDE w:val="0"/>
              <w:autoSpaceDN w:val="0"/>
              <w:adjustRightInd w:val="0"/>
              <w:spacing w:before="180" w:after="6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Lp.</w:t>
            </w:r>
          </w:p>
        </w:tc>
        <w:tc>
          <w:tcPr>
            <w:tcW w:w="3543" w:type="dxa"/>
            <w:tcBorders>
              <w:bottom w:val="single" w:sz="4" w:space="0" w:color="auto"/>
            </w:tcBorders>
          </w:tcPr>
          <w:p w14:paraId="28CB4F98" w14:textId="77777777" w:rsidR="00713454" w:rsidRPr="00B67D8D" w:rsidRDefault="00713454" w:rsidP="00713454">
            <w:pPr>
              <w:numPr>
                <w:ilvl w:val="12"/>
                <w:numId w:val="0"/>
              </w:numPr>
              <w:overflowPunct w:val="0"/>
              <w:autoSpaceDE w:val="0"/>
              <w:autoSpaceDN w:val="0"/>
              <w:adjustRightInd w:val="0"/>
              <w:spacing w:before="180" w:after="6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Wyszczególnienie robót</w:t>
            </w:r>
          </w:p>
        </w:tc>
        <w:tc>
          <w:tcPr>
            <w:tcW w:w="1276" w:type="dxa"/>
            <w:tcBorders>
              <w:bottom w:val="single" w:sz="4" w:space="0" w:color="auto"/>
            </w:tcBorders>
          </w:tcPr>
          <w:p w14:paraId="1AB943A7" w14:textId="77777777" w:rsidR="00713454" w:rsidRPr="00B67D8D" w:rsidRDefault="00713454" w:rsidP="0071345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Częstotliwość badań</w:t>
            </w:r>
          </w:p>
        </w:tc>
        <w:tc>
          <w:tcPr>
            <w:tcW w:w="2268" w:type="dxa"/>
            <w:tcBorders>
              <w:bottom w:val="single" w:sz="4" w:space="0" w:color="auto"/>
            </w:tcBorders>
          </w:tcPr>
          <w:p w14:paraId="50651171" w14:textId="77777777" w:rsidR="00713454" w:rsidRPr="00B67D8D" w:rsidRDefault="00713454" w:rsidP="00713454">
            <w:pPr>
              <w:numPr>
                <w:ilvl w:val="12"/>
                <w:numId w:val="0"/>
              </w:numPr>
              <w:overflowPunct w:val="0"/>
              <w:autoSpaceDE w:val="0"/>
              <w:autoSpaceDN w:val="0"/>
              <w:adjustRightInd w:val="0"/>
              <w:spacing w:before="180" w:after="6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Wartości dopuszczalne</w:t>
            </w:r>
          </w:p>
        </w:tc>
      </w:tr>
      <w:tr w:rsidR="00713454" w:rsidRPr="00B67D8D" w14:paraId="742BC579" w14:textId="77777777" w:rsidTr="00713454">
        <w:tc>
          <w:tcPr>
            <w:tcW w:w="496" w:type="dxa"/>
            <w:tcBorders>
              <w:top w:val="single" w:sz="4" w:space="0" w:color="auto"/>
            </w:tcBorders>
            <w:vAlign w:val="center"/>
          </w:tcPr>
          <w:p w14:paraId="4F8BFB7D" w14:textId="77777777" w:rsidR="00713454" w:rsidRPr="00B67D8D"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1</w:t>
            </w:r>
          </w:p>
        </w:tc>
        <w:tc>
          <w:tcPr>
            <w:tcW w:w="3543" w:type="dxa"/>
            <w:tcBorders>
              <w:top w:val="single" w:sz="4" w:space="0" w:color="auto"/>
            </w:tcBorders>
            <w:vAlign w:val="center"/>
          </w:tcPr>
          <w:p w14:paraId="483BBA22" w14:textId="77777777" w:rsidR="00713454" w:rsidRPr="00B67D8D" w:rsidRDefault="00713454" w:rsidP="00713454">
            <w:pPr>
              <w:numPr>
                <w:ilvl w:val="12"/>
                <w:numId w:val="0"/>
              </w:numPr>
              <w:overflowPunct w:val="0"/>
              <w:autoSpaceDE w:val="0"/>
              <w:autoSpaceDN w:val="0"/>
              <w:adjustRightInd w:val="0"/>
              <w:spacing w:after="0" w:line="240" w:lineRule="auto"/>
              <w:textAlignment w:val="baseline"/>
              <w:rPr>
                <w:rFonts w:eastAsia="Times New Roman" w:cstheme="minorHAnsi"/>
                <w:sz w:val="20"/>
                <w:szCs w:val="20"/>
                <w:lang w:eastAsia="pl-PL"/>
              </w:rPr>
            </w:pPr>
            <w:r w:rsidRPr="00B67D8D">
              <w:rPr>
                <w:rFonts w:eastAsia="Times New Roman" w:cstheme="minorHAnsi"/>
                <w:sz w:val="20"/>
                <w:szCs w:val="20"/>
                <w:lang w:eastAsia="pl-PL"/>
              </w:rPr>
              <w:t>Lokalizacja i zgodność granic terenu robót z dokumentacją projektową</w:t>
            </w:r>
          </w:p>
        </w:tc>
        <w:tc>
          <w:tcPr>
            <w:tcW w:w="1276" w:type="dxa"/>
            <w:tcBorders>
              <w:top w:val="single" w:sz="4" w:space="0" w:color="auto"/>
            </w:tcBorders>
            <w:vAlign w:val="center"/>
          </w:tcPr>
          <w:p w14:paraId="36608E62" w14:textId="77777777" w:rsidR="00713454" w:rsidRPr="00B67D8D"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1 raz</w:t>
            </w:r>
          </w:p>
        </w:tc>
        <w:tc>
          <w:tcPr>
            <w:tcW w:w="2268" w:type="dxa"/>
            <w:tcBorders>
              <w:top w:val="single" w:sz="4" w:space="0" w:color="auto"/>
            </w:tcBorders>
            <w:vAlign w:val="center"/>
          </w:tcPr>
          <w:p w14:paraId="31430BE3" w14:textId="77777777" w:rsidR="00713454" w:rsidRPr="00B67D8D" w:rsidRDefault="00713454" w:rsidP="0071345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 xml:space="preserve">Wg </w:t>
            </w:r>
            <w:proofErr w:type="spellStart"/>
            <w:r w:rsidRPr="00B67D8D">
              <w:rPr>
                <w:rFonts w:eastAsia="Times New Roman" w:cstheme="minorHAnsi"/>
                <w:sz w:val="20"/>
                <w:szCs w:val="20"/>
                <w:lang w:eastAsia="pl-PL"/>
              </w:rPr>
              <w:t>pktu</w:t>
            </w:r>
            <w:proofErr w:type="spellEnd"/>
            <w:r w:rsidRPr="00B67D8D">
              <w:rPr>
                <w:rFonts w:eastAsia="Times New Roman" w:cstheme="minorHAnsi"/>
                <w:sz w:val="20"/>
                <w:szCs w:val="20"/>
                <w:lang w:eastAsia="pl-PL"/>
              </w:rPr>
              <w:t xml:space="preserve"> 5 i dokumentacji projektowej</w:t>
            </w:r>
          </w:p>
        </w:tc>
      </w:tr>
      <w:tr w:rsidR="00713454" w:rsidRPr="00B67D8D" w14:paraId="6A7A01F7" w14:textId="77777777" w:rsidTr="00713454">
        <w:tc>
          <w:tcPr>
            <w:tcW w:w="496" w:type="dxa"/>
            <w:vAlign w:val="center"/>
          </w:tcPr>
          <w:p w14:paraId="4E43B422" w14:textId="77777777" w:rsidR="00713454" w:rsidRPr="00B67D8D" w:rsidRDefault="00713454" w:rsidP="0071345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2</w:t>
            </w:r>
          </w:p>
        </w:tc>
        <w:tc>
          <w:tcPr>
            <w:tcW w:w="3543" w:type="dxa"/>
            <w:vAlign w:val="center"/>
          </w:tcPr>
          <w:p w14:paraId="16625BE3" w14:textId="77777777" w:rsidR="00713454" w:rsidRPr="00B67D8D" w:rsidRDefault="00713454" w:rsidP="0071345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B67D8D">
              <w:rPr>
                <w:rFonts w:eastAsia="Times New Roman" w:cstheme="minorHAnsi"/>
                <w:sz w:val="20"/>
                <w:szCs w:val="20"/>
                <w:lang w:eastAsia="pl-PL"/>
              </w:rPr>
              <w:t>Wydobycie i usunięcie namułu</w:t>
            </w:r>
          </w:p>
        </w:tc>
        <w:tc>
          <w:tcPr>
            <w:tcW w:w="1276" w:type="dxa"/>
            <w:vAlign w:val="center"/>
          </w:tcPr>
          <w:p w14:paraId="566BDDA5" w14:textId="77777777" w:rsidR="00713454" w:rsidRPr="00B67D8D" w:rsidRDefault="00713454" w:rsidP="0071345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Praca ciągła</w:t>
            </w:r>
          </w:p>
        </w:tc>
        <w:tc>
          <w:tcPr>
            <w:tcW w:w="2268" w:type="dxa"/>
            <w:vAlign w:val="center"/>
          </w:tcPr>
          <w:p w14:paraId="0322D60A" w14:textId="77777777" w:rsidR="00713454" w:rsidRPr="00B67D8D" w:rsidRDefault="00713454" w:rsidP="0071345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 xml:space="preserve">Wg </w:t>
            </w:r>
            <w:proofErr w:type="spellStart"/>
            <w:r w:rsidRPr="00B67D8D">
              <w:rPr>
                <w:rFonts w:eastAsia="Times New Roman" w:cstheme="minorHAnsi"/>
                <w:sz w:val="20"/>
                <w:szCs w:val="20"/>
                <w:lang w:eastAsia="pl-PL"/>
              </w:rPr>
              <w:t>pktu</w:t>
            </w:r>
            <w:proofErr w:type="spellEnd"/>
            <w:r w:rsidRPr="00B67D8D">
              <w:rPr>
                <w:rFonts w:eastAsia="Times New Roman" w:cstheme="minorHAnsi"/>
                <w:sz w:val="20"/>
                <w:szCs w:val="20"/>
                <w:lang w:eastAsia="pl-PL"/>
              </w:rPr>
              <w:t xml:space="preserve"> 5.4</w:t>
            </w:r>
          </w:p>
        </w:tc>
      </w:tr>
      <w:tr w:rsidR="00713454" w:rsidRPr="00B67D8D" w14:paraId="10BDB821" w14:textId="77777777" w:rsidTr="00713454">
        <w:tc>
          <w:tcPr>
            <w:tcW w:w="496" w:type="dxa"/>
            <w:vAlign w:val="center"/>
          </w:tcPr>
          <w:p w14:paraId="65AA53BF" w14:textId="77777777" w:rsidR="00713454" w:rsidRPr="00B67D8D" w:rsidRDefault="00713454" w:rsidP="0071345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3</w:t>
            </w:r>
          </w:p>
        </w:tc>
        <w:tc>
          <w:tcPr>
            <w:tcW w:w="3543" w:type="dxa"/>
            <w:vAlign w:val="center"/>
          </w:tcPr>
          <w:p w14:paraId="525BB042" w14:textId="77777777" w:rsidR="00713454" w:rsidRPr="00B67D8D" w:rsidRDefault="00713454" w:rsidP="0071345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B67D8D">
              <w:rPr>
                <w:rFonts w:eastAsia="Times New Roman" w:cstheme="minorHAnsi"/>
                <w:sz w:val="20"/>
                <w:szCs w:val="20"/>
                <w:lang w:eastAsia="pl-PL"/>
              </w:rPr>
              <w:t>Wyprofilowanie dna i skarp rowu</w:t>
            </w:r>
          </w:p>
        </w:tc>
        <w:tc>
          <w:tcPr>
            <w:tcW w:w="1276" w:type="dxa"/>
            <w:vAlign w:val="center"/>
          </w:tcPr>
          <w:p w14:paraId="2285C712" w14:textId="77777777" w:rsidR="00713454" w:rsidRPr="00B67D8D" w:rsidRDefault="00713454" w:rsidP="0071345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Jw.</w:t>
            </w:r>
          </w:p>
        </w:tc>
        <w:tc>
          <w:tcPr>
            <w:tcW w:w="2268" w:type="dxa"/>
            <w:vAlign w:val="center"/>
          </w:tcPr>
          <w:p w14:paraId="0132B105" w14:textId="77777777" w:rsidR="00713454" w:rsidRPr="00B67D8D" w:rsidRDefault="00713454" w:rsidP="0071345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 xml:space="preserve">Wg </w:t>
            </w:r>
            <w:proofErr w:type="spellStart"/>
            <w:r w:rsidRPr="00B67D8D">
              <w:rPr>
                <w:rFonts w:eastAsia="Times New Roman" w:cstheme="minorHAnsi"/>
                <w:sz w:val="20"/>
                <w:szCs w:val="20"/>
                <w:lang w:eastAsia="pl-PL"/>
              </w:rPr>
              <w:t>pktu</w:t>
            </w:r>
            <w:proofErr w:type="spellEnd"/>
            <w:r w:rsidRPr="00B67D8D">
              <w:rPr>
                <w:rFonts w:eastAsia="Times New Roman" w:cstheme="minorHAnsi"/>
                <w:sz w:val="20"/>
                <w:szCs w:val="20"/>
                <w:lang w:eastAsia="pl-PL"/>
              </w:rPr>
              <w:t xml:space="preserve"> 5.6</w:t>
            </w:r>
          </w:p>
        </w:tc>
      </w:tr>
      <w:tr w:rsidR="00713454" w:rsidRPr="00B67D8D" w14:paraId="23CC73D1" w14:textId="77777777" w:rsidTr="00713454">
        <w:tc>
          <w:tcPr>
            <w:tcW w:w="496" w:type="dxa"/>
            <w:vAlign w:val="center"/>
          </w:tcPr>
          <w:p w14:paraId="594D7D04" w14:textId="77777777" w:rsidR="00713454" w:rsidRPr="00B67D8D" w:rsidRDefault="00713454" w:rsidP="0071345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4</w:t>
            </w:r>
          </w:p>
        </w:tc>
        <w:tc>
          <w:tcPr>
            <w:tcW w:w="3543" w:type="dxa"/>
            <w:vAlign w:val="center"/>
          </w:tcPr>
          <w:p w14:paraId="0CC1DC2F" w14:textId="77777777" w:rsidR="00713454" w:rsidRPr="00B67D8D" w:rsidRDefault="00713454" w:rsidP="0071345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B67D8D">
              <w:rPr>
                <w:rFonts w:eastAsia="Times New Roman" w:cstheme="minorHAnsi"/>
                <w:sz w:val="20"/>
                <w:szCs w:val="20"/>
                <w:lang w:eastAsia="pl-PL"/>
              </w:rPr>
              <w:t>Wykonanie robót wykończeniowych</w:t>
            </w:r>
          </w:p>
        </w:tc>
        <w:tc>
          <w:tcPr>
            <w:tcW w:w="1276" w:type="dxa"/>
            <w:vAlign w:val="center"/>
          </w:tcPr>
          <w:p w14:paraId="0428AB14" w14:textId="77777777" w:rsidR="00713454" w:rsidRPr="00B67D8D" w:rsidRDefault="00713454" w:rsidP="0071345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Ocena ciągła</w:t>
            </w:r>
          </w:p>
        </w:tc>
        <w:tc>
          <w:tcPr>
            <w:tcW w:w="2268" w:type="dxa"/>
            <w:vAlign w:val="center"/>
          </w:tcPr>
          <w:p w14:paraId="2737D3FE" w14:textId="77777777" w:rsidR="00713454" w:rsidRPr="00B67D8D" w:rsidRDefault="00713454" w:rsidP="0071345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 xml:space="preserve">Wg </w:t>
            </w:r>
            <w:proofErr w:type="spellStart"/>
            <w:r w:rsidRPr="00B67D8D">
              <w:rPr>
                <w:rFonts w:eastAsia="Times New Roman" w:cstheme="minorHAnsi"/>
                <w:sz w:val="20"/>
                <w:szCs w:val="20"/>
                <w:lang w:eastAsia="pl-PL"/>
              </w:rPr>
              <w:t>pktu</w:t>
            </w:r>
            <w:proofErr w:type="spellEnd"/>
            <w:r w:rsidRPr="00B67D8D">
              <w:rPr>
                <w:rFonts w:eastAsia="Times New Roman" w:cstheme="minorHAnsi"/>
                <w:sz w:val="20"/>
                <w:szCs w:val="20"/>
                <w:lang w:eastAsia="pl-PL"/>
              </w:rPr>
              <w:t xml:space="preserve"> 5.8</w:t>
            </w:r>
          </w:p>
        </w:tc>
      </w:tr>
    </w:tbl>
    <w:p w14:paraId="7583E9C5" w14:textId="77777777" w:rsidR="00713454" w:rsidRPr="00B67D8D" w:rsidRDefault="00713454" w:rsidP="00713454">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139" w:name="_Toc421940502"/>
      <w:bookmarkStart w:id="1140" w:name="_Toc24955914"/>
      <w:bookmarkStart w:id="1141" w:name="_Toc25128888"/>
      <w:bookmarkStart w:id="1142" w:name="_Toc25373386"/>
      <w:bookmarkStart w:id="1143" w:name="_Toc25379402"/>
      <w:bookmarkStart w:id="1144" w:name="_Toc174333139"/>
      <w:bookmarkStart w:id="1145" w:name="_Toc179183772"/>
      <w:bookmarkStart w:id="1146" w:name="_Toc198436141"/>
      <w:bookmarkStart w:id="1147" w:name="_Toc282519915"/>
      <w:bookmarkStart w:id="1148" w:name="_Toc194476748"/>
      <w:bookmarkStart w:id="1149" w:name="_Toc227760039"/>
      <w:bookmarkStart w:id="1150" w:name="_Toc227825186"/>
      <w:r w:rsidRPr="00B67D8D">
        <w:rPr>
          <w:rFonts w:eastAsia="Times New Roman" w:cstheme="minorHAnsi"/>
          <w:b/>
          <w:caps/>
          <w:kern w:val="28"/>
          <w:sz w:val="20"/>
          <w:szCs w:val="20"/>
          <w:lang w:eastAsia="pl-PL"/>
        </w:rPr>
        <w:t xml:space="preserve">7. </w:t>
      </w:r>
      <w:bookmarkEnd w:id="1139"/>
      <w:bookmarkEnd w:id="1140"/>
      <w:bookmarkEnd w:id="1141"/>
      <w:bookmarkEnd w:id="1142"/>
      <w:bookmarkEnd w:id="1143"/>
      <w:bookmarkEnd w:id="1144"/>
      <w:bookmarkEnd w:id="1145"/>
      <w:bookmarkEnd w:id="1146"/>
      <w:bookmarkEnd w:id="1147"/>
      <w:r w:rsidRPr="00B67D8D">
        <w:rPr>
          <w:rFonts w:eastAsia="Times New Roman" w:cstheme="minorHAnsi"/>
          <w:b/>
          <w:caps/>
          <w:kern w:val="28"/>
          <w:sz w:val="20"/>
          <w:szCs w:val="20"/>
          <w:lang w:eastAsia="pl-PL"/>
        </w:rPr>
        <w:t>OBMIAR ROBÓT</w:t>
      </w:r>
      <w:bookmarkEnd w:id="1148"/>
      <w:bookmarkEnd w:id="1149"/>
      <w:bookmarkEnd w:id="1150"/>
    </w:p>
    <w:p w14:paraId="60AC2A64" w14:textId="77777777" w:rsidR="00713454" w:rsidRPr="00B67D8D"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151" w:name="_Toc194476749"/>
      <w:bookmarkStart w:id="1152" w:name="_Toc227760040"/>
      <w:bookmarkStart w:id="1153" w:name="_Toc227825187"/>
      <w:r w:rsidRPr="00B67D8D">
        <w:rPr>
          <w:rFonts w:eastAsia="Times New Roman" w:cstheme="minorHAnsi"/>
          <w:b/>
          <w:sz w:val="20"/>
          <w:szCs w:val="20"/>
          <w:lang w:eastAsia="pl-PL"/>
        </w:rPr>
        <w:t>7.1. Ogólne zasady obmiaru robót</w:t>
      </w:r>
      <w:bookmarkEnd w:id="1151"/>
      <w:bookmarkEnd w:id="1152"/>
      <w:bookmarkEnd w:id="1153"/>
    </w:p>
    <w:p w14:paraId="47E33A09" w14:textId="5180DE36" w:rsidR="00713454" w:rsidRPr="00B67D8D"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 xml:space="preserve">Ogólne zasady obmiaru robót podano w </w:t>
      </w:r>
      <w:r w:rsidR="00B67D8D" w:rsidRPr="00B67D8D">
        <w:rPr>
          <w:rFonts w:eastAsia="Times New Roman" w:cstheme="minorHAnsi"/>
          <w:sz w:val="20"/>
          <w:szCs w:val="20"/>
          <w:lang w:eastAsia="pl-PL"/>
        </w:rPr>
        <w:t>SST D</w:t>
      </w:r>
      <w:r w:rsidRPr="00B67D8D">
        <w:rPr>
          <w:rFonts w:eastAsia="Times New Roman" w:cstheme="minorHAnsi"/>
          <w:sz w:val="20"/>
          <w:szCs w:val="20"/>
          <w:lang w:eastAsia="pl-PL"/>
        </w:rPr>
        <w:t>-00.00.00 „Wymagania ogólne” [1] pkt 7.</w:t>
      </w:r>
    </w:p>
    <w:p w14:paraId="733640D6" w14:textId="77777777" w:rsidR="00713454" w:rsidRPr="00B67D8D"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154" w:name="_Toc194476750"/>
      <w:bookmarkStart w:id="1155" w:name="_Toc227760041"/>
      <w:bookmarkStart w:id="1156" w:name="_Toc227825188"/>
      <w:r w:rsidRPr="00B67D8D">
        <w:rPr>
          <w:rFonts w:eastAsia="Times New Roman" w:cstheme="minorHAnsi"/>
          <w:b/>
          <w:sz w:val="20"/>
          <w:szCs w:val="20"/>
          <w:lang w:eastAsia="pl-PL"/>
        </w:rPr>
        <w:t>7.2. Jednostka obmiarowa</w:t>
      </w:r>
      <w:bookmarkEnd w:id="1154"/>
      <w:bookmarkEnd w:id="1155"/>
      <w:bookmarkEnd w:id="1156"/>
    </w:p>
    <w:p w14:paraId="03623C38" w14:textId="77777777" w:rsidR="00713454" w:rsidRPr="00B67D8D"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Jednostką obmiarową jest m (metr) wykonanego usunięcia namułu z rowu.</w:t>
      </w:r>
    </w:p>
    <w:p w14:paraId="6AACE82A" w14:textId="77777777" w:rsidR="00713454" w:rsidRPr="00B67D8D" w:rsidRDefault="00713454" w:rsidP="00713454">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r w:rsidRPr="00B67D8D">
        <w:rPr>
          <w:rFonts w:eastAsia="Times New Roman" w:cstheme="minorHAnsi"/>
          <w:b/>
          <w:caps/>
          <w:kern w:val="28"/>
          <w:sz w:val="20"/>
          <w:szCs w:val="20"/>
          <w:lang w:eastAsia="pl-PL"/>
        </w:rPr>
        <w:t xml:space="preserve"> </w:t>
      </w:r>
      <w:bookmarkStart w:id="1157" w:name="_Toc421940503"/>
      <w:bookmarkStart w:id="1158" w:name="_Toc24955915"/>
      <w:bookmarkStart w:id="1159" w:name="_Toc25128889"/>
      <w:bookmarkStart w:id="1160" w:name="_Toc25373387"/>
      <w:bookmarkStart w:id="1161" w:name="_Toc25379403"/>
      <w:bookmarkStart w:id="1162" w:name="_Toc174333140"/>
      <w:bookmarkStart w:id="1163" w:name="_Toc179183773"/>
      <w:bookmarkStart w:id="1164" w:name="_Toc198436142"/>
      <w:bookmarkStart w:id="1165" w:name="_Toc282519916"/>
      <w:bookmarkStart w:id="1166" w:name="_Toc194476751"/>
      <w:bookmarkStart w:id="1167" w:name="_Toc227760042"/>
      <w:bookmarkStart w:id="1168" w:name="_Toc227825189"/>
      <w:r w:rsidRPr="00B67D8D">
        <w:rPr>
          <w:rFonts w:eastAsia="Times New Roman" w:cstheme="minorHAnsi"/>
          <w:b/>
          <w:caps/>
          <w:kern w:val="28"/>
          <w:sz w:val="20"/>
          <w:szCs w:val="20"/>
          <w:lang w:eastAsia="pl-PL"/>
        </w:rPr>
        <w:t xml:space="preserve">8. </w:t>
      </w:r>
      <w:bookmarkEnd w:id="1157"/>
      <w:bookmarkEnd w:id="1158"/>
      <w:bookmarkEnd w:id="1159"/>
      <w:bookmarkEnd w:id="1160"/>
      <w:bookmarkEnd w:id="1161"/>
      <w:bookmarkEnd w:id="1162"/>
      <w:bookmarkEnd w:id="1163"/>
      <w:bookmarkEnd w:id="1164"/>
      <w:bookmarkEnd w:id="1165"/>
      <w:r w:rsidRPr="00B67D8D">
        <w:rPr>
          <w:rFonts w:eastAsia="Times New Roman" w:cstheme="minorHAnsi"/>
          <w:b/>
          <w:caps/>
          <w:kern w:val="28"/>
          <w:sz w:val="20"/>
          <w:szCs w:val="20"/>
          <w:lang w:eastAsia="pl-PL"/>
        </w:rPr>
        <w:t>ODBIÓR ROBÓT</w:t>
      </w:r>
      <w:bookmarkEnd w:id="1166"/>
      <w:bookmarkEnd w:id="1167"/>
      <w:bookmarkEnd w:id="1168"/>
    </w:p>
    <w:p w14:paraId="06537977" w14:textId="5296E989" w:rsidR="00713454" w:rsidRPr="00B67D8D"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 xml:space="preserve">Ogólne zasady odbioru robót podano w </w:t>
      </w:r>
      <w:r w:rsidR="00B67D8D" w:rsidRPr="00B67D8D">
        <w:rPr>
          <w:rFonts w:eastAsia="Times New Roman" w:cstheme="minorHAnsi"/>
          <w:sz w:val="20"/>
          <w:szCs w:val="20"/>
          <w:lang w:eastAsia="pl-PL"/>
        </w:rPr>
        <w:t>SST D</w:t>
      </w:r>
      <w:r w:rsidRPr="00B67D8D">
        <w:rPr>
          <w:rFonts w:eastAsia="Times New Roman" w:cstheme="minorHAnsi"/>
          <w:sz w:val="20"/>
          <w:szCs w:val="20"/>
          <w:lang w:eastAsia="pl-PL"/>
        </w:rPr>
        <w:t>-00.00.00 „Wymagania ogólne” [1] pkt 8.</w:t>
      </w:r>
    </w:p>
    <w:p w14:paraId="4B67746A" w14:textId="77777777" w:rsidR="00713454" w:rsidRPr="00B67D8D"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 xml:space="preserve">Roboty uznaje się za wykonane zgodnie z dokumentacją projektową, ST i wymaganiami Inżyniera, jeżeli wszystkie pomiary i badania z zachowaniem tolerancji według </w:t>
      </w:r>
      <w:proofErr w:type="spellStart"/>
      <w:r w:rsidRPr="00B67D8D">
        <w:rPr>
          <w:rFonts w:eastAsia="Times New Roman" w:cstheme="minorHAnsi"/>
          <w:sz w:val="20"/>
          <w:szCs w:val="20"/>
          <w:lang w:eastAsia="pl-PL"/>
        </w:rPr>
        <w:t>pktu</w:t>
      </w:r>
      <w:proofErr w:type="spellEnd"/>
      <w:r w:rsidRPr="00B67D8D">
        <w:rPr>
          <w:rFonts w:eastAsia="Times New Roman" w:cstheme="minorHAnsi"/>
          <w:sz w:val="20"/>
          <w:szCs w:val="20"/>
          <w:lang w:eastAsia="pl-PL"/>
        </w:rPr>
        <w:t xml:space="preserve"> 6 dały wyniki pozytywne.</w:t>
      </w:r>
    </w:p>
    <w:p w14:paraId="5AE9EA76" w14:textId="77777777" w:rsidR="00713454" w:rsidRPr="00B67D8D" w:rsidRDefault="00713454" w:rsidP="00713454">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169" w:name="_Toc421686551"/>
      <w:bookmarkStart w:id="1170" w:name="_Toc421940504"/>
      <w:bookmarkStart w:id="1171" w:name="_Toc24955916"/>
      <w:bookmarkStart w:id="1172" w:name="_Toc25128890"/>
      <w:bookmarkStart w:id="1173" w:name="_Toc25373388"/>
      <w:bookmarkStart w:id="1174" w:name="_Toc25379404"/>
      <w:bookmarkStart w:id="1175" w:name="_Toc174333141"/>
      <w:bookmarkStart w:id="1176" w:name="_Toc179183774"/>
      <w:bookmarkStart w:id="1177" w:name="_Toc198436143"/>
      <w:bookmarkStart w:id="1178" w:name="_Toc282519917"/>
      <w:bookmarkStart w:id="1179" w:name="_Toc194476752"/>
      <w:bookmarkStart w:id="1180" w:name="_Toc227760043"/>
      <w:bookmarkStart w:id="1181" w:name="_Toc227825190"/>
      <w:r w:rsidRPr="00B67D8D">
        <w:rPr>
          <w:rFonts w:eastAsia="Times New Roman" w:cstheme="minorHAnsi"/>
          <w:b/>
          <w:caps/>
          <w:kern w:val="28"/>
          <w:sz w:val="20"/>
          <w:szCs w:val="20"/>
          <w:lang w:eastAsia="pl-PL"/>
        </w:rPr>
        <w:t xml:space="preserve">9. </w:t>
      </w:r>
      <w:bookmarkEnd w:id="1169"/>
      <w:bookmarkEnd w:id="1170"/>
      <w:bookmarkEnd w:id="1171"/>
      <w:bookmarkEnd w:id="1172"/>
      <w:bookmarkEnd w:id="1173"/>
      <w:bookmarkEnd w:id="1174"/>
      <w:bookmarkEnd w:id="1175"/>
      <w:bookmarkEnd w:id="1176"/>
      <w:bookmarkEnd w:id="1177"/>
      <w:bookmarkEnd w:id="1178"/>
      <w:r w:rsidRPr="00B67D8D">
        <w:rPr>
          <w:rFonts w:eastAsia="Times New Roman" w:cstheme="minorHAnsi"/>
          <w:b/>
          <w:caps/>
          <w:kern w:val="28"/>
          <w:sz w:val="20"/>
          <w:szCs w:val="20"/>
          <w:lang w:eastAsia="pl-PL"/>
        </w:rPr>
        <w:t>PODSTAWA PŁATNOŚCI</w:t>
      </w:r>
      <w:bookmarkEnd w:id="1179"/>
      <w:bookmarkEnd w:id="1180"/>
      <w:bookmarkEnd w:id="1181"/>
    </w:p>
    <w:p w14:paraId="5AD4968B" w14:textId="77777777" w:rsidR="00713454" w:rsidRPr="00B67D8D"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182" w:name="_Toc194476753"/>
      <w:bookmarkStart w:id="1183" w:name="_Toc227760044"/>
      <w:bookmarkStart w:id="1184" w:name="_Toc227825191"/>
      <w:r w:rsidRPr="00B67D8D">
        <w:rPr>
          <w:rFonts w:eastAsia="Times New Roman" w:cstheme="minorHAnsi"/>
          <w:b/>
          <w:sz w:val="20"/>
          <w:szCs w:val="20"/>
          <w:lang w:eastAsia="pl-PL"/>
        </w:rPr>
        <w:t>9.1. Ogólne ustalenia dotyczące podstawy płatności</w:t>
      </w:r>
      <w:bookmarkEnd w:id="1182"/>
      <w:bookmarkEnd w:id="1183"/>
      <w:bookmarkEnd w:id="1184"/>
    </w:p>
    <w:p w14:paraId="28A03EFE" w14:textId="77777777" w:rsidR="00713454" w:rsidRPr="00B67D8D"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Ogólne ustalenia dotyczące podstawy płatności podano w SST D-00.00.00 „Wymagania ogólne” [1] pkt 9.</w:t>
      </w:r>
    </w:p>
    <w:p w14:paraId="269D70B7" w14:textId="77777777" w:rsidR="00713454" w:rsidRPr="00B67D8D" w:rsidRDefault="00713454" w:rsidP="0071345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185" w:name="_Toc194476754"/>
      <w:bookmarkStart w:id="1186" w:name="_Toc227760045"/>
      <w:bookmarkStart w:id="1187" w:name="_Toc227825192"/>
      <w:r w:rsidRPr="00B67D8D">
        <w:rPr>
          <w:rFonts w:eastAsia="Times New Roman" w:cstheme="minorHAnsi"/>
          <w:b/>
          <w:sz w:val="20"/>
          <w:szCs w:val="20"/>
          <w:lang w:eastAsia="pl-PL"/>
        </w:rPr>
        <w:t>9.2. Cena jednostki obmiarowej</w:t>
      </w:r>
      <w:bookmarkEnd w:id="1185"/>
      <w:bookmarkEnd w:id="1186"/>
      <w:bookmarkEnd w:id="1187"/>
    </w:p>
    <w:p w14:paraId="00F9D92D" w14:textId="77777777" w:rsidR="00713454" w:rsidRPr="00B67D8D" w:rsidRDefault="00713454" w:rsidP="0071345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Cena wykonania 1 m usunięcia namułu z rowu obejmuje:</w:t>
      </w:r>
    </w:p>
    <w:p w14:paraId="0C0D4BC6"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prace pomiarowe i roboty przygotowawcze,</w:t>
      </w:r>
    </w:p>
    <w:p w14:paraId="752095C9"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oznakowanie robót,</w:t>
      </w:r>
    </w:p>
    <w:p w14:paraId="7E1F47D3"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dostarczenie sprzętu,</w:t>
      </w:r>
    </w:p>
    <w:p w14:paraId="11135F5E"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wykonanie usunięcia namułu z rowu według wymagań dokumentacji projektowej, ST i specyfikacji technicznej,</w:t>
      </w:r>
    </w:p>
    <w:p w14:paraId="2F3E5A6A"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wyprofilowanie dna i skarp rowu,</w:t>
      </w:r>
    </w:p>
    <w:p w14:paraId="061F5001"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zebranie i wywóz zanieczyszczeń,</w:t>
      </w:r>
    </w:p>
    <w:p w14:paraId="7A4CF261"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b/>
          <w:sz w:val="20"/>
          <w:szCs w:val="20"/>
          <w:lang w:eastAsia="pl-PL"/>
        </w:rPr>
      </w:pPr>
      <w:r w:rsidRPr="00B67D8D">
        <w:rPr>
          <w:rFonts w:eastAsia="Times New Roman" w:cstheme="minorHAnsi"/>
          <w:sz w:val="20"/>
          <w:szCs w:val="20"/>
          <w:lang w:eastAsia="pl-PL"/>
        </w:rPr>
        <w:t>odwiezienie sprzętu.</w:t>
      </w:r>
    </w:p>
    <w:p w14:paraId="74FB6008"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188" w:name="_Toc194476755"/>
      <w:bookmarkStart w:id="1189" w:name="_Toc227760046"/>
      <w:bookmarkStart w:id="1190" w:name="_Toc227825193"/>
      <w:r w:rsidRPr="00B67D8D">
        <w:rPr>
          <w:rFonts w:eastAsia="Times New Roman" w:cstheme="minorHAnsi"/>
          <w:b/>
          <w:sz w:val="20"/>
          <w:szCs w:val="20"/>
          <w:lang w:eastAsia="pl-PL"/>
        </w:rPr>
        <w:t>9.3. Sposób rozliczenia robót tymczasowych i prac towarzyszących</w:t>
      </w:r>
      <w:bookmarkEnd w:id="1188"/>
      <w:bookmarkEnd w:id="1189"/>
      <w:bookmarkEnd w:id="1190"/>
    </w:p>
    <w:p w14:paraId="6AA00937"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Cena wykonania robót określonych niniejszą SST obejmuje:</w:t>
      </w:r>
    </w:p>
    <w:p w14:paraId="188E7BFE"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roboty tymczasowe, które są potrzebne do wykonania robót podstawowych, ale nie są przekazywane Zamawiającemu i są usuwane po wykonaniu robót podstawowych,</w:t>
      </w:r>
    </w:p>
    <w:p w14:paraId="2D37802A" w14:textId="77777777" w:rsidR="00713454" w:rsidRPr="00B67D8D"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prace towarzyszące, które są niezbędne do wykonania robót podstawowych, niezaliczane do robót tymczasowych, jak geodezyjne wytyczenie robót itd.</w:t>
      </w:r>
    </w:p>
    <w:p w14:paraId="453C8A46" w14:textId="77777777" w:rsidR="00713454" w:rsidRPr="00B67D8D"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191" w:name="_Toc24955917"/>
      <w:bookmarkStart w:id="1192" w:name="_Toc25041751"/>
      <w:bookmarkStart w:id="1193" w:name="_Toc25128891"/>
      <w:bookmarkStart w:id="1194" w:name="_Toc25373389"/>
      <w:bookmarkStart w:id="1195" w:name="_Toc25379405"/>
      <w:bookmarkStart w:id="1196" w:name="_Toc174333142"/>
      <w:bookmarkStart w:id="1197" w:name="_Toc179183775"/>
      <w:bookmarkStart w:id="1198" w:name="_Toc198436144"/>
      <w:bookmarkStart w:id="1199" w:name="_Toc282519918"/>
      <w:bookmarkStart w:id="1200" w:name="_Toc194476756"/>
      <w:bookmarkStart w:id="1201" w:name="_Toc227760047"/>
      <w:bookmarkStart w:id="1202" w:name="_Toc227825194"/>
      <w:r w:rsidRPr="00B67D8D">
        <w:rPr>
          <w:rFonts w:eastAsia="Times New Roman" w:cstheme="minorHAnsi"/>
          <w:b/>
          <w:caps/>
          <w:kern w:val="28"/>
          <w:sz w:val="20"/>
          <w:szCs w:val="20"/>
          <w:lang w:eastAsia="pl-PL"/>
        </w:rPr>
        <w:t xml:space="preserve">10. </w:t>
      </w:r>
      <w:bookmarkEnd w:id="1191"/>
      <w:bookmarkEnd w:id="1192"/>
      <w:bookmarkEnd w:id="1193"/>
      <w:bookmarkEnd w:id="1194"/>
      <w:bookmarkEnd w:id="1195"/>
      <w:bookmarkEnd w:id="1196"/>
      <w:bookmarkEnd w:id="1197"/>
      <w:bookmarkEnd w:id="1198"/>
      <w:bookmarkEnd w:id="1199"/>
      <w:r w:rsidRPr="00B67D8D">
        <w:rPr>
          <w:rFonts w:eastAsia="Times New Roman" w:cstheme="minorHAnsi"/>
          <w:b/>
          <w:caps/>
          <w:kern w:val="28"/>
          <w:sz w:val="20"/>
          <w:szCs w:val="20"/>
          <w:lang w:eastAsia="pl-PL"/>
        </w:rPr>
        <w:t>PRZEPISY ZWIĄZANE</w:t>
      </w:r>
      <w:bookmarkEnd w:id="1200"/>
      <w:bookmarkEnd w:id="1201"/>
      <w:bookmarkEnd w:id="1202"/>
    </w:p>
    <w:p w14:paraId="3E91700E"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203" w:name="_Toc194476757"/>
      <w:bookmarkStart w:id="1204" w:name="_Toc227760048"/>
      <w:bookmarkStart w:id="1205" w:name="_Toc227825195"/>
      <w:r w:rsidRPr="00B67D8D">
        <w:rPr>
          <w:rFonts w:eastAsia="Times New Roman" w:cstheme="minorHAnsi"/>
          <w:b/>
          <w:sz w:val="20"/>
          <w:szCs w:val="20"/>
          <w:lang w:eastAsia="pl-PL"/>
        </w:rPr>
        <w:t>10.1. Ogólne specyfikacje techniczne (SST)</w:t>
      </w:r>
      <w:bookmarkEnd w:id="1203"/>
      <w:bookmarkEnd w:id="1204"/>
      <w:bookmarkEnd w:id="1205"/>
    </w:p>
    <w:tbl>
      <w:tblPr>
        <w:tblW w:w="0" w:type="auto"/>
        <w:tblLayout w:type="fixed"/>
        <w:tblCellMar>
          <w:left w:w="70" w:type="dxa"/>
          <w:right w:w="70" w:type="dxa"/>
        </w:tblCellMar>
        <w:tblLook w:val="0000" w:firstRow="0" w:lastRow="0" w:firstColumn="0" w:lastColumn="0" w:noHBand="0" w:noVBand="0"/>
      </w:tblPr>
      <w:tblGrid>
        <w:gridCol w:w="496"/>
        <w:gridCol w:w="1842"/>
        <w:gridCol w:w="5172"/>
      </w:tblGrid>
      <w:tr w:rsidR="00713454" w:rsidRPr="00B67D8D" w14:paraId="50C15862" w14:textId="77777777" w:rsidTr="00713454">
        <w:tc>
          <w:tcPr>
            <w:tcW w:w="496" w:type="dxa"/>
          </w:tcPr>
          <w:p w14:paraId="6C848DA5" w14:textId="77777777" w:rsidR="00713454" w:rsidRPr="00B67D8D"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B67D8D">
              <w:rPr>
                <w:rFonts w:eastAsia="Times New Roman" w:cstheme="minorHAnsi"/>
                <w:sz w:val="20"/>
                <w:szCs w:val="20"/>
                <w:lang w:eastAsia="pl-PL"/>
              </w:rPr>
              <w:t xml:space="preserve"> 1.</w:t>
            </w:r>
          </w:p>
        </w:tc>
        <w:tc>
          <w:tcPr>
            <w:tcW w:w="1842" w:type="dxa"/>
          </w:tcPr>
          <w:p w14:paraId="343AD480"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D-00.00.00</w:t>
            </w:r>
          </w:p>
        </w:tc>
        <w:tc>
          <w:tcPr>
            <w:tcW w:w="5172" w:type="dxa"/>
          </w:tcPr>
          <w:p w14:paraId="4FF6F928"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 xml:space="preserve"> Wymagania ogólne</w:t>
            </w:r>
          </w:p>
        </w:tc>
      </w:tr>
    </w:tbl>
    <w:p w14:paraId="2468942D"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B093D64" w14:textId="77777777" w:rsidR="00713454" w:rsidRPr="00B67D8D" w:rsidRDefault="00713454" w:rsidP="00713454">
      <w:pPr>
        <w:overflowPunct w:val="0"/>
        <w:autoSpaceDE w:val="0"/>
        <w:autoSpaceDN w:val="0"/>
        <w:adjustRightInd w:val="0"/>
        <w:spacing w:after="0" w:line="240" w:lineRule="auto"/>
        <w:ind w:left="709"/>
        <w:jc w:val="both"/>
        <w:textAlignment w:val="baseline"/>
        <w:rPr>
          <w:rFonts w:eastAsia="Times New Roman" w:cstheme="minorHAnsi"/>
          <w:sz w:val="20"/>
          <w:szCs w:val="20"/>
          <w:lang w:eastAsia="pl-PL"/>
        </w:rPr>
      </w:pPr>
    </w:p>
    <w:p w14:paraId="0C850444" w14:textId="77777777" w:rsidR="00713454" w:rsidRPr="00B67D8D" w:rsidRDefault="00713454" w:rsidP="00713454">
      <w:pPr>
        <w:keepNext/>
        <w:keepLines/>
        <w:suppressAutoHyphens/>
        <w:overflowPunct w:val="0"/>
        <w:autoSpaceDE w:val="0"/>
        <w:autoSpaceDN w:val="0"/>
        <w:adjustRightInd w:val="0"/>
        <w:spacing w:before="240" w:after="120" w:line="240" w:lineRule="auto"/>
        <w:jc w:val="center"/>
        <w:textAlignment w:val="baseline"/>
        <w:outlineLvl w:val="0"/>
        <w:rPr>
          <w:rFonts w:eastAsia="Times New Roman" w:cstheme="minorHAnsi"/>
          <w:b/>
          <w:caps/>
          <w:kern w:val="28"/>
          <w:sz w:val="20"/>
          <w:szCs w:val="20"/>
          <w:lang w:eastAsia="pl-PL"/>
        </w:rPr>
      </w:pPr>
      <w:bookmarkStart w:id="1206" w:name="_Toc282519919"/>
      <w:bookmarkStart w:id="1207" w:name="_Toc194476758"/>
      <w:bookmarkStart w:id="1208" w:name="_Toc227760049"/>
      <w:bookmarkStart w:id="1209" w:name="_Toc227825196"/>
      <w:r w:rsidRPr="00B67D8D">
        <w:rPr>
          <w:rFonts w:eastAsia="Times New Roman" w:cstheme="minorHAnsi"/>
          <w:b/>
          <w:caps/>
          <w:kern w:val="28"/>
          <w:sz w:val="20"/>
          <w:szCs w:val="20"/>
          <w:lang w:eastAsia="pl-PL"/>
        </w:rPr>
        <w:lastRenderedPageBreak/>
        <w:t>11. ZAŁĄCZNIKI</w:t>
      </w:r>
      <w:bookmarkEnd w:id="1206"/>
      <w:bookmarkEnd w:id="1207"/>
      <w:bookmarkEnd w:id="1208"/>
      <w:bookmarkEnd w:id="1209"/>
    </w:p>
    <w:p w14:paraId="66015D7F" w14:textId="77777777" w:rsidR="00713454" w:rsidRPr="00B67D8D" w:rsidRDefault="00713454" w:rsidP="00B67D8D">
      <w:pPr>
        <w:overflowPunct w:val="0"/>
        <w:autoSpaceDE w:val="0"/>
        <w:autoSpaceDN w:val="0"/>
        <w:adjustRightInd w:val="0"/>
        <w:spacing w:after="120" w:line="240" w:lineRule="auto"/>
        <w:jc w:val="center"/>
        <w:textAlignment w:val="baseline"/>
        <w:rPr>
          <w:rFonts w:eastAsia="Times New Roman" w:cstheme="minorHAnsi"/>
          <w:b/>
          <w:sz w:val="20"/>
          <w:szCs w:val="20"/>
          <w:lang w:eastAsia="pl-PL"/>
        </w:rPr>
      </w:pPr>
      <w:r w:rsidRPr="00B67D8D">
        <w:rPr>
          <w:rFonts w:eastAsia="Times New Roman" w:cstheme="minorHAnsi"/>
          <w:b/>
          <w:sz w:val="20"/>
          <w:szCs w:val="20"/>
          <w:lang w:eastAsia="pl-PL"/>
        </w:rPr>
        <w:t>ZAŁĄCZNIK 1</w:t>
      </w:r>
    </w:p>
    <w:p w14:paraId="5D6CC533" w14:textId="3FA88CDC" w:rsidR="00713454" w:rsidRPr="00B67D8D" w:rsidRDefault="00B67D8D" w:rsidP="0071345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r w:rsidRPr="00B67D8D">
        <w:rPr>
          <w:rFonts w:eastAsia="Times New Roman" w:cstheme="minorHAnsi"/>
          <w:b/>
          <w:sz w:val="20"/>
          <w:szCs w:val="20"/>
          <w:lang w:eastAsia="pl-PL"/>
        </w:rPr>
        <w:t>ZASADY ZAMULANIA ROWÓW</w:t>
      </w:r>
    </w:p>
    <w:p w14:paraId="30D61D3B" w14:textId="77777777" w:rsidR="00713454" w:rsidRPr="00B67D8D" w:rsidRDefault="00713454">
      <w:pPr>
        <w:keepNext/>
        <w:numPr>
          <w:ilvl w:val="1"/>
          <w:numId w:val="36"/>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210" w:name="_Toc194476759"/>
      <w:bookmarkStart w:id="1211" w:name="_Toc227760050"/>
      <w:bookmarkStart w:id="1212" w:name="_Toc227825197"/>
      <w:r w:rsidRPr="00B67D8D">
        <w:rPr>
          <w:rFonts w:eastAsia="Times New Roman" w:cstheme="minorHAnsi"/>
          <w:b/>
          <w:sz w:val="20"/>
          <w:szCs w:val="20"/>
          <w:lang w:eastAsia="pl-PL"/>
        </w:rPr>
        <w:t>Zasady utrzymania rowów</w:t>
      </w:r>
      <w:bookmarkEnd w:id="1210"/>
      <w:bookmarkEnd w:id="1211"/>
      <w:bookmarkEnd w:id="1212"/>
    </w:p>
    <w:p w14:paraId="212C22E6" w14:textId="77777777" w:rsidR="00713454" w:rsidRPr="00B67D8D"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Utrzymanie rowów polega na: kontroli przepływu wody, usuwaniu wszelkich przedmiotów utrudniających przepływ wody, oczyszczeniu rowów z naniesionego namułu, okresowym (co kilka lat) odnawianiu profilu rowów oraz naprawie uszkodzeń skarp rowów.</w:t>
      </w:r>
    </w:p>
    <w:p w14:paraId="35438974" w14:textId="77777777" w:rsidR="00713454" w:rsidRPr="00B67D8D" w:rsidRDefault="00713454" w:rsidP="0071345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Wszelkie uszkodzenia rowów należy natychmiast naprawiać, aby nie dopuścić do jeszcze większych szkód.</w:t>
      </w:r>
    </w:p>
    <w:p w14:paraId="7AFCEDF2" w14:textId="77777777" w:rsidR="00713454" w:rsidRPr="00B67D8D"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213" w:name="_Toc194476760"/>
      <w:bookmarkStart w:id="1214" w:name="_Toc227760051"/>
      <w:bookmarkStart w:id="1215" w:name="_Toc227825198"/>
      <w:r w:rsidRPr="00B67D8D">
        <w:rPr>
          <w:rFonts w:eastAsia="Times New Roman" w:cstheme="minorHAnsi"/>
          <w:b/>
          <w:sz w:val="20"/>
          <w:szCs w:val="20"/>
          <w:lang w:eastAsia="pl-PL"/>
        </w:rPr>
        <w:t>1.2. Przyczyny zamulania rowów</w:t>
      </w:r>
      <w:bookmarkEnd w:id="1213"/>
      <w:bookmarkEnd w:id="1214"/>
      <w:bookmarkEnd w:id="1215"/>
    </w:p>
    <w:p w14:paraId="54414FB4"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Rowy zanieczyszczają się z biegiem czasu na skutek rozmycia, zamulenia i zbytniego zarastania trawą. Zanieczyszczenia te przeszkadzają sprawnemu odpływowi wody, powstają miejsca, gdzie zbiera się woda stojąca, nie mająca odpływu, która stara się odpłynąć do wewnątrz korpusu drogowego.</w:t>
      </w:r>
    </w:p>
    <w:p w14:paraId="689B90B8"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Jeśli poziom wody średniej normalnej jest niski i prędkość jej przepływu niewielka – następuje łatwe zarastanie i zamulanie dna; płynąca woda wybiera miejsca najniższe, na miejscach wolnych od wody rozrastają się rośliny, a całe koryto nie spełnia swoich funkcji.</w:t>
      </w:r>
    </w:p>
    <w:p w14:paraId="330BC500" w14:textId="23C3C354"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 xml:space="preserve">Zamulanie i zanieczyszczanie rowu </w:t>
      </w:r>
      <w:r w:rsidR="00B67D8D" w:rsidRPr="00B67D8D">
        <w:rPr>
          <w:rFonts w:eastAsia="Times New Roman" w:cstheme="minorHAnsi"/>
          <w:sz w:val="20"/>
          <w:szCs w:val="20"/>
          <w:lang w:eastAsia="pl-PL"/>
        </w:rPr>
        <w:t>powstają</w:t>
      </w:r>
      <w:r w:rsidRPr="00B67D8D">
        <w:rPr>
          <w:rFonts w:eastAsia="Times New Roman" w:cstheme="minorHAnsi"/>
          <w:sz w:val="20"/>
          <w:szCs w:val="20"/>
          <w:lang w:eastAsia="pl-PL"/>
        </w:rPr>
        <w:t xml:space="preserve"> wtedy, gdy prędkość przepływu wody jest niedostateczna dla unoszenia cząstek gruntu oraz gdy zmienia się prędkość przepływu z większej na mniejszą, wtedy bowiem następuje wytrącenie drobniejszych cząstek gruntu unoszonych przez wodę. Przy prędkości mniejszej od 0,25 m/s zaczyna się osadzanie drobnych cząstek ziemnych unoszonych przez wodę, przy prędkości mniejszej od 0,40 m/s osadza się drobny piasek, a przy prędkości nie przewyższającej 0,60 m/s następuje zarastanie rowu trawą.</w:t>
      </w:r>
    </w:p>
    <w:p w14:paraId="659168E4"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Przy budowie nowych rowów, które nie powinny ulegać zamuleniu, zaleca się unikać zarówno spadków rowu poniżej 0,5% jak i załamań wklęsłych, zwłaszcza raptownych.</w:t>
      </w:r>
    </w:p>
    <w:p w14:paraId="1671CF25"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b/>
        <w:t>Ze względu na zarastanie i zamulanie rowu dopuszczalne najmniejsze prędkości nie powinny przekraczać dla piasków drobnoziarnistych 0,5 m/s, dla glin, piasków średnioziarnistych 0,60 ÷ 0,80 m/s, dla żwirków 0,8 ÷ 1,2 m/s, dla żwirów 1,2 ÷ 2,4 m/s. Minimalna prędkość średniej wody normalnej nie powinna być mniejsza od 0,15 ÷ 0,20 m/s.</w:t>
      </w:r>
    </w:p>
    <w:p w14:paraId="27246987"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3AF12487"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01329A1" w14:textId="77777777" w:rsidR="00713454" w:rsidRPr="00B67D8D" w:rsidRDefault="00713454" w:rsidP="0071345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r w:rsidRPr="00B67D8D">
        <w:rPr>
          <w:rFonts w:eastAsia="Times New Roman" w:cstheme="minorHAnsi"/>
          <w:b/>
          <w:sz w:val="20"/>
          <w:szCs w:val="20"/>
          <w:lang w:eastAsia="pl-PL"/>
        </w:rPr>
        <w:t>ZAŁĄCZNIK 2</w:t>
      </w:r>
    </w:p>
    <w:p w14:paraId="0A30F67C" w14:textId="77777777" w:rsidR="00713454" w:rsidRPr="00B67D8D" w:rsidRDefault="00713454" w:rsidP="00713454">
      <w:pPr>
        <w:overflowPunct w:val="0"/>
        <w:autoSpaceDE w:val="0"/>
        <w:autoSpaceDN w:val="0"/>
        <w:adjustRightInd w:val="0"/>
        <w:spacing w:after="120" w:line="240" w:lineRule="auto"/>
        <w:jc w:val="center"/>
        <w:textAlignment w:val="baseline"/>
        <w:rPr>
          <w:rFonts w:eastAsia="Times New Roman" w:cstheme="minorHAnsi"/>
          <w:b/>
          <w:sz w:val="20"/>
          <w:szCs w:val="20"/>
          <w:lang w:eastAsia="pl-PL"/>
        </w:rPr>
      </w:pPr>
      <w:r w:rsidRPr="00B67D8D">
        <w:rPr>
          <w:rFonts w:eastAsia="Times New Roman" w:cstheme="minorHAnsi"/>
          <w:b/>
          <w:sz w:val="20"/>
          <w:szCs w:val="20"/>
          <w:lang w:eastAsia="pl-PL"/>
        </w:rPr>
        <w:t>RYSUNKI</w:t>
      </w:r>
    </w:p>
    <w:p w14:paraId="136CA33B" w14:textId="77777777" w:rsidR="00713454" w:rsidRPr="00B67D8D"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2.1. Kształty rowów podlegających oczyszczaniu</w:t>
      </w:r>
    </w:p>
    <w:p w14:paraId="49BEBA0B"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a) Rów trapezowy</w:t>
      </w:r>
    </w:p>
    <w:p w14:paraId="34F406E6"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10B9634C" w14:textId="77777777" w:rsidR="00713454" w:rsidRPr="00B67D8D" w:rsidRDefault="00713454" w:rsidP="00713454">
      <w:pPr>
        <w:tabs>
          <w:tab w:val="left" w:pos="-2694"/>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noProof/>
          <w:sz w:val="20"/>
          <w:szCs w:val="20"/>
          <w:lang w:eastAsia="pl-PL"/>
        </w:rPr>
        <w:drawing>
          <wp:inline distT="0" distB="0" distL="0" distR="0" wp14:anchorId="6A8EB0EC" wp14:editId="504677CF">
            <wp:extent cx="1990725" cy="723900"/>
            <wp:effectExtent l="0" t="0" r="9525" b="0"/>
            <wp:docPr id="16" name="Obraz 16" descr="rys2_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rys2_1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90725" cy="723900"/>
                    </a:xfrm>
                    <a:prstGeom prst="rect">
                      <a:avLst/>
                    </a:prstGeom>
                    <a:noFill/>
                    <a:ln>
                      <a:noFill/>
                    </a:ln>
                  </pic:spPr>
                </pic:pic>
              </a:graphicData>
            </a:graphic>
          </wp:inline>
        </w:drawing>
      </w:r>
    </w:p>
    <w:p w14:paraId="332327DD"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66BD072D"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7CC92488"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b) Rowy opływowe</w:t>
      </w:r>
    </w:p>
    <w:p w14:paraId="4B8B77C8"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407F0F98"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noProof/>
          <w:sz w:val="20"/>
          <w:szCs w:val="20"/>
          <w:lang w:eastAsia="pl-PL"/>
        </w:rPr>
        <w:drawing>
          <wp:inline distT="0" distB="0" distL="0" distR="0" wp14:anchorId="7A18D269" wp14:editId="0E1B8192">
            <wp:extent cx="3590925" cy="990600"/>
            <wp:effectExtent l="0" t="0" r="9525" b="0"/>
            <wp:docPr id="15" name="Obraz 15" descr="rys2_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ys2_1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90925" cy="990600"/>
                    </a:xfrm>
                    <a:prstGeom prst="rect">
                      <a:avLst/>
                    </a:prstGeom>
                    <a:noFill/>
                    <a:ln>
                      <a:noFill/>
                    </a:ln>
                  </pic:spPr>
                </pic:pic>
              </a:graphicData>
            </a:graphic>
          </wp:inline>
        </w:drawing>
      </w:r>
    </w:p>
    <w:p w14:paraId="65860F2F"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63017D87"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4B397CC2"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c) Rów trójkątny</w:t>
      </w:r>
    </w:p>
    <w:p w14:paraId="7773FAB6"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376608F6"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noProof/>
          <w:sz w:val="20"/>
          <w:szCs w:val="20"/>
          <w:lang w:eastAsia="pl-PL"/>
        </w:rPr>
        <w:lastRenderedPageBreak/>
        <w:drawing>
          <wp:inline distT="0" distB="0" distL="0" distR="0" wp14:anchorId="157DE727" wp14:editId="7EEABB2C">
            <wp:extent cx="2895600" cy="590550"/>
            <wp:effectExtent l="0" t="0" r="0" b="0"/>
            <wp:docPr id="14" name="Obraz 14" descr="rys2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rys2_1c"/>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5600" cy="590550"/>
                    </a:xfrm>
                    <a:prstGeom prst="rect">
                      <a:avLst/>
                    </a:prstGeom>
                    <a:noFill/>
                    <a:ln>
                      <a:noFill/>
                    </a:ln>
                  </pic:spPr>
                </pic:pic>
              </a:graphicData>
            </a:graphic>
          </wp:inline>
        </w:drawing>
      </w:r>
    </w:p>
    <w:p w14:paraId="60728E1F"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25C3236A"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4A325F6A" w14:textId="77777777" w:rsidR="00713454" w:rsidRPr="00B67D8D"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2.2. Niewłaściwe sposoby usuwania namułu z rowu</w:t>
      </w:r>
    </w:p>
    <w:p w14:paraId="09835168"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 xml:space="preserve">a) Niepotrzebne pogłębienie dna rowu przy usuwaniu namułu </w:t>
      </w:r>
    </w:p>
    <w:p w14:paraId="0DD6CBD7" w14:textId="77777777" w:rsidR="00713454" w:rsidRPr="00B67D8D" w:rsidRDefault="00713454" w:rsidP="00713454">
      <w:pPr>
        <w:overflowPunct w:val="0"/>
        <w:autoSpaceDE w:val="0"/>
        <w:autoSpaceDN w:val="0"/>
        <w:adjustRightInd w:val="0"/>
        <w:spacing w:after="0" w:line="240" w:lineRule="auto"/>
        <w:ind w:firstLine="284"/>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(mogą powstawać zastoiska wodne)</w:t>
      </w:r>
    </w:p>
    <w:p w14:paraId="0456AE68" w14:textId="77777777" w:rsidR="00713454" w:rsidRPr="00B67D8D" w:rsidRDefault="00713454" w:rsidP="00713454">
      <w:pPr>
        <w:overflowPunct w:val="0"/>
        <w:autoSpaceDE w:val="0"/>
        <w:autoSpaceDN w:val="0"/>
        <w:adjustRightInd w:val="0"/>
        <w:spacing w:after="0" w:line="240" w:lineRule="auto"/>
        <w:ind w:firstLine="284"/>
        <w:jc w:val="both"/>
        <w:textAlignment w:val="baseline"/>
        <w:rPr>
          <w:rFonts w:eastAsia="Times New Roman" w:cstheme="minorHAnsi"/>
          <w:sz w:val="20"/>
          <w:szCs w:val="20"/>
          <w:lang w:eastAsia="pl-PL"/>
        </w:rPr>
      </w:pPr>
    </w:p>
    <w:p w14:paraId="0C6D8135" w14:textId="77777777" w:rsidR="00713454" w:rsidRPr="00B67D8D" w:rsidRDefault="00713454" w:rsidP="00713454">
      <w:pPr>
        <w:overflowPunct w:val="0"/>
        <w:autoSpaceDE w:val="0"/>
        <w:autoSpaceDN w:val="0"/>
        <w:adjustRightInd w:val="0"/>
        <w:spacing w:after="0" w:line="240" w:lineRule="auto"/>
        <w:ind w:firstLine="284"/>
        <w:jc w:val="both"/>
        <w:textAlignment w:val="baseline"/>
        <w:rPr>
          <w:rFonts w:eastAsia="Times New Roman" w:cstheme="minorHAnsi"/>
          <w:sz w:val="20"/>
          <w:szCs w:val="20"/>
          <w:lang w:eastAsia="pl-PL"/>
        </w:rPr>
      </w:pPr>
      <w:r w:rsidRPr="00B67D8D">
        <w:rPr>
          <w:rFonts w:eastAsia="Times New Roman" w:cstheme="minorHAnsi"/>
          <w:noProof/>
          <w:sz w:val="20"/>
          <w:szCs w:val="20"/>
          <w:lang w:eastAsia="pl-PL"/>
        </w:rPr>
        <w:drawing>
          <wp:inline distT="0" distB="0" distL="0" distR="0" wp14:anchorId="5FEBF276" wp14:editId="3907E50B">
            <wp:extent cx="3048000" cy="781050"/>
            <wp:effectExtent l="0" t="0" r="0" b="0"/>
            <wp:docPr id="13" name="Obraz 13" descr="rys2_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ys2_2a"/>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0" cy="781050"/>
                    </a:xfrm>
                    <a:prstGeom prst="rect">
                      <a:avLst/>
                    </a:prstGeom>
                    <a:noFill/>
                    <a:ln>
                      <a:noFill/>
                    </a:ln>
                  </pic:spPr>
                </pic:pic>
              </a:graphicData>
            </a:graphic>
          </wp:inline>
        </w:drawing>
      </w:r>
    </w:p>
    <w:p w14:paraId="60029549" w14:textId="77777777" w:rsidR="00713454" w:rsidRPr="00B67D8D" w:rsidRDefault="00713454" w:rsidP="00713454">
      <w:pPr>
        <w:overflowPunct w:val="0"/>
        <w:autoSpaceDE w:val="0"/>
        <w:autoSpaceDN w:val="0"/>
        <w:adjustRightInd w:val="0"/>
        <w:spacing w:after="0" w:line="240" w:lineRule="auto"/>
        <w:ind w:firstLine="284"/>
        <w:jc w:val="both"/>
        <w:textAlignment w:val="baseline"/>
        <w:rPr>
          <w:rFonts w:eastAsia="Times New Roman" w:cstheme="minorHAnsi"/>
          <w:sz w:val="20"/>
          <w:szCs w:val="20"/>
          <w:lang w:eastAsia="pl-PL"/>
        </w:rPr>
      </w:pPr>
    </w:p>
    <w:p w14:paraId="5E25F2DA" w14:textId="77777777" w:rsidR="00713454" w:rsidRPr="00B67D8D" w:rsidRDefault="00713454" w:rsidP="00713454">
      <w:pPr>
        <w:overflowPunct w:val="0"/>
        <w:autoSpaceDE w:val="0"/>
        <w:autoSpaceDN w:val="0"/>
        <w:adjustRightInd w:val="0"/>
        <w:spacing w:after="0" w:line="240" w:lineRule="auto"/>
        <w:ind w:firstLine="284"/>
        <w:jc w:val="both"/>
        <w:textAlignment w:val="baseline"/>
        <w:rPr>
          <w:rFonts w:eastAsia="Times New Roman" w:cstheme="minorHAnsi"/>
          <w:sz w:val="20"/>
          <w:szCs w:val="20"/>
          <w:lang w:eastAsia="pl-PL"/>
        </w:rPr>
      </w:pPr>
    </w:p>
    <w:p w14:paraId="70E26D29"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3982A12D"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636E08BF" w14:textId="77777777" w:rsidR="00713454" w:rsidRPr="00B67D8D"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b) Niewłaściwe składanie namułu z oczyszczenia rowu tuż przy skarpie rowu</w:t>
      </w:r>
    </w:p>
    <w:p w14:paraId="0F527995" w14:textId="77777777" w:rsidR="00713454" w:rsidRPr="00B67D8D" w:rsidRDefault="00713454" w:rsidP="00713454">
      <w:pPr>
        <w:overflowPunct w:val="0"/>
        <w:autoSpaceDE w:val="0"/>
        <w:autoSpaceDN w:val="0"/>
        <w:adjustRightInd w:val="0"/>
        <w:spacing w:after="0" w:line="240" w:lineRule="auto"/>
        <w:ind w:firstLine="284"/>
        <w:jc w:val="both"/>
        <w:textAlignment w:val="baseline"/>
        <w:rPr>
          <w:rFonts w:eastAsia="Times New Roman" w:cstheme="minorHAnsi"/>
          <w:sz w:val="20"/>
          <w:szCs w:val="20"/>
          <w:lang w:eastAsia="pl-PL"/>
        </w:rPr>
      </w:pPr>
      <w:r w:rsidRPr="00B67D8D">
        <w:rPr>
          <w:rFonts w:eastAsia="Times New Roman" w:cstheme="minorHAnsi"/>
          <w:sz w:val="20"/>
          <w:szCs w:val="20"/>
          <w:lang w:eastAsia="pl-PL"/>
        </w:rPr>
        <w:t>(rów może być zamulony ponownie przez obsuwający się namuł)</w:t>
      </w:r>
    </w:p>
    <w:p w14:paraId="6A0EF5B6" w14:textId="77777777" w:rsidR="00713454" w:rsidRPr="00B67D8D" w:rsidRDefault="00713454" w:rsidP="00713454">
      <w:pPr>
        <w:overflowPunct w:val="0"/>
        <w:autoSpaceDE w:val="0"/>
        <w:autoSpaceDN w:val="0"/>
        <w:adjustRightInd w:val="0"/>
        <w:spacing w:after="0" w:line="240" w:lineRule="auto"/>
        <w:ind w:firstLine="284"/>
        <w:jc w:val="both"/>
        <w:textAlignment w:val="baseline"/>
        <w:rPr>
          <w:rFonts w:eastAsia="Times New Roman" w:cstheme="minorHAnsi"/>
          <w:sz w:val="20"/>
          <w:szCs w:val="20"/>
          <w:lang w:eastAsia="pl-PL"/>
        </w:rPr>
      </w:pPr>
    </w:p>
    <w:p w14:paraId="5AF523E1" w14:textId="77777777" w:rsidR="00713454" w:rsidRPr="00B67D8D" w:rsidRDefault="00713454" w:rsidP="00713454">
      <w:pPr>
        <w:overflowPunct w:val="0"/>
        <w:autoSpaceDE w:val="0"/>
        <w:autoSpaceDN w:val="0"/>
        <w:adjustRightInd w:val="0"/>
        <w:spacing w:after="0" w:line="240" w:lineRule="auto"/>
        <w:ind w:firstLine="284"/>
        <w:jc w:val="both"/>
        <w:textAlignment w:val="baseline"/>
        <w:rPr>
          <w:rFonts w:eastAsia="Times New Roman" w:cstheme="minorHAnsi"/>
          <w:sz w:val="20"/>
          <w:szCs w:val="20"/>
          <w:lang w:eastAsia="pl-PL"/>
        </w:rPr>
      </w:pPr>
      <w:r w:rsidRPr="00B67D8D">
        <w:rPr>
          <w:rFonts w:eastAsia="Times New Roman" w:cstheme="minorHAnsi"/>
          <w:noProof/>
          <w:sz w:val="20"/>
          <w:szCs w:val="20"/>
          <w:lang w:eastAsia="pl-PL"/>
        </w:rPr>
        <w:drawing>
          <wp:inline distT="0" distB="0" distL="0" distR="0" wp14:anchorId="11B8891F" wp14:editId="0C191359">
            <wp:extent cx="4010025" cy="952500"/>
            <wp:effectExtent l="0" t="0" r="9525" b="0"/>
            <wp:docPr id="12" name="Obraz 12" descr="rys2_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rys2_2b"/>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0025" cy="952500"/>
                    </a:xfrm>
                    <a:prstGeom prst="rect">
                      <a:avLst/>
                    </a:prstGeom>
                    <a:noFill/>
                    <a:ln>
                      <a:noFill/>
                    </a:ln>
                  </pic:spPr>
                </pic:pic>
              </a:graphicData>
            </a:graphic>
          </wp:inline>
        </w:drawing>
      </w:r>
    </w:p>
    <w:p w14:paraId="096E43A3" w14:textId="77777777" w:rsidR="00713454" w:rsidRPr="00B67D8D" w:rsidRDefault="00713454">
      <w:pPr>
        <w:rPr>
          <w:rFonts w:cstheme="minorHAnsi"/>
          <w:sz w:val="20"/>
          <w:szCs w:val="20"/>
        </w:rPr>
      </w:pPr>
    </w:p>
    <w:p w14:paraId="66256FF9" w14:textId="77777777" w:rsidR="00BF7EE3" w:rsidRPr="00B67D8D" w:rsidRDefault="00BF7EE3" w:rsidP="0071345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4545804B" w14:textId="77777777" w:rsidR="00BF7EE3" w:rsidRPr="00B67D8D" w:rsidRDefault="00BF7EE3" w:rsidP="0071345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1657991C" w14:textId="77777777" w:rsidR="00BF7EE3" w:rsidRPr="00B67D8D" w:rsidRDefault="00BF7EE3" w:rsidP="0071345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3999952C" w14:textId="77777777" w:rsidR="00BF7EE3" w:rsidRPr="00B67D8D" w:rsidRDefault="00BF7EE3" w:rsidP="0071345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53FC9632" w14:textId="77777777" w:rsidR="00BF7EE3" w:rsidRPr="00B67D8D" w:rsidRDefault="00BF7EE3" w:rsidP="0071345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1C1AD482" w14:textId="77777777" w:rsidR="00BF7EE3" w:rsidRPr="00B67D8D" w:rsidRDefault="00BF7EE3" w:rsidP="0071345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4C57389F" w14:textId="77777777" w:rsidR="00BF7EE3" w:rsidRPr="00B67D8D" w:rsidRDefault="00BF7EE3" w:rsidP="0071345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49240AD8" w14:textId="77777777" w:rsidR="00BF7EE3" w:rsidRPr="00B67D8D" w:rsidRDefault="00BF7EE3" w:rsidP="0071345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06C0ED91" w14:textId="77777777" w:rsidR="00BF7EE3" w:rsidRPr="00B67D8D" w:rsidRDefault="00BF7EE3" w:rsidP="0071345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32669923" w14:textId="77777777" w:rsidR="00BF7EE3" w:rsidRPr="00B67D8D" w:rsidRDefault="00BF7EE3" w:rsidP="0071345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250D95CE" w14:textId="77777777" w:rsidR="00BF7EE3" w:rsidRPr="00B67D8D" w:rsidRDefault="00BF7EE3" w:rsidP="0071345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1538BB42" w14:textId="77777777" w:rsidR="00BF7EE3" w:rsidRPr="00B67D8D" w:rsidRDefault="00BF7EE3" w:rsidP="0071345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3C748807"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5D933F18"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74E871A7"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145D1020"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51406A39"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2F37FB4D"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11B096B6"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3E928083"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1558E481"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0E42E436"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373999B3"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37CA36B4"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63A16697"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41E98878"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372546BA"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2C170CF6"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0B590679"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7159FFE9"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24BB7114"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45EDC13D"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4D1B2B1C"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2651A4DE"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252EAE5E"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0AE41E33"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6C673A08"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4F2A24E4"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1ED60C88"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14AB7EBF" w14:textId="77777777" w:rsidR="00BF7EE3"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55D818CA"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3B153C5A"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2EC57218"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6A0AB038"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118F9903"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5AC532DE"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7E2C3CE5"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7DC6E3F5"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4DFCD34F"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6F00699A"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1C484C36"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537FB448"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1AF232FB"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3A23EE46"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2695F6B1"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597B6519"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2020530B"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15C5E187"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679B2259"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1A1C57EE"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7F289F90"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0D71BA65"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5FF8B225"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735D41B1"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3FB21EEC"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089404CB" w14:textId="77777777" w:rsidR="00CF69C0"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60EC1336" w14:textId="77777777" w:rsidR="00CF69C0" w:rsidRPr="004853EB" w:rsidRDefault="00CF69C0"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122A27DA" w14:textId="77777777" w:rsidR="00BF7EE3" w:rsidRPr="004853EB" w:rsidRDefault="00BF7EE3" w:rsidP="00713454">
      <w:pPr>
        <w:overflowPunct w:val="0"/>
        <w:autoSpaceDE w:val="0"/>
        <w:autoSpaceDN w:val="0"/>
        <w:adjustRightInd w:val="0"/>
        <w:spacing w:after="0" w:line="240" w:lineRule="auto"/>
        <w:jc w:val="center"/>
        <w:textAlignment w:val="baseline"/>
        <w:rPr>
          <w:rFonts w:eastAsia="Times New Roman" w:cstheme="minorHAnsi"/>
          <w:b/>
          <w:lang w:eastAsia="pl-PL"/>
        </w:rPr>
      </w:pPr>
    </w:p>
    <w:p w14:paraId="76478E17" w14:textId="77777777" w:rsidR="00713454" w:rsidRPr="004853EB" w:rsidRDefault="00713454" w:rsidP="003A11E0">
      <w:pPr>
        <w:pStyle w:val="Nagwek1"/>
        <w:rPr>
          <w:rFonts w:asciiTheme="minorHAnsi" w:hAnsiTheme="minorHAnsi" w:cstheme="minorHAnsi"/>
          <w:sz w:val="22"/>
          <w:szCs w:val="22"/>
        </w:rPr>
      </w:pPr>
      <w:bookmarkStart w:id="1216" w:name="_Toc227825199"/>
      <w:r w:rsidRPr="004853EB">
        <w:rPr>
          <w:rFonts w:asciiTheme="minorHAnsi" w:hAnsiTheme="minorHAnsi" w:cstheme="minorHAnsi"/>
          <w:sz w:val="22"/>
          <w:szCs w:val="22"/>
        </w:rPr>
        <w:lastRenderedPageBreak/>
        <w:t>D</w:t>
      </w:r>
      <w:r w:rsidR="00B26F4A" w:rsidRPr="004853EB">
        <w:rPr>
          <w:rFonts w:asciiTheme="minorHAnsi" w:hAnsiTheme="minorHAnsi" w:cstheme="minorHAnsi"/>
          <w:sz w:val="22"/>
          <w:szCs w:val="22"/>
        </w:rPr>
        <w:t xml:space="preserve"> </w:t>
      </w:r>
      <w:r w:rsidRPr="004853EB">
        <w:rPr>
          <w:rFonts w:asciiTheme="minorHAnsi" w:hAnsiTheme="minorHAnsi" w:cstheme="minorHAnsi"/>
          <w:sz w:val="22"/>
          <w:szCs w:val="22"/>
        </w:rPr>
        <w:t>-</w:t>
      </w:r>
      <w:r w:rsidR="00B26F4A" w:rsidRPr="004853EB">
        <w:rPr>
          <w:rFonts w:asciiTheme="minorHAnsi" w:hAnsiTheme="minorHAnsi" w:cstheme="minorHAnsi"/>
          <w:sz w:val="22"/>
          <w:szCs w:val="22"/>
        </w:rPr>
        <w:t xml:space="preserve"> </w:t>
      </w:r>
      <w:r w:rsidRPr="004853EB">
        <w:rPr>
          <w:rFonts w:asciiTheme="minorHAnsi" w:hAnsiTheme="minorHAnsi" w:cstheme="minorHAnsi"/>
          <w:sz w:val="22"/>
          <w:szCs w:val="22"/>
        </w:rPr>
        <w:t xml:space="preserve">04.01.01 KORYTO WRAZ Z PROFILOWANIEM I </w:t>
      </w:r>
      <w:r w:rsidR="00B26F4A" w:rsidRPr="004853EB">
        <w:rPr>
          <w:rFonts w:asciiTheme="minorHAnsi" w:hAnsiTheme="minorHAnsi" w:cstheme="minorHAnsi"/>
          <w:sz w:val="22"/>
          <w:szCs w:val="22"/>
        </w:rPr>
        <w:t xml:space="preserve">ZAGĘSZCZANIEM </w:t>
      </w:r>
      <w:r w:rsidRPr="004853EB">
        <w:rPr>
          <w:rFonts w:asciiTheme="minorHAnsi" w:hAnsiTheme="minorHAnsi" w:cstheme="minorHAnsi"/>
          <w:sz w:val="22"/>
          <w:szCs w:val="22"/>
        </w:rPr>
        <w:t>PODŁOŻA</w:t>
      </w:r>
      <w:bookmarkEnd w:id="1216"/>
    </w:p>
    <w:p w14:paraId="3222F587"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217" w:name="_Toc194476762"/>
      <w:bookmarkStart w:id="1218" w:name="_Toc227760053"/>
      <w:bookmarkStart w:id="1219" w:name="_Toc227825200"/>
      <w:r w:rsidRPr="004853EB">
        <w:rPr>
          <w:rFonts w:eastAsia="Times New Roman" w:cstheme="minorHAnsi"/>
          <w:b/>
          <w:caps/>
          <w:kern w:val="28"/>
          <w:sz w:val="20"/>
          <w:szCs w:val="20"/>
          <w:lang w:eastAsia="pl-PL"/>
        </w:rPr>
        <w:t>1. WSTĘP</w:t>
      </w:r>
      <w:bookmarkEnd w:id="1217"/>
      <w:bookmarkEnd w:id="1218"/>
      <w:bookmarkEnd w:id="1219"/>
    </w:p>
    <w:p w14:paraId="0232088D"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220" w:name="_Toc405704473"/>
      <w:bookmarkStart w:id="1221" w:name="_Toc405780134"/>
      <w:bookmarkStart w:id="1222" w:name="_Toc406295846"/>
      <w:bookmarkStart w:id="1223" w:name="_Toc406913835"/>
      <w:bookmarkStart w:id="1224" w:name="_Toc406914080"/>
      <w:bookmarkStart w:id="1225" w:name="_Toc406914738"/>
      <w:bookmarkStart w:id="1226" w:name="_Toc406915316"/>
      <w:bookmarkStart w:id="1227" w:name="_Toc406984009"/>
      <w:bookmarkStart w:id="1228" w:name="_Toc406984156"/>
      <w:bookmarkStart w:id="1229" w:name="_Toc406984347"/>
      <w:bookmarkStart w:id="1230" w:name="_Toc407069555"/>
      <w:bookmarkStart w:id="1231" w:name="_Toc407081520"/>
      <w:bookmarkStart w:id="1232" w:name="_Toc407083319"/>
      <w:bookmarkStart w:id="1233" w:name="_Toc407084153"/>
      <w:bookmarkStart w:id="1234" w:name="_Toc407085272"/>
      <w:bookmarkStart w:id="1235" w:name="_Toc407085415"/>
      <w:bookmarkStart w:id="1236" w:name="_Toc407085558"/>
      <w:bookmarkStart w:id="1237" w:name="_Toc407086006"/>
      <w:bookmarkStart w:id="1238" w:name="_Toc194476763"/>
      <w:bookmarkStart w:id="1239" w:name="_Toc227760054"/>
      <w:bookmarkStart w:id="1240" w:name="_Toc227825201"/>
      <w:r w:rsidRPr="004853EB">
        <w:rPr>
          <w:rFonts w:eastAsia="Times New Roman" w:cstheme="minorHAnsi"/>
          <w:b/>
          <w:sz w:val="20"/>
          <w:szCs w:val="20"/>
          <w:lang w:eastAsia="pl-PL"/>
        </w:rPr>
        <w:t>1.1. Przedmiot SST</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547EA7CB" w14:textId="77777777" w:rsidR="00713454" w:rsidRPr="004853EB" w:rsidRDefault="00713454" w:rsidP="00713454">
      <w:pPr>
        <w:keepNext/>
        <w:overflowPunct w:val="0"/>
        <w:autoSpaceDE w:val="0"/>
        <w:autoSpaceDN w:val="0"/>
        <w:adjustRightInd w:val="0"/>
        <w:spacing w:before="120" w:after="120" w:line="240" w:lineRule="auto"/>
        <w:ind w:firstLine="709"/>
        <w:jc w:val="both"/>
        <w:textAlignment w:val="baseline"/>
        <w:outlineLvl w:val="1"/>
        <w:rPr>
          <w:rFonts w:eastAsia="Times New Roman" w:cstheme="minorHAnsi"/>
          <w:sz w:val="20"/>
          <w:szCs w:val="20"/>
          <w:lang w:eastAsia="pl-PL"/>
        </w:rPr>
      </w:pPr>
      <w:bookmarkStart w:id="1241" w:name="_Toc194476764"/>
      <w:bookmarkStart w:id="1242" w:name="_Toc227760055"/>
      <w:bookmarkStart w:id="1243" w:name="_Toc227825202"/>
      <w:bookmarkStart w:id="1244" w:name="_Toc405704474"/>
      <w:bookmarkStart w:id="1245" w:name="_Toc405780135"/>
      <w:bookmarkStart w:id="1246" w:name="_Toc406295847"/>
      <w:bookmarkStart w:id="1247" w:name="_Toc406913836"/>
      <w:bookmarkStart w:id="1248" w:name="_Toc406914081"/>
      <w:bookmarkStart w:id="1249" w:name="_Toc406914739"/>
      <w:bookmarkStart w:id="1250" w:name="_Toc406915317"/>
      <w:bookmarkStart w:id="1251" w:name="_Toc406984010"/>
      <w:bookmarkStart w:id="1252" w:name="_Toc406984157"/>
      <w:bookmarkStart w:id="1253" w:name="_Toc406984348"/>
      <w:bookmarkStart w:id="1254" w:name="_Toc407069556"/>
      <w:bookmarkStart w:id="1255" w:name="_Toc407081521"/>
      <w:bookmarkStart w:id="1256" w:name="_Toc407083320"/>
      <w:bookmarkStart w:id="1257" w:name="_Toc407084154"/>
      <w:bookmarkStart w:id="1258" w:name="_Toc407085273"/>
      <w:bookmarkStart w:id="1259" w:name="_Toc407085416"/>
      <w:bookmarkStart w:id="1260" w:name="_Toc407085559"/>
      <w:bookmarkStart w:id="1261" w:name="_Toc407086007"/>
      <w:r w:rsidRPr="004853EB">
        <w:rPr>
          <w:rFonts w:eastAsia="Times New Roman" w:cstheme="minorHAnsi"/>
          <w:sz w:val="20"/>
          <w:szCs w:val="20"/>
          <w:lang w:eastAsia="pl-PL"/>
        </w:rPr>
        <w:t>Przedmiotem niniejszej szczegółowej specyfikacji technicznej (SST) są wymagania dotyczące wykonania i odbioru robót związanych z wykonywaniem koryta.</w:t>
      </w:r>
      <w:bookmarkEnd w:id="1241"/>
      <w:bookmarkEnd w:id="1242"/>
      <w:bookmarkEnd w:id="1243"/>
      <w:r w:rsidRPr="004853EB">
        <w:rPr>
          <w:rFonts w:eastAsia="Times New Roman" w:cstheme="minorHAnsi"/>
          <w:sz w:val="20"/>
          <w:szCs w:val="20"/>
          <w:lang w:eastAsia="pl-PL"/>
        </w:rPr>
        <w:t xml:space="preserve"> </w:t>
      </w:r>
    </w:p>
    <w:p w14:paraId="19F7F4C9"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262" w:name="_Toc194476765"/>
      <w:bookmarkStart w:id="1263" w:name="_Toc227760056"/>
      <w:bookmarkStart w:id="1264" w:name="_Toc227825203"/>
      <w:r w:rsidRPr="004853EB">
        <w:rPr>
          <w:rFonts w:eastAsia="Times New Roman" w:cstheme="minorHAnsi"/>
          <w:b/>
          <w:sz w:val="20"/>
          <w:szCs w:val="20"/>
          <w:lang w:eastAsia="pl-PL"/>
        </w:rPr>
        <w:t>1.2. Zakres stosowania SST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58768BEC"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Specyfikacja techniczna jest stosowana jako dokument przetargowy i kontraktowy przy zlecaniu i realizacji robót wymienionych w pkt 1.1.</w:t>
      </w:r>
    </w:p>
    <w:p w14:paraId="56E2D2D2"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265" w:name="_Toc405704475"/>
      <w:bookmarkStart w:id="1266" w:name="_Toc405780136"/>
      <w:bookmarkStart w:id="1267" w:name="_Toc406295848"/>
      <w:bookmarkStart w:id="1268" w:name="_Toc406913837"/>
      <w:bookmarkStart w:id="1269" w:name="_Toc406914082"/>
      <w:bookmarkStart w:id="1270" w:name="_Toc406914740"/>
      <w:bookmarkStart w:id="1271" w:name="_Toc406915318"/>
      <w:bookmarkStart w:id="1272" w:name="_Toc406984011"/>
      <w:bookmarkStart w:id="1273" w:name="_Toc406984158"/>
      <w:bookmarkStart w:id="1274" w:name="_Toc406984349"/>
      <w:bookmarkStart w:id="1275" w:name="_Toc407069557"/>
      <w:bookmarkStart w:id="1276" w:name="_Toc407081522"/>
      <w:bookmarkStart w:id="1277" w:name="_Toc407083321"/>
      <w:bookmarkStart w:id="1278" w:name="_Toc407084155"/>
      <w:bookmarkStart w:id="1279" w:name="_Toc407085274"/>
      <w:bookmarkStart w:id="1280" w:name="_Toc407085417"/>
      <w:bookmarkStart w:id="1281" w:name="_Toc407085560"/>
      <w:bookmarkStart w:id="1282" w:name="_Toc407086008"/>
      <w:bookmarkStart w:id="1283" w:name="_Toc194476766"/>
      <w:bookmarkStart w:id="1284" w:name="_Toc227760057"/>
      <w:bookmarkStart w:id="1285" w:name="_Toc227825204"/>
      <w:r w:rsidRPr="004853EB">
        <w:rPr>
          <w:rFonts w:eastAsia="Times New Roman" w:cstheme="minorHAnsi"/>
          <w:b/>
          <w:sz w:val="20"/>
          <w:szCs w:val="20"/>
          <w:lang w:eastAsia="pl-PL"/>
        </w:rPr>
        <w:t>1.3. Zakres robót objętych SST</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56BEA651" w14:textId="214CAB20"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18"/>
          <w:szCs w:val="20"/>
          <w:lang w:eastAsia="pl-PL"/>
        </w:rPr>
      </w:pPr>
      <w:r w:rsidRPr="004853EB">
        <w:rPr>
          <w:rFonts w:eastAsia="Times New Roman" w:cstheme="minorHAnsi"/>
          <w:sz w:val="20"/>
          <w:szCs w:val="20"/>
          <w:lang w:eastAsia="pl-PL"/>
        </w:rPr>
        <w:tab/>
        <w:t xml:space="preserve">Ustalenia zawarte w niniejszej specyfikacji związane z </w:t>
      </w:r>
      <w:r w:rsidRPr="004853EB">
        <w:rPr>
          <w:rFonts w:eastAsia="Times New Roman" w:cstheme="minorHAnsi"/>
          <w:b/>
          <w:sz w:val="20"/>
          <w:szCs w:val="20"/>
          <w:lang w:eastAsia="pl-PL"/>
        </w:rPr>
        <w:t xml:space="preserve">Przebudową </w:t>
      </w:r>
      <w:r w:rsidR="00B67D8D" w:rsidRPr="004853EB">
        <w:rPr>
          <w:rFonts w:eastAsia="Times New Roman" w:cstheme="minorHAnsi"/>
          <w:b/>
          <w:sz w:val="20"/>
          <w:szCs w:val="20"/>
          <w:lang w:eastAsia="pl-PL"/>
        </w:rPr>
        <w:t>drogi powiatowej</w:t>
      </w:r>
      <w:r w:rsidR="003A11E0" w:rsidRPr="004853EB">
        <w:rPr>
          <w:rFonts w:eastAsia="Times New Roman" w:cstheme="minorHAnsi"/>
          <w:b/>
          <w:sz w:val="20"/>
          <w:szCs w:val="20"/>
          <w:lang w:eastAsia="pl-PL"/>
        </w:rPr>
        <w:t xml:space="preserve"> nr </w:t>
      </w:r>
      <w:r w:rsidR="00386337" w:rsidRPr="00386337">
        <w:rPr>
          <w:rFonts w:eastAsia="Times New Roman" w:cstheme="minorHAnsi"/>
          <w:b/>
          <w:bCs/>
          <w:sz w:val="20"/>
          <w:szCs w:val="20"/>
          <w:lang w:eastAsia="pl-PL"/>
        </w:rPr>
        <w:t>4506W Zwoleń – Sarnów w miejscowości Łuczynów</w:t>
      </w:r>
      <w:r w:rsidRPr="004853EB">
        <w:rPr>
          <w:rFonts w:eastAsia="Times New Roman" w:cstheme="minorHAnsi"/>
          <w:b/>
          <w:sz w:val="20"/>
          <w:szCs w:val="20"/>
          <w:lang w:eastAsia="pl-PL"/>
        </w:rPr>
        <w:t xml:space="preserve"> </w:t>
      </w:r>
      <w:r w:rsidRPr="004853EB">
        <w:rPr>
          <w:rFonts w:eastAsia="Times New Roman" w:cstheme="minorHAnsi"/>
          <w:sz w:val="20"/>
          <w:szCs w:val="20"/>
          <w:lang w:eastAsia="pl-PL"/>
        </w:rPr>
        <w:t>i dotyczą zasad prowadzenia robót związanych z wykonaniem koryta przeznaczonego do ułożenia konstrukcji nawierzchni.</w:t>
      </w:r>
      <w:r w:rsidRPr="004853EB">
        <w:rPr>
          <w:rFonts w:eastAsia="Times New Roman" w:cstheme="minorHAnsi"/>
          <w:sz w:val="18"/>
          <w:szCs w:val="20"/>
          <w:lang w:eastAsia="pl-PL"/>
        </w:rPr>
        <w:t xml:space="preserve"> </w:t>
      </w:r>
    </w:p>
    <w:p w14:paraId="6AFF5E12"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286" w:name="_Toc405704476"/>
      <w:bookmarkStart w:id="1287" w:name="_Toc405780137"/>
      <w:bookmarkStart w:id="1288" w:name="_Toc406295849"/>
      <w:bookmarkStart w:id="1289" w:name="_Toc406913838"/>
      <w:bookmarkStart w:id="1290" w:name="_Toc406914083"/>
      <w:bookmarkStart w:id="1291" w:name="_Toc406914741"/>
      <w:bookmarkStart w:id="1292" w:name="_Toc406915319"/>
      <w:bookmarkStart w:id="1293" w:name="_Toc406984012"/>
      <w:bookmarkStart w:id="1294" w:name="_Toc406984159"/>
      <w:bookmarkStart w:id="1295" w:name="_Toc406984350"/>
      <w:bookmarkStart w:id="1296" w:name="_Toc407069558"/>
      <w:bookmarkStart w:id="1297" w:name="_Toc407081523"/>
      <w:bookmarkStart w:id="1298" w:name="_Toc407083322"/>
      <w:bookmarkStart w:id="1299" w:name="_Toc407084156"/>
      <w:bookmarkStart w:id="1300" w:name="_Toc407085275"/>
      <w:bookmarkStart w:id="1301" w:name="_Toc407085418"/>
      <w:bookmarkStart w:id="1302" w:name="_Toc407085561"/>
      <w:bookmarkStart w:id="1303" w:name="_Toc407086009"/>
      <w:bookmarkStart w:id="1304" w:name="_Toc194476767"/>
      <w:bookmarkStart w:id="1305" w:name="_Toc227760058"/>
      <w:bookmarkStart w:id="1306" w:name="_Toc227825205"/>
      <w:r w:rsidRPr="004853EB">
        <w:rPr>
          <w:rFonts w:eastAsia="Times New Roman" w:cstheme="minorHAnsi"/>
          <w:b/>
          <w:sz w:val="20"/>
          <w:szCs w:val="20"/>
          <w:lang w:eastAsia="pl-PL"/>
        </w:rPr>
        <w:t>1.4. Określenia podstawowe</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61C8C0EA"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Określenia podstawowe są zgodne z obowiązującymi, odpowiednimi polskimi normami i definicjami podanymi w SST D-00.00.00 „Wymagania ogólne” pkt 1.4.</w:t>
      </w:r>
    </w:p>
    <w:p w14:paraId="6D9DABE5"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307" w:name="_Toc405704477"/>
      <w:bookmarkStart w:id="1308" w:name="_Toc405780138"/>
      <w:bookmarkStart w:id="1309" w:name="_Toc406295850"/>
      <w:bookmarkStart w:id="1310" w:name="_Toc406913839"/>
      <w:bookmarkStart w:id="1311" w:name="_Toc406914084"/>
      <w:bookmarkStart w:id="1312" w:name="_Toc406914742"/>
      <w:bookmarkStart w:id="1313" w:name="_Toc406915320"/>
      <w:bookmarkStart w:id="1314" w:name="_Toc406984013"/>
      <w:bookmarkStart w:id="1315" w:name="_Toc406984160"/>
      <w:bookmarkStart w:id="1316" w:name="_Toc406984351"/>
      <w:bookmarkStart w:id="1317" w:name="_Toc407069559"/>
      <w:bookmarkStart w:id="1318" w:name="_Toc407081524"/>
      <w:bookmarkStart w:id="1319" w:name="_Toc407083323"/>
      <w:bookmarkStart w:id="1320" w:name="_Toc407084157"/>
      <w:bookmarkStart w:id="1321" w:name="_Toc407085276"/>
      <w:bookmarkStart w:id="1322" w:name="_Toc407085419"/>
      <w:bookmarkStart w:id="1323" w:name="_Toc407085562"/>
      <w:bookmarkStart w:id="1324" w:name="_Toc407086010"/>
      <w:bookmarkStart w:id="1325" w:name="_Toc194476768"/>
      <w:bookmarkStart w:id="1326" w:name="_Toc227760059"/>
      <w:bookmarkStart w:id="1327" w:name="_Toc227825206"/>
      <w:r w:rsidRPr="004853EB">
        <w:rPr>
          <w:rFonts w:eastAsia="Times New Roman" w:cstheme="minorHAnsi"/>
          <w:b/>
          <w:sz w:val="20"/>
          <w:szCs w:val="20"/>
          <w:lang w:eastAsia="pl-PL"/>
        </w:rPr>
        <w:t>1.5. Ogólne wymagania dotyczące robót</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54D856B1"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robót podano w SST D-00.00.00 „Wymagania ogólne” pkt 1.5.</w:t>
      </w:r>
    </w:p>
    <w:p w14:paraId="0A82B0BA"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328" w:name="_Toc406913840"/>
      <w:bookmarkStart w:id="1329" w:name="_Toc406914085"/>
      <w:bookmarkStart w:id="1330" w:name="_Toc406914743"/>
      <w:bookmarkStart w:id="1331" w:name="_Toc406915321"/>
      <w:bookmarkStart w:id="1332" w:name="_Toc406984014"/>
      <w:bookmarkStart w:id="1333" w:name="_Toc406984161"/>
      <w:bookmarkStart w:id="1334" w:name="_Toc406984352"/>
      <w:bookmarkStart w:id="1335" w:name="_Toc407069560"/>
      <w:bookmarkStart w:id="1336" w:name="_Toc407081525"/>
      <w:bookmarkStart w:id="1337" w:name="_Toc407083324"/>
      <w:bookmarkStart w:id="1338" w:name="_Toc407084158"/>
      <w:bookmarkStart w:id="1339" w:name="_Toc407085277"/>
      <w:bookmarkStart w:id="1340" w:name="_Toc407085420"/>
      <w:bookmarkStart w:id="1341" w:name="_Toc407085563"/>
      <w:bookmarkStart w:id="1342" w:name="_Toc407086011"/>
      <w:bookmarkStart w:id="1343" w:name="_Toc194476769"/>
      <w:bookmarkStart w:id="1344" w:name="_Toc227760060"/>
      <w:bookmarkStart w:id="1345" w:name="_Toc227825207"/>
      <w:r w:rsidRPr="004853EB">
        <w:rPr>
          <w:rFonts w:eastAsia="Times New Roman" w:cstheme="minorHAnsi"/>
          <w:b/>
          <w:caps/>
          <w:kern w:val="28"/>
          <w:sz w:val="20"/>
          <w:szCs w:val="20"/>
          <w:lang w:eastAsia="pl-PL"/>
        </w:rPr>
        <w:t>2. materiały</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52C27CAD"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Nie występują.</w:t>
      </w:r>
    </w:p>
    <w:p w14:paraId="0A35E007"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346" w:name="_Toc406913841"/>
      <w:bookmarkStart w:id="1347" w:name="_Toc406914086"/>
      <w:bookmarkStart w:id="1348" w:name="_Toc406914744"/>
      <w:bookmarkStart w:id="1349" w:name="_Toc406915322"/>
      <w:bookmarkStart w:id="1350" w:name="_Toc406984015"/>
      <w:bookmarkStart w:id="1351" w:name="_Toc406984162"/>
      <w:bookmarkStart w:id="1352" w:name="_Toc406984353"/>
      <w:bookmarkStart w:id="1353" w:name="_Toc407069561"/>
      <w:bookmarkStart w:id="1354" w:name="_Toc407081526"/>
      <w:bookmarkStart w:id="1355" w:name="_Toc407083325"/>
      <w:bookmarkStart w:id="1356" w:name="_Toc407084159"/>
      <w:bookmarkStart w:id="1357" w:name="_Toc407085278"/>
      <w:bookmarkStart w:id="1358" w:name="_Toc407085421"/>
      <w:bookmarkStart w:id="1359" w:name="_Toc407085564"/>
      <w:bookmarkStart w:id="1360" w:name="_Toc407086012"/>
      <w:bookmarkStart w:id="1361" w:name="_Toc194476770"/>
      <w:bookmarkStart w:id="1362" w:name="_Toc227760061"/>
      <w:bookmarkStart w:id="1363" w:name="_Toc227825208"/>
      <w:r w:rsidRPr="004853EB">
        <w:rPr>
          <w:rFonts w:eastAsia="Times New Roman" w:cstheme="minorHAnsi"/>
          <w:b/>
          <w:caps/>
          <w:kern w:val="28"/>
          <w:sz w:val="20"/>
          <w:szCs w:val="20"/>
          <w:lang w:eastAsia="pl-PL"/>
        </w:rPr>
        <w:t>3. sprzęt</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4FE02497"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364" w:name="_Toc406913842"/>
      <w:bookmarkStart w:id="1365" w:name="_Toc406914087"/>
      <w:bookmarkStart w:id="1366" w:name="_Toc406914745"/>
      <w:bookmarkStart w:id="1367" w:name="_Toc406915323"/>
      <w:bookmarkStart w:id="1368" w:name="_Toc406984016"/>
      <w:bookmarkStart w:id="1369" w:name="_Toc406984163"/>
      <w:bookmarkStart w:id="1370" w:name="_Toc406984354"/>
      <w:bookmarkStart w:id="1371" w:name="_Toc407069562"/>
      <w:bookmarkStart w:id="1372" w:name="_Toc407081527"/>
      <w:bookmarkStart w:id="1373" w:name="_Toc407083326"/>
      <w:bookmarkStart w:id="1374" w:name="_Toc407084160"/>
      <w:bookmarkStart w:id="1375" w:name="_Toc407085279"/>
      <w:bookmarkStart w:id="1376" w:name="_Toc407085422"/>
      <w:bookmarkStart w:id="1377" w:name="_Toc407085565"/>
      <w:bookmarkStart w:id="1378" w:name="_Toc407086013"/>
      <w:bookmarkStart w:id="1379" w:name="_Toc194476771"/>
      <w:bookmarkStart w:id="1380" w:name="_Toc227760062"/>
      <w:bookmarkStart w:id="1381" w:name="_Toc227825209"/>
      <w:r w:rsidRPr="004853EB">
        <w:rPr>
          <w:rFonts w:eastAsia="Times New Roman" w:cstheme="minorHAnsi"/>
          <w:b/>
          <w:sz w:val="20"/>
          <w:szCs w:val="20"/>
          <w:lang w:eastAsia="pl-PL"/>
        </w:rPr>
        <w:t>3.1. Ogólne wymagania dotyczące sprzętu</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64E88999"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sprzętu podano w SST D-00.00.00 „Wymagania ogólne” pkt 3.</w:t>
      </w:r>
    </w:p>
    <w:p w14:paraId="47F39D21"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382" w:name="_Toc406913843"/>
      <w:bookmarkStart w:id="1383" w:name="_Toc406914088"/>
      <w:bookmarkStart w:id="1384" w:name="_Toc406914746"/>
      <w:bookmarkStart w:id="1385" w:name="_Toc406915324"/>
      <w:bookmarkStart w:id="1386" w:name="_Toc406984017"/>
      <w:bookmarkStart w:id="1387" w:name="_Toc406984164"/>
      <w:bookmarkStart w:id="1388" w:name="_Toc406984355"/>
      <w:bookmarkStart w:id="1389" w:name="_Toc407069563"/>
      <w:bookmarkStart w:id="1390" w:name="_Toc407081528"/>
      <w:bookmarkStart w:id="1391" w:name="_Toc407083327"/>
      <w:bookmarkStart w:id="1392" w:name="_Toc407084161"/>
      <w:bookmarkStart w:id="1393" w:name="_Toc407085280"/>
      <w:bookmarkStart w:id="1394" w:name="_Toc407085423"/>
      <w:bookmarkStart w:id="1395" w:name="_Toc407085566"/>
      <w:bookmarkStart w:id="1396" w:name="_Toc407086014"/>
      <w:bookmarkStart w:id="1397" w:name="_Toc194476772"/>
      <w:bookmarkStart w:id="1398" w:name="_Toc227760063"/>
      <w:bookmarkStart w:id="1399" w:name="_Toc227825210"/>
      <w:r w:rsidRPr="004853EB">
        <w:rPr>
          <w:rFonts w:eastAsia="Times New Roman" w:cstheme="minorHAnsi"/>
          <w:b/>
          <w:sz w:val="20"/>
          <w:szCs w:val="20"/>
          <w:lang w:eastAsia="pl-PL"/>
        </w:rPr>
        <w:t>3.2. Sprzęt do wykonania robót</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67DFE010"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przystępujący do wykonania koryta i profilowania podłoża powinien wykazać się możliwością korzystania z następującego sprzętu:</w:t>
      </w:r>
    </w:p>
    <w:p w14:paraId="12A3C74B"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równiarek lub spycharek uniwersalnych z ukośnie ustawianym lemieszem; Inżynier może dopuścić wykonanie koryta i profilowanie podłoża z zastosowaniem spycharki z lemieszem ustawionym prostopadle do kierunku pracy maszyny,</w:t>
      </w:r>
    </w:p>
    <w:p w14:paraId="302136ED"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koparek z czerpakami profilowymi (przy wykonywaniu wąskich koryt),</w:t>
      </w:r>
    </w:p>
    <w:p w14:paraId="05450229"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walców statycznych, wibracyjnych lub płyt wibracyjnych.</w:t>
      </w:r>
    </w:p>
    <w:p w14:paraId="43708D20"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Stosowany sprzęt nie może spowodować niekorzystnego wpływu na właściwości gruntu podłoża.</w:t>
      </w:r>
    </w:p>
    <w:p w14:paraId="4FE2E13C"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400" w:name="_Toc406913844"/>
      <w:bookmarkStart w:id="1401" w:name="_Toc406914089"/>
      <w:bookmarkStart w:id="1402" w:name="_Toc406914747"/>
      <w:bookmarkStart w:id="1403" w:name="_Toc406915325"/>
      <w:bookmarkStart w:id="1404" w:name="_Toc406984018"/>
      <w:bookmarkStart w:id="1405" w:name="_Toc406984165"/>
      <w:bookmarkStart w:id="1406" w:name="_Toc406984356"/>
      <w:bookmarkStart w:id="1407" w:name="_Toc407069564"/>
      <w:bookmarkStart w:id="1408" w:name="_Toc407081529"/>
      <w:bookmarkStart w:id="1409" w:name="_Toc407083328"/>
      <w:bookmarkStart w:id="1410" w:name="_Toc407084162"/>
      <w:bookmarkStart w:id="1411" w:name="_Toc407085281"/>
      <w:bookmarkStart w:id="1412" w:name="_Toc407085424"/>
      <w:bookmarkStart w:id="1413" w:name="_Toc407085567"/>
      <w:bookmarkStart w:id="1414" w:name="_Toc407086015"/>
      <w:bookmarkStart w:id="1415" w:name="_Toc194476773"/>
      <w:bookmarkStart w:id="1416" w:name="_Toc227760064"/>
      <w:bookmarkStart w:id="1417" w:name="_Toc227825211"/>
      <w:r w:rsidRPr="004853EB">
        <w:rPr>
          <w:rFonts w:eastAsia="Times New Roman" w:cstheme="minorHAnsi"/>
          <w:b/>
          <w:caps/>
          <w:kern w:val="28"/>
          <w:sz w:val="20"/>
          <w:szCs w:val="20"/>
          <w:lang w:eastAsia="pl-PL"/>
        </w:rPr>
        <w:t>4. transport</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4DE7A81E"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418" w:name="_Toc406913845"/>
      <w:bookmarkStart w:id="1419" w:name="_Toc406914090"/>
      <w:bookmarkStart w:id="1420" w:name="_Toc406914748"/>
      <w:bookmarkStart w:id="1421" w:name="_Toc406915326"/>
      <w:bookmarkStart w:id="1422" w:name="_Toc406984019"/>
      <w:bookmarkStart w:id="1423" w:name="_Toc406984166"/>
      <w:bookmarkStart w:id="1424" w:name="_Toc406984357"/>
      <w:bookmarkStart w:id="1425" w:name="_Toc407069565"/>
      <w:bookmarkStart w:id="1426" w:name="_Toc407081530"/>
      <w:bookmarkStart w:id="1427" w:name="_Toc407083329"/>
      <w:bookmarkStart w:id="1428" w:name="_Toc407084163"/>
      <w:bookmarkStart w:id="1429" w:name="_Toc407085282"/>
      <w:bookmarkStart w:id="1430" w:name="_Toc407085425"/>
      <w:bookmarkStart w:id="1431" w:name="_Toc407085568"/>
      <w:bookmarkStart w:id="1432" w:name="_Toc407086016"/>
      <w:bookmarkStart w:id="1433" w:name="_Toc194476774"/>
      <w:bookmarkStart w:id="1434" w:name="_Toc227760065"/>
      <w:bookmarkStart w:id="1435" w:name="_Toc227825212"/>
      <w:r w:rsidRPr="004853EB">
        <w:rPr>
          <w:rFonts w:eastAsia="Times New Roman" w:cstheme="minorHAnsi"/>
          <w:b/>
          <w:sz w:val="20"/>
          <w:szCs w:val="20"/>
          <w:lang w:eastAsia="pl-PL"/>
        </w:rPr>
        <w:t>4.1. Ogólne wymagania dotyczące transportu</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4B296143"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r>
      <w:bookmarkStart w:id="1436" w:name="_Toc406822326"/>
      <w:bookmarkStart w:id="1437" w:name="_Toc406913846"/>
      <w:bookmarkStart w:id="1438" w:name="_Toc406914091"/>
      <w:r w:rsidRPr="004853EB">
        <w:rPr>
          <w:rFonts w:eastAsia="Times New Roman" w:cstheme="minorHAnsi"/>
          <w:sz w:val="20"/>
          <w:szCs w:val="20"/>
          <w:lang w:eastAsia="pl-PL"/>
        </w:rPr>
        <w:t>Ogólne wymagania dotyczące transportu podano w SST D-00.00.00 „Wymagania ogólne” pkt 4.</w:t>
      </w:r>
      <w:bookmarkEnd w:id="1436"/>
      <w:bookmarkEnd w:id="1437"/>
      <w:bookmarkEnd w:id="1438"/>
    </w:p>
    <w:p w14:paraId="0D85236E"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439" w:name="_Toc406913847"/>
      <w:bookmarkStart w:id="1440" w:name="_Toc406914092"/>
      <w:bookmarkStart w:id="1441" w:name="_Toc406914749"/>
      <w:bookmarkStart w:id="1442" w:name="_Toc406915327"/>
      <w:bookmarkStart w:id="1443" w:name="_Toc406984020"/>
      <w:bookmarkStart w:id="1444" w:name="_Toc406984167"/>
      <w:bookmarkStart w:id="1445" w:name="_Toc406984358"/>
      <w:bookmarkStart w:id="1446" w:name="_Toc407069566"/>
      <w:bookmarkStart w:id="1447" w:name="_Toc407081531"/>
      <w:bookmarkStart w:id="1448" w:name="_Toc407083330"/>
      <w:bookmarkStart w:id="1449" w:name="_Toc407084164"/>
      <w:bookmarkStart w:id="1450" w:name="_Toc407085283"/>
      <w:bookmarkStart w:id="1451" w:name="_Toc407085426"/>
      <w:bookmarkStart w:id="1452" w:name="_Toc407085569"/>
      <w:bookmarkStart w:id="1453" w:name="_Toc407086017"/>
      <w:bookmarkStart w:id="1454" w:name="_Toc194476775"/>
      <w:bookmarkStart w:id="1455" w:name="_Toc227760066"/>
      <w:bookmarkStart w:id="1456" w:name="_Toc227825213"/>
      <w:r w:rsidRPr="004853EB">
        <w:rPr>
          <w:rFonts w:eastAsia="Times New Roman" w:cstheme="minorHAnsi"/>
          <w:b/>
          <w:sz w:val="20"/>
          <w:szCs w:val="20"/>
          <w:lang w:eastAsia="pl-PL"/>
        </w:rPr>
        <w:t>4.2. Transport materiałów</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47ACEF81"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r>
      <w:bookmarkStart w:id="1457" w:name="_Toc406822328"/>
      <w:bookmarkStart w:id="1458" w:name="_Toc406913848"/>
      <w:bookmarkStart w:id="1459" w:name="_Toc406914093"/>
      <w:r w:rsidRPr="004853EB">
        <w:rPr>
          <w:rFonts w:eastAsia="Times New Roman" w:cstheme="minorHAnsi"/>
          <w:sz w:val="20"/>
          <w:szCs w:val="20"/>
          <w:lang w:eastAsia="pl-PL"/>
        </w:rPr>
        <w:t>Wymagania dotyczące transportu materiałów podano w SST D-04.02.01, D-04.03.01</w:t>
      </w:r>
      <w:bookmarkEnd w:id="1457"/>
      <w:bookmarkEnd w:id="1458"/>
      <w:bookmarkEnd w:id="1459"/>
      <w:r w:rsidRPr="004853EB">
        <w:rPr>
          <w:rFonts w:eastAsia="Times New Roman" w:cstheme="minorHAnsi"/>
          <w:sz w:val="20"/>
          <w:szCs w:val="20"/>
          <w:lang w:eastAsia="pl-PL"/>
        </w:rPr>
        <w:t xml:space="preserve"> pkt 4.</w:t>
      </w:r>
    </w:p>
    <w:p w14:paraId="506CF8B6"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460" w:name="_Toc406913849"/>
      <w:bookmarkStart w:id="1461" w:name="_Toc406914094"/>
      <w:bookmarkStart w:id="1462" w:name="_Toc406914750"/>
      <w:bookmarkStart w:id="1463" w:name="_Toc406915328"/>
      <w:bookmarkStart w:id="1464" w:name="_Toc406984021"/>
      <w:bookmarkStart w:id="1465" w:name="_Toc406984168"/>
      <w:bookmarkStart w:id="1466" w:name="_Toc406984359"/>
      <w:bookmarkStart w:id="1467" w:name="_Toc407069567"/>
      <w:bookmarkStart w:id="1468" w:name="_Toc407081532"/>
      <w:bookmarkStart w:id="1469" w:name="_Toc407083331"/>
      <w:bookmarkStart w:id="1470" w:name="_Toc407084165"/>
      <w:bookmarkStart w:id="1471" w:name="_Toc407085284"/>
      <w:bookmarkStart w:id="1472" w:name="_Toc407085427"/>
      <w:bookmarkStart w:id="1473" w:name="_Toc407085570"/>
      <w:bookmarkStart w:id="1474" w:name="_Toc407086018"/>
      <w:bookmarkStart w:id="1475" w:name="_Toc194476776"/>
      <w:bookmarkStart w:id="1476" w:name="_Toc227760067"/>
      <w:bookmarkStart w:id="1477" w:name="_Toc227825214"/>
      <w:r w:rsidRPr="004853EB">
        <w:rPr>
          <w:rFonts w:eastAsia="Times New Roman" w:cstheme="minorHAnsi"/>
          <w:b/>
          <w:caps/>
          <w:kern w:val="28"/>
          <w:sz w:val="20"/>
          <w:szCs w:val="20"/>
          <w:lang w:eastAsia="pl-PL"/>
        </w:rPr>
        <w:t>5. wykonanie robót</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7F8E3794"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478" w:name="_Toc406913850"/>
      <w:bookmarkStart w:id="1479" w:name="_Toc406914095"/>
      <w:bookmarkStart w:id="1480" w:name="_Toc406914751"/>
      <w:bookmarkStart w:id="1481" w:name="_Toc406915329"/>
      <w:bookmarkStart w:id="1482" w:name="_Toc406984022"/>
      <w:bookmarkStart w:id="1483" w:name="_Toc406984169"/>
      <w:bookmarkStart w:id="1484" w:name="_Toc406984360"/>
      <w:bookmarkStart w:id="1485" w:name="_Toc407069568"/>
      <w:bookmarkStart w:id="1486" w:name="_Toc407081533"/>
      <w:bookmarkStart w:id="1487" w:name="_Toc407083332"/>
      <w:bookmarkStart w:id="1488" w:name="_Toc407084166"/>
      <w:bookmarkStart w:id="1489" w:name="_Toc407085285"/>
      <w:bookmarkStart w:id="1490" w:name="_Toc407085428"/>
      <w:bookmarkStart w:id="1491" w:name="_Toc407085571"/>
      <w:bookmarkStart w:id="1492" w:name="_Toc407086019"/>
      <w:bookmarkStart w:id="1493" w:name="_Toc194476777"/>
      <w:bookmarkStart w:id="1494" w:name="_Toc227760068"/>
      <w:bookmarkStart w:id="1495" w:name="_Toc227825215"/>
      <w:r w:rsidRPr="004853EB">
        <w:rPr>
          <w:rFonts w:eastAsia="Times New Roman" w:cstheme="minorHAnsi"/>
          <w:b/>
          <w:sz w:val="20"/>
          <w:szCs w:val="20"/>
          <w:lang w:eastAsia="pl-PL"/>
        </w:rPr>
        <w:t>5.1. Ogólne zasady wykonania robót</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0DF72453"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r>
      <w:bookmarkStart w:id="1496" w:name="_Toc406822331"/>
      <w:bookmarkStart w:id="1497" w:name="_Toc406913851"/>
      <w:bookmarkStart w:id="1498" w:name="_Toc406914096"/>
      <w:r w:rsidRPr="004853EB">
        <w:rPr>
          <w:rFonts w:eastAsia="Times New Roman" w:cstheme="minorHAnsi"/>
          <w:sz w:val="20"/>
          <w:szCs w:val="20"/>
          <w:lang w:eastAsia="pl-PL"/>
        </w:rPr>
        <w:t>Ogólne zasady wykonania robót podano w SST D-00.00.00 „Wymagania ogólne” pkt 5.</w:t>
      </w:r>
      <w:bookmarkEnd w:id="1496"/>
      <w:bookmarkEnd w:id="1497"/>
      <w:bookmarkEnd w:id="1498"/>
    </w:p>
    <w:p w14:paraId="5D394BDB"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499" w:name="_Toc406913852"/>
      <w:bookmarkStart w:id="1500" w:name="_Toc406914097"/>
      <w:bookmarkStart w:id="1501" w:name="_Toc406914752"/>
      <w:bookmarkStart w:id="1502" w:name="_Toc406915330"/>
      <w:bookmarkStart w:id="1503" w:name="_Toc406984023"/>
      <w:bookmarkStart w:id="1504" w:name="_Toc406984170"/>
      <w:bookmarkStart w:id="1505" w:name="_Toc406984361"/>
      <w:bookmarkStart w:id="1506" w:name="_Toc407069569"/>
      <w:bookmarkStart w:id="1507" w:name="_Toc407081534"/>
      <w:bookmarkStart w:id="1508" w:name="_Toc407083333"/>
      <w:bookmarkStart w:id="1509" w:name="_Toc407084167"/>
      <w:bookmarkStart w:id="1510" w:name="_Toc407085286"/>
      <w:bookmarkStart w:id="1511" w:name="_Toc407085429"/>
      <w:bookmarkStart w:id="1512" w:name="_Toc407085572"/>
      <w:bookmarkStart w:id="1513" w:name="_Toc407086020"/>
      <w:bookmarkStart w:id="1514" w:name="_Toc194476778"/>
      <w:bookmarkStart w:id="1515" w:name="_Toc227760069"/>
      <w:bookmarkStart w:id="1516" w:name="_Toc227825216"/>
      <w:r w:rsidRPr="004853EB">
        <w:rPr>
          <w:rFonts w:eastAsia="Times New Roman" w:cstheme="minorHAnsi"/>
          <w:b/>
          <w:sz w:val="20"/>
          <w:szCs w:val="20"/>
          <w:lang w:eastAsia="pl-PL"/>
        </w:rPr>
        <w:lastRenderedPageBreak/>
        <w:t>5.2. Warunki przystąpienia do robót</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7A200A3D"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powinien przystąpić do wykonania koryta oraz profilowania i zagęszczenia podłoża bezpośrednio przed rozpoczęciem robót związanych z wykonaniem warstw nawierzchni. Wcześniejsze przystąpienie do wykonania koryta oraz profilowania i zagęszczania podłoża, jest możliwe wyłącznie za zgodą Inżyniera, w korzystnych warunkach atmosferycznych.</w:t>
      </w:r>
    </w:p>
    <w:p w14:paraId="3A35C5C4"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wykonanym korycie oraz po wyprofilowanym i zagęszczonym podłożu nie może odbywać się ruch budowlany, niezwiązany bezpośrednio z wykonaniem pierwszej warstwy nawierzchni.</w:t>
      </w:r>
    </w:p>
    <w:p w14:paraId="3BF0B091"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517" w:name="_Toc406913853"/>
      <w:bookmarkStart w:id="1518" w:name="_Toc406914098"/>
      <w:bookmarkStart w:id="1519" w:name="_Toc406914753"/>
      <w:bookmarkStart w:id="1520" w:name="_Toc406915331"/>
      <w:bookmarkStart w:id="1521" w:name="_Toc406984024"/>
      <w:bookmarkStart w:id="1522" w:name="_Toc406984171"/>
      <w:bookmarkStart w:id="1523" w:name="_Toc406984362"/>
      <w:bookmarkStart w:id="1524" w:name="_Toc407069570"/>
      <w:bookmarkStart w:id="1525" w:name="_Toc407081535"/>
      <w:bookmarkStart w:id="1526" w:name="_Toc407083334"/>
      <w:bookmarkStart w:id="1527" w:name="_Toc407084168"/>
      <w:bookmarkStart w:id="1528" w:name="_Toc407085287"/>
      <w:bookmarkStart w:id="1529" w:name="_Toc407085430"/>
      <w:bookmarkStart w:id="1530" w:name="_Toc407085573"/>
      <w:bookmarkStart w:id="1531" w:name="_Toc407086021"/>
      <w:bookmarkStart w:id="1532" w:name="_Toc194476779"/>
      <w:bookmarkStart w:id="1533" w:name="_Toc227760070"/>
      <w:bookmarkStart w:id="1534" w:name="_Toc227825217"/>
      <w:r w:rsidRPr="004853EB">
        <w:rPr>
          <w:rFonts w:eastAsia="Times New Roman" w:cstheme="minorHAnsi"/>
          <w:b/>
          <w:sz w:val="20"/>
          <w:szCs w:val="20"/>
          <w:lang w:eastAsia="pl-PL"/>
        </w:rPr>
        <w:t>5.3. Wykonanie koryta</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1BB285A4"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Paliki lub szpilki do prawidłowego ukształtowania koryta w planie i profilu powinny być wcześniej przygotowane.</w:t>
      </w:r>
    </w:p>
    <w:p w14:paraId="2ABDABB0"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w:t>
      </w:r>
    </w:p>
    <w:p w14:paraId="497040E0"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Rodzaj sprzętu, a w szczególności jego moc należy dostosować do rodzaju gruntu, w którym prowadzone są roboty i do trudności jego odspojenia. </w:t>
      </w:r>
    </w:p>
    <w:p w14:paraId="7275A538"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Koryto można wykonywać ręcznie, gdy jego szerokość nie pozwala na zastosowanie maszyn, na przykład na poszerzeniach lub w przypadku robót o małym zakresie. Sposób wykonania musi być zaakceptowany przez Inżyniera.</w:t>
      </w:r>
    </w:p>
    <w:p w14:paraId="26503900"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Grunt odspojony w czasie wykonywania koryta powinien być wykorzystany zgodnie z ustaleniami dokumentacji projektowej i SST, tj. wbudowany w nasyp lub odwieziony na odkład w miejsce wskazane przez Inżyniera.</w:t>
      </w:r>
    </w:p>
    <w:p w14:paraId="6EA77EF4"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Profilowanie i zagęszczenie podłoża należy wykonać zgodnie z zasadami określonymi w pkt 5.4.</w:t>
      </w:r>
    </w:p>
    <w:p w14:paraId="2ABE3B32"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535" w:name="_Toc406913854"/>
      <w:bookmarkStart w:id="1536" w:name="_Toc406914099"/>
      <w:bookmarkStart w:id="1537" w:name="_Toc406914754"/>
      <w:bookmarkStart w:id="1538" w:name="_Toc406915332"/>
      <w:bookmarkStart w:id="1539" w:name="_Toc406984025"/>
      <w:bookmarkStart w:id="1540" w:name="_Toc406984172"/>
      <w:bookmarkStart w:id="1541" w:name="_Toc406984363"/>
      <w:bookmarkStart w:id="1542" w:name="_Toc407069571"/>
      <w:bookmarkStart w:id="1543" w:name="_Toc407081536"/>
      <w:bookmarkStart w:id="1544" w:name="_Toc407083335"/>
      <w:bookmarkStart w:id="1545" w:name="_Toc407084169"/>
      <w:bookmarkStart w:id="1546" w:name="_Toc407085288"/>
      <w:bookmarkStart w:id="1547" w:name="_Toc407085431"/>
      <w:bookmarkStart w:id="1548" w:name="_Toc407085574"/>
      <w:bookmarkStart w:id="1549" w:name="_Toc407086022"/>
      <w:bookmarkStart w:id="1550" w:name="_Toc194476780"/>
      <w:bookmarkStart w:id="1551" w:name="_Toc227760071"/>
      <w:bookmarkStart w:id="1552" w:name="_Toc227825218"/>
      <w:r w:rsidRPr="004853EB">
        <w:rPr>
          <w:rFonts w:eastAsia="Times New Roman" w:cstheme="minorHAnsi"/>
          <w:b/>
          <w:sz w:val="20"/>
          <w:szCs w:val="20"/>
          <w:lang w:eastAsia="pl-PL"/>
        </w:rPr>
        <w:t>5.4. Profilowanie i zagęszczanie podłoża</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5EF1BE03"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 przystąpieniem do profilowania podłoże powinno być oczyszczone ze wszelkich zanieczyszczeń.</w:t>
      </w:r>
    </w:p>
    <w:p w14:paraId="7B13528D"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14:paraId="2F52E6C8"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w:t>
      </w:r>
    </w:p>
    <w:p w14:paraId="1A6C4E5E"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 profilowania podłoża należy stosować równiarki. Ścięty grunt powinien być wykorzystany w robotach ziemnych lub w inny sposób zaakceptowany przez Inżyniera.</w:t>
      </w:r>
    </w:p>
    <w:p w14:paraId="4807191B"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Bezpośrednio po profilowaniu podłoża należy przystąpić do jego zagęszczania. Zagęszczanie podłoża należy kontynuować do osiągnięcia wskaźnika zagęszczenia nie mniejszego od podanego w tablicy 1. Wskaźnik zagęszczenia należy określać zgodnie z BN-77/8931-12 [5].</w:t>
      </w:r>
    </w:p>
    <w:p w14:paraId="535AFA0C"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1. Minimalne wartości wskaźnika zagęszczenia podłoża (</w:t>
      </w:r>
      <w:proofErr w:type="spellStart"/>
      <w:r w:rsidRPr="004853EB">
        <w:rPr>
          <w:rFonts w:eastAsia="Times New Roman" w:cstheme="minorHAnsi"/>
          <w:sz w:val="20"/>
          <w:szCs w:val="20"/>
          <w:lang w:eastAsia="pl-PL"/>
        </w:rPr>
        <w:t>I</w:t>
      </w:r>
      <w:r w:rsidRPr="004853EB">
        <w:rPr>
          <w:rFonts w:eastAsia="Times New Roman" w:cstheme="minorHAnsi"/>
          <w:sz w:val="20"/>
          <w:szCs w:val="20"/>
          <w:vertAlign w:val="subscript"/>
          <w:lang w:eastAsia="pl-PL"/>
        </w:rPr>
        <w:t>s</w:t>
      </w:r>
      <w:proofErr w:type="spellEnd"/>
      <w:r w:rsidRPr="004853EB">
        <w:rPr>
          <w:rFonts w:eastAsia="Times New Roman" w:cstheme="minorHAnsi"/>
          <w:sz w:val="20"/>
          <w:szCs w:val="20"/>
          <w:lang w:eastAsia="pl-PL"/>
        </w:rPr>
        <w:t>)</w:t>
      </w:r>
    </w:p>
    <w:tbl>
      <w:tblPr>
        <w:tblW w:w="0" w:type="auto"/>
        <w:tblLayout w:type="fixed"/>
        <w:tblCellMar>
          <w:left w:w="70" w:type="dxa"/>
          <w:right w:w="70" w:type="dxa"/>
        </w:tblCellMar>
        <w:tblLook w:val="0000" w:firstRow="0" w:lastRow="0" w:firstColumn="0" w:lastColumn="0" w:noHBand="0" w:noVBand="0"/>
      </w:tblPr>
      <w:tblGrid>
        <w:gridCol w:w="2905"/>
        <w:gridCol w:w="5812"/>
      </w:tblGrid>
      <w:tr w:rsidR="00713454" w:rsidRPr="004853EB" w14:paraId="4F354F38" w14:textId="77777777" w:rsidTr="00713454">
        <w:tc>
          <w:tcPr>
            <w:tcW w:w="2905" w:type="dxa"/>
            <w:tcBorders>
              <w:top w:val="single" w:sz="6" w:space="0" w:color="auto"/>
              <w:left w:val="single" w:sz="6" w:space="0" w:color="auto"/>
            </w:tcBorders>
          </w:tcPr>
          <w:p w14:paraId="64378502"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tc>
        <w:tc>
          <w:tcPr>
            <w:tcW w:w="5812" w:type="dxa"/>
            <w:tcBorders>
              <w:top w:val="single" w:sz="6" w:space="0" w:color="auto"/>
              <w:left w:val="single" w:sz="6" w:space="0" w:color="auto"/>
              <w:bottom w:val="single" w:sz="6" w:space="0" w:color="auto"/>
              <w:right w:val="single" w:sz="6" w:space="0" w:color="auto"/>
            </w:tcBorders>
          </w:tcPr>
          <w:p w14:paraId="40F69816"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Minimalna wartość </w:t>
            </w:r>
            <w:proofErr w:type="spellStart"/>
            <w:r w:rsidRPr="004853EB">
              <w:rPr>
                <w:rFonts w:eastAsia="Times New Roman" w:cstheme="minorHAnsi"/>
                <w:sz w:val="20"/>
                <w:szCs w:val="20"/>
                <w:lang w:eastAsia="pl-PL"/>
              </w:rPr>
              <w:t>I</w:t>
            </w:r>
            <w:r w:rsidRPr="004853EB">
              <w:rPr>
                <w:rFonts w:eastAsia="Times New Roman" w:cstheme="minorHAnsi"/>
                <w:sz w:val="20"/>
                <w:szCs w:val="20"/>
                <w:vertAlign w:val="subscript"/>
                <w:lang w:eastAsia="pl-PL"/>
              </w:rPr>
              <w:t>s</w:t>
            </w:r>
            <w:proofErr w:type="spellEnd"/>
            <w:r w:rsidRPr="004853EB">
              <w:rPr>
                <w:rFonts w:eastAsia="Times New Roman" w:cstheme="minorHAnsi"/>
                <w:sz w:val="20"/>
                <w:szCs w:val="20"/>
                <w:lang w:eastAsia="pl-PL"/>
              </w:rPr>
              <w:t xml:space="preserve"> dla:</w:t>
            </w:r>
          </w:p>
        </w:tc>
      </w:tr>
      <w:tr w:rsidR="00713454" w:rsidRPr="004853EB" w14:paraId="62F46138" w14:textId="77777777" w:rsidTr="00713454">
        <w:tc>
          <w:tcPr>
            <w:tcW w:w="2905" w:type="dxa"/>
            <w:tcBorders>
              <w:left w:val="single" w:sz="6" w:space="0" w:color="auto"/>
            </w:tcBorders>
          </w:tcPr>
          <w:p w14:paraId="4B2CFF45"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Strefa</w:t>
            </w:r>
          </w:p>
        </w:tc>
        <w:tc>
          <w:tcPr>
            <w:tcW w:w="5812" w:type="dxa"/>
            <w:tcBorders>
              <w:top w:val="single" w:sz="6" w:space="0" w:color="auto"/>
              <w:left w:val="single" w:sz="6" w:space="0" w:color="auto"/>
              <w:bottom w:val="single" w:sz="6" w:space="0" w:color="auto"/>
              <w:right w:val="single" w:sz="6" w:space="0" w:color="auto"/>
            </w:tcBorders>
          </w:tcPr>
          <w:p w14:paraId="1849D16F"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Innych dróg</w:t>
            </w:r>
          </w:p>
        </w:tc>
      </w:tr>
      <w:tr w:rsidR="00713454" w:rsidRPr="004853EB" w14:paraId="7F20E3EC" w14:textId="77777777" w:rsidTr="00713454">
        <w:tc>
          <w:tcPr>
            <w:tcW w:w="2905" w:type="dxa"/>
            <w:tcBorders>
              <w:left w:val="single" w:sz="6" w:space="0" w:color="auto"/>
              <w:bottom w:val="double" w:sz="6" w:space="0" w:color="auto"/>
            </w:tcBorders>
          </w:tcPr>
          <w:p w14:paraId="54428FA3"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korpusu</w:t>
            </w:r>
          </w:p>
        </w:tc>
        <w:tc>
          <w:tcPr>
            <w:tcW w:w="5812" w:type="dxa"/>
            <w:tcBorders>
              <w:top w:val="single" w:sz="6" w:space="0" w:color="auto"/>
              <w:left w:val="single" w:sz="6" w:space="0" w:color="auto"/>
              <w:bottom w:val="double" w:sz="6" w:space="0" w:color="auto"/>
              <w:right w:val="single" w:sz="6" w:space="0" w:color="auto"/>
            </w:tcBorders>
          </w:tcPr>
          <w:p w14:paraId="188D4871"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16"/>
                <w:szCs w:val="20"/>
                <w:lang w:eastAsia="pl-PL"/>
              </w:rPr>
            </w:pPr>
            <w:r w:rsidRPr="004853EB">
              <w:rPr>
                <w:rFonts w:eastAsia="Times New Roman" w:cstheme="minorHAnsi"/>
                <w:sz w:val="16"/>
                <w:szCs w:val="20"/>
                <w:lang w:eastAsia="pl-PL"/>
              </w:rPr>
              <w:t>Ruch mniejszy od ciężkiego</w:t>
            </w:r>
          </w:p>
        </w:tc>
      </w:tr>
      <w:tr w:rsidR="00713454" w:rsidRPr="004853EB" w14:paraId="0F60BCD9" w14:textId="77777777" w:rsidTr="00713454">
        <w:tc>
          <w:tcPr>
            <w:tcW w:w="2905" w:type="dxa"/>
            <w:tcBorders>
              <w:left w:val="single" w:sz="6" w:space="0" w:color="auto"/>
              <w:bottom w:val="single" w:sz="6" w:space="0" w:color="auto"/>
              <w:right w:val="single" w:sz="6" w:space="0" w:color="auto"/>
            </w:tcBorders>
          </w:tcPr>
          <w:p w14:paraId="2BD4E2E0" w14:textId="77777777" w:rsidR="00713454" w:rsidRPr="004853EB" w:rsidRDefault="00713454" w:rsidP="00713454">
            <w:pPr>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Górna warstwa o grubości 20 cm</w:t>
            </w:r>
          </w:p>
        </w:tc>
        <w:tc>
          <w:tcPr>
            <w:tcW w:w="5812" w:type="dxa"/>
            <w:tcBorders>
              <w:left w:val="single" w:sz="6" w:space="0" w:color="auto"/>
              <w:bottom w:val="single" w:sz="6" w:space="0" w:color="auto"/>
              <w:right w:val="single" w:sz="6" w:space="0" w:color="auto"/>
            </w:tcBorders>
          </w:tcPr>
          <w:p w14:paraId="211074E2" w14:textId="77777777" w:rsidR="00713454" w:rsidRPr="004853EB" w:rsidRDefault="00713454" w:rsidP="00713454">
            <w:p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1,00</w:t>
            </w:r>
          </w:p>
        </w:tc>
      </w:tr>
      <w:tr w:rsidR="00713454" w:rsidRPr="004853EB" w14:paraId="76C8B364" w14:textId="77777777" w:rsidTr="00713454">
        <w:tc>
          <w:tcPr>
            <w:tcW w:w="2905" w:type="dxa"/>
            <w:tcBorders>
              <w:top w:val="single" w:sz="6" w:space="0" w:color="auto"/>
              <w:left w:val="single" w:sz="6" w:space="0" w:color="auto"/>
              <w:bottom w:val="single" w:sz="6" w:space="0" w:color="auto"/>
              <w:right w:val="single" w:sz="6" w:space="0" w:color="auto"/>
            </w:tcBorders>
          </w:tcPr>
          <w:p w14:paraId="0D3993E5"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Na głębokości od 20 do 50 cm od powierzchni podłoża</w:t>
            </w:r>
          </w:p>
        </w:tc>
        <w:tc>
          <w:tcPr>
            <w:tcW w:w="5812" w:type="dxa"/>
            <w:tcBorders>
              <w:top w:val="single" w:sz="6" w:space="0" w:color="auto"/>
              <w:left w:val="single" w:sz="6" w:space="0" w:color="auto"/>
              <w:bottom w:val="single" w:sz="6" w:space="0" w:color="auto"/>
              <w:right w:val="single" w:sz="6" w:space="0" w:color="auto"/>
            </w:tcBorders>
          </w:tcPr>
          <w:p w14:paraId="74EB8178"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09D2CB2A"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0,97</w:t>
            </w:r>
          </w:p>
        </w:tc>
      </w:tr>
    </w:tbl>
    <w:p w14:paraId="0C96F8D2"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16D43C93" w14:textId="154DBB8D"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 przypadku, gdy gruboziarnisty materiał tworzący podłoże uniemożliwia przeprowadzenie badania zagęszczenia, kontrolę zagęszczenia należy oprzeć na metodzie obciążeń płytowych. Należy określić pierwotny </w:t>
      </w:r>
      <w:r w:rsidR="00B67D8D">
        <w:rPr>
          <w:rFonts w:eastAsia="Times New Roman" w:cstheme="minorHAnsi"/>
          <w:sz w:val="20"/>
          <w:szCs w:val="20"/>
          <w:lang w:eastAsia="pl-PL"/>
        </w:rPr>
        <w:br/>
      </w:r>
      <w:r w:rsidRPr="004853EB">
        <w:rPr>
          <w:rFonts w:eastAsia="Times New Roman" w:cstheme="minorHAnsi"/>
          <w:sz w:val="20"/>
          <w:szCs w:val="20"/>
          <w:lang w:eastAsia="pl-PL"/>
        </w:rPr>
        <w:t>i wtórny moduł odkształcenia podłoża według BN-64/8931-02 [3]. Stosunek wtórnego i pierwotnego modułu odkształcenia nie powinien przekraczać 2,2.</w:t>
      </w:r>
    </w:p>
    <w:p w14:paraId="6724944A" w14:textId="6220CA4A"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Wilgotność gruntu podłoża podczas zagęszczania powinna być równa wilgotności optymalnej </w:t>
      </w:r>
      <w:r w:rsidR="00B67D8D">
        <w:rPr>
          <w:rFonts w:eastAsia="Times New Roman" w:cstheme="minorHAnsi"/>
          <w:sz w:val="20"/>
          <w:szCs w:val="20"/>
          <w:lang w:eastAsia="pl-PL"/>
        </w:rPr>
        <w:br/>
      </w:r>
      <w:r w:rsidRPr="004853EB">
        <w:rPr>
          <w:rFonts w:eastAsia="Times New Roman" w:cstheme="minorHAnsi"/>
          <w:sz w:val="20"/>
          <w:szCs w:val="20"/>
          <w:lang w:eastAsia="pl-PL"/>
        </w:rPr>
        <w:t>z tolerancją od -20% do +10%.</w:t>
      </w:r>
    </w:p>
    <w:p w14:paraId="0159C044"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553" w:name="_Toc406913855"/>
      <w:bookmarkStart w:id="1554" w:name="_Toc406914100"/>
      <w:bookmarkStart w:id="1555" w:name="_Toc406914755"/>
      <w:bookmarkStart w:id="1556" w:name="_Toc406915333"/>
      <w:bookmarkStart w:id="1557" w:name="_Toc406984026"/>
      <w:bookmarkStart w:id="1558" w:name="_Toc406984173"/>
      <w:bookmarkStart w:id="1559" w:name="_Toc406984364"/>
      <w:bookmarkStart w:id="1560" w:name="_Toc407069572"/>
      <w:bookmarkStart w:id="1561" w:name="_Toc407081537"/>
      <w:bookmarkStart w:id="1562" w:name="_Toc407083336"/>
      <w:bookmarkStart w:id="1563" w:name="_Toc407084170"/>
      <w:bookmarkStart w:id="1564" w:name="_Toc407085289"/>
      <w:bookmarkStart w:id="1565" w:name="_Toc407085432"/>
      <w:bookmarkStart w:id="1566" w:name="_Toc407085575"/>
      <w:bookmarkStart w:id="1567" w:name="_Toc407086023"/>
      <w:bookmarkStart w:id="1568" w:name="_Toc194476781"/>
      <w:bookmarkStart w:id="1569" w:name="_Toc227760072"/>
      <w:bookmarkStart w:id="1570" w:name="_Toc227825219"/>
      <w:r w:rsidRPr="004853EB">
        <w:rPr>
          <w:rFonts w:eastAsia="Times New Roman" w:cstheme="minorHAnsi"/>
          <w:b/>
          <w:sz w:val="20"/>
          <w:szCs w:val="20"/>
          <w:lang w:eastAsia="pl-PL"/>
        </w:rPr>
        <w:lastRenderedPageBreak/>
        <w:t>5.5. Utrzymanie koryta oraz wyprofilowanego i zagęszczonego podłoża</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6B319AF6"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Podłoże (koryto) po wyprofilowaniu i zagęszczeniu powinno być utrzymywane w dobrym stanie.</w:t>
      </w:r>
    </w:p>
    <w:p w14:paraId="6912BA4A" w14:textId="1EFD7052"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Jeżeli po wykonaniu robót związanych z profilowaniem i zagęszczeniem podłoża nastąpi przerwa </w:t>
      </w:r>
      <w:r w:rsidR="00B67D8D">
        <w:rPr>
          <w:rFonts w:eastAsia="Times New Roman" w:cstheme="minorHAnsi"/>
          <w:sz w:val="20"/>
          <w:szCs w:val="20"/>
          <w:lang w:eastAsia="pl-PL"/>
        </w:rPr>
        <w:br/>
      </w:r>
      <w:r w:rsidRPr="004853EB">
        <w:rPr>
          <w:rFonts w:eastAsia="Times New Roman" w:cstheme="minorHAnsi"/>
          <w:sz w:val="20"/>
          <w:szCs w:val="20"/>
          <w:lang w:eastAsia="pl-PL"/>
        </w:rPr>
        <w:t>w robotach i Wykonawca nie przystąpi natychmiast do układania warstw nawierzchni, to powinien on zabezpieczyć podłoże przed nadmiernym zawilgoceniem, na przykład przez rozłożenie folii lub w inny sposób zaakceptowany przez Inżyniera.</w:t>
      </w:r>
    </w:p>
    <w:p w14:paraId="0E81960F"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Jeżeli wyprofilowane i zagęszczone podłoże uległo nadmiernemu zawilgoceniu, to do układania kolejnej warstwy można przystąpić dopiero po jego naturalnym osuszeniu.</w:t>
      </w:r>
    </w:p>
    <w:p w14:paraId="1C666384"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 osuszeniu podłoża Inżynier oceni jego stan i ewentualnie zaleci wykonanie niezbędnych napraw. Jeżeli zawilgocenie nastąpiło wskutek zaniedbania Wykonawcy, to naprawę wykona on na własny koszt.</w:t>
      </w:r>
    </w:p>
    <w:p w14:paraId="1F047CEC"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571" w:name="_Toc406913856"/>
      <w:bookmarkStart w:id="1572" w:name="_Toc406914101"/>
      <w:bookmarkStart w:id="1573" w:name="_Toc406914756"/>
      <w:bookmarkStart w:id="1574" w:name="_Toc406915334"/>
      <w:bookmarkStart w:id="1575" w:name="_Toc406984027"/>
      <w:bookmarkStart w:id="1576" w:name="_Toc406984174"/>
      <w:bookmarkStart w:id="1577" w:name="_Toc406984365"/>
      <w:bookmarkStart w:id="1578" w:name="_Toc407069573"/>
      <w:bookmarkStart w:id="1579" w:name="_Toc407081538"/>
      <w:bookmarkStart w:id="1580" w:name="_Toc407083337"/>
      <w:bookmarkStart w:id="1581" w:name="_Toc407084171"/>
      <w:bookmarkStart w:id="1582" w:name="_Toc407085290"/>
      <w:bookmarkStart w:id="1583" w:name="_Toc407085433"/>
      <w:bookmarkStart w:id="1584" w:name="_Toc407085576"/>
      <w:bookmarkStart w:id="1585" w:name="_Toc407086024"/>
      <w:bookmarkStart w:id="1586" w:name="_Toc194476782"/>
      <w:bookmarkStart w:id="1587" w:name="_Toc227760073"/>
      <w:bookmarkStart w:id="1588" w:name="_Toc227825220"/>
      <w:r w:rsidRPr="004853EB">
        <w:rPr>
          <w:rFonts w:eastAsia="Times New Roman" w:cstheme="minorHAnsi"/>
          <w:b/>
          <w:caps/>
          <w:kern w:val="28"/>
          <w:sz w:val="20"/>
          <w:szCs w:val="20"/>
          <w:lang w:eastAsia="pl-PL"/>
        </w:rPr>
        <w:t>6. kontrola jakości robót</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0A392588"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589" w:name="_Toc406913857"/>
      <w:bookmarkStart w:id="1590" w:name="_Toc406914102"/>
      <w:bookmarkStart w:id="1591" w:name="_Toc406914757"/>
      <w:bookmarkStart w:id="1592" w:name="_Toc406915335"/>
      <w:bookmarkStart w:id="1593" w:name="_Toc406984028"/>
      <w:bookmarkStart w:id="1594" w:name="_Toc406984175"/>
      <w:bookmarkStart w:id="1595" w:name="_Toc406984366"/>
      <w:bookmarkStart w:id="1596" w:name="_Toc407069574"/>
      <w:bookmarkStart w:id="1597" w:name="_Toc407081539"/>
      <w:bookmarkStart w:id="1598" w:name="_Toc407083338"/>
      <w:bookmarkStart w:id="1599" w:name="_Toc407084172"/>
      <w:bookmarkStart w:id="1600" w:name="_Toc407085291"/>
      <w:bookmarkStart w:id="1601" w:name="_Toc407085434"/>
      <w:bookmarkStart w:id="1602" w:name="_Toc407085577"/>
      <w:bookmarkStart w:id="1603" w:name="_Toc407086025"/>
      <w:bookmarkStart w:id="1604" w:name="_Toc194476783"/>
      <w:bookmarkStart w:id="1605" w:name="_Toc227760074"/>
      <w:bookmarkStart w:id="1606" w:name="_Toc227825221"/>
      <w:r w:rsidRPr="004853EB">
        <w:rPr>
          <w:rFonts w:eastAsia="Times New Roman" w:cstheme="minorHAnsi"/>
          <w:b/>
          <w:sz w:val="20"/>
          <w:szCs w:val="20"/>
          <w:lang w:eastAsia="pl-PL"/>
        </w:rPr>
        <w:t>6.1. Ogólne zasady kontroli jakości robót</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4D6183EF"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kontroli jakości robót podano w SST D-00.00.00 „Wymagania ogólne” pkt 6.</w:t>
      </w:r>
    </w:p>
    <w:p w14:paraId="310F4423"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607" w:name="_Toc406913858"/>
      <w:bookmarkStart w:id="1608" w:name="_Toc406914103"/>
      <w:bookmarkStart w:id="1609" w:name="_Toc406914758"/>
      <w:bookmarkStart w:id="1610" w:name="_Toc406915336"/>
      <w:bookmarkStart w:id="1611" w:name="_Toc406984029"/>
      <w:bookmarkStart w:id="1612" w:name="_Toc406984176"/>
      <w:bookmarkStart w:id="1613" w:name="_Toc406984367"/>
      <w:bookmarkStart w:id="1614" w:name="_Toc407069575"/>
      <w:bookmarkStart w:id="1615" w:name="_Toc407081540"/>
      <w:bookmarkStart w:id="1616" w:name="_Toc407083339"/>
      <w:bookmarkStart w:id="1617" w:name="_Toc407084173"/>
      <w:bookmarkStart w:id="1618" w:name="_Toc407085292"/>
      <w:bookmarkStart w:id="1619" w:name="_Toc407085435"/>
      <w:bookmarkStart w:id="1620" w:name="_Toc407085578"/>
      <w:bookmarkStart w:id="1621" w:name="_Toc407086026"/>
      <w:bookmarkStart w:id="1622" w:name="_Toc194476784"/>
      <w:bookmarkStart w:id="1623" w:name="_Toc227760075"/>
      <w:bookmarkStart w:id="1624" w:name="_Toc227825222"/>
      <w:r w:rsidRPr="004853EB">
        <w:rPr>
          <w:rFonts w:eastAsia="Times New Roman" w:cstheme="minorHAnsi"/>
          <w:b/>
          <w:sz w:val="20"/>
          <w:szCs w:val="20"/>
          <w:lang w:eastAsia="pl-PL"/>
        </w:rPr>
        <w:t>6.2. Badania w czasie robót</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31B5C42A" w14:textId="77777777" w:rsidR="00713454" w:rsidRPr="004853EB" w:rsidRDefault="00713454" w:rsidP="0071345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6.2.1. </w:t>
      </w:r>
      <w:r w:rsidRPr="004853EB">
        <w:rPr>
          <w:rFonts w:eastAsia="Times New Roman" w:cstheme="minorHAnsi"/>
          <w:sz w:val="20"/>
          <w:szCs w:val="20"/>
          <w:lang w:eastAsia="pl-PL"/>
        </w:rPr>
        <w:t>Częstotliwość oraz zakres badań i pomiarów</w:t>
      </w:r>
    </w:p>
    <w:p w14:paraId="253343BF" w14:textId="7BCAC1CB"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Częstotliwość oraz zakres badań i pomiarów dotyczących cech geometrycznych i zagęszczenia koryta </w:t>
      </w:r>
      <w:r w:rsidR="00B67D8D">
        <w:rPr>
          <w:rFonts w:eastAsia="Times New Roman" w:cstheme="minorHAnsi"/>
          <w:sz w:val="20"/>
          <w:szCs w:val="20"/>
          <w:lang w:eastAsia="pl-PL"/>
        </w:rPr>
        <w:br/>
      </w:r>
      <w:r w:rsidRPr="004853EB">
        <w:rPr>
          <w:rFonts w:eastAsia="Times New Roman" w:cstheme="minorHAnsi"/>
          <w:sz w:val="20"/>
          <w:szCs w:val="20"/>
          <w:lang w:eastAsia="pl-PL"/>
        </w:rPr>
        <w:t>i wyprofilowanego podłoża podaje tablica 2.</w:t>
      </w:r>
    </w:p>
    <w:p w14:paraId="3ABAAA9D" w14:textId="77777777" w:rsidR="00713454" w:rsidRPr="004853EB" w:rsidRDefault="00713454" w:rsidP="00713454">
      <w:pPr>
        <w:overflowPunct w:val="0"/>
        <w:autoSpaceDE w:val="0"/>
        <w:autoSpaceDN w:val="0"/>
        <w:adjustRightInd w:val="0"/>
        <w:spacing w:before="120" w:after="120" w:line="240" w:lineRule="auto"/>
        <w:ind w:left="1134" w:hanging="113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2.</w:t>
      </w:r>
      <w:r w:rsidRPr="004853EB">
        <w:rPr>
          <w:rFonts w:eastAsia="Times New Roman" w:cstheme="minorHAnsi"/>
          <w:sz w:val="20"/>
          <w:szCs w:val="20"/>
          <w:lang w:eastAsia="pl-PL"/>
        </w:rPr>
        <w:tab/>
        <w:t>Częstotliwość oraz zakres badań i pomiarów wykonanego koryta i wyprofilowanego podłoża</w:t>
      </w:r>
    </w:p>
    <w:tbl>
      <w:tblPr>
        <w:tblW w:w="0" w:type="auto"/>
        <w:tblInd w:w="70" w:type="dxa"/>
        <w:tblLayout w:type="fixed"/>
        <w:tblCellMar>
          <w:left w:w="70" w:type="dxa"/>
          <w:right w:w="70" w:type="dxa"/>
        </w:tblCellMar>
        <w:tblLook w:val="0000" w:firstRow="0" w:lastRow="0" w:firstColumn="0" w:lastColumn="0" w:noHBand="0" w:noVBand="0"/>
      </w:tblPr>
      <w:tblGrid>
        <w:gridCol w:w="491"/>
        <w:gridCol w:w="2247"/>
        <w:gridCol w:w="4703"/>
      </w:tblGrid>
      <w:tr w:rsidR="00713454" w:rsidRPr="004853EB" w14:paraId="3CB1B05F" w14:textId="77777777" w:rsidTr="00713454">
        <w:tc>
          <w:tcPr>
            <w:tcW w:w="491" w:type="dxa"/>
            <w:tcBorders>
              <w:top w:val="single" w:sz="6" w:space="0" w:color="auto"/>
              <w:left w:val="single" w:sz="6" w:space="0" w:color="auto"/>
              <w:bottom w:val="double" w:sz="6" w:space="0" w:color="auto"/>
              <w:right w:val="single" w:sz="6" w:space="0" w:color="auto"/>
            </w:tcBorders>
          </w:tcPr>
          <w:p w14:paraId="263013AA" w14:textId="77777777" w:rsidR="00713454" w:rsidRPr="004853EB" w:rsidRDefault="00713454" w:rsidP="00713454">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Lp.</w:t>
            </w:r>
          </w:p>
        </w:tc>
        <w:tc>
          <w:tcPr>
            <w:tcW w:w="2247" w:type="dxa"/>
            <w:tcBorders>
              <w:top w:val="single" w:sz="6" w:space="0" w:color="auto"/>
              <w:left w:val="single" w:sz="6" w:space="0" w:color="auto"/>
              <w:bottom w:val="double" w:sz="6" w:space="0" w:color="auto"/>
              <w:right w:val="single" w:sz="6" w:space="0" w:color="auto"/>
            </w:tcBorders>
          </w:tcPr>
          <w:p w14:paraId="1D6F374D" w14:textId="77777777" w:rsidR="00713454" w:rsidRPr="004853EB" w:rsidRDefault="00713454" w:rsidP="00713454">
            <w:p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Wyszczególnienie badań</w:t>
            </w:r>
          </w:p>
          <w:p w14:paraId="4EA956F2"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i pomiarów</w:t>
            </w:r>
          </w:p>
        </w:tc>
        <w:tc>
          <w:tcPr>
            <w:tcW w:w="4702" w:type="dxa"/>
            <w:tcBorders>
              <w:top w:val="single" w:sz="6" w:space="0" w:color="auto"/>
              <w:left w:val="single" w:sz="6" w:space="0" w:color="auto"/>
              <w:bottom w:val="double" w:sz="6" w:space="0" w:color="auto"/>
              <w:right w:val="single" w:sz="6" w:space="0" w:color="auto"/>
            </w:tcBorders>
          </w:tcPr>
          <w:p w14:paraId="517950D0" w14:textId="77777777" w:rsidR="00713454" w:rsidRPr="004853EB" w:rsidRDefault="00713454" w:rsidP="00713454">
            <w:p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Minimalna częstotliwość</w:t>
            </w:r>
          </w:p>
          <w:p w14:paraId="361E1FAB"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badań i pomiarów</w:t>
            </w:r>
          </w:p>
        </w:tc>
      </w:tr>
      <w:tr w:rsidR="00713454" w:rsidRPr="004853EB" w14:paraId="00A9378C" w14:textId="77777777" w:rsidTr="00713454">
        <w:tc>
          <w:tcPr>
            <w:tcW w:w="491" w:type="dxa"/>
            <w:tcBorders>
              <w:left w:val="single" w:sz="6" w:space="0" w:color="auto"/>
              <w:bottom w:val="single" w:sz="6" w:space="0" w:color="auto"/>
              <w:right w:val="single" w:sz="6" w:space="0" w:color="auto"/>
            </w:tcBorders>
          </w:tcPr>
          <w:p w14:paraId="07C810C5" w14:textId="77777777" w:rsidR="00713454" w:rsidRPr="004853EB" w:rsidRDefault="00713454" w:rsidP="0071345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2247" w:type="dxa"/>
            <w:tcBorders>
              <w:left w:val="single" w:sz="6" w:space="0" w:color="auto"/>
              <w:bottom w:val="single" w:sz="6" w:space="0" w:color="auto"/>
              <w:right w:val="single" w:sz="6" w:space="0" w:color="auto"/>
            </w:tcBorders>
          </w:tcPr>
          <w:p w14:paraId="21380A65" w14:textId="77777777" w:rsidR="00713454" w:rsidRPr="004853EB" w:rsidRDefault="00713454" w:rsidP="0071345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Szerokość koryta</w:t>
            </w:r>
          </w:p>
        </w:tc>
        <w:tc>
          <w:tcPr>
            <w:tcW w:w="4702" w:type="dxa"/>
            <w:tcBorders>
              <w:left w:val="single" w:sz="6" w:space="0" w:color="auto"/>
              <w:bottom w:val="single" w:sz="6" w:space="0" w:color="auto"/>
              <w:right w:val="single" w:sz="6" w:space="0" w:color="auto"/>
            </w:tcBorders>
          </w:tcPr>
          <w:p w14:paraId="7DF37A56" w14:textId="77777777" w:rsidR="00713454" w:rsidRPr="004853EB" w:rsidRDefault="00713454" w:rsidP="0071345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10 razy na 1 km</w:t>
            </w:r>
          </w:p>
        </w:tc>
      </w:tr>
      <w:tr w:rsidR="00713454" w:rsidRPr="004853EB" w14:paraId="14D85977" w14:textId="77777777" w:rsidTr="00713454">
        <w:tc>
          <w:tcPr>
            <w:tcW w:w="491" w:type="dxa"/>
            <w:tcBorders>
              <w:top w:val="single" w:sz="6" w:space="0" w:color="auto"/>
              <w:left w:val="single" w:sz="6" w:space="0" w:color="auto"/>
              <w:bottom w:val="single" w:sz="6" w:space="0" w:color="auto"/>
              <w:right w:val="single" w:sz="6" w:space="0" w:color="auto"/>
            </w:tcBorders>
          </w:tcPr>
          <w:p w14:paraId="76C4A489" w14:textId="77777777" w:rsidR="00713454" w:rsidRPr="004853EB" w:rsidRDefault="00713454" w:rsidP="0071345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2247" w:type="dxa"/>
            <w:tcBorders>
              <w:top w:val="single" w:sz="6" w:space="0" w:color="auto"/>
              <w:left w:val="single" w:sz="6" w:space="0" w:color="auto"/>
              <w:bottom w:val="single" w:sz="6" w:space="0" w:color="auto"/>
              <w:right w:val="single" w:sz="6" w:space="0" w:color="auto"/>
            </w:tcBorders>
          </w:tcPr>
          <w:p w14:paraId="70E92230" w14:textId="77777777" w:rsidR="00713454" w:rsidRPr="004853EB" w:rsidRDefault="00713454" w:rsidP="0071345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Równość podłużna</w:t>
            </w:r>
          </w:p>
        </w:tc>
        <w:tc>
          <w:tcPr>
            <w:tcW w:w="4702" w:type="dxa"/>
            <w:tcBorders>
              <w:top w:val="single" w:sz="6" w:space="0" w:color="auto"/>
              <w:left w:val="single" w:sz="6" w:space="0" w:color="auto"/>
              <w:bottom w:val="single" w:sz="6" w:space="0" w:color="auto"/>
              <w:right w:val="single" w:sz="6" w:space="0" w:color="auto"/>
            </w:tcBorders>
          </w:tcPr>
          <w:p w14:paraId="3AD191EF" w14:textId="77777777" w:rsidR="00713454" w:rsidRPr="004853EB" w:rsidRDefault="00713454" w:rsidP="0071345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co 20 m na każdym pasie ruchu</w:t>
            </w:r>
          </w:p>
        </w:tc>
      </w:tr>
      <w:tr w:rsidR="00713454" w:rsidRPr="004853EB" w14:paraId="098D7759" w14:textId="77777777" w:rsidTr="00713454">
        <w:tc>
          <w:tcPr>
            <w:tcW w:w="491" w:type="dxa"/>
            <w:tcBorders>
              <w:top w:val="single" w:sz="6" w:space="0" w:color="auto"/>
              <w:left w:val="single" w:sz="6" w:space="0" w:color="auto"/>
              <w:bottom w:val="single" w:sz="6" w:space="0" w:color="auto"/>
              <w:right w:val="single" w:sz="6" w:space="0" w:color="auto"/>
            </w:tcBorders>
          </w:tcPr>
          <w:p w14:paraId="4AECE353" w14:textId="77777777" w:rsidR="00713454" w:rsidRPr="004853EB" w:rsidRDefault="00713454" w:rsidP="0071345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2247" w:type="dxa"/>
            <w:tcBorders>
              <w:top w:val="single" w:sz="6" w:space="0" w:color="auto"/>
              <w:left w:val="single" w:sz="6" w:space="0" w:color="auto"/>
              <w:bottom w:val="single" w:sz="6" w:space="0" w:color="auto"/>
              <w:right w:val="single" w:sz="6" w:space="0" w:color="auto"/>
            </w:tcBorders>
          </w:tcPr>
          <w:p w14:paraId="7CD9D0B9" w14:textId="77777777" w:rsidR="00713454" w:rsidRPr="004853EB" w:rsidRDefault="00713454" w:rsidP="0071345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Równość poprzeczna</w:t>
            </w:r>
          </w:p>
        </w:tc>
        <w:tc>
          <w:tcPr>
            <w:tcW w:w="4702" w:type="dxa"/>
            <w:tcBorders>
              <w:top w:val="single" w:sz="6" w:space="0" w:color="auto"/>
              <w:left w:val="single" w:sz="6" w:space="0" w:color="auto"/>
              <w:bottom w:val="single" w:sz="6" w:space="0" w:color="auto"/>
              <w:right w:val="single" w:sz="6" w:space="0" w:color="auto"/>
            </w:tcBorders>
          </w:tcPr>
          <w:p w14:paraId="4B2946C9" w14:textId="77777777" w:rsidR="00713454" w:rsidRPr="004853EB" w:rsidRDefault="00713454" w:rsidP="0071345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10 razy na 1 km</w:t>
            </w:r>
          </w:p>
        </w:tc>
      </w:tr>
      <w:tr w:rsidR="00713454" w:rsidRPr="004853EB" w14:paraId="6CE0E17C" w14:textId="77777777" w:rsidTr="00713454">
        <w:tc>
          <w:tcPr>
            <w:tcW w:w="491" w:type="dxa"/>
            <w:tcBorders>
              <w:top w:val="single" w:sz="6" w:space="0" w:color="auto"/>
              <w:left w:val="single" w:sz="6" w:space="0" w:color="auto"/>
              <w:bottom w:val="single" w:sz="6" w:space="0" w:color="auto"/>
              <w:right w:val="single" w:sz="6" w:space="0" w:color="auto"/>
            </w:tcBorders>
          </w:tcPr>
          <w:p w14:paraId="13283B25" w14:textId="77777777" w:rsidR="00713454" w:rsidRPr="004853EB" w:rsidRDefault="00713454" w:rsidP="0071345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2247" w:type="dxa"/>
            <w:tcBorders>
              <w:top w:val="single" w:sz="6" w:space="0" w:color="auto"/>
              <w:left w:val="single" w:sz="6" w:space="0" w:color="auto"/>
              <w:bottom w:val="single" w:sz="6" w:space="0" w:color="auto"/>
              <w:right w:val="single" w:sz="6" w:space="0" w:color="auto"/>
            </w:tcBorders>
          </w:tcPr>
          <w:p w14:paraId="0971BB8F" w14:textId="77777777" w:rsidR="00713454" w:rsidRPr="004853EB" w:rsidRDefault="00713454" w:rsidP="0071345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Spadki poprzeczne </w:t>
            </w:r>
            <w:r w:rsidRPr="004853EB">
              <w:rPr>
                <w:rFonts w:eastAsia="Times New Roman" w:cstheme="minorHAnsi"/>
                <w:sz w:val="20"/>
                <w:szCs w:val="20"/>
                <w:vertAlign w:val="superscript"/>
                <w:lang w:eastAsia="pl-PL"/>
              </w:rPr>
              <w:t>*)</w:t>
            </w:r>
          </w:p>
        </w:tc>
        <w:tc>
          <w:tcPr>
            <w:tcW w:w="4702" w:type="dxa"/>
            <w:tcBorders>
              <w:top w:val="single" w:sz="6" w:space="0" w:color="auto"/>
              <w:left w:val="single" w:sz="6" w:space="0" w:color="auto"/>
              <w:bottom w:val="single" w:sz="6" w:space="0" w:color="auto"/>
              <w:right w:val="single" w:sz="6" w:space="0" w:color="auto"/>
            </w:tcBorders>
          </w:tcPr>
          <w:p w14:paraId="6B350A81" w14:textId="77777777" w:rsidR="00713454" w:rsidRPr="004853EB" w:rsidRDefault="00713454" w:rsidP="0071345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10 razy na 1 km</w:t>
            </w:r>
          </w:p>
        </w:tc>
      </w:tr>
      <w:tr w:rsidR="00713454" w:rsidRPr="004853EB" w14:paraId="06A64A67" w14:textId="77777777" w:rsidTr="00713454">
        <w:tc>
          <w:tcPr>
            <w:tcW w:w="491" w:type="dxa"/>
            <w:tcBorders>
              <w:top w:val="single" w:sz="6" w:space="0" w:color="auto"/>
              <w:left w:val="single" w:sz="6" w:space="0" w:color="auto"/>
              <w:bottom w:val="single" w:sz="6" w:space="0" w:color="auto"/>
              <w:right w:val="single" w:sz="6" w:space="0" w:color="auto"/>
            </w:tcBorders>
          </w:tcPr>
          <w:p w14:paraId="0A373E2C" w14:textId="77777777" w:rsidR="00713454" w:rsidRPr="004853EB" w:rsidRDefault="00713454" w:rsidP="00713454">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c>
          <w:tcPr>
            <w:tcW w:w="2247" w:type="dxa"/>
            <w:tcBorders>
              <w:top w:val="single" w:sz="6" w:space="0" w:color="auto"/>
              <w:left w:val="single" w:sz="6" w:space="0" w:color="auto"/>
              <w:bottom w:val="single" w:sz="6" w:space="0" w:color="auto"/>
              <w:right w:val="single" w:sz="6" w:space="0" w:color="auto"/>
            </w:tcBorders>
          </w:tcPr>
          <w:p w14:paraId="0458D5A9" w14:textId="77777777" w:rsidR="00713454" w:rsidRPr="004853EB" w:rsidRDefault="00713454" w:rsidP="0071345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Rzędne wysokościowe</w:t>
            </w:r>
          </w:p>
        </w:tc>
        <w:tc>
          <w:tcPr>
            <w:tcW w:w="4702" w:type="dxa"/>
            <w:tcBorders>
              <w:top w:val="single" w:sz="6" w:space="0" w:color="auto"/>
              <w:left w:val="single" w:sz="6" w:space="0" w:color="auto"/>
              <w:bottom w:val="single" w:sz="6" w:space="0" w:color="auto"/>
              <w:right w:val="single" w:sz="6" w:space="0" w:color="auto"/>
            </w:tcBorders>
          </w:tcPr>
          <w:p w14:paraId="5F09664C" w14:textId="77777777" w:rsidR="00713454" w:rsidRPr="004853EB" w:rsidRDefault="00713454" w:rsidP="00713454">
            <w:pPr>
              <w:overflowPunct w:val="0"/>
              <w:autoSpaceDE w:val="0"/>
              <w:autoSpaceDN w:val="0"/>
              <w:adjustRightInd w:val="0"/>
              <w:spacing w:before="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co 100 m w osi jezdni i na jej krawędziach </w:t>
            </w:r>
          </w:p>
        </w:tc>
      </w:tr>
      <w:tr w:rsidR="00713454" w:rsidRPr="004853EB" w14:paraId="0987656C" w14:textId="77777777" w:rsidTr="00713454">
        <w:tc>
          <w:tcPr>
            <w:tcW w:w="491" w:type="dxa"/>
            <w:tcBorders>
              <w:top w:val="single" w:sz="6" w:space="0" w:color="auto"/>
              <w:left w:val="single" w:sz="6" w:space="0" w:color="auto"/>
              <w:bottom w:val="single" w:sz="6" w:space="0" w:color="auto"/>
              <w:right w:val="single" w:sz="6" w:space="0" w:color="auto"/>
            </w:tcBorders>
          </w:tcPr>
          <w:p w14:paraId="34810E43" w14:textId="77777777" w:rsidR="00713454" w:rsidRPr="004853EB" w:rsidRDefault="00713454" w:rsidP="00713454">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tc>
        <w:tc>
          <w:tcPr>
            <w:tcW w:w="2247" w:type="dxa"/>
            <w:tcBorders>
              <w:top w:val="single" w:sz="6" w:space="0" w:color="auto"/>
              <w:left w:val="single" w:sz="6" w:space="0" w:color="auto"/>
              <w:bottom w:val="single" w:sz="6" w:space="0" w:color="auto"/>
              <w:right w:val="single" w:sz="6" w:space="0" w:color="auto"/>
            </w:tcBorders>
          </w:tcPr>
          <w:p w14:paraId="560CE6B2" w14:textId="77777777" w:rsidR="00713454" w:rsidRPr="004853EB" w:rsidRDefault="00713454" w:rsidP="00713454">
            <w:pPr>
              <w:overflowPunct w:val="0"/>
              <w:autoSpaceDE w:val="0"/>
              <w:autoSpaceDN w:val="0"/>
              <w:adjustRightInd w:val="0"/>
              <w:spacing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Ukształtowanie osi w planie </w:t>
            </w:r>
            <w:r w:rsidRPr="004853EB">
              <w:rPr>
                <w:rFonts w:eastAsia="Times New Roman" w:cstheme="minorHAnsi"/>
                <w:sz w:val="20"/>
                <w:szCs w:val="20"/>
                <w:vertAlign w:val="superscript"/>
                <w:lang w:eastAsia="pl-PL"/>
              </w:rPr>
              <w:t>*)</w:t>
            </w:r>
          </w:p>
        </w:tc>
        <w:tc>
          <w:tcPr>
            <w:tcW w:w="4702" w:type="dxa"/>
            <w:tcBorders>
              <w:top w:val="single" w:sz="6" w:space="0" w:color="auto"/>
              <w:left w:val="single" w:sz="6" w:space="0" w:color="auto"/>
              <w:bottom w:val="single" w:sz="6" w:space="0" w:color="auto"/>
              <w:right w:val="single" w:sz="6" w:space="0" w:color="auto"/>
            </w:tcBorders>
          </w:tcPr>
          <w:p w14:paraId="47FB2A02" w14:textId="77777777" w:rsidR="00713454" w:rsidRPr="004853EB" w:rsidRDefault="00713454" w:rsidP="00713454">
            <w:p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co 100 m w osi jezdni i na jej krawędziach </w:t>
            </w:r>
          </w:p>
        </w:tc>
      </w:tr>
      <w:tr w:rsidR="00713454" w:rsidRPr="004853EB" w14:paraId="3F2FAE94" w14:textId="77777777" w:rsidTr="00713454">
        <w:tc>
          <w:tcPr>
            <w:tcW w:w="491" w:type="dxa"/>
            <w:tcBorders>
              <w:top w:val="single" w:sz="6" w:space="0" w:color="auto"/>
              <w:left w:val="single" w:sz="6" w:space="0" w:color="auto"/>
              <w:bottom w:val="single" w:sz="6" w:space="0" w:color="auto"/>
              <w:right w:val="single" w:sz="6" w:space="0" w:color="auto"/>
            </w:tcBorders>
          </w:tcPr>
          <w:p w14:paraId="2A4A99C8" w14:textId="77777777" w:rsidR="00713454" w:rsidRPr="004853EB" w:rsidRDefault="00713454" w:rsidP="00713454">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w:t>
            </w:r>
          </w:p>
        </w:tc>
        <w:tc>
          <w:tcPr>
            <w:tcW w:w="2247" w:type="dxa"/>
            <w:tcBorders>
              <w:top w:val="single" w:sz="6" w:space="0" w:color="auto"/>
              <w:left w:val="single" w:sz="6" w:space="0" w:color="auto"/>
              <w:bottom w:val="single" w:sz="6" w:space="0" w:color="auto"/>
              <w:right w:val="single" w:sz="6" w:space="0" w:color="auto"/>
            </w:tcBorders>
          </w:tcPr>
          <w:p w14:paraId="0AFA5451" w14:textId="77777777" w:rsidR="00713454" w:rsidRPr="004853EB" w:rsidRDefault="00713454" w:rsidP="00713454">
            <w:pPr>
              <w:overflowPunct w:val="0"/>
              <w:autoSpaceDE w:val="0"/>
              <w:autoSpaceDN w:val="0"/>
              <w:adjustRightInd w:val="0"/>
              <w:spacing w:before="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Zagęszczenie, wilgotność gruntu podłoża</w:t>
            </w:r>
          </w:p>
        </w:tc>
        <w:tc>
          <w:tcPr>
            <w:tcW w:w="4703" w:type="dxa"/>
            <w:tcBorders>
              <w:top w:val="single" w:sz="6" w:space="0" w:color="auto"/>
              <w:left w:val="single" w:sz="6" w:space="0" w:color="auto"/>
              <w:bottom w:val="single" w:sz="6" w:space="0" w:color="auto"/>
              <w:right w:val="single" w:sz="6" w:space="0" w:color="auto"/>
            </w:tcBorders>
          </w:tcPr>
          <w:p w14:paraId="408165EB" w14:textId="77777777" w:rsidR="00713454" w:rsidRPr="004853EB" w:rsidRDefault="00713454" w:rsidP="00713454">
            <w:pPr>
              <w:overflowPunct w:val="0"/>
              <w:autoSpaceDE w:val="0"/>
              <w:autoSpaceDN w:val="0"/>
              <w:adjustRightInd w:val="0"/>
              <w:spacing w:before="2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 2 punktach na dziennej działce roboczej, lecz nie rzadziej niż raz na 600 m</w:t>
            </w:r>
            <w:r w:rsidRPr="004853EB">
              <w:rPr>
                <w:rFonts w:eastAsia="Times New Roman" w:cstheme="minorHAnsi"/>
                <w:sz w:val="20"/>
                <w:szCs w:val="20"/>
                <w:vertAlign w:val="superscript"/>
                <w:lang w:eastAsia="pl-PL"/>
              </w:rPr>
              <w:t>2</w:t>
            </w:r>
          </w:p>
        </w:tc>
      </w:tr>
      <w:tr w:rsidR="00713454" w:rsidRPr="004853EB" w14:paraId="4CEF87EB" w14:textId="77777777" w:rsidTr="00713454">
        <w:tc>
          <w:tcPr>
            <w:tcW w:w="7441" w:type="dxa"/>
            <w:gridSpan w:val="3"/>
            <w:tcBorders>
              <w:top w:val="single" w:sz="6" w:space="0" w:color="auto"/>
              <w:left w:val="single" w:sz="6" w:space="0" w:color="auto"/>
              <w:bottom w:val="single" w:sz="6" w:space="0" w:color="auto"/>
              <w:right w:val="single" w:sz="6" w:space="0" w:color="auto"/>
            </w:tcBorders>
          </w:tcPr>
          <w:p w14:paraId="2349452D" w14:textId="77777777" w:rsidR="00713454" w:rsidRPr="004853EB" w:rsidRDefault="00713454" w:rsidP="00713454">
            <w:pPr>
              <w:overflowPunct w:val="0"/>
              <w:autoSpaceDE w:val="0"/>
              <w:autoSpaceDN w:val="0"/>
              <w:adjustRightInd w:val="0"/>
              <w:spacing w:before="20" w:after="60" w:line="240" w:lineRule="auto"/>
              <w:jc w:val="both"/>
              <w:textAlignment w:val="baseline"/>
              <w:rPr>
                <w:rFonts w:eastAsia="Times New Roman" w:cstheme="minorHAnsi"/>
                <w:sz w:val="20"/>
                <w:szCs w:val="20"/>
                <w:lang w:eastAsia="pl-PL"/>
              </w:rPr>
            </w:pPr>
            <w:bookmarkStart w:id="1625" w:name="_Toc406822339"/>
            <w:bookmarkStart w:id="1626" w:name="_Toc406913859"/>
            <w:bookmarkStart w:id="1627" w:name="_Toc406914104"/>
            <w:r w:rsidRPr="004853EB">
              <w:rPr>
                <w:rFonts w:eastAsia="Times New Roman" w:cstheme="minorHAnsi"/>
                <w:sz w:val="20"/>
                <w:szCs w:val="20"/>
                <w:lang w:eastAsia="pl-PL"/>
              </w:rPr>
              <w:t>*) Dodatkowe pomiary spadków poprzecznych i ukształtowania osi w planie należy wykonać w punktach głównych łuków poziomych</w:t>
            </w:r>
            <w:bookmarkEnd w:id="1625"/>
            <w:bookmarkEnd w:id="1626"/>
            <w:bookmarkEnd w:id="1627"/>
            <w:r w:rsidRPr="004853EB">
              <w:rPr>
                <w:rFonts w:eastAsia="Times New Roman" w:cstheme="minorHAnsi"/>
                <w:sz w:val="20"/>
                <w:szCs w:val="20"/>
                <w:lang w:eastAsia="pl-PL"/>
              </w:rPr>
              <w:tab/>
            </w:r>
          </w:p>
        </w:tc>
      </w:tr>
    </w:tbl>
    <w:p w14:paraId="1C3E2188" w14:textId="77777777" w:rsidR="00713454" w:rsidRPr="004853EB" w:rsidRDefault="00713454" w:rsidP="00713454">
      <w:pPr>
        <w:overflowPunct w:val="0"/>
        <w:autoSpaceDE w:val="0"/>
        <w:autoSpaceDN w:val="0"/>
        <w:adjustRightInd w:val="0"/>
        <w:spacing w:before="24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6.2.2. </w:t>
      </w:r>
      <w:r w:rsidRPr="004853EB">
        <w:rPr>
          <w:rFonts w:eastAsia="Times New Roman" w:cstheme="minorHAnsi"/>
          <w:sz w:val="20"/>
          <w:szCs w:val="20"/>
          <w:lang w:eastAsia="pl-PL"/>
        </w:rPr>
        <w:t>Szerokość koryta (profilowanego podłoża)</w:t>
      </w:r>
    </w:p>
    <w:p w14:paraId="16992C1C"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Szerokość koryta i profilowanego podłoża nie może różnić się od szerokości projektowanej o więcej niż +10 cm i -5 cm.</w:t>
      </w:r>
    </w:p>
    <w:p w14:paraId="0D3DEF83"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6.2.3. </w:t>
      </w:r>
      <w:r w:rsidRPr="004853EB">
        <w:rPr>
          <w:rFonts w:eastAsia="Times New Roman" w:cstheme="minorHAnsi"/>
          <w:sz w:val="20"/>
          <w:szCs w:val="20"/>
          <w:lang w:eastAsia="pl-PL"/>
        </w:rPr>
        <w:t>Równość koryta (profilowanego podłoża)</w:t>
      </w:r>
    </w:p>
    <w:p w14:paraId="1C1A370E"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Nierówności podłużne koryta i profilowanego podłoża należy mierzyć 4-metrową łatą zgodnie z normą BN-68/8931-04 [4].</w:t>
      </w:r>
    </w:p>
    <w:p w14:paraId="34BECBFC"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Nierówności poprzeczne należy mierzyć 4-metrową łatą.</w:t>
      </w:r>
    </w:p>
    <w:p w14:paraId="16A4495B"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Nierówności nie mogą przekraczać 20 mm.</w:t>
      </w:r>
    </w:p>
    <w:p w14:paraId="379EF47C"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6.2.4. </w:t>
      </w:r>
      <w:r w:rsidRPr="004853EB">
        <w:rPr>
          <w:rFonts w:eastAsia="Times New Roman" w:cstheme="minorHAnsi"/>
          <w:sz w:val="20"/>
          <w:szCs w:val="20"/>
          <w:lang w:eastAsia="pl-PL"/>
        </w:rPr>
        <w:t>Spadki poprzeczne</w:t>
      </w:r>
    </w:p>
    <w:p w14:paraId="68161D60" w14:textId="2C7977F1"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Spadki poprzeczne koryta i profilowanego podłoża powinny być zgodne z dokumentacją projektową </w:t>
      </w:r>
      <w:r w:rsidR="00B67D8D">
        <w:rPr>
          <w:rFonts w:eastAsia="Times New Roman" w:cstheme="minorHAnsi"/>
          <w:sz w:val="20"/>
          <w:szCs w:val="20"/>
          <w:lang w:eastAsia="pl-PL"/>
        </w:rPr>
        <w:br/>
      </w:r>
      <w:r w:rsidRPr="004853EB">
        <w:rPr>
          <w:rFonts w:eastAsia="Times New Roman" w:cstheme="minorHAnsi"/>
          <w:sz w:val="20"/>
          <w:szCs w:val="20"/>
          <w:lang w:eastAsia="pl-PL"/>
        </w:rPr>
        <w:t xml:space="preserve">z tolerancją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0,5%.</w:t>
      </w:r>
    </w:p>
    <w:p w14:paraId="3371CE08"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6.2.5. </w:t>
      </w:r>
      <w:r w:rsidRPr="004853EB">
        <w:rPr>
          <w:rFonts w:eastAsia="Times New Roman" w:cstheme="minorHAnsi"/>
          <w:sz w:val="20"/>
          <w:szCs w:val="20"/>
          <w:lang w:eastAsia="pl-PL"/>
        </w:rPr>
        <w:t>Rzędne wysokościowe</w:t>
      </w:r>
    </w:p>
    <w:p w14:paraId="2FF9E0CC"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t>Różnice pomiędzy rzędnymi wysokościowymi koryta lub wyprofilowanego podłoża i rzędnymi projektowanymi nie powinny przekraczać +1 cm, -2 cm.</w:t>
      </w:r>
    </w:p>
    <w:p w14:paraId="2031CE6C"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6.2.6. </w:t>
      </w:r>
      <w:r w:rsidRPr="004853EB">
        <w:rPr>
          <w:rFonts w:eastAsia="Times New Roman" w:cstheme="minorHAnsi"/>
          <w:sz w:val="20"/>
          <w:szCs w:val="20"/>
          <w:lang w:eastAsia="pl-PL"/>
        </w:rPr>
        <w:t>Ukształtowanie osi w planie</w:t>
      </w:r>
    </w:p>
    <w:p w14:paraId="31C8D6AF"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Oś w planie nie może być przesunięta w stosunku do osi projektowanej o więcej niż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3 cm dla autostrad i dróg ekspresowych lub więcej niż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5 cm dla pozostałych dróg.</w:t>
      </w:r>
    </w:p>
    <w:p w14:paraId="00E0BC10" w14:textId="77777777" w:rsidR="00713454" w:rsidRPr="004853EB" w:rsidRDefault="00713454" w:rsidP="0071345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6.2.7. </w:t>
      </w:r>
      <w:r w:rsidRPr="004853EB">
        <w:rPr>
          <w:rFonts w:eastAsia="Times New Roman" w:cstheme="minorHAnsi"/>
          <w:sz w:val="20"/>
          <w:szCs w:val="20"/>
          <w:lang w:eastAsia="pl-PL"/>
        </w:rPr>
        <w:t>Zagęszczenie koryta (profilowanego podłoża)</w:t>
      </w:r>
    </w:p>
    <w:p w14:paraId="489B660A"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Wskaźnik zagęszczenia koryta i wyprofilowanego podłoża określony wg BN-77/8931-12 [5] nie powinien być mniejszy od podanego w tablicy 1.</w:t>
      </w:r>
    </w:p>
    <w:p w14:paraId="0CA65844"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Jeśli jako kryterium dobrego zagęszczenia stosuje się porównanie wartości modułów odkształcenia, to wartość stosunku wtórnego do pierwotnego modułu odkształcenia, określonych zgodnie z normą BN-64/8931-02 [3] nie powinna być większa od 2,2.</w:t>
      </w:r>
    </w:p>
    <w:p w14:paraId="6494E458"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Wilgotność w czasie zagęszczania należy badać według PN-B-06714-17 [2]. Wilgotność gruntu podłoża powinna być równa wilgotności optymalnej z tolerancją od   -20% do + 10%.</w:t>
      </w:r>
    </w:p>
    <w:p w14:paraId="3F08F449" w14:textId="77777777" w:rsidR="00713454" w:rsidRPr="004853EB" w:rsidRDefault="00713454" w:rsidP="00713454">
      <w:pPr>
        <w:keepNext/>
        <w:overflowPunct w:val="0"/>
        <w:autoSpaceDE w:val="0"/>
        <w:autoSpaceDN w:val="0"/>
        <w:adjustRightInd w:val="0"/>
        <w:spacing w:before="120" w:after="120" w:line="240" w:lineRule="auto"/>
        <w:ind w:left="426" w:hanging="426"/>
        <w:jc w:val="both"/>
        <w:textAlignment w:val="baseline"/>
        <w:outlineLvl w:val="1"/>
        <w:rPr>
          <w:rFonts w:eastAsia="Times New Roman" w:cstheme="minorHAnsi"/>
          <w:sz w:val="20"/>
          <w:szCs w:val="20"/>
          <w:lang w:eastAsia="pl-PL"/>
        </w:rPr>
      </w:pPr>
      <w:bookmarkStart w:id="1628" w:name="_Toc406913860"/>
      <w:bookmarkStart w:id="1629" w:name="_Toc406914105"/>
      <w:bookmarkStart w:id="1630" w:name="_Toc406914759"/>
      <w:bookmarkStart w:id="1631" w:name="_Toc406914862"/>
      <w:bookmarkStart w:id="1632" w:name="_Toc406915337"/>
      <w:bookmarkStart w:id="1633" w:name="_Toc406984030"/>
      <w:bookmarkStart w:id="1634" w:name="_Toc406984177"/>
      <w:bookmarkStart w:id="1635" w:name="_Toc406984368"/>
      <w:bookmarkStart w:id="1636" w:name="_Toc407069576"/>
      <w:bookmarkStart w:id="1637" w:name="_Toc407081541"/>
      <w:bookmarkStart w:id="1638" w:name="_Toc407083340"/>
      <w:bookmarkStart w:id="1639" w:name="_Toc407084174"/>
      <w:bookmarkStart w:id="1640" w:name="_Toc407085293"/>
      <w:bookmarkStart w:id="1641" w:name="_Toc407085436"/>
      <w:bookmarkStart w:id="1642" w:name="_Toc407085579"/>
      <w:bookmarkStart w:id="1643" w:name="_Toc407086027"/>
      <w:bookmarkStart w:id="1644" w:name="_Toc194476785"/>
      <w:bookmarkStart w:id="1645" w:name="_Toc227760076"/>
      <w:bookmarkStart w:id="1646" w:name="_Toc227825223"/>
      <w:r w:rsidRPr="004853EB">
        <w:rPr>
          <w:rFonts w:eastAsia="Times New Roman" w:cstheme="minorHAnsi"/>
          <w:b/>
          <w:sz w:val="20"/>
          <w:szCs w:val="20"/>
          <w:lang w:eastAsia="pl-PL"/>
        </w:rPr>
        <w:t>6.3. Zasady postępowania z wadliwie wykonanymi odcinkami koryta (profilowanego</w:t>
      </w:r>
      <w:bookmarkEnd w:id="1628"/>
      <w:bookmarkEnd w:id="1629"/>
      <w:bookmarkEnd w:id="1630"/>
      <w:bookmarkEnd w:id="1631"/>
      <w:bookmarkEnd w:id="1632"/>
      <w:r w:rsidRPr="004853EB">
        <w:rPr>
          <w:rFonts w:eastAsia="Times New Roman" w:cstheme="minorHAnsi"/>
          <w:b/>
          <w:sz w:val="20"/>
          <w:szCs w:val="20"/>
          <w:lang w:eastAsia="pl-PL"/>
        </w:rPr>
        <w:t xml:space="preserve"> podłoża)</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5907913" w14:textId="1F39957D"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 xml:space="preserve">Wszystkie powierzchnie, które wykazują większe odchylenia cech geometrycznych od określonych </w:t>
      </w:r>
      <w:r w:rsidR="00B67D8D">
        <w:rPr>
          <w:rFonts w:eastAsia="Times New Roman" w:cstheme="minorHAnsi"/>
          <w:sz w:val="20"/>
          <w:szCs w:val="20"/>
          <w:lang w:eastAsia="pl-PL"/>
        </w:rPr>
        <w:br/>
      </w:r>
      <w:r w:rsidRPr="004853EB">
        <w:rPr>
          <w:rFonts w:eastAsia="Times New Roman" w:cstheme="minorHAnsi"/>
          <w:sz w:val="20"/>
          <w:szCs w:val="20"/>
          <w:lang w:eastAsia="pl-PL"/>
        </w:rPr>
        <w:t xml:space="preserve">w punkcie 6.2 powinny być naprawione przez spulchnienie do głębokości co najmniej 10 cm, wyrównanie </w:t>
      </w:r>
      <w:r w:rsidR="00B67D8D">
        <w:rPr>
          <w:rFonts w:eastAsia="Times New Roman" w:cstheme="minorHAnsi"/>
          <w:sz w:val="20"/>
          <w:szCs w:val="20"/>
          <w:lang w:eastAsia="pl-PL"/>
        </w:rPr>
        <w:br/>
      </w:r>
      <w:r w:rsidRPr="004853EB">
        <w:rPr>
          <w:rFonts w:eastAsia="Times New Roman" w:cstheme="minorHAnsi"/>
          <w:sz w:val="20"/>
          <w:szCs w:val="20"/>
          <w:lang w:eastAsia="pl-PL"/>
        </w:rPr>
        <w:t>i powtórne zagęszczenie. Dodanie nowego materiału bez spulchnienia wykonanej warstwy jest niedopuszczalne.</w:t>
      </w:r>
    </w:p>
    <w:p w14:paraId="22819E9A"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647" w:name="_Toc406913861"/>
      <w:bookmarkStart w:id="1648" w:name="_Toc406914106"/>
      <w:bookmarkStart w:id="1649" w:name="_Toc406914760"/>
      <w:bookmarkStart w:id="1650" w:name="_Toc406915338"/>
      <w:bookmarkStart w:id="1651" w:name="_Toc406984031"/>
      <w:bookmarkStart w:id="1652" w:name="_Toc406984178"/>
      <w:bookmarkStart w:id="1653" w:name="_Toc406984369"/>
      <w:bookmarkStart w:id="1654" w:name="_Toc407069577"/>
      <w:bookmarkStart w:id="1655" w:name="_Toc407081542"/>
      <w:bookmarkStart w:id="1656" w:name="_Toc407083341"/>
      <w:bookmarkStart w:id="1657" w:name="_Toc407084175"/>
      <w:bookmarkStart w:id="1658" w:name="_Toc407085294"/>
      <w:bookmarkStart w:id="1659" w:name="_Toc407085437"/>
      <w:bookmarkStart w:id="1660" w:name="_Toc407085580"/>
      <w:bookmarkStart w:id="1661" w:name="_Toc407086028"/>
      <w:bookmarkStart w:id="1662" w:name="_Toc194476786"/>
      <w:bookmarkStart w:id="1663" w:name="_Toc227760077"/>
      <w:bookmarkStart w:id="1664" w:name="_Toc227825224"/>
      <w:r w:rsidRPr="004853EB">
        <w:rPr>
          <w:rFonts w:eastAsia="Times New Roman" w:cstheme="minorHAnsi"/>
          <w:b/>
          <w:caps/>
          <w:kern w:val="28"/>
          <w:sz w:val="20"/>
          <w:szCs w:val="20"/>
          <w:lang w:eastAsia="pl-PL"/>
        </w:rPr>
        <w:t>7. obmiar robót</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61AE4579"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665" w:name="_Toc406913862"/>
      <w:bookmarkStart w:id="1666" w:name="_Toc406914107"/>
      <w:bookmarkStart w:id="1667" w:name="_Toc406914761"/>
      <w:bookmarkStart w:id="1668" w:name="_Toc406915339"/>
      <w:bookmarkStart w:id="1669" w:name="_Toc406984032"/>
      <w:bookmarkStart w:id="1670" w:name="_Toc406984179"/>
      <w:bookmarkStart w:id="1671" w:name="_Toc406984370"/>
      <w:bookmarkStart w:id="1672" w:name="_Toc407069578"/>
      <w:bookmarkStart w:id="1673" w:name="_Toc407081543"/>
      <w:bookmarkStart w:id="1674" w:name="_Toc407083342"/>
      <w:bookmarkStart w:id="1675" w:name="_Toc407084176"/>
      <w:bookmarkStart w:id="1676" w:name="_Toc407085295"/>
      <w:bookmarkStart w:id="1677" w:name="_Toc407085438"/>
      <w:bookmarkStart w:id="1678" w:name="_Toc407085581"/>
      <w:bookmarkStart w:id="1679" w:name="_Toc407086029"/>
      <w:bookmarkStart w:id="1680" w:name="_Toc194476787"/>
      <w:bookmarkStart w:id="1681" w:name="_Toc227760078"/>
      <w:bookmarkStart w:id="1682" w:name="_Toc227825225"/>
      <w:r w:rsidRPr="004853EB">
        <w:rPr>
          <w:rFonts w:eastAsia="Times New Roman" w:cstheme="minorHAnsi"/>
          <w:b/>
          <w:sz w:val="20"/>
          <w:szCs w:val="20"/>
          <w:lang w:eastAsia="pl-PL"/>
        </w:rPr>
        <w:t>7.1. Ogólne zasady obmiaru robót</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75AC1064"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obmiaru robót podano w SST D-00.00.00 „Wymagania ogólne” pkt 7.</w:t>
      </w:r>
    </w:p>
    <w:p w14:paraId="64FDB992"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683" w:name="_Toc406913863"/>
      <w:bookmarkStart w:id="1684" w:name="_Toc406914108"/>
      <w:bookmarkStart w:id="1685" w:name="_Toc406914762"/>
      <w:bookmarkStart w:id="1686" w:name="_Toc406915340"/>
      <w:bookmarkStart w:id="1687" w:name="_Toc406984033"/>
      <w:bookmarkStart w:id="1688" w:name="_Toc406984180"/>
      <w:bookmarkStart w:id="1689" w:name="_Toc406984371"/>
      <w:bookmarkStart w:id="1690" w:name="_Toc407069579"/>
      <w:bookmarkStart w:id="1691" w:name="_Toc407081544"/>
      <w:bookmarkStart w:id="1692" w:name="_Toc407083343"/>
      <w:bookmarkStart w:id="1693" w:name="_Toc407084177"/>
      <w:bookmarkStart w:id="1694" w:name="_Toc407085296"/>
      <w:bookmarkStart w:id="1695" w:name="_Toc407085439"/>
      <w:bookmarkStart w:id="1696" w:name="_Toc407085582"/>
      <w:bookmarkStart w:id="1697" w:name="_Toc407086030"/>
      <w:bookmarkStart w:id="1698" w:name="_Toc194476788"/>
      <w:bookmarkStart w:id="1699" w:name="_Toc227760079"/>
      <w:bookmarkStart w:id="1700" w:name="_Toc227825226"/>
      <w:r w:rsidRPr="004853EB">
        <w:rPr>
          <w:rFonts w:eastAsia="Times New Roman" w:cstheme="minorHAnsi"/>
          <w:b/>
          <w:sz w:val="20"/>
          <w:szCs w:val="20"/>
          <w:lang w:eastAsia="pl-PL"/>
        </w:rPr>
        <w:t>7.2. Jednostka obmiarowa</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74C50FF2"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Jednostką obmiarową jest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(metr kwadratowy) wykonanego i odebranego koryta.</w:t>
      </w:r>
    </w:p>
    <w:p w14:paraId="4701A50F"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701" w:name="_Toc406913864"/>
      <w:bookmarkStart w:id="1702" w:name="_Toc406914109"/>
      <w:bookmarkStart w:id="1703" w:name="_Toc406914763"/>
      <w:bookmarkStart w:id="1704" w:name="_Toc406915341"/>
      <w:bookmarkStart w:id="1705" w:name="_Toc406984034"/>
      <w:bookmarkStart w:id="1706" w:name="_Toc406984181"/>
      <w:bookmarkStart w:id="1707" w:name="_Toc406984372"/>
      <w:bookmarkStart w:id="1708" w:name="_Toc407069580"/>
      <w:bookmarkStart w:id="1709" w:name="_Toc407081545"/>
      <w:bookmarkStart w:id="1710" w:name="_Toc407083344"/>
      <w:bookmarkStart w:id="1711" w:name="_Toc407084178"/>
      <w:bookmarkStart w:id="1712" w:name="_Toc407085297"/>
      <w:bookmarkStart w:id="1713" w:name="_Toc407085440"/>
      <w:bookmarkStart w:id="1714" w:name="_Toc407085583"/>
      <w:bookmarkStart w:id="1715" w:name="_Toc407086031"/>
      <w:bookmarkStart w:id="1716" w:name="_Toc194476789"/>
      <w:bookmarkStart w:id="1717" w:name="_Toc227760080"/>
      <w:bookmarkStart w:id="1718" w:name="_Toc227825227"/>
      <w:r w:rsidRPr="004853EB">
        <w:rPr>
          <w:rFonts w:eastAsia="Times New Roman" w:cstheme="minorHAnsi"/>
          <w:b/>
          <w:caps/>
          <w:kern w:val="28"/>
          <w:sz w:val="20"/>
          <w:szCs w:val="20"/>
          <w:lang w:eastAsia="pl-PL"/>
        </w:rPr>
        <w:t>8. odbiór robót</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25260AE4"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odbioru robót podano w SST D-00.00.00 „Wymagania ogólne” pkt 8.</w:t>
      </w:r>
    </w:p>
    <w:p w14:paraId="3F7C8985"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Roboty uznaje się za wykonane zgodnie z dokumentacja projektową, SST i wymaganiami Inżyniera, jeżeli wszystkie pomiary i badania z zachowaniem tolerancji wg punktu 6 dały wyniki pozytywne.</w:t>
      </w:r>
    </w:p>
    <w:p w14:paraId="27B4921A"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719" w:name="_Toc406913865"/>
      <w:bookmarkStart w:id="1720" w:name="_Toc406914110"/>
      <w:bookmarkStart w:id="1721" w:name="_Toc406914764"/>
      <w:bookmarkStart w:id="1722" w:name="_Toc406915342"/>
      <w:bookmarkStart w:id="1723" w:name="_Toc406984035"/>
      <w:bookmarkStart w:id="1724" w:name="_Toc406984182"/>
      <w:bookmarkStart w:id="1725" w:name="_Toc406984373"/>
      <w:bookmarkStart w:id="1726" w:name="_Toc407069581"/>
      <w:bookmarkStart w:id="1727" w:name="_Toc407081546"/>
      <w:bookmarkStart w:id="1728" w:name="_Toc407083345"/>
      <w:bookmarkStart w:id="1729" w:name="_Toc407084179"/>
      <w:bookmarkStart w:id="1730" w:name="_Toc407085298"/>
      <w:bookmarkStart w:id="1731" w:name="_Toc407085441"/>
      <w:bookmarkStart w:id="1732" w:name="_Toc407085584"/>
      <w:bookmarkStart w:id="1733" w:name="_Toc407086032"/>
      <w:bookmarkStart w:id="1734" w:name="_Toc194476790"/>
      <w:bookmarkStart w:id="1735" w:name="_Toc227760081"/>
      <w:bookmarkStart w:id="1736" w:name="_Toc227825228"/>
      <w:r w:rsidRPr="004853EB">
        <w:rPr>
          <w:rFonts w:eastAsia="Times New Roman" w:cstheme="minorHAnsi"/>
          <w:b/>
          <w:caps/>
          <w:kern w:val="28"/>
          <w:sz w:val="20"/>
          <w:szCs w:val="20"/>
          <w:lang w:eastAsia="pl-PL"/>
        </w:rPr>
        <w:t>9. podstawa płatności</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5555C0AB"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737" w:name="_Toc406913866"/>
      <w:bookmarkStart w:id="1738" w:name="_Toc406914111"/>
      <w:bookmarkStart w:id="1739" w:name="_Toc406914765"/>
      <w:bookmarkStart w:id="1740" w:name="_Toc406915343"/>
      <w:bookmarkStart w:id="1741" w:name="_Toc406984036"/>
      <w:bookmarkStart w:id="1742" w:name="_Toc406984183"/>
      <w:bookmarkStart w:id="1743" w:name="_Toc406984374"/>
      <w:bookmarkStart w:id="1744" w:name="_Toc407069582"/>
      <w:bookmarkStart w:id="1745" w:name="_Toc407081547"/>
      <w:bookmarkStart w:id="1746" w:name="_Toc407083346"/>
      <w:bookmarkStart w:id="1747" w:name="_Toc407084180"/>
      <w:bookmarkStart w:id="1748" w:name="_Toc407085299"/>
      <w:bookmarkStart w:id="1749" w:name="_Toc407085442"/>
      <w:bookmarkStart w:id="1750" w:name="_Toc407085585"/>
      <w:bookmarkStart w:id="1751" w:name="_Toc407086033"/>
      <w:bookmarkStart w:id="1752" w:name="_Toc194476791"/>
      <w:bookmarkStart w:id="1753" w:name="_Toc227760082"/>
      <w:bookmarkStart w:id="1754" w:name="_Toc227825229"/>
      <w:r w:rsidRPr="004853EB">
        <w:rPr>
          <w:rFonts w:eastAsia="Times New Roman" w:cstheme="minorHAnsi"/>
          <w:b/>
          <w:sz w:val="20"/>
          <w:szCs w:val="20"/>
          <w:lang w:eastAsia="pl-PL"/>
        </w:rPr>
        <w:t>9.1. Ogólne ustalenia dotyczące podstawy płatności</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55CD3610"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ustalenia dotyczące podstawy płatności podano w SST D-00.00.00 „Wymagania ogólne” pkt 9.</w:t>
      </w:r>
    </w:p>
    <w:p w14:paraId="3C9FEAC4"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755" w:name="_Toc406913867"/>
      <w:bookmarkStart w:id="1756" w:name="_Toc406914112"/>
      <w:bookmarkStart w:id="1757" w:name="_Toc406914766"/>
      <w:bookmarkStart w:id="1758" w:name="_Toc406915344"/>
      <w:bookmarkStart w:id="1759" w:name="_Toc406984037"/>
      <w:bookmarkStart w:id="1760" w:name="_Toc406984184"/>
      <w:bookmarkStart w:id="1761" w:name="_Toc406984375"/>
      <w:bookmarkStart w:id="1762" w:name="_Toc407069583"/>
      <w:bookmarkStart w:id="1763" w:name="_Toc407081548"/>
      <w:bookmarkStart w:id="1764" w:name="_Toc407083347"/>
      <w:bookmarkStart w:id="1765" w:name="_Toc407084181"/>
      <w:bookmarkStart w:id="1766" w:name="_Toc407085300"/>
      <w:bookmarkStart w:id="1767" w:name="_Toc407085443"/>
      <w:bookmarkStart w:id="1768" w:name="_Toc407085586"/>
      <w:bookmarkStart w:id="1769" w:name="_Toc407086034"/>
      <w:bookmarkStart w:id="1770" w:name="_Toc194476792"/>
      <w:bookmarkStart w:id="1771" w:name="_Toc227760083"/>
      <w:bookmarkStart w:id="1772" w:name="_Toc227825230"/>
      <w:r w:rsidRPr="004853EB">
        <w:rPr>
          <w:rFonts w:eastAsia="Times New Roman" w:cstheme="minorHAnsi"/>
          <w:b/>
          <w:sz w:val="20"/>
          <w:szCs w:val="20"/>
          <w:lang w:eastAsia="pl-PL"/>
        </w:rPr>
        <w:t>9.2. Cena jednostki obmiarowej</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5DFE2AB5"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Cena wykonania 1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koryta obejmuje:</w:t>
      </w:r>
    </w:p>
    <w:p w14:paraId="7AB942DC"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prace pomiarowe i roboty przygotowawcze,</w:t>
      </w:r>
    </w:p>
    <w:p w14:paraId="3046DB59"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odspojenie gruntu z przerzutem na pobocze i rozplantowaniem,</w:t>
      </w:r>
    </w:p>
    <w:p w14:paraId="2959AEB0"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załadunek nadmiaru odspojonego gruntu na środki transportowe i odwiezienie na odkład lub nasyp,</w:t>
      </w:r>
    </w:p>
    <w:p w14:paraId="708F691B"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profilowanie dna koryta lub podłoża,</w:t>
      </w:r>
    </w:p>
    <w:p w14:paraId="48C02279"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zagęszczenie,</w:t>
      </w:r>
    </w:p>
    <w:p w14:paraId="0DF76AEE"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utrzymanie koryta lub podłoża,</w:t>
      </w:r>
    </w:p>
    <w:p w14:paraId="67CDE04F" w14:textId="77777777" w:rsidR="00713454" w:rsidRPr="004853EB" w:rsidRDefault="00713454" w:rsidP="0071345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przeprowadzenie pomiarów i badań laboratoryjnych, wymaganych w specyfikacji technicznej.</w:t>
      </w:r>
    </w:p>
    <w:p w14:paraId="60232B36" w14:textId="77777777" w:rsidR="00713454" w:rsidRPr="004853EB" w:rsidRDefault="00713454" w:rsidP="0071345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773" w:name="_Toc406913868"/>
      <w:bookmarkStart w:id="1774" w:name="_Toc406914113"/>
      <w:bookmarkStart w:id="1775" w:name="_Toc406914767"/>
      <w:bookmarkStart w:id="1776" w:name="_Toc406915345"/>
      <w:bookmarkStart w:id="1777" w:name="_Toc406984038"/>
      <w:bookmarkStart w:id="1778" w:name="_Toc406984185"/>
      <w:bookmarkStart w:id="1779" w:name="_Toc406984376"/>
      <w:bookmarkStart w:id="1780" w:name="_Toc407069584"/>
      <w:bookmarkStart w:id="1781" w:name="_Toc407081549"/>
      <w:bookmarkStart w:id="1782" w:name="_Toc407083348"/>
      <w:bookmarkStart w:id="1783" w:name="_Toc407084182"/>
      <w:bookmarkStart w:id="1784" w:name="_Toc407085301"/>
      <w:bookmarkStart w:id="1785" w:name="_Toc407085444"/>
      <w:bookmarkStart w:id="1786" w:name="_Toc407085587"/>
      <w:bookmarkStart w:id="1787" w:name="_Toc407086035"/>
      <w:bookmarkStart w:id="1788" w:name="_Toc194476793"/>
      <w:bookmarkStart w:id="1789" w:name="_Toc227760084"/>
      <w:bookmarkStart w:id="1790" w:name="_Toc227825231"/>
      <w:r w:rsidRPr="004853EB">
        <w:rPr>
          <w:rFonts w:eastAsia="Times New Roman" w:cstheme="minorHAnsi"/>
          <w:b/>
          <w:caps/>
          <w:kern w:val="28"/>
          <w:sz w:val="20"/>
          <w:szCs w:val="20"/>
          <w:lang w:eastAsia="pl-PL"/>
        </w:rPr>
        <w:t>10. przepisy związane</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403DA1C4" w14:textId="77777777" w:rsidR="00713454" w:rsidRPr="004853EB" w:rsidRDefault="00713454" w:rsidP="0071345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791" w:name="_Toc406913869"/>
      <w:bookmarkStart w:id="1792" w:name="_Toc406914114"/>
      <w:bookmarkStart w:id="1793" w:name="_Toc406914768"/>
      <w:bookmarkStart w:id="1794" w:name="_Toc406915346"/>
      <w:bookmarkStart w:id="1795" w:name="_Toc406984039"/>
      <w:bookmarkStart w:id="1796" w:name="_Toc406984186"/>
      <w:bookmarkStart w:id="1797" w:name="_Toc406984377"/>
      <w:bookmarkStart w:id="1798" w:name="_Toc407069585"/>
      <w:bookmarkStart w:id="1799" w:name="_Toc407081550"/>
      <w:bookmarkStart w:id="1800" w:name="_Toc407083349"/>
      <w:bookmarkStart w:id="1801" w:name="_Toc407084183"/>
      <w:bookmarkStart w:id="1802" w:name="_Toc407085302"/>
      <w:bookmarkStart w:id="1803" w:name="_Toc407085445"/>
      <w:bookmarkStart w:id="1804" w:name="_Toc407085588"/>
      <w:bookmarkStart w:id="1805" w:name="_Toc407086036"/>
      <w:bookmarkStart w:id="1806" w:name="_Toc194476794"/>
      <w:bookmarkStart w:id="1807" w:name="_Toc227760085"/>
      <w:bookmarkStart w:id="1808" w:name="_Toc227825232"/>
      <w:r w:rsidRPr="004853EB">
        <w:rPr>
          <w:rFonts w:eastAsia="Times New Roman" w:cstheme="minorHAnsi"/>
          <w:b/>
          <w:sz w:val="20"/>
          <w:szCs w:val="20"/>
          <w:lang w:eastAsia="pl-PL"/>
        </w:rPr>
        <w:t>Normy</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tbl>
      <w:tblPr>
        <w:tblW w:w="0" w:type="auto"/>
        <w:tblLayout w:type="fixed"/>
        <w:tblCellMar>
          <w:left w:w="70" w:type="dxa"/>
          <w:right w:w="70" w:type="dxa"/>
        </w:tblCellMar>
        <w:tblLook w:val="0000" w:firstRow="0" w:lastRow="0" w:firstColumn="0" w:lastColumn="0" w:noHBand="0" w:noVBand="0"/>
      </w:tblPr>
      <w:tblGrid>
        <w:gridCol w:w="496"/>
        <w:gridCol w:w="1701"/>
        <w:gridCol w:w="6945"/>
      </w:tblGrid>
      <w:tr w:rsidR="00713454" w:rsidRPr="004853EB" w14:paraId="13F8A775" w14:textId="77777777" w:rsidTr="00713454">
        <w:tc>
          <w:tcPr>
            <w:tcW w:w="496" w:type="dxa"/>
          </w:tcPr>
          <w:p w14:paraId="1773AC4E"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1701" w:type="dxa"/>
          </w:tcPr>
          <w:p w14:paraId="4BA5E67B"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PN-B-04481</w:t>
            </w:r>
          </w:p>
        </w:tc>
        <w:tc>
          <w:tcPr>
            <w:tcW w:w="6945" w:type="dxa"/>
          </w:tcPr>
          <w:p w14:paraId="3687D4BA"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Grunty budowlane. Badania próbek gruntu</w:t>
            </w:r>
          </w:p>
        </w:tc>
      </w:tr>
      <w:tr w:rsidR="00713454" w:rsidRPr="004853EB" w14:paraId="2625B14F" w14:textId="77777777" w:rsidTr="00713454">
        <w:tc>
          <w:tcPr>
            <w:tcW w:w="496" w:type="dxa"/>
          </w:tcPr>
          <w:p w14:paraId="453CFCB5"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1701" w:type="dxa"/>
          </w:tcPr>
          <w:p w14:paraId="4FB7975A"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PN-/B-06714-17</w:t>
            </w:r>
          </w:p>
        </w:tc>
        <w:tc>
          <w:tcPr>
            <w:tcW w:w="6945" w:type="dxa"/>
          </w:tcPr>
          <w:p w14:paraId="51362B3D"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Kruszywa mineralne. Badania. Oznaczanie wilgotności</w:t>
            </w:r>
          </w:p>
        </w:tc>
      </w:tr>
      <w:tr w:rsidR="00713454" w:rsidRPr="004853EB" w14:paraId="0B7878C6" w14:textId="77777777" w:rsidTr="00713454">
        <w:tc>
          <w:tcPr>
            <w:tcW w:w="496" w:type="dxa"/>
          </w:tcPr>
          <w:p w14:paraId="0F0FD7A1"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1701" w:type="dxa"/>
          </w:tcPr>
          <w:p w14:paraId="6DCFEA3E"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BN-64/8931-02</w:t>
            </w:r>
          </w:p>
        </w:tc>
        <w:tc>
          <w:tcPr>
            <w:tcW w:w="6945" w:type="dxa"/>
          </w:tcPr>
          <w:p w14:paraId="5C5A338C" w14:textId="7F28A251"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Drogi samochodowe. Oznaczanie modułu odkształcenia nawierzchni podatnych </w:t>
            </w:r>
            <w:r w:rsidR="00B67D8D">
              <w:rPr>
                <w:rFonts w:eastAsia="Times New Roman" w:cstheme="minorHAnsi"/>
                <w:sz w:val="20"/>
                <w:szCs w:val="20"/>
                <w:lang w:eastAsia="pl-PL"/>
              </w:rPr>
              <w:br/>
            </w:r>
            <w:r w:rsidRPr="004853EB">
              <w:rPr>
                <w:rFonts w:eastAsia="Times New Roman" w:cstheme="minorHAnsi"/>
                <w:sz w:val="20"/>
                <w:szCs w:val="20"/>
                <w:lang w:eastAsia="pl-PL"/>
              </w:rPr>
              <w:t>i podłoża przez obciążenie płytą</w:t>
            </w:r>
          </w:p>
        </w:tc>
      </w:tr>
      <w:tr w:rsidR="00713454" w:rsidRPr="004853EB" w14:paraId="0E229C02" w14:textId="77777777" w:rsidTr="00713454">
        <w:tc>
          <w:tcPr>
            <w:tcW w:w="496" w:type="dxa"/>
          </w:tcPr>
          <w:p w14:paraId="27BE0186"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4.</w:t>
            </w:r>
          </w:p>
        </w:tc>
        <w:tc>
          <w:tcPr>
            <w:tcW w:w="1701" w:type="dxa"/>
          </w:tcPr>
          <w:p w14:paraId="3F4D30FF"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BN-68/8931-04</w:t>
            </w:r>
          </w:p>
        </w:tc>
        <w:tc>
          <w:tcPr>
            <w:tcW w:w="6945" w:type="dxa"/>
          </w:tcPr>
          <w:p w14:paraId="0F5D6CC6"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Drogi samochodowe. Pomiar równości nawierzchni </w:t>
            </w:r>
            <w:proofErr w:type="spellStart"/>
            <w:r w:rsidRPr="004853EB">
              <w:rPr>
                <w:rFonts w:eastAsia="Times New Roman" w:cstheme="minorHAnsi"/>
                <w:sz w:val="20"/>
                <w:szCs w:val="20"/>
                <w:lang w:eastAsia="pl-PL"/>
              </w:rPr>
              <w:t>planografem</w:t>
            </w:r>
            <w:proofErr w:type="spellEnd"/>
            <w:r w:rsidRPr="004853EB">
              <w:rPr>
                <w:rFonts w:eastAsia="Times New Roman" w:cstheme="minorHAnsi"/>
                <w:sz w:val="20"/>
                <w:szCs w:val="20"/>
                <w:lang w:eastAsia="pl-PL"/>
              </w:rPr>
              <w:t xml:space="preserve"> i łatą</w:t>
            </w:r>
          </w:p>
        </w:tc>
      </w:tr>
      <w:tr w:rsidR="00713454" w:rsidRPr="004853EB" w14:paraId="2D22C18F" w14:textId="77777777" w:rsidTr="00713454">
        <w:tc>
          <w:tcPr>
            <w:tcW w:w="496" w:type="dxa"/>
          </w:tcPr>
          <w:p w14:paraId="60C7B56B" w14:textId="77777777" w:rsidR="00713454" w:rsidRPr="004853EB" w:rsidRDefault="00713454" w:rsidP="0071345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c>
          <w:tcPr>
            <w:tcW w:w="1701" w:type="dxa"/>
          </w:tcPr>
          <w:p w14:paraId="6887A8A7"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BN-77/8931-12</w:t>
            </w:r>
          </w:p>
        </w:tc>
        <w:tc>
          <w:tcPr>
            <w:tcW w:w="6945" w:type="dxa"/>
          </w:tcPr>
          <w:p w14:paraId="375E0641"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Oznaczanie wskaźnika zagęszczenia gruntu</w:t>
            </w:r>
          </w:p>
        </w:tc>
      </w:tr>
    </w:tbl>
    <w:p w14:paraId="29684B8A"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2126B6A4"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65396C52" w14:textId="77777777" w:rsidR="00713454" w:rsidRPr="004853EB" w:rsidRDefault="00713454" w:rsidP="0071345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66FD6F36" w14:textId="77777777" w:rsidR="00713454" w:rsidRPr="004853EB" w:rsidRDefault="00713454">
      <w:pPr>
        <w:rPr>
          <w:rFonts w:cstheme="minorHAnsi"/>
        </w:rPr>
      </w:pPr>
    </w:p>
    <w:p w14:paraId="23A05A43" w14:textId="77777777" w:rsidR="00713454" w:rsidRPr="004853EB" w:rsidRDefault="00713454">
      <w:pPr>
        <w:rPr>
          <w:rFonts w:cstheme="minorHAnsi"/>
        </w:rPr>
      </w:pPr>
    </w:p>
    <w:p w14:paraId="59B3888A" w14:textId="77777777" w:rsidR="00713454" w:rsidRPr="004853EB" w:rsidRDefault="00713454">
      <w:pPr>
        <w:rPr>
          <w:rFonts w:cstheme="minorHAnsi"/>
        </w:rPr>
      </w:pPr>
    </w:p>
    <w:p w14:paraId="578A0BEB"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65F824E3"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7BAC1597"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13C54F19"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137834B2"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058A5680"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27252B11"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57F1F85A"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78D171FA"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160E897F"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46BD8269"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6F40D59A"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254F5E85"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70E9EB9B"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59008A99"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04D20200"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07A37B7E"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25C53ACF"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1A6DED38"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063244E7"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518A174D"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39ACC674"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3446360B"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04941F0A"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41776A58"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1D379626"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78880405"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150F3A51"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043CEAB4"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3004B47D"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3F8CE29F"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1ADEC4FB"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6F379524"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42617C9D"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30F67AAA"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7ACC873F"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136D84A2"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6B86015B"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0EEEFD58"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0179C10F"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36F016BF"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33A55D01"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69EDB678" w14:textId="77777777" w:rsidR="00CC1EF4" w:rsidRPr="004853EB" w:rsidRDefault="00CC1EF4" w:rsidP="003A11E0">
      <w:pPr>
        <w:pStyle w:val="Nagwek1"/>
        <w:rPr>
          <w:rFonts w:asciiTheme="minorHAnsi" w:hAnsiTheme="minorHAnsi" w:cstheme="minorHAnsi"/>
          <w:sz w:val="22"/>
          <w:szCs w:val="22"/>
        </w:rPr>
      </w:pPr>
      <w:bookmarkStart w:id="1809" w:name="_Toc227825233"/>
      <w:r w:rsidRPr="004853EB">
        <w:rPr>
          <w:rFonts w:asciiTheme="minorHAnsi" w:hAnsiTheme="minorHAnsi" w:cstheme="minorHAnsi"/>
          <w:sz w:val="22"/>
          <w:szCs w:val="22"/>
        </w:rPr>
        <w:lastRenderedPageBreak/>
        <w:t>D</w:t>
      </w:r>
      <w:r w:rsidR="003A11E0" w:rsidRPr="004853EB">
        <w:rPr>
          <w:rFonts w:asciiTheme="minorHAnsi" w:hAnsiTheme="minorHAnsi" w:cstheme="minorHAnsi"/>
          <w:sz w:val="22"/>
          <w:szCs w:val="22"/>
        </w:rPr>
        <w:t xml:space="preserve"> </w:t>
      </w:r>
      <w:r w:rsidRPr="004853EB">
        <w:rPr>
          <w:rFonts w:asciiTheme="minorHAnsi" w:hAnsiTheme="minorHAnsi" w:cstheme="minorHAnsi"/>
          <w:sz w:val="22"/>
          <w:szCs w:val="22"/>
        </w:rPr>
        <w:t>-</w:t>
      </w:r>
      <w:r w:rsidR="003A11E0" w:rsidRPr="004853EB">
        <w:rPr>
          <w:rFonts w:asciiTheme="minorHAnsi" w:hAnsiTheme="minorHAnsi" w:cstheme="minorHAnsi"/>
          <w:sz w:val="22"/>
          <w:szCs w:val="22"/>
        </w:rPr>
        <w:t xml:space="preserve"> </w:t>
      </w:r>
      <w:r w:rsidRPr="004853EB">
        <w:rPr>
          <w:rFonts w:asciiTheme="minorHAnsi" w:hAnsiTheme="minorHAnsi" w:cstheme="minorHAnsi"/>
          <w:sz w:val="22"/>
          <w:szCs w:val="22"/>
        </w:rPr>
        <w:t>04.02.01 WARSTWY ULEPSZONEGO PODŁOŻA PEŁNIĄCE ROLĘ WARSTWY ODSĄCZAJĄCEJ</w:t>
      </w:r>
      <w:bookmarkEnd w:id="1809"/>
    </w:p>
    <w:p w14:paraId="5F7E01E4"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810" w:name="_Toc406913871"/>
      <w:bookmarkStart w:id="1811" w:name="_Toc406914116"/>
      <w:bookmarkStart w:id="1812" w:name="_Toc406914770"/>
      <w:bookmarkStart w:id="1813" w:name="_Toc406914873"/>
      <w:bookmarkStart w:id="1814" w:name="_Toc406915348"/>
      <w:bookmarkStart w:id="1815" w:name="_Toc406984041"/>
      <w:bookmarkStart w:id="1816" w:name="_Toc406984188"/>
      <w:bookmarkStart w:id="1817" w:name="_Toc406984379"/>
      <w:bookmarkStart w:id="1818" w:name="_Toc407069587"/>
      <w:bookmarkStart w:id="1819" w:name="_Toc407081552"/>
      <w:bookmarkStart w:id="1820" w:name="_Toc407081695"/>
      <w:bookmarkStart w:id="1821" w:name="_Toc407083351"/>
      <w:bookmarkStart w:id="1822" w:name="_Toc407084185"/>
      <w:bookmarkStart w:id="1823" w:name="_Toc407085304"/>
      <w:bookmarkStart w:id="1824" w:name="_Toc407085447"/>
      <w:bookmarkStart w:id="1825" w:name="_Toc407085590"/>
      <w:bookmarkStart w:id="1826" w:name="_Toc407086038"/>
      <w:bookmarkStart w:id="1827" w:name="_Toc194476796"/>
      <w:bookmarkStart w:id="1828" w:name="_Toc227760087"/>
      <w:bookmarkStart w:id="1829" w:name="_Toc227825234"/>
      <w:r w:rsidRPr="004853EB">
        <w:rPr>
          <w:rFonts w:eastAsia="Times New Roman" w:cstheme="minorHAnsi"/>
          <w:b/>
          <w:caps/>
          <w:kern w:val="28"/>
          <w:sz w:val="20"/>
          <w:szCs w:val="20"/>
          <w:lang w:eastAsia="pl-PL"/>
        </w:rPr>
        <w:t>1. WSTĘP</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001B820A"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830" w:name="_Toc406913872"/>
      <w:bookmarkStart w:id="1831" w:name="_Toc406914117"/>
      <w:bookmarkStart w:id="1832" w:name="_Toc406914771"/>
      <w:bookmarkStart w:id="1833" w:name="_Toc406914874"/>
      <w:bookmarkStart w:id="1834" w:name="_Toc406915349"/>
      <w:bookmarkStart w:id="1835" w:name="_Toc406984042"/>
      <w:bookmarkStart w:id="1836" w:name="_Toc406984189"/>
      <w:bookmarkStart w:id="1837" w:name="_Toc406984380"/>
      <w:bookmarkStart w:id="1838" w:name="_Toc407069588"/>
      <w:bookmarkStart w:id="1839" w:name="_Toc407081553"/>
      <w:bookmarkStart w:id="1840" w:name="_Toc407081696"/>
      <w:bookmarkStart w:id="1841" w:name="_Toc407083352"/>
      <w:bookmarkStart w:id="1842" w:name="_Toc407084186"/>
      <w:bookmarkStart w:id="1843" w:name="_Toc407085305"/>
      <w:bookmarkStart w:id="1844" w:name="_Toc407085448"/>
      <w:bookmarkStart w:id="1845" w:name="_Toc407085591"/>
      <w:bookmarkStart w:id="1846" w:name="_Toc407086039"/>
      <w:bookmarkStart w:id="1847" w:name="_Toc194476797"/>
      <w:bookmarkStart w:id="1848" w:name="_Toc227760088"/>
      <w:bookmarkStart w:id="1849" w:name="_Toc227825235"/>
      <w:r w:rsidRPr="004853EB">
        <w:rPr>
          <w:rFonts w:eastAsia="Times New Roman" w:cstheme="minorHAnsi"/>
          <w:b/>
          <w:sz w:val="20"/>
          <w:szCs w:val="20"/>
          <w:lang w:eastAsia="pl-PL"/>
        </w:rPr>
        <w:t>1.1. Przedmiot SST</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3A5876E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r>
      <w:r w:rsidRPr="004853EB">
        <w:rPr>
          <w:rFonts w:eastAsia="Times New Roman" w:cstheme="minorHAnsi"/>
          <w:sz w:val="18"/>
          <w:szCs w:val="20"/>
          <w:lang w:eastAsia="pl-PL"/>
        </w:rPr>
        <w:t xml:space="preserve">Przedmiotem niniejszej szczegółowej specyfikacji technicznej (SST) są wymagania dotyczące wykonania i odbioru robót związanych z wykonaniem </w:t>
      </w:r>
      <w:bookmarkStart w:id="1850" w:name="_Hlk526066327"/>
      <w:r w:rsidRPr="004853EB">
        <w:rPr>
          <w:rFonts w:eastAsia="Times New Roman" w:cstheme="minorHAnsi"/>
          <w:sz w:val="18"/>
          <w:szCs w:val="20"/>
          <w:lang w:eastAsia="pl-PL"/>
        </w:rPr>
        <w:t xml:space="preserve">warstw ulepszonego podłoża pełniącej rolę warstwy odsączającej. </w:t>
      </w:r>
      <w:bookmarkEnd w:id="1850"/>
    </w:p>
    <w:p w14:paraId="6ED72BE7"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851" w:name="_Toc406913873"/>
      <w:bookmarkStart w:id="1852" w:name="_Toc406914118"/>
      <w:bookmarkStart w:id="1853" w:name="_Toc406914772"/>
      <w:bookmarkStart w:id="1854" w:name="_Toc406914875"/>
      <w:bookmarkStart w:id="1855" w:name="_Toc406915350"/>
      <w:bookmarkStart w:id="1856" w:name="_Toc406984043"/>
      <w:bookmarkStart w:id="1857" w:name="_Toc406984190"/>
      <w:bookmarkStart w:id="1858" w:name="_Toc406984381"/>
      <w:bookmarkStart w:id="1859" w:name="_Toc407069589"/>
      <w:bookmarkStart w:id="1860" w:name="_Toc407081554"/>
      <w:bookmarkStart w:id="1861" w:name="_Toc407081697"/>
      <w:bookmarkStart w:id="1862" w:name="_Toc407083353"/>
      <w:bookmarkStart w:id="1863" w:name="_Toc407084187"/>
      <w:bookmarkStart w:id="1864" w:name="_Toc407085306"/>
      <w:bookmarkStart w:id="1865" w:name="_Toc407085449"/>
      <w:bookmarkStart w:id="1866" w:name="_Toc407085592"/>
      <w:bookmarkStart w:id="1867" w:name="_Toc407086040"/>
      <w:bookmarkStart w:id="1868" w:name="_Toc194476798"/>
      <w:bookmarkStart w:id="1869" w:name="_Toc227760089"/>
      <w:bookmarkStart w:id="1870" w:name="_Toc227825236"/>
      <w:r w:rsidRPr="004853EB">
        <w:rPr>
          <w:rFonts w:eastAsia="Times New Roman" w:cstheme="minorHAnsi"/>
          <w:b/>
          <w:sz w:val="20"/>
          <w:szCs w:val="20"/>
          <w:lang w:eastAsia="pl-PL"/>
        </w:rPr>
        <w:t>1.2. Zakres stosowania SST</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4FBC21EC"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Specyfikacja techniczna jest stosowana jako dokument przetargowy i kontraktowy przy zlecaniu i realizacji robót wymienionych w pkt 1.1.</w:t>
      </w:r>
    </w:p>
    <w:p w14:paraId="7F6E2EE0"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871" w:name="_Toc406913874"/>
      <w:bookmarkStart w:id="1872" w:name="_Toc406914119"/>
      <w:bookmarkStart w:id="1873" w:name="_Toc406914773"/>
      <w:bookmarkStart w:id="1874" w:name="_Toc406914876"/>
      <w:bookmarkStart w:id="1875" w:name="_Toc406915351"/>
      <w:bookmarkStart w:id="1876" w:name="_Toc406984044"/>
      <w:bookmarkStart w:id="1877" w:name="_Toc406984191"/>
      <w:bookmarkStart w:id="1878" w:name="_Toc406984382"/>
      <w:bookmarkStart w:id="1879" w:name="_Toc407069590"/>
      <w:bookmarkStart w:id="1880" w:name="_Toc407081555"/>
      <w:bookmarkStart w:id="1881" w:name="_Toc407081698"/>
      <w:bookmarkStart w:id="1882" w:name="_Toc407083354"/>
      <w:bookmarkStart w:id="1883" w:name="_Toc407084188"/>
      <w:bookmarkStart w:id="1884" w:name="_Toc407085307"/>
      <w:bookmarkStart w:id="1885" w:name="_Toc407085450"/>
      <w:bookmarkStart w:id="1886" w:name="_Toc407085593"/>
      <w:bookmarkStart w:id="1887" w:name="_Toc407086041"/>
      <w:bookmarkStart w:id="1888" w:name="_Toc194476799"/>
      <w:bookmarkStart w:id="1889" w:name="_Toc227760090"/>
      <w:bookmarkStart w:id="1890" w:name="_Toc227825237"/>
      <w:r w:rsidRPr="004853EB">
        <w:rPr>
          <w:rFonts w:eastAsia="Times New Roman" w:cstheme="minorHAnsi"/>
          <w:b/>
          <w:sz w:val="20"/>
          <w:szCs w:val="20"/>
          <w:lang w:eastAsia="pl-PL"/>
        </w:rPr>
        <w:t>1.3. Zakres robót objętych SST</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410946E7" w14:textId="69CF74E9"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Ustalenia zawarte w niniejszej specyfikacji związane z </w:t>
      </w:r>
      <w:r w:rsidRPr="004853EB">
        <w:rPr>
          <w:rFonts w:eastAsia="Times New Roman" w:cstheme="minorHAnsi"/>
          <w:b/>
          <w:sz w:val="20"/>
          <w:szCs w:val="20"/>
          <w:lang w:eastAsia="pl-PL"/>
        </w:rPr>
        <w:t xml:space="preserve">Przebudową </w:t>
      </w:r>
      <w:r w:rsidR="00B67D8D" w:rsidRPr="004853EB">
        <w:rPr>
          <w:rFonts w:eastAsia="Times New Roman" w:cstheme="minorHAnsi"/>
          <w:b/>
          <w:sz w:val="20"/>
          <w:szCs w:val="20"/>
          <w:lang w:eastAsia="pl-PL"/>
        </w:rPr>
        <w:t>drogi powiatowej</w:t>
      </w:r>
      <w:r w:rsidRPr="004853EB">
        <w:rPr>
          <w:rFonts w:eastAsia="Times New Roman" w:cstheme="minorHAnsi"/>
          <w:b/>
          <w:sz w:val="20"/>
          <w:szCs w:val="20"/>
          <w:lang w:eastAsia="pl-PL"/>
        </w:rPr>
        <w:t xml:space="preserve"> nr </w:t>
      </w:r>
      <w:r w:rsidR="00386337" w:rsidRPr="00386337">
        <w:rPr>
          <w:rFonts w:eastAsia="Times New Roman" w:cstheme="minorHAnsi"/>
          <w:b/>
          <w:bCs/>
          <w:sz w:val="20"/>
          <w:szCs w:val="20"/>
          <w:lang w:eastAsia="pl-PL"/>
        </w:rPr>
        <w:t>4506W Zwoleń – Sarnów w miejscowości Łuczynów</w:t>
      </w:r>
      <w:r w:rsidR="00386337" w:rsidRPr="00386337">
        <w:rPr>
          <w:rFonts w:eastAsia="Times New Roman" w:cstheme="minorHAnsi"/>
          <w:b/>
          <w:sz w:val="20"/>
          <w:szCs w:val="20"/>
          <w:lang w:eastAsia="pl-PL"/>
        </w:rPr>
        <w:t xml:space="preserve"> </w:t>
      </w:r>
      <w:r w:rsidRPr="004853EB">
        <w:rPr>
          <w:rFonts w:eastAsia="Times New Roman" w:cstheme="minorHAnsi"/>
          <w:sz w:val="20"/>
          <w:szCs w:val="20"/>
          <w:lang w:eastAsia="pl-PL"/>
        </w:rPr>
        <w:t xml:space="preserve">i dotyczą zasad prowadzenia robót związanych z wykonaniem warstw ulepszonego podłoża pełniącej rolę warstwy odsączającej, stanowiących część podbudowy pomocniczej, </w:t>
      </w:r>
      <w:r w:rsidR="00B67D8D">
        <w:rPr>
          <w:rFonts w:eastAsia="Times New Roman" w:cstheme="minorHAnsi"/>
          <w:sz w:val="20"/>
          <w:szCs w:val="20"/>
          <w:lang w:eastAsia="pl-PL"/>
        </w:rPr>
        <w:br/>
      </w:r>
      <w:r w:rsidRPr="004853EB">
        <w:rPr>
          <w:rFonts w:eastAsia="Times New Roman" w:cstheme="minorHAnsi"/>
          <w:sz w:val="20"/>
          <w:szCs w:val="20"/>
          <w:lang w:eastAsia="pl-PL"/>
        </w:rPr>
        <w:t xml:space="preserve">w przypadku, gdy podłoże stanowi grunt wysadzinowy lub wątpliwy, nieulepszony spoiwem lub lepiszczem. </w:t>
      </w:r>
    </w:p>
    <w:p w14:paraId="1BF1EBC1"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891" w:name="_Toc406913875"/>
      <w:bookmarkStart w:id="1892" w:name="_Toc406914120"/>
      <w:bookmarkStart w:id="1893" w:name="_Toc406914774"/>
      <w:bookmarkStart w:id="1894" w:name="_Toc406914877"/>
      <w:bookmarkStart w:id="1895" w:name="_Toc406915352"/>
      <w:bookmarkStart w:id="1896" w:name="_Toc406984045"/>
      <w:bookmarkStart w:id="1897" w:name="_Toc406984192"/>
      <w:bookmarkStart w:id="1898" w:name="_Toc406984383"/>
      <w:bookmarkStart w:id="1899" w:name="_Toc407069591"/>
      <w:bookmarkStart w:id="1900" w:name="_Toc407081556"/>
      <w:bookmarkStart w:id="1901" w:name="_Toc407081699"/>
      <w:bookmarkStart w:id="1902" w:name="_Toc407083355"/>
      <w:bookmarkStart w:id="1903" w:name="_Toc407084189"/>
      <w:bookmarkStart w:id="1904" w:name="_Toc407085308"/>
      <w:bookmarkStart w:id="1905" w:name="_Toc407085451"/>
      <w:bookmarkStart w:id="1906" w:name="_Toc407085594"/>
      <w:bookmarkStart w:id="1907" w:name="_Toc407086042"/>
      <w:bookmarkStart w:id="1908" w:name="_Toc194476800"/>
      <w:bookmarkStart w:id="1909" w:name="_Toc227760091"/>
      <w:bookmarkStart w:id="1910" w:name="_Toc227825238"/>
      <w:r w:rsidRPr="004853EB">
        <w:rPr>
          <w:rFonts w:eastAsia="Times New Roman" w:cstheme="minorHAnsi"/>
          <w:b/>
          <w:sz w:val="20"/>
          <w:szCs w:val="20"/>
          <w:lang w:eastAsia="pl-PL"/>
        </w:rPr>
        <w:t>1.4. Określenia podstawowe</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2AEE0AC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Określenia podstawowe są zgodne z obowiązującymi, odpowiednimi polskimi normami i z określeniami podanymi w SST D-00.00.00 „Wymagania ogólne” pkt 1.4.</w:t>
      </w:r>
    </w:p>
    <w:p w14:paraId="09214373"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911" w:name="_Toc406913876"/>
      <w:bookmarkStart w:id="1912" w:name="_Toc406914121"/>
      <w:bookmarkStart w:id="1913" w:name="_Toc406914775"/>
      <w:bookmarkStart w:id="1914" w:name="_Toc406914878"/>
      <w:bookmarkStart w:id="1915" w:name="_Toc406915353"/>
      <w:bookmarkStart w:id="1916" w:name="_Toc406984046"/>
      <w:bookmarkStart w:id="1917" w:name="_Toc406984193"/>
      <w:bookmarkStart w:id="1918" w:name="_Toc406984384"/>
      <w:bookmarkStart w:id="1919" w:name="_Toc407069592"/>
      <w:bookmarkStart w:id="1920" w:name="_Toc407081557"/>
      <w:bookmarkStart w:id="1921" w:name="_Toc407081700"/>
      <w:bookmarkStart w:id="1922" w:name="_Toc407083356"/>
      <w:bookmarkStart w:id="1923" w:name="_Toc407084190"/>
      <w:bookmarkStart w:id="1924" w:name="_Toc407085309"/>
      <w:bookmarkStart w:id="1925" w:name="_Toc407085452"/>
      <w:bookmarkStart w:id="1926" w:name="_Toc407085595"/>
      <w:bookmarkStart w:id="1927" w:name="_Toc407086043"/>
      <w:bookmarkStart w:id="1928" w:name="_Toc194476801"/>
      <w:bookmarkStart w:id="1929" w:name="_Toc227760092"/>
      <w:bookmarkStart w:id="1930" w:name="_Toc227825239"/>
      <w:r w:rsidRPr="004853EB">
        <w:rPr>
          <w:rFonts w:eastAsia="Times New Roman" w:cstheme="minorHAnsi"/>
          <w:b/>
          <w:sz w:val="20"/>
          <w:szCs w:val="20"/>
          <w:lang w:eastAsia="pl-PL"/>
        </w:rPr>
        <w:t>1.5. Ogólne wymagania dotyczące robót</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5C25589C"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robót podano w SST D-00.00.00 „Wymagania ogólne” pkt 1.5.</w:t>
      </w:r>
    </w:p>
    <w:p w14:paraId="1FC53D9A"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1931" w:name="_Toc406913877"/>
      <w:bookmarkStart w:id="1932" w:name="_Toc406914122"/>
      <w:bookmarkStart w:id="1933" w:name="_Toc406914776"/>
      <w:bookmarkStart w:id="1934" w:name="_Toc406914879"/>
      <w:bookmarkStart w:id="1935" w:name="_Toc406915354"/>
      <w:bookmarkStart w:id="1936" w:name="_Toc406984047"/>
      <w:bookmarkStart w:id="1937" w:name="_Toc406984194"/>
      <w:bookmarkStart w:id="1938" w:name="_Toc406984385"/>
      <w:bookmarkStart w:id="1939" w:name="_Toc407069593"/>
      <w:bookmarkStart w:id="1940" w:name="_Toc407081558"/>
      <w:bookmarkStart w:id="1941" w:name="_Toc407081701"/>
      <w:bookmarkStart w:id="1942" w:name="_Toc407083357"/>
      <w:bookmarkStart w:id="1943" w:name="_Toc407084191"/>
      <w:bookmarkStart w:id="1944" w:name="_Toc407085310"/>
      <w:bookmarkStart w:id="1945" w:name="_Toc407085453"/>
      <w:bookmarkStart w:id="1946" w:name="_Toc407085596"/>
      <w:bookmarkStart w:id="1947" w:name="_Toc407086044"/>
      <w:bookmarkStart w:id="1948" w:name="_Toc194476802"/>
      <w:bookmarkStart w:id="1949" w:name="_Toc227760093"/>
      <w:bookmarkStart w:id="1950" w:name="_Toc227825240"/>
      <w:r w:rsidRPr="004853EB">
        <w:rPr>
          <w:rFonts w:eastAsia="Times New Roman" w:cstheme="minorHAnsi"/>
          <w:b/>
          <w:caps/>
          <w:kern w:val="28"/>
          <w:sz w:val="20"/>
          <w:szCs w:val="20"/>
          <w:lang w:eastAsia="pl-PL"/>
        </w:rPr>
        <w:t>2. materiały</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6CD90A1E"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951" w:name="_Toc406913878"/>
      <w:bookmarkStart w:id="1952" w:name="_Toc406914123"/>
      <w:bookmarkStart w:id="1953" w:name="_Toc406914777"/>
      <w:bookmarkStart w:id="1954" w:name="_Toc406914880"/>
      <w:bookmarkStart w:id="1955" w:name="_Toc406915355"/>
      <w:bookmarkStart w:id="1956" w:name="_Toc406984048"/>
      <w:bookmarkStart w:id="1957" w:name="_Toc406984195"/>
      <w:bookmarkStart w:id="1958" w:name="_Toc406984386"/>
      <w:bookmarkStart w:id="1959" w:name="_Toc407069594"/>
      <w:bookmarkStart w:id="1960" w:name="_Toc407081559"/>
      <w:bookmarkStart w:id="1961" w:name="_Toc407081702"/>
      <w:bookmarkStart w:id="1962" w:name="_Toc407083358"/>
      <w:bookmarkStart w:id="1963" w:name="_Toc407084192"/>
      <w:bookmarkStart w:id="1964" w:name="_Toc407085311"/>
      <w:bookmarkStart w:id="1965" w:name="_Toc407085454"/>
      <w:bookmarkStart w:id="1966" w:name="_Toc407085597"/>
      <w:bookmarkStart w:id="1967" w:name="_Toc407086045"/>
      <w:bookmarkStart w:id="1968" w:name="_Toc194476803"/>
      <w:bookmarkStart w:id="1969" w:name="_Toc227760094"/>
      <w:bookmarkStart w:id="1970" w:name="_Toc227825241"/>
      <w:r w:rsidRPr="004853EB">
        <w:rPr>
          <w:rFonts w:eastAsia="Times New Roman" w:cstheme="minorHAnsi"/>
          <w:b/>
          <w:sz w:val="20"/>
          <w:szCs w:val="20"/>
          <w:lang w:eastAsia="pl-PL"/>
        </w:rPr>
        <w:t>2.1. Ogólne wymagania dotyczące materiałów</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5D66248C"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materiałów, ich pozyskiwania i składowania, podano w SST D-00.00.00 „Wymagania ogólne” pkt 2.</w:t>
      </w:r>
    </w:p>
    <w:p w14:paraId="3294EE3F"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971" w:name="_Toc406913879"/>
      <w:bookmarkStart w:id="1972" w:name="_Toc406914124"/>
      <w:bookmarkStart w:id="1973" w:name="_Toc406914778"/>
      <w:bookmarkStart w:id="1974" w:name="_Toc406914881"/>
      <w:bookmarkStart w:id="1975" w:name="_Toc406915356"/>
      <w:bookmarkStart w:id="1976" w:name="_Toc406984049"/>
      <w:bookmarkStart w:id="1977" w:name="_Toc406984196"/>
      <w:bookmarkStart w:id="1978" w:name="_Toc406984387"/>
      <w:bookmarkStart w:id="1979" w:name="_Toc407069595"/>
      <w:bookmarkStart w:id="1980" w:name="_Toc407081560"/>
      <w:bookmarkStart w:id="1981" w:name="_Toc407081703"/>
      <w:bookmarkStart w:id="1982" w:name="_Toc407083359"/>
      <w:bookmarkStart w:id="1983" w:name="_Toc407084193"/>
      <w:bookmarkStart w:id="1984" w:name="_Toc407085312"/>
      <w:bookmarkStart w:id="1985" w:name="_Toc407085455"/>
      <w:bookmarkStart w:id="1986" w:name="_Toc407085598"/>
      <w:bookmarkStart w:id="1987" w:name="_Toc407086046"/>
      <w:bookmarkStart w:id="1988" w:name="_Toc194476804"/>
      <w:bookmarkStart w:id="1989" w:name="_Toc227760095"/>
      <w:bookmarkStart w:id="1990" w:name="_Toc227825242"/>
      <w:r w:rsidRPr="004853EB">
        <w:rPr>
          <w:rFonts w:eastAsia="Times New Roman" w:cstheme="minorHAnsi"/>
          <w:b/>
          <w:sz w:val="20"/>
          <w:szCs w:val="20"/>
          <w:lang w:eastAsia="pl-PL"/>
        </w:rPr>
        <w:t>2.2. Rodzaje materiałów</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1684A322"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Materiałami stosowanymi przy wykonywaniu </w:t>
      </w:r>
      <w:r w:rsidRPr="004853EB">
        <w:rPr>
          <w:rFonts w:eastAsia="Times New Roman" w:cstheme="minorHAnsi"/>
          <w:sz w:val="18"/>
          <w:szCs w:val="20"/>
          <w:lang w:eastAsia="pl-PL"/>
        </w:rPr>
        <w:t xml:space="preserve">warstw ulepszonego podłoża pełniącej rolę warstwy odsączającej </w:t>
      </w:r>
      <w:r w:rsidRPr="004853EB">
        <w:rPr>
          <w:rFonts w:eastAsia="Times New Roman" w:cstheme="minorHAnsi"/>
          <w:sz w:val="20"/>
          <w:szCs w:val="20"/>
          <w:lang w:eastAsia="pl-PL"/>
        </w:rPr>
        <w:t>są:</w:t>
      </w:r>
    </w:p>
    <w:p w14:paraId="79730453"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Piaski o CBR ≥20,</w:t>
      </w:r>
    </w:p>
    <w:p w14:paraId="4C79CE1A"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1991" w:name="_Toc406913880"/>
      <w:bookmarkStart w:id="1992" w:name="_Toc406914125"/>
      <w:bookmarkStart w:id="1993" w:name="_Toc406914779"/>
      <w:bookmarkStart w:id="1994" w:name="_Toc406914882"/>
      <w:bookmarkStart w:id="1995" w:name="_Toc406915357"/>
      <w:bookmarkStart w:id="1996" w:name="_Toc406984050"/>
      <w:bookmarkStart w:id="1997" w:name="_Toc406984197"/>
      <w:bookmarkStart w:id="1998" w:name="_Toc406984388"/>
      <w:bookmarkStart w:id="1999" w:name="_Toc407069596"/>
      <w:bookmarkStart w:id="2000" w:name="_Toc407081561"/>
      <w:bookmarkStart w:id="2001" w:name="_Toc407081704"/>
      <w:bookmarkStart w:id="2002" w:name="_Toc407083360"/>
      <w:bookmarkStart w:id="2003" w:name="_Toc407084194"/>
      <w:bookmarkStart w:id="2004" w:name="_Toc407085313"/>
      <w:bookmarkStart w:id="2005" w:name="_Toc407085456"/>
      <w:bookmarkStart w:id="2006" w:name="_Toc407085599"/>
      <w:bookmarkStart w:id="2007" w:name="_Toc407086047"/>
      <w:bookmarkStart w:id="2008" w:name="_Toc194476805"/>
      <w:bookmarkStart w:id="2009" w:name="_Toc227760096"/>
      <w:bookmarkStart w:id="2010" w:name="_Toc227825243"/>
      <w:r w:rsidRPr="004853EB">
        <w:rPr>
          <w:rFonts w:eastAsia="Times New Roman" w:cstheme="minorHAnsi"/>
          <w:b/>
          <w:sz w:val="20"/>
          <w:szCs w:val="20"/>
          <w:lang w:eastAsia="pl-PL"/>
        </w:rPr>
        <w:t>2.3. Wymagania dla kruszywa</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77E48F4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Kruszywa do wykonania warstw ulepszonego podłoża pełniącej rolę warstwy odsączającej powinny spełniać następujące warunki:</w:t>
      </w:r>
    </w:p>
    <w:p w14:paraId="1659ED8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 szczelności, określony zależnością:</w:t>
      </w:r>
    </w:p>
    <w:p w14:paraId="12FA9117"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position w:val="-20"/>
          <w:sz w:val="20"/>
          <w:szCs w:val="20"/>
          <w:lang w:eastAsia="pl-PL"/>
        </w:rPr>
        <w:object w:dxaOrig="740" w:dyaOrig="600" w14:anchorId="62B99FE1">
          <v:shape id="_x0000_i1028" type="#_x0000_t75" style="width:36.75pt;height:30pt" o:ole="">
            <v:imagedata r:id="rId17" o:title=""/>
          </v:shape>
          <o:OLEObject Type="Embed" ProgID="Equation.2" ShapeID="_x0000_i1028" DrawAspect="Content" ObjectID="_1838867251" r:id="rId18"/>
        </w:object>
      </w:r>
    </w:p>
    <w:p w14:paraId="319CDD8C"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gdzie:</w:t>
      </w:r>
    </w:p>
    <w:p w14:paraId="69EC148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i/>
          <w:sz w:val="20"/>
          <w:szCs w:val="20"/>
          <w:lang w:eastAsia="pl-PL"/>
        </w:rPr>
        <w:t>D</w:t>
      </w:r>
      <w:r w:rsidRPr="004853EB">
        <w:rPr>
          <w:rFonts w:eastAsia="Times New Roman" w:cstheme="minorHAnsi"/>
          <w:sz w:val="20"/>
          <w:szCs w:val="20"/>
          <w:vertAlign w:val="subscript"/>
          <w:lang w:eastAsia="pl-PL"/>
        </w:rPr>
        <w:t>15</w:t>
      </w:r>
      <w:r w:rsidRPr="004853EB">
        <w:rPr>
          <w:rFonts w:eastAsia="Times New Roman" w:cstheme="minorHAnsi"/>
          <w:sz w:val="20"/>
          <w:szCs w:val="20"/>
          <w:lang w:eastAsia="pl-PL"/>
        </w:rPr>
        <w:t xml:space="preserve"> - wymiar sita, przez które przechodzi 15% ziarn warstwy odcinającej ulepszonego podłoża pełniącej rolę warstwy odsączającej </w:t>
      </w:r>
    </w:p>
    <w:p w14:paraId="20DD7D7B" w14:textId="3A869B2B"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i/>
          <w:sz w:val="20"/>
          <w:szCs w:val="20"/>
          <w:lang w:eastAsia="pl-PL"/>
        </w:rPr>
        <w:t>d</w:t>
      </w:r>
      <w:r w:rsidRPr="004853EB">
        <w:rPr>
          <w:rFonts w:eastAsia="Times New Roman" w:cstheme="minorHAnsi"/>
          <w:sz w:val="20"/>
          <w:szCs w:val="20"/>
          <w:vertAlign w:val="subscript"/>
          <w:lang w:eastAsia="pl-PL"/>
        </w:rPr>
        <w:t xml:space="preserve">85 </w:t>
      </w:r>
      <w:r w:rsidRPr="004853EB">
        <w:rPr>
          <w:rFonts w:eastAsia="Times New Roman" w:cstheme="minorHAnsi"/>
          <w:sz w:val="20"/>
          <w:szCs w:val="20"/>
          <w:lang w:eastAsia="pl-PL"/>
        </w:rPr>
        <w:t>- wymiar sita, przez które przechodzi 85% ziarn gruntu podłoża.</w:t>
      </w:r>
    </w:p>
    <w:p w14:paraId="6C238EC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Dla materiałów stosowanych przy wykonywaniu warstw ulepszonego podłoża pełniącej rolę warstwy odsączającej warunek szczelności musi być spełniony, gdy warstwa ta nie jest układana na warstwie odcinającej.</w:t>
      </w:r>
    </w:p>
    <w:p w14:paraId="2B286F5C"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 zagęszczalności, określony zależnością:</w:t>
      </w:r>
    </w:p>
    <w:p w14:paraId="4944EFF7"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position w:val="-26"/>
          <w:sz w:val="20"/>
          <w:szCs w:val="20"/>
          <w:lang w:eastAsia="pl-PL"/>
        </w:rPr>
        <w:object w:dxaOrig="1100" w:dyaOrig="680" w14:anchorId="0637740D">
          <v:shape id="_x0000_i1029" type="#_x0000_t75" style="width:54.75pt;height:33.75pt" o:ole="">
            <v:imagedata r:id="rId19" o:title=""/>
          </v:shape>
          <o:OLEObject Type="Embed" ProgID="Equation.2" ShapeID="_x0000_i1029" DrawAspect="Content" ObjectID="_1838867252" r:id="rId20"/>
        </w:object>
      </w:r>
    </w:p>
    <w:p w14:paraId="74B6C4D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gdzie:</w:t>
      </w:r>
    </w:p>
    <w:p w14:paraId="22AB9FA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i/>
          <w:sz w:val="20"/>
          <w:szCs w:val="20"/>
          <w:lang w:eastAsia="pl-PL"/>
        </w:rPr>
        <w:t>U</w:t>
      </w:r>
      <w:r w:rsidRPr="004853EB">
        <w:rPr>
          <w:rFonts w:eastAsia="Times New Roman" w:cstheme="minorHAnsi"/>
          <w:sz w:val="20"/>
          <w:szCs w:val="20"/>
          <w:lang w:eastAsia="pl-PL"/>
        </w:rPr>
        <w:t xml:space="preserve"> - wskaźnik różnoziarnistości,</w:t>
      </w:r>
    </w:p>
    <w:p w14:paraId="2D1911F4" w14:textId="77777777" w:rsidR="00CC1EF4" w:rsidRPr="004853EB" w:rsidRDefault="00CC1EF4" w:rsidP="00CC1EF4">
      <w:pPr>
        <w:overflowPunct w:val="0"/>
        <w:autoSpaceDE w:val="0"/>
        <w:autoSpaceDN w:val="0"/>
        <w:adjustRightInd w:val="0"/>
        <w:spacing w:after="0" w:line="240" w:lineRule="auto"/>
        <w:ind w:left="851" w:hanging="851"/>
        <w:jc w:val="both"/>
        <w:textAlignment w:val="baseline"/>
        <w:rPr>
          <w:rFonts w:eastAsia="Times New Roman" w:cstheme="minorHAnsi"/>
          <w:sz w:val="20"/>
          <w:szCs w:val="20"/>
          <w:lang w:eastAsia="pl-PL"/>
        </w:rPr>
      </w:pPr>
      <w:r w:rsidRPr="004853EB">
        <w:rPr>
          <w:rFonts w:eastAsia="Times New Roman" w:cstheme="minorHAnsi"/>
          <w:i/>
          <w:sz w:val="20"/>
          <w:szCs w:val="20"/>
          <w:lang w:eastAsia="pl-PL"/>
        </w:rPr>
        <w:t>d</w:t>
      </w:r>
      <w:r w:rsidRPr="004853EB">
        <w:rPr>
          <w:rFonts w:eastAsia="Times New Roman" w:cstheme="minorHAnsi"/>
          <w:sz w:val="20"/>
          <w:szCs w:val="20"/>
          <w:vertAlign w:val="subscript"/>
          <w:lang w:eastAsia="pl-PL"/>
        </w:rPr>
        <w:t>60</w:t>
      </w:r>
      <w:r w:rsidRPr="004853EB">
        <w:rPr>
          <w:rFonts w:eastAsia="Times New Roman" w:cstheme="minorHAnsi"/>
          <w:sz w:val="20"/>
          <w:szCs w:val="20"/>
          <w:lang w:eastAsia="pl-PL"/>
        </w:rPr>
        <w:t xml:space="preserve"> - wymiar sita, przez które przechodzi 60% kruszywa tworzącego warstwę odcinającą,</w:t>
      </w:r>
    </w:p>
    <w:p w14:paraId="35D28546" w14:textId="77777777" w:rsidR="00CC1EF4" w:rsidRPr="004853EB" w:rsidRDefault="00CC1EF4" w:rsidP="00CC1EF4">
      <w:pPr>
        <w:overflowPunct w:val="0"/>
        <w:autoSpaceDE w:val="0"/>
        <w:autoSpaceDN w:val="0"/>
        <w:adjustRightInd w:val="0"/>
        <w:spacing w:after="0" w:line="240" w:lineRule="auto"/>
        <w:ind w:left="426" w:hanging="426"/>
        <w:jc w:val="both"/>
        <w:textAlignment w:val="baseline"/>
        <w:rPr>
          <w:rFonts w:eastAsia="Times New Roman" w:cstheme="minorHAnsi"/>
          <w:sz w:val="20"/>
          <w:szCs w:val="20"/>
          <w:lang w:eastAsia="pl-PL"/>
        </w:rPr>
      </w:pPr>
      <w:r w:rsidRPr="004853EB">
        <w:rPr>
          <w:rFonts w:eastAsia="Times New Roman" w:cstheme="minorHAnsi"/>
          <w:i/>
          <w:sz w:val="20"/>
          <w:szCs w:val="20"/>
          <w:lang w:eastAsia="pl-PL"/>
        </w:rPr>
        <w:t>d</w:t>
      </w:r>
      <w:r w:rsidRPr="004853EB">
        <w:rPr>
          <w:rFonts w:eastAsia="Times New Roman" w:cstheme="minorHAnsi"/>
          <w:sz w:val="20"/>
          <w:szCs w:val="20"/>
          <w:vertAlign w:val="subscript"/>
          <w:lang w:eastAsia="pl-PL"/>
        </w:rPr>
        <w:t>10</w:t>
      </w:r>
      <w:r w:rsidRPr="004853EB">
        <w:rPr>
          <w:rFonts w:eastAsia="Times New Roman" w:cstheme="minorHAnsi"/>
          <w:sz w:val="20"/>
          <w:szCs w:val="20"/>
          <w:lang w:eastAsia="pl-PL"/>
        </w:rPr>
        <w:t xml:space="preserve"> - wymiar sita, przez które przechodzi 10% kruszywa tworzącego warstwę odcinającą.</w:t>
      </w:r>
    </w:p>
    <w:p w14:paraId="684F9AC8" w14:textId="77777777" w:rsidR="00CC1EF4" w:rsidRPr="004853EB" w:rsidRDefault="00CC1EF4" w:rsidP="00CC1EF4">
      <w:pPr>
        <w:tabs>
          <w:tab w:val="left" w:pos="0"/>
        </w:tabs>
        <w:overflowPunct w:val="0"/>
        <w:autoSpaceDE w:val="0"/>
        <w:autoSpaceDN w:val="0"/>
        <w:adjustRightInd w:val="0"/>
        <w:spacing w:after="0" w:line="240" w:lineRule="auto"/>
        <w:ind w:hanging="426"/>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r>
      <w:r w:rsidRPr="004853EB">
        <w:rPr>
          <w:rFonts w:eastAsia="Times New Roman" w:cstheme="minorHAnsi"/>
          <w:sz w:val="20"/>
          <w:szCs w:val="20"/>
          <w:lang w:eastAsia="pl-PL"/>
        </w:rPr>
        <w:tab/>
        <w:t>Piasek stosowany do wykonywania warstw odsączających i odcinających powinien spełniać wymagania normy PN-B-11113 [5] dla gatunku 1 i 2.</w:t>
      </w:r>
    </w:p>
    <w:p w14:paraId="50F1C804"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011" w:name="_Toc406913882"/>
      <w:bookmarkStart w:id="2012" w:name="_Toc406914127"/>
      <w:bookmarkStart w:id="2013" w:name="_Toc406914781"/>
      <w:bookmarkStart w:id="2014" w:name="_Toc406914884"/>
      <w:bookmarkStart w:id="2015" w:name="_Toc406915359"/>
      <w:bookmarkStart w:id="2016" w:name="_Toc406984052"/>
      <w:bookmarkStart w:id="2017" w:name="_Toc406984199"/>
      <w:bookmarkStart w:id="2018" w:name="_Toc406984390"/>
      <w:bookmarkStart w:id="2019" w:name="_Toc407069598"/>
      <w:bookmarkStart w:id="2020" w:name="_Toc407081563"/>
      <w:bookmarkStart w:id="2021" w:name="_Toc407081706"/>
      <w:bookmarkStart w:id="2022" w:name="_Toc407083362"/>
      <w:bookmarkStart w:id="2023" w:name="_Toc407084196"/>
      <w:bookmarkStart w:id="2024" w:name="_Toc407085315"/>
      <w:bookmarkStart w:id="2025" w:name="_Toc407085458"/>
      <w:bookmarkStart w:id="2026" w:name="_Toc407085601"/>
      <w:bookmarkStart w:id="2027" w:name="_Toc407086049"/>
      <w:bookmarkStart w:id="2028" w:name="_Toc194476806"/>
      <w:bookmarkStart w:id="2029" w:name="_Toc227760097"/>
      <w:bookmarkStart w:id="2030" w:name="_Toc227825244"/>
      <w:r w:rsidRPr="004853EB">
        <w:rPr>
          <w:rFonts w:eastAsia="Times New Roman" w:cstheme="minorHAnsi"/>
          <w:b/>
          <w:sz w:val="20"/>
          <w:szCs w:val="20"/>
          <w:lang w:eastAsia="pl-PL"/>
        </w:rPr>
        <w:t>2.5. Składowanie materiałów</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669327BA" w14:textId="77777777" w:rsidR="00CC1EF4" w:rsidRPr="004853EB" w:rsidRDefault="00CC1EF4" w:rsidP="00CC1EF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2.5.1. </w:t>
      </w:r>
      <w:r w:rsidRPr="004853EB">
        <w:rPr>
          <w:rFonts w:eastAsia="Times New Roman" w:cstheme="minorHAnsi"/>
          <w:sz w:val="20"/>
          <w:szCs w:val="20"/>
          <w:lang w:eastAsia="pl-PL"/>
        </w:rPr>
        <w:t>Składowanie kruszywa</w:t>
      </w:r>
    </w:p>
    <w:p w14:paraId="36680873" w14:textId="58FB8328"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Jeżeli kruszywo przeznaczone do wykonania warstwy ulepszonego podłoża pełniącej rolę warstwy odsączającej nie jest wbudowane bezpośrednio po dostarczeniu na budowę i zachodzi potrzeba jego okresowego składowania, to Wykonawca robót powinien zabezpieczyć kruszywo przed zanieczyszczeniem i zmieszaniem </w:t>
      </w:r>
      <w:r w:rsidR="00B67D8D">
        <w:rPr>
          <w:rFonts w:eastAsia="Times New Roman" w:cstheme="minorHAnsi"/>
          <w:sz w:val="20"/>
          <w:szCs w:val="20"/>
          <w:lang w:eastAsia="pl-PL"/>
        </w:rPr>
        <w:br/>
      </w:r>
      <w:r w:rsidRPr="004853EB">
        <w:rPr>
          <w:rFonts w:eastAsia="Times New Roman" w:cstheme="minorHAnsi"/>
          <w:sz w:val="20"/>
          <w:szCs w:val="20"/>
          <w:lang w:eastAsia="pl-PL"/>
        </w:rPr>
        <w:t>z innymi materiałami kamiennymi. Podłoże w miejscu składowania powinno być równe, utwardzone i dobrze odwodnione.</w:t>
      </w:r>
    </w:p>
    <w:p w14:paraId="5019039C"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031" w:name="_Toc406913883"/>
      <w:bookmarkStart w:id="2032" w:name="_Toc406914128"/>
      <w:bookmarkStart w:id="2033" w:name="_Toc406914782"/>
      <w:bookmarkStart w:id="2034" w:name="_Toc406914885"/>
      <w:bookmarkStart w:id="2035" w:name="_Toc406915360"/>
      <w:bookmarkStart w:id="2036" w:name="_Toc406984053"/>
      <w:bookmarkStart w:id="2037" w:name="_Toc406984200"/>
      <w:bookmarkStart w:id="2038" w:name="_Toc406984391"/>
      <w:bookmarkStart w:id="2039" w:name="_Toc407069599"/>
      <w:bookmarkStart w:id="2040" w:name="_Toc407081564"/>
      <w:bookmarkStart w:id="2041" w:name="_Toc407081707"/>
      <w:bookmarkStart w:id="2042" w:name="_Toc407083363"/>
      <w:bookmarkStart w:id="2043" w:name="_Toc407084197"/>
      <w:bookmarkStart w:id="2044" w:name="_Toc407085316"/>
      <w:bookmarkStart w:id="2045" w:name="_Toc407085459"/>
      <w:bookmarkStart w:id="2046" w:name="_Toc407085602"/>
      <w:bookmarkStart w:id="2047" w:name="_Toc407086050"/>
      <w:bookmarkStart w:id="2048" w:name="_Toc194476807"/>
      <w:bookmarkStart w:id="2049" w:name="_Toc227760098"/>
      <w:bookmarkStart w:id="2050" w:name="_Toc227825245"/>
      <w:r w:rsidRPr="004853EB">
        <w:rPr>
          <w:rFonts w:eastAsia="Times New Roman" w:cstheme="minorHAnsi"/>
          <w:b/>
          <w:caps/>
          <w:kern w:val="28"/>
          <w:sz w:val="20"/>
          <w:szCs w:val="20"/>
          <w:lang w:eastAsia="pl-PL"/>
        </w:rPr>
        <w:t>3. sprzęt</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6AAC5DB9"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051" w:name="_Toc406913884"/>
      <w:bookmarkStart w:id="2052" w:name="_Toc406914129"/>
      <w:bookmarkStart w:id="2053" w:name="_Toc406914783"/>
      <w:bookmarkStart w:id="2054" w:name="_Toc406914886"/>
      <w:bookmarkStart w:id="2055" w:name="_Toc406915361"/>
      <w:bookmarkStart w:id="2056" w:name="_Toc406984054"/>
      <w:bookmarkStart w:id="2057" w:name="_Toc406984201"/>
      <w:bookmarkStart w:id="2058" w:name="_Toc406984392"/>
      <w:bookmarkStart w:id="2059" w:name="_Toc407069600"/>
      <w:bookmarkStart w:id="2060" w:name="_Toc407081565"/>
      <w:bookmarkStart w:id="2061" w:name="_Toc407081708"/>
      <w:bookmarkStart w:id="2062" w:name="_Toc407083364"/>
      <w:bookmarkStart w:id="2063" w:name="_Toc407084198"/>
      <w:bookmarkStart w:id="2064" w:name="_Toc407085317"/>
      <w:bookmarkStart w:id="2065" w:name="_Toc407085460"/>
      <w:bookmarkStart w:id="2066" w:name="_Toc407085603"/>
      <w:bookmarkStart w:id="2067" w:name="_Toc407086051"/>
      <w:bookmarkStart w:id="2068" w:name="_Toc194476808"/>
      <w:bookmarkStart w:id="2069" w:name="_Toc227760099"/>
      <w:bookmarkStart w:id="2070" w:name="_Toc227825246"/>
      <w:r w:rsidRPr="004853EB">
        <w:rPr>
          <w:rFonts w:eastAsia="Times New Roman" w:cstheme="minorHAnsi"/>
          <w:b/>
          <w:sz w:val="20"/>
          <w:szCs w:val="20"/>
          <w:lang w:eastAsia="pl-PL"/>
        </w:rPr>
        <w:t>3.1. Ogólne wymagania dotyczące sprzętu</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71946B2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sprzętu podano w SST D-00.00.00 „Wymagania ogólne” pkt 3.</w:t>
      </w:r>
    </w:p>
    <w:p w14:paraId="65E0AFE8"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071" w:name="_Toc406913885"/>
      <w:bookmarkStart w:id="2072" w:name="_Toc406914130"/>
      <w:bookmarkStart w:id="2073" w:name="_Toc406914784"/>
      <w:bookmarkStart w:id="2074" w:name="_Toc406914887"/>
      <w:bookmarkStart w:id="2075" w:name="_Toc406915362"/>
      <w:bookmarkStart w:id="2076" w:name="_Toc406984055"/>
      <w:bookmarkStart w:id="2077" w:name="_Toc406984202"/>
      <w:bookmarkStart w:id="2078" w:name="_Toc406984393"/>
      <w:bookmarkStart w:id="2079" w:name="_Toc407069601"/>
      <w:bookmarkStart w:id="2080" w:name="_Toc407081566"/>
      <w:bookmarkStart w:id="2081" w:name="_Toc407081709"/>
      <w:bookmarkStart w:id="2082" w:name="_Toc407083365"/>
      <w:bookmarkStart w:id="2083" w:name="_Toc407084199"/>
      <w:bookmarkStart w:id="2084" w:name="_Toc407085318"/>
      <w:bookmarkStart w:id="2085" w:name="_Toc407085461"/>
      <w:bookmarkStart w:id="2086" w:name="_Toc407085604"/>
      <w:bookmarkStart w:id="2087" w:name="_Toc407086052"/>
      <w:bookmarkStart w:id="2088" w:name="_Toc194476809"/>
      <w:bookmarkStart w:id="2089" w:name="_Toc227760100"/>
      <w:bookmarkStart w:id="2090" w:name="_Toc227825247"/>
      <w:r w:rsidRPr="004853EB">
        <w:rPr>
          <w:rFonts w:eastAsia="Times New Roman" w:cstheme="minorHAnsi"/>
          <w:b/>
          <w:sz w:val="20"/>
          <w:szCs w:val="20"/>
          <w:lang w:eastAsia="pl-PL"/>
        </w:rPr>
        <w:t>3.2. Sprzęt do wykonania robót</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77C93C3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przystępujący do wykonania warstwy ulepszonego podłoża pełniącej rolę warstwy odsączającej powinien wykazać się możliwością korzystania z następującego sprzętu:</w:t>
      </w:r>
    </w:p>
    <w:p w14:paraId="7E17B0C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równiarek,</w:t>
      </w:r>
    </w:p>
    <w:p w14:paraId="6DE6392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walców statycznych,</w:t>
      </w:r>
    </w:p>
    <w:p w14:paraId="342C870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płyt wibracyjnych lub ubijaków mechanicznych.</w:t>
      </w:r>
    </w:p>
    <w:p w14:paraId="2B451859"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091" w:name="_Toc406913886"/>
      <w:bookmarkStart w:id="2092" w:name="_Toc406914131"/>
      <w:bookmarkStart w:id="2093" w:name="_Toc406914785"/>
      <w:bookmarkStart w:id="2094" w:name="_Toc406914888"/>
      <w:bookmarkStart w:id="2095" w:name="_Toc406915363"/>
      <w:bookmarkStart w:id="2096" w:name="_Toc406984056"/>
      <w:bookmarkStart w:id="2097" w:name="_Toc406984203"/>
      <w:bookmarkStart w:id="2098" w:name="_Toc406984394"/>
      <w:bookmarkStart w:id="2099" w:name="_Toc407069602"/>
      <w:bookmarkStart w:id="2100" w:name="_Toc407081567"/>
      <w:bookmarkStart w:id="2101" w:name="_Toc407081710"/>
      <w:bookmarkStart w:id="2102" w:name="_Toc407083366"/>
      <w:bookmarkStart w:id="2103" w:name="_Toc407084200"/>
      <w:bookmarkStart w:id="2104" w:name="_Toc407085319"/>
      <w:bookmarkStart w:id="2105" w:name="_Toc407085462"/>
      <w:bookmarkStart w:id="2106" w:name="_Toc407085605"/>
      <w:bookmarkStart w:id="2107" w:name="_Toc407086053"/>
      <w:bookmarkStart w:id="2108" w:name="_Toc194476810"/>
      <w:bookmarkStart w:id="2109" w:name="_Toc227760101"/>
      <w:bookmarkStart w:id="2110" w:name="_Toc227825248"/>
      <w:r w:rsidRPr="004853EB">
        <w:rPr>
          <w:rFonts w:eastAsia="Times New Roman" w:cstheme="minorHAnsi"/>
          <w:b/>
          <w:caps/>
          <w:kern w:val="28"/>
          <w:sz w:val="20"/>
          <w:szCs w:val="20"/>
          <w:lang w:eastAsia="pl-PL"/>
        </w:rPr>
        <w:t>4. transport</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14C3CB07"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111" w:name="_Toc406913887"/>
      <w:bookmarkStart w:id="2112" w:name="_Toc406914132"/>
      <w:bookmarkStart w:id="2113" w:name="_Toc406914786"/>
      <w:bookmarkStart w:id="2114" w:name="_Toc406914889"/>
      <w:bookmarkStart w:id="2115" w:name="_Toc406915364"/>
      <w:bookmarkStart w:id="2116" w:name="_Toc406984057"/>
      <w:bookmarkStart w:id="2117" w:name="_Toc406984204"/>
      <w:bookmarkStart w:id="2118" w:name="_Toc406984395"/>
      <w:bookmarkStart w:id="2119" w:name="_Toc407069603"/>
      <w:bookmarkStart w:id="2120" w:name="_Toc407081568"/>
      <w:bookmarkStart w:id="2121" w:name="_Toc407081711"/>
      <w:bookmarkStart w:id="2122" w:name="_Toc407083367"/>
      <w:bookmarkStart w:id="2123" w:name="_Toc407084201"/>
      <w:bookmarkStart w:id="2124" w:name="_Toc407085320"/>
      <w:bookmarkStart w:id="2125" w:name="_Toc407085463"/>
      <w:bookmarkStart w:id="2126" w:name="_Toc407085606"/>
      <w:bookmarkStart w:id="2127" w:name="_Toc407086054"/>
      <w:bookmarkStart w:id="2128" w:name="_Toc194476811"/>
      <w:bookmarkStart w:id="2129" w:name="_Toc227760102"/>
      <w:bookmarkStart w:id="2130" w:name="_Toc227825249"/>
      <w:r w:rsidRPr="004853EB">
        <w:rPr>
          <w:rFonts w:eastAsia="Times New Roman" w:cstheme="minorHAnsi"/>
          <w:b/>
          <w:sz w:val="20"/>
          <w:szCs w:val="20"/>
          <w:lang w:eastAsia="pl-PL"/>
        </w:rPr>
        <w:t>4.1. Ogólne wymagania dotyczące transportu</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365083F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transportu podano w SST D-00.00.00 „Wymagania ogólne” pkt 4.</w:t>
      </w:r>
    </w:p>
    <w:p w14:paraId="49E36BF4"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131" w:name="_Toc406913888"/>
      <w:bookmarkStart w:id="2132" w:name="_Toc406914133"/>
      <w:bookmarkStart w:id="2133" w:name="_Toc406914787"/>
      <w:bookmarkStart w:id="2134" w:name="_Toc406914890"/>
      <w:bookmarkStart w:id="2135" w:name="_Toc406915365"/>
      <w:bookmarkStart w:id="2136" w:name="_Toc406984058"/>
      <w:bookmarkStart w:id="2137" w:name="_Toc406984205"/>
      <w:bookmarkStart w:id="2138" w:name="_Toc406984396"/>
      <w:bookmarkStart w:id="2139" w:name="_Toc407069604"/>
      <w:bookmarkStart w:id="2140" w:name="_Toc407081569"/>
      <w:bookmarkStart w:id="2141" w:name="_Toc407081712"/>
      <w:bookmarkStart w:id="2142" w:name="_Toc407083368"/>
      <w:bookmarkStart w:id="2143" w:name="_Toc407084202"/>
      <w:bookmarkStart w:id="2144" w:name="_Toc407085321"/>
      <w:bookmarkStart w:id="2145" w:name="_Toc407085464"/>
      <w:bookmarkStart w:id="2146" w:name="_Toc407085607"/>
      <w:bookmarkStart w:id="2147" w:name="_Toc407086055"/>
      <w:bookmarkStart w:id="2148" w:name="_Toc194476812"/>
      <w:bookmarkStart w:id="2149" w:name="_Toc227760103"/>
      <w:bookmarkStart w:id="2150" w:name="_Toc227825250"/>
      <w:r w:rsidRPr="004853EB">
        <w:rPr>
          <w:rFonts w:eastAsia="Times New Roman" w:cstheme="minorHAnsi"/>
          <w:b/>
          <w:sz w:val="20"/>
          <w:szCs w:val="20"/>
          <w:lang w:eastAsia="pl-PL"/>
        </w:rPr>
        <w:t>4.2. Transport kruszywa</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34B1459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Kruszywa można przewozić dowolnymi środkami transportu w warunkach zabezpieczających je przed zanieczyszczeniem, zmieszaniem z innymi materiałami, nadmiernym wysuszeniem i zawilgoceniem.</w:t>
      </w:r>
    </w:p>
    <w:p w14:paraId="0FC74C15"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151" w:name="_Toc406913890"/>
      <w:bookmarkStart w:id="2152" w:name="_Toc406914135"/>
      <w:bookmarkStart w:id="2153" w:name="_Toc406914789"/>
      <w:bookmarkStart w:id="2154" w:name="_Toc406914892"/>
      <w:bookmarkStart w:id="2155" w:name="_Toc406915367"/>
      <w:bookmarkStart w:id="2156" w:name="_Toc406984060"/>
      <w:bookmarkStart w:id="2157" w:name="_Toc406984207"/>
      <w:bookmarkStart w:id="2158" w:name="_Toc406984398"/>
      <w:bookmarkStart w:id="2159" w:name="_Toc407069606"/>
      <w:bookmarkStart w:id="2160" w:name="_Toc407081571"/>
      <w:bookmarkStart w:id="2161" w:name="_Toc407081714"/>
      <w:bookmarkStart w:id="2162" w:name="_Toc407083370"/>
      <w:bookmarkStart w:id="2163" w:name="_Toc407084204"/>
      <w:bookmarkStart w:id="2164" w:name="_Toc407085323"/>
      <w:bookmarkStart w:id="2165" w:name="_Toc407085466"/>
      <w:bookmarkStart w:id="2166" w:name="_Toc407085609"/>
      <w:bookmarkStart w:id="2167" w:name="_Toc407086057"/>
      <w:bookmarkStart w:id="2168" w:name="_Toc194476813"/>
      <w:bookmarkStart w:id="2169" w:name="_Toc227760104"/>
      <w:bookmarkStart w:id="2170" w:name="_Toc227825251"/>
      <w:r w:rsidRPr="004853EB">
        <w:rPr>
          <w:rFonts w:eastAsia="Times New Roman" w:cstheme="minorHAnsi"/>
          <w:b/>
          <w:caps/>
          <w:kern w:val="28"/>
          <w:sz w:val="20"/>
          <w:szCs w:val="20"/>
          <w:lang w:eastAsia="pl-PL"/>
        </w:rPr>
        <w:t>5. wykonanie robót</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6BBE8B22"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171" w:name="_Toc406913891"/>
      <w:bookmarkStart w:id="2172" w:name="_Toc406914136"/>
      <w:bookmarkStart w:id="2173" w:name="_Toc406914790"/>
      <w:bookmarkStart w:id="2174" w:name="_Toc406914893"/>
      <w:bookmarkStart w:id="2175" w:name="_Toc406915368"/>
      <w:bookmarkStart w:id="2176" w:name="_Toc406984061"/>
      <w:bookmarkStart w:id="2177" w:name="_Toc406984208"/>
      <w:bookmarkStart w:id="2178" w:name="_Toc406984399"/>
      <w:bookmarkStart w:id="2179" w:name="_Toc407069607"/>
      <w:bookmarkStart w:id="2180" w:name="_Toc407081572"/>
      <w:bookmarkStart w:id="2181" w:name="_Toc407081715"/>
      <w:bookmarkStart w:id="2182" w:name="_Toc407083371"/>
      <w:bookmarkStart w:id="2183" w:name="_Toc407084205"/>
      <w:bookmarkStart w:id="2184" w:name="_Toc407085324"/>
      <w:bookmarkStart w:id="2185" w:name="_Toc407085467"/>
      <w:bookmarkStart w:id="2186" w:name="_Toc407085610"/>
      <w:bookmarkStart w:id="2187" w:name="_Toc407086058"/>
      <w:bookmarkStart w:id="2188" w:name="_Toc194476814"/>
      <w:bookmarkStart w:id="2189" w:name="_Toc227760105"/>
      <w:bookmarkStart w:id="2190" w:name="_Toc227825252"/>
      <w:r w:rsidRPr="004853EB">
        <w:rPr>
          <w:rFonts w:eastAsia="Times New Roman" w:cstheme="minorHAnsi"/>
          <w:b/>
          <w:sz w:val="20"/>
          <w:szCs w:val="20"/>
          <w:lang w:eastAsia="pl-PL"/>
        </w:rPr>
        <w:t>5.1. Ogólne zasady wykonania robót</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07EC787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wykonania robót podano w SST D-00.00.00 „Wymagania ogólne” pkt 5.</w:t>
      </w:r>
    </w:p>
    <w:p w14:paraId="15D609EE"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191" w:name="_Toc406913892"/>
      <w:bookmarkStart w:id="2192" w:name="_Toc406914137"/>
      <w:bookmarkStart w:id="2193" w:name="_Toc406914791"/>
      <w:bookmarkStart w:id="2194" w:name="_Toc406914894"/>
      <w:bookmarkStart w:id="2195" w:name="_Toc406915369"/>
      <w:bookmarkStart w:id="2196" w:name="_Toc406984062"/>
      <w:bookmarkStart w:id="2197" w:name="_Toc406984209"/>
      <w:bookmarkStart w:id="2198" w:name="_Toc406984400"/>
      <w:bookmarkStart w:id="2199" w:name="_Toc407069608"/>
      <w:bookmarkStart w:id="2200" w:name="_Toc407081573"/>
      <w:bookmarkStart w:id="2201" w:name="_Toc407081716"/>
      <w:bookmarkStart w:id="2202" w:name="_Toc407083372"/>
      <w:bookmarkStart w:id="2203" w:name="_Toc407084206"/>
      <w:bookmarkStart w:id="2204" w:name="_Toc407085325"/>
      <w:bookmarkStart w:id="2205" w:name="_Toc407085468"/>
      <w:bookmarkStart w:id="2206" w:name="_Toc407085611"/>
      <w:bookmarkStart w:id="2207" w:name="_Toc407086059"/>
      <w:bookmarkStart w:id="2208" w:name="_Toc194476815"/>
      <w:bookmarkStart w:id="2209" w:name="_Toc227760106"/>
      <w:bookmarkStart w:id="2210" w:name="_Toc227825253"/>
      <w:r w:rsidRPr="004853EB">
        <w:rPr>
          <w:rFonts w:eastAsia="Times New Roman" w:cstheme="minorHAnsi"/>
          <w:b/>
          <w:sz w:val="20"/>
          <w:szCs w:val="20"/>
          <w:lang w:eastAsia="pl-PL"/>
        </w:rPr>
        <w:t>5.2. Przygotowanie podłoża</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4F47B8B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Podłoże gruntowe powinno spełniać wymagania określone w SST D-02.00.00 „Roboty ziemne” oraz D-04.01.01 „Koryto wraz z profilowaniem i zagęszczaniem podłoża”.</w:t>
      </w:r>
    </w:p>
    <w:p w14:paraId="0D871D3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Warstwy ulepszonego podłoża pełniącej rolę warstwy odsączającej powinny być wytyczone w sposób umożliwiający wykonanie ich zgodnie z dokumentacją projektową, z tolerancjami określonymi w niniejszych specyfikacjach.</w:t>
      </w:r>
    </w:p>
    <w:p w14:paraId="1379097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Paliki lub szpilki powinny być ustawione w osi drogi i w rzędach równoległych do osi drogi, lub w inny sposób zaakceptowany przez Inżyniera.</w:t>
      </w:r>
    </w:p>
    <w:p w14:paraId="256E154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Rozmieszczenie palików lub szpilek powinno umożliwiać naciągnięcie sznurków lub linek do wytyczenia robót w odstępach nie większych niż co 10 m.</w:t>
      </w:r>
    </w:p>
    <w:p w14:paraId="0B33B504"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211" w:name="_Toc406913893"/>
      <w:bookmarkStart w:id="2212" w:name="_Toc406914138"/>
      <w:bookmarkStart w:id="2213" w:name="_Toc406914792"/>
      <w:bookmarkStart w:id="2214" w:name="_Toc406914895"/>
      <w:bookmarkStart w:id="2215" w:name="_Toc406915370"/>
      <w:bookmarkStart w:id="2216" w:name="_Toc406984063"/>
      <w:bookmarkStart w:id="2217" w:name="_Toc406984210"/>
      <w:bookmarkStart w:id="2218" w:name="_Toc406984401"/>
      <w:bookmarkStart w:id="2219" w:name="_Toc407069609"/>
      <w:bookmarkStart w:id="2220" w:name="_Toc407081574"/>
      <w:bookmarkStart w:id="2221" w:name="_Toc407081717"/>
      <w:bookmarkStart w:id="2222" w:name="_Toc407083373"/>
      <w:bookmarkStart w:id="2223" w:name="_Toc407084207"/>
      <w:bookmarkStart w:id="2224" w:name="_Toc407085326"/>
      <w:bookmarkStart w:id="2225" w:name="_Toc407085469"/>
      <w:bookmarkStart w:id="2226" w:name="_Toc407085612"/>
      <w:bookmarkStart w:id="2227" w:name="_Toc407086060"/>
      <w:bookmarkStart w:id="2228" w:name="_Toc194476816"/>
      <w:bookmarkStart w:id="2229" w:name="_Toc227760107"/>
      <w:bookmarkStart w:id="2230" w:name="_Toc227825254"/>
      <w:r w:rsidRPr="004853EB">
        <w:rPr>
          <w:rFonts w:eastAsia="Times New Roman" w:cstheme="minorHAnsi"/>
          <w:b/>
          <w:sz w:val="20"/>
          <w:szCs w:val="20"/>
          <w:lang w:eastAsia="pl-PL"/>
        </w:rPr>
        <w:t>5.3. Wbudowanie i zagęszczanie kruszywa</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59B41AF7" w14:textId="43E37AC2"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Kruszywo powinno być rozkładane w warstwie o jednakowej grubości, przy użyciu równiarki, </w:t>
      </w:r>
      <w:r w:rsidR="00B67D8D">
        <w:rPr>
          <w:rFonts w:eastAsia="Times New Roman" w:cstheme="minorHAnsi"/>
          <w:sz w:val="20"/>
          <w:szCs w:val="20"/>
          <w:lang w:eastAsia="pl-PL"/>
        </w:rPr>
        <w:br/>
      </w:r>
      <w:r w:rsidRPr="004853EB">
        <w:rPr>
          <w:rFonts w:eastAsia="Times New Roman" w:cstheme="minorHAnsi"/>
          <w:sz w:val="20"/>
          <w:szCs w:val="20"/>
          <w:lang w:eastAsia="pl-PL"/>
        </w:rPr>
        <w:t>z zachowaniem wymaganych spadków i rzędnych wysokościowych. Grubość rozłożonej warstwy luźnego kruszywa powinna być taka, aby po jej zagęszczeniu osiągnięto grubość projektowaną.</w:t>
      </w:r>
    </w:p>
    <w:p w14:paraId="6D7B5EA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Jeżeli dokumentacja projektowa lub SST przewiduje wykonanie warstwy ulepszonego podłoża pełniącej rolę warstwy odsączającej o grubości powyżej 20 cm, to wbudowanie kruszywa należy wykonać dwuwarstwowo. Rozpoczęcie układania każdej następnej warstwy może nastąpić po odbiorze przez Inżyniera warstwy poprzedniej.</w:t>
      </w:r>
    </w:p>
    <w:p w14:paraId="30EA2BB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t>W miejscach, w których widoczna jest segregacja kruszywa należy przed zagęszczeniem wymienić kruszywo na materiał o odpowiednich właściwościach.</w:t>
      </w:r>
    </w:p>
    <w:p w14:paraId="229BF49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Natychmiast po końcowym wyprofilowaniu warstwy ulepszonego podłoża pełniącej rolę warstwy odsączającej należy przystąpić do jej zagęszczania.</w:t>
      </w:r>
    </w:p>
    <w:p w14:paraId="5403B214" w14:textId="08E94D88"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Zagęszczanie warstw o przekroju daszkowym należy rozpoczynać od krawędzi i stopniowo przesuwać pasami podłużnymi częściowo nakładającymi się, w kierunku jej osi. Zagęszczanie nawierzchni o jednostronnym spadku należy rozpoczynać od dolnej krawędzi i przesuwać pasami podłużnymi częściowo nakładającymi się, </w:t>
      </w:r>
      <w:r w:rsidR="00B67D8D">
        <w:rPr>
          <w:rFonts w:eastAsia="Times New Roman" w:cstheme="minorHAnsi"/>
          <w:sz w:val="20"/>
          <w:szCs w:val="20"/>
          <w:lang w:eastAsia="pl-PL"/>
        </w:rPr>
        <w:br/>
      </w:r>
      <w:r w:rsidRPr="004853EB">
        <w:rPr>
          <w:rFonts w:eastAsia="Times New Roman" w:cstheme="minorHAnsi"/>
          <w:sz w:val="20"/>
          <w:szCs w:val="20"/>
          <w:lang w:eastAsia="pl-PL"/>
        </w:rPr>
        <w:t>w kierunku jej górnej krawędzi.</w:t>
      </w:r>
    </w:p>
    <w:p w14:paraId="2CD385F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Nierówności lub zagłębienia powstałe w czasie zagęszczania powinny być wyrównywane na bieżąco przez spulchnienie warstwy kruszywa i dodanie lub usunięcie materiału, aż do otrzymania równej powierzchni.</w:t>
      </w:r>
    </w:p>
    <w:p w14:paraId="49C6AF9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miejscach niedostępnych dla walców warstwa ulepszonego podłoża pełniącej rolę warstwy odsączającej powinna być zagęszczana płytami wibracyjnymi lub ubijakami mechanicznymi.</w:t>
      </w:r>
    </w:p>
    <w:p w14:paraId="664A23E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Zagęszczanie należy kontynuować do osiągnięcia wskaźnika zagęszczenia nie mniejszego od 1,0 według normalnej próby Proctora, przeprowadzonej według PN-B-04481 [1]. Wskaźnik zagęszczenia należy określać zgodnie z BN-77/8931-12 [8].</w:t>
      </w:r>
    </w:p>
    <w:p w14:paraId="4550CAD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przypadku, gdy gruboziarnisty materiał wbudowany w warstwę odsączającą, uniemożliwia przeprowadzenie badania zagęszczenia według normalnej próby Proctora, kontrolę zagęszczenia należy oprzeć na metodzie obciążeń płytowych. Należy określić pierwotny i wtórny moduł odkształcenia warstwy według BN-64/8931-02 [6]. Stosunek wtórnego i pierwotnego modułu odkształcenia nie powinien przekraczać 2,2.</w:t>
      </w:r>
    </w:p>
    <w:p w14:paraId="47822CC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Wilgotność kruszywa podczas zagęszczania powinna być równa wilgotności optymalnej z tolerancją od -20% do +10% jej wartości. W przypadku, gdy wilgotność kruszywa jest wyższa od wilgotności optymalnej, kruszywo należy osuszyć przez mieszanie i napowietrzanie. W przypadku, gdy wilgotność kruszywa jest niższa od wilgotności optymalnej, kruszywo należy zwilżyć określoną ilością wody i równomiernie wymieszać.</w:t>
      </w:r>
    </w:p>
    <w:p w14:paraId="67FC1772"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231" w:name="_Toc406913897"/>
      <w:bookmarkStart w:id="2232" w:name="_Toc406914142"/>
      <w:bookmarkStart w:id="2233" w:name="_Toc406914796"/>
      <w:bookmarkStart w:id="2234" w:name="_Toc406914899"/>
      <w:bookmarkStart w:id="2235" w:name="_Toc406915374"/>
      <w:bookmarkStart w:id="2236" w:name="_Toc406984067"/>
      <w:bookmarkStart w:id="2237" w:name="_Toc406984214"/>
      <w:bookmarkStart w:id="2238" w:name="_Toc406984405"/>
      <w:bookmarkStart w:id="2239" w:name="_Toc407069613"/>
      <w:bookmarkStart w:id="2240" w:name="_Toc407081578"/>
      <w:bookmarkStart w:id="2241" w:name="_Toc407081721"/>
      <w:bookmarkStart w:id="2242" w:name="_Toc407083377"/>
      <w:bookmarkStart w:id="2243" w:name="_Toc407084211"/>
      <w:bookmarkStart w:id="2244" w:name="_Toc407085330"/>
      <w:bookmarkStart w:id="2245" w:name="_Toc407085473"/>
      <w:bookmarkStart w:id="2246" w:name="_Toc407085616"/>
      <w:bookmarkStart w:id="2247" w:name="_Toc407086064"/>
      <w:bookmarkStart w:id="2248" w:name="_Toc194476817"/>
      <w:bookmarkStart w:id="2249" w:name="_Toc227760108"/>
      <w:bookmarkStart w:id="2250" w:name="_Toc227825255"/>
      <w:r w:rsidRPr="004853EB">
        <w:rPr>
          <w:rFonts w:eastAsia="Times New Roman" w:cstheme="minorHAnsi"/>
          <w:b/>
          <w:sz w:val="20"/>
          <w:szCs w:val="20"/>
          <w:lang w:eastAsia="pl-PL"/>
        </w:rPr>
        <w:t xml:space="preserve">5.4. Utrzymanie warstwy </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r w:rsidRPr="004853EB">
        <w:rPr>
          <w:rFonts w:eastAsia="Times New Roman" w:cstheme="minorHAnsi"/>
          <w:b/>
          <w:sz w:val="20"/>
          <w:szCs w:val="20"/>
          <w:lang w:eastAsia="pl-PL"/>
        </w:rPr>
        <w:t>ulepszonego podłoża pełniącej rolę warstwy odsączającej</w:t>
      </w:r>
      <w:bookmarkEnd w:id="2248"/>
      <w:bookmarkEnd w:id="2249"/>
      <w:bookmarkEnd w:id="2250"/>
    </w:p>
    <w:p w14:paraId="4D1C4BC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Warstwa ulepszonego podłoża pełniącej rolę warstwy odsączającej po wykonaniu, a przed ułożeniem następnej warstwy powinny być utrzymywane w dobrym stanie.</w:t>
      </w:r>
    </w:p>
    <w:p w14:paraId="5192EEB3" w14:textId="77777777" w:rsidR="00CC1EF4" w:rsidRPr="004853EB" w:rsidRDefault="00CC1EF4" w:rsidP="00CC1EF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Koszt napraw wynikłych z niewłaściwego utrzymania warstwy obciąża Wykonawcę robót.</w:t>
      </w:r>
    </w:p>
    <w:p w14:paraId="0CDC1CBA"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251" w:name="_Toc406913898"/>
      <w:bookmarkStart w:id="2252" w:name="_Toc406914143"/>
      <w:bookmarkStart w:id="2253" w:name="_Toc406914797"/>
      <w:bookmarkStart w:id="2254" w:name="_Toc406914900"/>
      <w:bookmarkStart w:id="2255" w:name="_Toc406915375"/>
      <w:bookmarkStart w:id="2256" w:name="_Toc406984068"/>
      <w:bookmarkStart w:id="2257" w:name="_Toc406984215"/>
      <w:bookmarkStart w:id="2258" w:name="_Toc406984406"/>
      <w:bookmarkStart w:id="2259" w:name="_Toc407069614"/>
      <w:bookmarkStart w:id="2260" w:name="_Toc407081579"/>
      <w:bookmarkStart w:id="2261" w:name="_Toc407081722"/>
      <w:bookmarkStart w:id="2262" w:name="_Toc407083378"/>
      <w:bookmarkStart w:id="2263" w:name="_Toc407084212"/>
      <w:bookmarkStart w:id="2264" w:name="_Toc407085331"/>
      <w:bookmarkStart w:id="2265" w:name="_Toc407085474"/>
      <w:bookmarkStart w:id="2266" w:name="_Toc407085617"/>
      <w:bookmarkStart w:id="2267" w:name="_Toc407086065"/>
      <w:bookmarkStart w:id="2268" w:name="_Toc194476818"/>
      <w:bookmarkStart w:id="2269" w:name="_Toc227760109"/>
      <w:bookmarkStart w:id="2270" w:name="_Toc227825256"/>
      <w:r w:rsidRPr="004853EB">
        <w:rPr>
          <w:rFonts w:eastAsia="Times New Roman" w:cstheme="minorHAnsi"/>
          <w:b/>
          <w:caps/>
          <w:kern w:val="28"/>
          <w:sz w:val="20"/>
          <w:szCs w:val="20"/>
          <w:lang w:eastAsia="pl-PL"/>
        </w:rPr>
        <w:t>6. kontrola jakości robót</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7346BAEC"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271" w:name="_Toc406913899"/>
      <w:bookmarkStart w:id="2272" w:name="_Toc406914144"/>
      <w:bookmarkStart w:id="2273" w:name="_Toc406914798"/>
      <w:bookmarkStart w:id="2274" w:name="_Toc406914901"/>
      <w:bookmarkStart w:id="2275" w:name="_Toc406915376"/>
      <w:bookmarkStart w:id="2276" w:name="_Toc406984069"/>
      <w:bookmarkStart w:id="2277" w:name="_Toc406984216"/>
      <w:bookmarkStart w:id="2278" w:name="_Toc406984407"/>
      <w:bookmarkStart w:id="2279" w:name="_Toc407069615"/>
      <w:bookmarkStart w:id="2280" w:name="_Toc407081580"/>
      <w:bookmarkStart w:id="2281" w:name="_Toc407081723"/>
      <w:bookmarkStart w:id="2282" w:name="_Toc407083379"/>
      <w:bookmarkStart w:id="2283" w:name="_Toc407084213"/>
      <w:bookmarkStart w:id="2284" w:name="_Toc407085332"/>
      <w:bookmarkStart w:id="2285" w:name="_Toc407085475"/>
      <w:bookmarkStart w:id="2286" w:name="_Toc407085618"/>
      <w:bookmarkStart w:id="2287" w:name="_Toc407086066"/>
      <w:bookmarkStart w:id="2288" w:name="_Toc194476819"/>
      <w:bookmarkStart w:id="2289" w:name="_Toc227760110"/>
      <w:bookmarkStart w:id="2290" w:name="_Toc227825257"/>
      <w:r w:rsidRPr="004853EB">
        <w:rPr>
          <w:rFonts w:eastAsia="Times New Roman" w:cstheme="minorHAnsi"/>
          <w:b/>
          <w:sz w:val="20"/>
          <w:szCs w:val="20"/>
          <w:lang w:eastAsia="pl-PL"/>
        </w:rPr>
        <w:t>6.1. Ogólne zasady kontroli jakości robót</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7B7DE82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kontroli jakości robót podano w SST D-00.00.00 „Wymagania ogólne” pkt 6.</w:t>
      </w:r>
    </w:p>
    <w:p w14:paraId="283FA963"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291" w:name="_Toc406913900"/>
      <w:bookmarkStart w:id="2292" w:name="_Toc406914145"/>
      <w:bookmarkStart w:id="2293" w:name="_Toc406914799"/>
      <w:bookmarkStart w:id="2294" w:name="_Toc406914902"/>
      <w:bookmarkStart w:id="2295" w:name="_Toc406915377"/>
      <w:bookmarkStart w:id="2296" w:name="_Toc406984070"/>
      <w:bookmarkStart w:id="2297" w:name="_Toc406984217"/>
      <w:bookmarkStart w:id="2298" w:name="_Toc406984408"/>
      <w:bookmarkStart w:id="2299" w:name="_Toc407069616"/>
      <w:bookmarkStart w:id="2300" w:name="_Toc407081581"/>
      <w:bookmarkStart w:id="2301" w:name="_Toc407081724"/>
      <w:bookmarkStart w:id="2302" w:name="_Toc407083380"/>
      <w:bookmarkStart w:id="2303" w:name="_Toc407084214"/>
      <w:bookmarkStart w:id="2304" w:name="_Toc407085333"/>
      <w:bookmarkStart w:id="2305" w:name="_Toc407085476"/>
      <w:bookmarkStart w:id="2306" w:name="_Toc407085619"/>
      <w:bookmarkStart w:id="2307" w:name="_Toc407086067"/>
      <w:bookmarkStart w:id="2308" w:name="_Toc194476820"/>
      <w:bookmarkStart w:id="2309" w:name="_Toc227760111"/>
      <w:bookmarkStart w:id="2310" w:name="_Toc227825258"/>
      <w:r w:rsidRPr="004853EB">
        <w:rPr>
          <w:rFonts w:eastAsia="Times New Roman" w:cstheme="minorHAnsi"/>
          <w:b/>
          <w:sz w:val="20"/>
          <w:szCs w:val="20"/>
          <w:lang w:eastAsia="pl-PL"/>
        </w:rPr>
        <w:t>6.2. Badania przed przystąpieniem do robót</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2D51FBA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 przystąpieniem do robót Wykonawca powinien wykonać badania kruszyw przeznaczonych do wykonania robót i przedstawić wyniki tych badań Inżynierowi. Badania te powinny obejmować wszystkie właściwości kruszywa określone w p. 2.3.</w:t>
      </w:r>
    </w:p>
    <w:p w14:paraId="3D2F1FF6"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311" w:name="_Toc406913901"/>
      <w:bookmarkStart w:id="2312" w:name="_Toc406914146"/>
      <w:bookmarkStart w:id="2313" w:name="_Toc406914800"/>
      <w:bookmarkStart w:id="2314" w:name="_Toc406914903"/>
      <w:bookmarkStart w:id="2315" w:name="_Toc406915378"/>
      <w:bookmarkStart w:id="2316" w:name="_Toc406984071"/>
      <w:bookmarkStart w:id="2317" w:name="_Toc406984218"/>
      <w:bookmarkStart w:id="2318" w:name="_Toc406984409"/>
      <w:bookmarkStart w:id="2319" w:name="_Toc407069617"/>
      <w:bookmarkStart w:id="2320" w:name="_Toc407081582"/>
      <w:bookmarkStart w:id="2321" w:name="_Toc407081725"/>
      <w:bookmarkStart w:id="2322" w:name="_Toc407083381"/>
      <w:bookmarkStart w:id="2323" w:name="_Toc407084215"/>
      <w:bookmarkStart w:id="2324" w:name="_Toc407085334"/>
      <w:bookmarkStart w:id="2325" w:name="_Toc407085477"/>
      <w:bookmarkStart w:id="2326" w:name="_Toc407085620"/>
      <w:bookmarkStart w:id="2327" w:name="_Toc407086068"/>
      <w:bookmarkStart w:id="2328" w:name="_Toc194476821"/>
      <w:bookmarkStart w:id="2329" w:name="_Toc227760112"/>
      <w:bookmarkStart w:id="2330" w:name="_Toc227825259"/>
      <w:r w:rsidRPr="004853EB">
        <w:rPr>
          <w:rFonts w:eastAsia="Times New Roman" w:cstheme="minorHAnsi"/>
          <w:b/>
          <w:sz w:val="20"/>
          <w:szCs w:val="20"/>
          <w:lang w:eastAsia="pl-PL"/>
        </w:rPr>
        <w:t>6.3. Badania w czasie robót</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3E9FD5A" w14:textId="77777777" w:rsidR="00CC1EF4" w:rsidRPr="004853EB" w:rsidRDefault="00CC1EF4" w:rsidP="00CC1EF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6.3.1. </w:t>
      </w:r>
      <w:r w:rsidRPr="004853EB">
        <w:rPr>
          <w:rFonts w:eastAsia="Times New Roman" w:cstheme="minorHAnsi"/>
          <w:sz w:val="20"/>
          <w:szCs w:val="20"/>
          <w:lang w:eastAsia="pl-PL"/>
        </w:rPr>
        <w:t>Częstotliwość oraz zakres badań i pomiarów</w:t>
      </w:r>
    </w:p>
    <w:p w14:paraId="52A94F7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Częstotliwość oraz zakres badań i pomiarów dotyczących cech geometrycznych i zagęszczenia warstwy ulepszonego podłoża pełniącej rolę warstwy odsączającej podaje tablica 1.</w:t>
      </w:r>
    </w:p>
    <w:p w14:paraId="445B80E5" w14:textId="77777777" w:rsidR="00CC1EF4" w:rsidRPr="004853EB" w:rsidRDefault="00CC1EF4" w:rsidP="00CC1EF4">
      <w:pPr>
        <w:keepNext/>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1. Częstotliwość oraz zakres badań i pomiarów warstwy ulepszonego podłoża pełniącej rolę warstwy odsączającej</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2223"/>
        <w:gridCol w:w="4791"/>
      </w:tblGrid>
      <w:tr w:rsidR="00CC1EF4" w:rsidRPr="004853EB" w14:paraId="63E80DE8" w14:textId="77777777" w:rsidTr="00E95D02">
        <w:tc>
          <w:tcPr>
            <w:tcW w:w="496" w:type="dxa"/>
            <w:tcBorders>
              <w:bottom w:val="double" w:sz="6" w:space="0" w:color="auto"/>
            </w:tcBorders>
          </w:tcPr>
          <w:p w14:paraId="056CAF28" w14:textId="77777777" w:rsidR="00CC1EF4" w:rsidRPr="004853EB" w:rsidRDefault="00CC1EF4" w:rsidP="00CC1EF4">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Lp.</w:t>
            </w:r>
          </w:p>
        </w:tc>
        <w:tc>
          <w:tcPr>
            <w:tcW w:w="2223" w:type="dxa"/>
            <w:tcBorders>
              <w:bottom w:val="double" w:sz="6" w:space="0" w:color="auto"/>
            </w:tcBorders>
          </w:tcPr>
          <w:p w14:paraId="35883C77" w14:textId="77777777" w:rsidR="00CC1EF4" w:rsidRPr="004853EB" w:rsidRDefault="00CC1EF4" w:rsidP="00CC1EF4">
            <w:pPr>
              <w:overflowPunct w:val="0"/>
              <w:autoSpaceDE w:val="0"/>
              <w:autoSpaceDN w:val="0"/>
              <w:adjustRightInd w:val="0"/>
              <w:spacing w:before="60" w:after="0" w:line="240" w:lineRule="auto"/>
              <w:ind w:left="215" w:right="312"/>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Wyszczególnienie badań i pomiarów</w:t>
            </w:r>
          </w:p>
        </w:tc>
        <w:tc>
          <w:tcPr>
            <w:tcW w:w="4791" w:type="dxa"/>
            <w:tcBorders>
              <w:bottom w:val="double" w:sz="6" w:space="0" w:color="auto"/>
            </w:tcBorders>
          </w:tcPr>
          <w:p w14:paraId="46847E24" w14:textId="77777777" w:rsidR="00CC1EF4" w:rsidRPr="004853EB" w:rsidRDefault="00CC1EF4" w:rsidP="00CC1EF4">
            <w:pPr>
              <w:overflowPunct w:val="0"/>
              <w:autoSpaceDE w:val="0"/>
              <w:autoSpaceDN w:val="0"/>
              <w:adjustRightInd w:val="0"/>
              <w:spacing w:before="60" w:after="0" w:line="240" w:lineRule="auto"/>
              <w:ind w:left="822" w:right="851"/>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Minimalna częstotliwość badań            i pomiarów</w:t>
            </w:r>
          </w:p>
        </w:tc>
      </w:tr>
      <w:tr w:rsidR="00CC1EF4" w:rsidRPr="004853EB" w14:paraId="40FFD3D5" w14:textId="77777777" w:rsidTr="00E95D02">
        <w:tc>
          <w:tcPr>
            <w:tcW w:w="496" w:type="dxa"/>
            <w:tcBorders>
              <w:top w:val="nil"/>
            </w:tcBorders>
          </w:tcPr>
          <w:p w14:paraId="586A6D86"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2223" w:type="dxa"/>
            <w:tcBorders>
              <w:top w:val="nil"/>
            </w:tcBorders>
          </w:tcPr>
          <w:p w14:paraId="05F88B45" w14:textId="77777777" w:rsidR="00CC1EF4" w:rsidRPr="004853EB" w:rsidRDefault="00CC1EF4" w:rsidP="00CC1EF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Szerokość warstwy</w:t>
            </w:r>
          </w:p>
        </w:tc>
        <w:tc>
          <w:tcPr>
            <w:tcW w:w="4791" w:type="dxa"/>
            <w:tcBorders>
              <w:top w:val="nil"/>
            </w:tcBorders>
          </w:tcPr>
          <w:p w14:paraId="2B038486" w14:textId="77777777" w:rsidR="00CC1EF4" w:rsidRPr="004853EB" w:rsidRDefault="00CC1EF4" w:rsidP="00CC1EF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co 100 m</w:t>
            </w:r>
          </w:p>
        </w:tc>
      </w:tr>
      <w:tr w:rsidR="00CC1EF4" w:rsidRPr="004853EB" w14:paraId="1D5ADBF6" w14:textId="77777777" w:rsidTr="00E95D02">
        <w:tc>
          <w:tcPr>
            <w:tcW w:w="496" w:type="dxa"/>
          </w:tcPr>
          <w:p w14:paraId="316E7356"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2223" w:type="dxa"/>
          </w:tcPr>
          <w:p w14:paraId="754B85BA" w14:textId="77777777" w:rsidR="00CC1EF4" w:rsidRPr="004853EB" w:rsidRDefault="00CC1EF4" w:rsidP="00CC1EF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Równość podłużna</w:t>
            </w:r>
          </w:p>
        </w:tc>
        <w:tc>
          <w:tcPr>
            <w:tcW w:w="4791" w:type="dxa"/>
          </w:tcPr>
          <w:p w14:paraId="6D562874" w14:textId="77777777" w:rsidR="00CC1EF4" w:rsidRPr="004853EB" w:rsidRDefault="00CC1EF4" w:rsidP="00CC1EF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co 20 m na każdym pasie ruchu</w:t>
            </w:r>
          </w:p>
        </w:tc>
      </w:tr>
      <w:tr w:rsidR="00CC1EF4" w:rsidRPr="004853EB" w14:paraId="6D81D1E5" w14:textId="77777777" w:rsidTr="00E95D02">
        <w:tc>
          <w:tcPr>
            <w:tcW w:w="496" w:type="dxa"/>
          </w:tcPr>
          <w:p w14:paraId="41B51C8C"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2223" w:type="dxa"/>
          </w:tcPr>
          <w:p w14:paraId="5C14F8D4" w14:textId="77777777" w:rsidR="00CC1EF4" w:rsidRPr="004853EB" w:rsidRDefault="00CC1EF4" w:rsidP="00CC1EF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Równość poprzeczna</w:t>
            </w:r>
          </w:p>
        </w:tc>
        <w:tc>
          <w:tcPr>
            <w:tcW w:w="4791" w:type="dxa"/>
          </w:tcPr>
          <w:p w14:paraId="2B9AD248" w14:textId="77777777" w:rsidR="00CC1EF4" w:rsidRPr="004853EB" w:rsidRDefault="00CC1EF4" w:rsidP="00CC1EF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co 100 m</w:t>
            </w:r>
          </w:p>
        </w:tc>
      </w:tr>
      <w:tr w:rsidR="00CC1EF4" w:rsidRPr="004853EB" w14:paraId="2E342366" w14:textId="77777777" w:rsidTr="00E95D02">
        <w:tc>
          <w:tcPr>
            <w:tcW w:w="496" w:type="dxa"/>
          </w:tcPr>
          <w:p w14:paraId="285E31CF"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2223" w:type="dxa"/>
          </w:tcPr>
          <w:p w14:paraId="40A9902A" w14:textId="77777777" w:rsidR="00CC1EF4" w:rsidRPr="004853EB" w:rsidRDefault="00CC1EF4" w:rsidP="00CC1EF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Spadki poprzeczne</w:t>
            </w:r>
          </w:p>
        </w:tc>
        <w:tc>
          <w:tcPr>
            <w:tcW w:w="4791" w:type="dxa"/>
          </w:tcPr>
          <w:p w14:paraId="440C7D6A" w14:textId="77777777" w:rsidR="00CC1EF4" w:rsidRPr="004853EB" w:rsidRDefault="00CC1EF4" w:rsidP="00CC1EF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co 100 m</w:t>
            </w:r>
          </w:p>
        </w:tc>
      </w:tr>
      <w:tr w:rsidR="00CC1EF4" w:rsidRPr="004853EB" w14:paraId="5737BBC3" w14:textId="77777777" w:rsidTr="00E95D02">
        <w:tc>
          <w:tcPr>
            <w:tcW w:w="496" w:type="dxa"/>
          </w:tcPr>
          <w:p w14:paraId="213EDC5E" w14:textId="77777777" w:rsidR="00CC1EF4" w:rsidRPr="004853EB" w:rsidRDefault="00CC1EF4" w:rsidP="00CC1EF4">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c>
          <w:tcPr>
            <w:tcW w:w="2223" w:type="dxa"/>
          </w:tcPr>
          <w:p w14:paraId="0398D399"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Rzędne wysokościowe</w:t>
            </w:r>
          </w:p>
        </w:tc>
        <w:tc>
          <w:tcPr>
            <w:tcW w:w="4791" w:type="dxa"/>
          </w:tcPr>
          <w:p w14:paraId="18FA5912" w14:textId="77777777" w:rsidR="00CC1EF4" w:rsidRPr="004853EB" w:rsidRDefault="00CC1EF4" w:rsidP="00CC1EF4">
            <w:p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co 100 m w osi jezdni i na jej krawędziach </w:t>
            </w:r>
          </w:p>
        </w:tc>
      </w:tr>
      <w:tr w:rsidR="00CC1EF4" w:rsidRPr="004853EB" w14:paraId="45DB02A7" w14:textId="77777777" w:rsidTr="00E95D02">
        <w:tc>
          <w:tcPr>
            <w:tcW w:w="496" w:type="dxa"/>
          </w:tcPr>
          <w:p w14:paraId="102B18D6" w14:textId="77777777" w:rsidR="00CC1EF4" w:rsidRPr="004853EB" w:rsidRDefault="00CC1EF4" w:rsidP="00CC1EF4">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6</w:t>
            </w:r>
          </w:p>
        </w:tc>
        <w:tc>
          <w:tcPr>
            <w:tcW w:w="2223" w:type="dxa"/>
          </w:tcPr>
          <w:p w14:paraId="606479EB" w14:textId="77777777" w:rsidR="00CC1EF4" w:rsidRPr="004853EB" w:rsidRDefault="00CC1EF4" w:rsidP="00CC1EF4">
            <w:pPr>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Ukształtowanie osi w planie </w:t>
            </w:r>
          </w:p>
        </w:tc>
        <w:tc>
          <w:tcPr>
            <w:tcW w:w="4791" w:type="dxa"/>
          </w:tcPr>
          <w:p w14:paraId="09A624B6" w14:textId="77777777" w:rsidR="00CC1EF4" w:rsidRPr="004853EB" w:rsidRDefault="00CC1EF4" w:rsidP="00CC1EF4">
            <w:pPr>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co 100 m w osi jezdni i na jej krawędziach </w:t>
            </w:r>
          </w:p>
        </w:tc>
      </w:tr>
      <w:tr w:rsidR="00CC1EF4" w:rsidRPr="004853EB" w14:paraId="09CA6B79" w14:textId="77777777" w:rsidTr="00E95D02">
        <w:tc>
          <w:tcPr>
            <w:tcW w:w="496" w:type="dxa"/>
          </w:tcPr>
          <w:p w14:paraId="7E01A4C5" w14:textId="77777777" w:rsidR="00CC1EF4" w:rsidRPr="004853EB" w:rsidRDefault="00CC1EF4" w:rsidP="00CC1EF4">
            <w:p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w:t>
            </w:r>
          </w:p>
        </w:tc>
        <w:tc>
          <w:tcPr>
            <w:tcW w:w="2223" w:type="dxa"/>
          </w:tcPr>
          <w:p w14:paraId="201B0D2F" w14:textId="77777777" w:rsidR="00CC1EF4" w:rsidRPr="004853EB" w:rsidRDefault="00CC1EF4" w:rsidP="00CC1EF4">
            <w:pPr>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Grubość warstwy</w:t>
            </w:r>
          </w:p>
        </w:tc>
        <w:tc>
          <w:tcPr>
            <w:tcW w:w="4791" w:type="dxa"/>
          </w:tcPr>
          <w:p w14:paraId="48D5820A" w14:textId="77777777" w:rsidR="00CC1EF4" w:rsidRPr="004853EB" w:rsidRDefault="00CC1EF4" w:rsidP="00CC1EF4">
            <w:pPr>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Podczas budowy:</w:t>
            </w:r>
          </w:p>
          <w:p w14:paraId="41EA9BC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 3 punktach na każdej działce roboczej, lecz nie rzadziej niż raz na 400 m</w:t>
            </w:r>
            <w:r w:rsidRPr="004853EB">
              <w:rPr>
                <w:rFonts w:eastAsia="Times New Roman" w:cstheme="minorHAnsi"/>
                <w:sz w:val="20"/>
                <w:szCs w:val="20"/>
                <w:vertAlign w:val="superscript"/>
                <w:lang w:eastAsia="pl-PL"/>
              </w:rPr>
              <w:t>2</w:t>
            </w:r>
          </w:p>
          <w:p w14:paraId="60676C4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Przed odbiorem:</w:t>
            </w:r>
          </w:p>
          <w:p w14:paraId="7AB195BD" w14:textId="77777777" w:rsidR="00CC1EF4" w:rsidRPr="004853EB" w:rsidRDefault="00CC1EF4" w:rsidP="00CC1EF4">
            <w:p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 3 punktach, lecz nie rzadziej niż raz na 2000 m</w:t>
            </w:r>
            <w:r w:rsidRPr="004853EB">
              <w:rPr>
                <w:rFonts w:eastAsia="Times New Roman" w:cstheme="minorHAnsi"/>
                <w:sz w:val="20"/>
                <w:szCs w:val="20"/>
                <w:vertAlign w:val="superscript"/>
                <w:lang w:eastAsia="pl-PL"/>
              </w:rPr>
              <w:t>2</w:t>
            </w:r>
          </w:p>
        </w:tc>
      </w:tr>
      <w:tr w:rsidR="00CC1EF4" w:rsidRPr="004853EB" w14:paraId="5248E800" w14:textId="77777777" w:rsidTr="00E95D02">
        <w:tc>
          <w:tcPr>
            <w:tcW w:w="496" w:type="dxa"/>
          </w:tcPr>
          <w:p w14:paraId="3589C584" w14:textId="77777777" w:rsidR="00CC1EF4" w:rsidRPr="004853EB" w:rsidRDefault="00CC1EF4" w:rsidP="00CC1EF4">
            <w:p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8</w:t>
            </w:r>
          </w:p>
        </w:tc>
        <w:tc>
          <w:tcPr>
            <w:tcW w:w="2223" w:type="dxa"/>
          </w:tcPr>
          <w:p w14:paraId="016B3A84" w14:textId="0D3D3F48" w:rsidR="00CC1EF4" w:rsidRPr="004853EB" w:rsidRDefault="00B67D8D" w:rsidP="00CC1EF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Zagęszczenie, wilgotność</w:t>
            </w:r>
            <w:r w:rsidR="00CC1EF4" w:rsidRPr="004853EB">
              <w:rPr>
                <w:rFonts w:eastAsia="Times New Roman" w:cstheme="minorHAnsi"/>
                <w:sz w:val="20"/>
                <w:szCs w:val="20"/>
                <w:lang w:eastAsia="pl-PL"/>
              </w:rPr>
              <w:t xml:space="preserve"> kruszywa</w:t>
            </w:r>
          </w:p>
        </w:tc>
        <w:tc>
          <w:tcPr>
            <w:tcW w:w="4791" w:type="dxa"/>
          </w:tcPr>
          <w:p w14:paraId="09B07A1A" w14:textId="77777777" w:rsidR="00CC1EF4" w:rsidRPr="004853EB" w:rsidRDefault="00CC1EF4" w:rsidP="00CC1EF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 2 punktach na dziennej działce roboczej, lecz nie rzadziej niż raz na 600 m</w:t>
            </w:r>
            <w:r w:rsidRPr="004853EB">
              <w:rPr>
                <w:rFonts w:eastAsia="Times New Roman" w:cstheme="minorHAnsi"/>
                <w:sz w:val="20"/>
                <w:szCs w:val="20"/>
                <w:vertAlign w:val="superscript"/>
                <w:lang w:eastAsia="pl-PL"/>
              </w:rPr>
              <w:t>2</w:t>
            </w:r>
          </w:p>
        </w:tc>
      </w:tr>
    </w:tbl>
    <w:p w14:paraId="51F921F3" w14:textId="77777777" w:rsidR="00CC1EF4" w:rsidRPr="004853EB" w:rsidRDefault="00CC1EF4" w:rsidP="00CC1EF4">
      <w:pPr>
        <w:keepNext/>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6.3.2. </w:t>
      </w:r>
      <w:r w:rsidRPr="004853EB">
        <w:rPr>
          <w:rFonts w:eastAsia="Times New Roman" w:cstheme="minorHAnsi"/>
          <w:sz w:val="20"/>
          <w:szCs w:val="20"/>
          <w:lang w:eastAsia="pl-PL"/>
        </w:rPr>
        <w:t>Szerokość warstwy</w:t>
      </w:r>
    </w:p>
    <w:p w14:paraId="5D98569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Szerokość warstwy nie może się różnić od szerokości projektowanej o więcej niż +10 cm, -5 cm.</w:t>
      </w:r>
    </w:p>
    <w:p w14:paraId="383FE874"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6.3.3. </w:t>
      </w:r>
      <w:r w:rsidRPr="004853EB">
        <w:rPr>
          <w:rFonts w:eastAsia="Times New Roman" w:cstheme="minorHAnsi"/>
          <w:sz w:val="20"/>
          <w:szCs w:val="20"/>
          <w:lang w:eastAsia="pl-PL"/>
        </w:rPr>
        <w:t>Równość warstwy</w:t>
      </w:r>
    </w:p>
    <w:p w14:paraId="06C58A0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Nierówności podłużne warstwy ulepszonego podłoża pełniącej rolę warstwy odsączającej należy mierzyć 4 metrową łatą, zgodnie z normą BN-68/8931-04 [7].</w:t>
      </w:r>
    </w:p>
    <w:p w14:paraId="634DDB6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Nierówności poprzeczne warstwy ulepszonego podłoża pełniącej rolę warstwy odsączającej należy mierzyć 4 metrową łatą.</w:t>
      </w:r>
    </w:p>
    <w:p w14:paraId="3CE5FD1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Nierówności nie mogą przekraczać 20 mm.</w:t>
      </w:r>
    </w:p>
    <w:p w14:paraId="5E2B47ED"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6.3.4. </w:t>
      </w:r>
      <w:r w:rsidRPr="004853EB">
        <w:rPr>
          <w:rFonts w:eastAsia="Times New Roman" w:cstheme="minorHAnsi"/>
          <w:sz w:val="20"/>
          <w:szCs w:val="20"/>
          <w:lang w:eastAsia="pl-PL"/>
        </w:rPr>
        <w:t>Spadki poprzeczne</w:t>
      </w:r>
    </w:p>
    <w:p w14:paraId="3D733081" w14:textId="01B15459"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Spadki poprzeczne warstwy ulepszonego podłoża pełniącej rolę warstwy odsączającej na prostych </w:t>
      </w:r>
      <w:r w:rsidR="00B67D8D">
        <w:rPr>
          <w:rFonts w:eastAsia="Times New Roman" w:cstheme="minorHAnsi"/>
          <w:sz w:val="20"/>
          <w:szCs w:val="20"/>
          <w:lang w:eastAsia="pl-PL"/>
        </w:rPr>
        <w:br/>
      </w:r>
      <w:r w:rsidRPr="004853EB">
        <w:rPr>
          <w:rFonts w:eastAsia="Times New Roman" w:cstheme="minorHAnsi"/>
          <w:sz w:val="20"/>
          <w:szCs w:val="20"/>
          <w:lang w:eastAsia="pl-PL"/>
        </w:rPr>
        <w:t xml:space="preserve">i łukach powinny być zgodne z dokumentacją projektową z tolerancją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0,5%.</w:t>
      </w:r>
    </w:p>
    <w:p w14:paraId="0718A3CD" w14:textId="77777777" w:rsidR="00CC1EF4" w:rsidRPr="004853EB" w:rsidRDefault="00CC1EF4" w:rsidP="00CC1EF4">
      <w:pPr>
        <w:keepNext/>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6.3.5. </w:t>
      </w:r>
      <w:r w:rsidRPr="004853EB">
        <w:rPr>
          <w:rFonts w:eastAsia="Times New Roman" w:cstheme="minorHAnsi"/>
          <w:sz w:val="20"/>
          <w:szCs w:val="20"/>
          <w:lang w:eastAsia="pl-PL"/>
        </w:rPr>
        <w:t>Rzędne wysokościowe</w:t>
      </w:r>
    </w:p>
    <w:p w14:paraId="5750A84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Różnice pomiędzy rzędnymi wysokościowymi warstwy i rzędnymi projektowanymi nie powinny przekraczać +1 cm i -2 cm.</w:t>
      </w:r>
    </w:p>
    <w:p w14:paraId="4C542CC4"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6.3.6. </w:t>
      </w:r>
      <w:r w:rsidRPr="004853EB">
        <w:rPr>
          <w:rFonts w:eastAsia="Times New Roman" w:cstheme="minorHAnsi"/>
          <w:sz w:val="20"/>
          <w:szCs w:val="20"/>
          <w:lang w:eastAsia="pl-PL"/>
        </w:rPr>
        <w:t>Ukształtowanie osi w planie</w:t>
      </w:r>
    </w:p>
    <w:p w14:paraId="544642E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Oś w planie nie może być przesunięta w stosunku do osi projektowanej o więcej niż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5 cm.</w:t>
      </w:r>
    </w:p>
    <w:p w14:paraId="268180BF"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6.3.7. </w:t>
      </w:r>
      <w:r w:rsidRPr="004853EB">
        <w:rPr>
          <w:rFonts w:eastAsia="Times New Roman" w:cstheme="minorHAnsi"/>
          <w:sz w:val="20"/>
          <w:szCs w:val="20"/>
          <w:lang w:eastAsia="pl-PL"/>
        </w:rPr>
        <w:t>Grubość warstwy</w:t>
      </w:r>
    </w:p>
    <w:p w14:paraId="5134D748" w14:textId="3C333001"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Grubość warstwy powinna być zgodna z określoną w dokumentacji projektowej z tolerancją +1 </w:t>
      </w:r>
      <w:r w:rsidR="00B67D8D" w:rsidRPr="004853EB">
        <w:rPr>
          <w:rFonts w:eastAsia="Times New Roman" w:cstheme="minorHAnsi"/>
          <w:sz w:val="20"/>
          <w:szCs w:val="20"/>
          <w:lang w:eastAsia="pl-PL"/>
        </w:rPr>
        <w:t>cm</w:t>
      </w:r>
      <w:r w:rsidRPr="004853EB">
        <w:rPr>
          <w:rFonts w:eastAsia="Times New Roman" w:cstheme="minorHAnsi"/>
          <w:sz w:val="20"/>
          <w:szCs w:val="20"/>
          <w:lang w:eastAsia="pl-PL"/>
        </w:rPr>
        <w:t xml:space="preserve"> -2 cm.</w:t>
      </w:r>
    </w:p>
    <w:p w14:paraId="7333D25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Jeżeli warstwa, ze względów technologicznych, została wykonana w dwóch warstwach, należy mierzyć łączną grubość tych warstw.</w:t>
      </w:r>
    </w:p>
    <w:p w14:paraId="2618ACF2" w14:textId="12C56482"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Na wszystkich powierzchniach wadliwych pod względem grubości Wykonawca wykona naprawę warstwy przez spulchnienie warstwy na głębokość co najmniej 10 cm, uzupełnienie nowym materiałem </w:t>
      </w:r>
      <w:r w:rsidR="00B67D8D">
        <w:rPr>
          <w:rFonts w:eastAsia="Times New Roman" w:cstheme="minorHAnsi"/>
          <w:sz w:val="20"/>
          <w:szCs w:val="20"/>
          <w:lang w:eastAsia="pl-PL"/>
        </w:rPr>
        <w:br/>
      </w:r>
      <w:r w:rsidRPr="004853EB">
        <w:rPr>
          <w:rFonts w:eastAsia="Times New Roman" w:cstheme="minorHAnsi"/>
          <w:sz w:val="20"/>
          <w:szCs w:val="20"/>
          <w:lang w:eastAsia="pl-PL"/>
        </w:rPr>
        <w:t>o odpowiednich właściwościach, wyrównanie i ponowne zagęszczenie.</w:t>
      </w:r>
    </w:p>
    <w:p w14:paraId="1BAF7DE2" w14:textId="39AD84BA"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Roboty te Wykonawca wykona na własny koszt. Po wykonaniu tych robót nastąpi ponowny pomiar </w:t>
      </w:r>
      <w:r w:rsidR="00B67D8D">
        <w:rPr>
          <w:rFonts w:eastAsia="Times New Roman" w:cstheme="minorHAnsi"/>
          <w:sz w:val="20"/>
          <w:szCs w:val="20"/>
          <w:lang w:eastAsia="pl-PL"/>
        </w:rPr>
        <w:br/>
      </w:r>
      <w:r w:rsidRPr="004853EB">
        <w:rPr>
          <w:rFonts w:eastAsia="Times New Roman" w:cstheme="minorHAnsi"/>
          <w:sz w:val="20"/>
          <w:szCs w:val="20"/>
          <w:lang w:eastAsia="pl-PL"/>
        </w:rPr>
        <w:t>i ocena grubości warstwy, według wyżej podanych zasad na koszt Wykonawcy.</w:t>
      </w:r>
    </w:p>
    <w:p w14:paraId="367D02E5"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6.3.8. </w:t>
      </w:r>
      <w:r w:rsidRPr="004853EB">
        <w:rPr>
          <w:rFonts w:eastAsia="Times New Roman" w:cstheme="minorHAnsi"/>
          <w:sz w:val="20"/>
          <w:szCs w:val="20"/>
          <w:lang w:eastAsia="pl-PL"/>
        </w:rPr>
        <w:t>Zagęszczenie warstwy</w:t>
      </w:r>
    </w:p>
    <w:p w14:paraId="74E4E31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Wskaźnik zagęszczenia warstwy ulepszonego podłoża pełniącej rolę warstwy odsączającej, określony wg BN-77/8931-12 [8] nie powinien być mniejszy od 1.</w:t>
      </w:r>
    </w:p>
    <w:p w14:paraId="0BE878F2" w14:textId="50C9A192"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Jeżeli jako kryterium dobrego zagęszczenia warstwy stosuje się porównanie wartości modułów odkształcenia, to wartość stosunku wtórnego do pierwotnego modułu odkształcenia, określonych zgodnie </w:t>
      </w:r>
      <w:r w:rsidR="00B67D8D">
        <w:rPr>
          <w:rFonts w:eastAsia="Times New Roman" w:cstheme="minorHAnsi"/>
          <w:sz w:val="20"/>
          <w:szCs w:val="20"/>
          <w:lang w:eastAsia="pl-PL"/>
        </w:rPr>
        <w:br/>
      </w:r>
      <w:r w:rsidRPr="004853EB">
        <w:rPr>
          <w:rFonts w:eastAsia="Times New Roman" w:cstheme="minorHAnsi"/>
          <w:sz w:val="20"/>
          <w:szCs w:val="20"/>
          <w:lang w:eastAsia="pl-PL"/>
        </w:rPr>
        <w:t>z normą BN-64/8931-02 [6], nie powinna być większa od 2,2.</w:t>
      </w:r>
    </w:p>
    <w:p w14:paraId="707486F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Wilgotność kruszywa w czasie zagęszczenia należy badać według PN-B-06714-17 [2]. Wilgotność kruszywa powinna być równa wilgotności optymalnej z tolerancją od -20% do +10%.</w:t>
      </w:r>
    </w:p>
    <w:p w14:paraId="416BCF7C"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331" w:name="_Toc406913902"/>
      <w:bookmarkStart w:id="2332" w:name="_Toc406914147"/>
      <w:bookmarkStart w:id="2333" w:name="_Toc406914801"/>
      <w:bookmarkStart w:id="2334" w:name="_Toc406914904"/>
      <w:bookmarkStart w:id="2335" w:name="_Toc406915379"/>
      <w:bookmarkStart w:id="2336" w:name="_Toc406984072"/>
      <w:bookmarkStart w:id="2337" w:name="_Toc406984219"/>
      <w:bookmarkStart w:id="2338" w:name="_Toc406984410"/>
      <w:bookmarkStart w:id="2339" w:name="_Toc407069618"/>
      <w:bookmarkStart w:id="2340" w:name="_Toc407081583"/>
      <w:bookmarkStart w:id="2341" w:name="_Toc407081726"/>
      <w:bookmarkStart w:id="2342" w:name="_Toc407083382"/>
      <w:bookmarkStart w:id="2343" w:name="_Toc407084216"/>
      <w:bookmarkStart w:id="2344" w:name="_Toc407085335"/>
      <w:bookmarkStart w:id="2345" w:name="_Toc407085478"/>
      <w:bookmarkStart w:id="2346" w:name="_Toc407085621"/>
      <w:bookmarkStart w:id="2347" w:name="_Toc407086069"/>
      <w:bookmarkStart w:id="2348" w:name="_Toc194476822"/>
      <w:bookmarkStart w:id="2349" w:name="_Toc227760113"/>
      <w:bookmarkStart w:id="2350" w:name="_Toc227825260"/>
      <w:r w:rsidRPr="004853EB">
        <w:rPr>
          <w:rFonts w:eastAsia="Times New Roman" w:cstheme="minorHAnsi"/>
          <w:b/>
          <w:sz w:val="20"/>
          <w:szCs w:val="20"/>
          <w:lang w:eastAsia="pl-PL"/>
        </w:rPr>
        <w:t>6.4. Zasady postępowania z odcinkami wadliwie wykonanymi</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6003A2C9" w14:textId="62483B40"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Wszystkie powierzchnie, które wykazują większe odchylenia cech geometrycznych od określonych </w:t>
      </w:r>
      <w:r w:rsidR="00B67D8D">
        <w:rPr>
          <w:rFonts w:eastAsia="Times New Roman" w:cstheme="minorHAnsi"/>
          <w:sz w:val="20"/>
          <w:szCs w:val="20"/>
          <w:lang w:eastAsia="pl-PL"/>
        </w:rPr>
        <w:br/>
      </w:r>
      <w:r w:rsidRPr="004853EB">
        <w:rPr>
          <w:rFonts w:eastAsia="Times New Roman" w:cstheme="minorHAnsi"/>
          <w:sz w:val="20"/>
          <w:szCs w:val="20"/>
          <w:lang w:eastAsia="pl-PL"/>
        </w:rPr>
        <w:t>w p. 6.3, powinny być naprawione przez spulchnienie do głębokości co najmniej 10 cm, wyrównane i powtórnie zagęszczone. Dodanie nowego materiału bez spulchnienia wykonanej warstwy jest niedopuszczalne.</w:t>
      </w:r>
    </w:p>
    <w:p w14:paraId="0688D197"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351" w:name="_Toc406913903"/>
      <w:bookmarkStart w:id="2352" w:name="_Toc406914148"/>
      <w:bookmarkStart w:id="2353" w:name="_Toc406914802"/>
      <w:bookmarkStart w:id="2354" w:name="_Toc406914905"/>
      <w:bookmarkStart w:id="2355" w:name="_Toc406915380"/>
      <w:bookmarkStart w:id="2356" w:name="_Toc406984073"/>
      <w:bookmarkStart w:id="2357" w:name="_Toc406984220"/>
      <w:bookmarkStart w:id="2358" w:name="_Toc406984411"/>
      <w:bookmarkStart w:id="2359" w:name="_Toc407069619"/>
      <w:bookmarkStart w:id="2360" w:name="_Toc407081584"/>
      <w:bookmarkStart w:id="2361" w:name="_Toc407081727"/>
      <w:bookmarkStart w:id="2362" w:name="_Toc407083383"/>
      <w:bookmarkStart w:id="2363" w:name="_Toc407084217"/>
      <w:bookmarkStart w:id="2364" w:name="_Toc407085336"/>
      <w:bookmarkStart w:id="2365" w:name="_Toc407085479"/>
      <w:bookmarkStart w:id="2366" w:name="_Toc407085622"/>
      <w:bookmarkStart w:id="2367" w:name="_Toc407086070"/>
      <w:bookmarkStart w:id="2368" w:name="_Toc194476823"/>
      <w:bookmarkStart w:id="2369" w:name="_Toc227760114"/>
      <w:bookmarkStart w:id="2370" w:name="_Toc227825261"/>
      <w:r w:rsidRPr="004853EB">
        <w:rPr>
          <w:rFonts w:eastAsia="Times New Roman" w:cstheme="minorHAnsi"/>
          <w:b/>
          <w:caps/>
          <w:kern w:val="28"/>
          <w:sz w:val="20"/>
          <w:szCs w:val="20"/>
          <w:lang w:eastAsia="pl-PL"/>
        </w:rPr>
        <w:lastRenderedPageBreak/>
        <w:t>7. obmiar robót</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49DD35CB"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371" w:name="_Toc406913904"/>
      <w:bookmarkStart w:id="2372" w:name="_Toc406914149"/>
      <w:bookmarkStart w:id="2373" w:name="_Toc406914803"/>
      <w:bookmarkStart w:id="2374" w:name="_Toc406914906"/>
      <w:bookmarkStart w:id="2375" w:name="_Toc406915381"/>
      <w:bookmarkStart w:id="2376" w:name="_Toc406984074"/>
      <w:bookmarkStart w:id="2377" w:name="_Toc406984221"/>
      <w:bookmarkStart w:id="2378" w:name="_Toc406984412"/>
      <w:bookmarkStart w:id="2379" w:name="_Toc407069620"/>
      <w:bookmarkStart w:id="2380" w:name="_Toc407081585"/>
      <w:bookmarkStart w:id="2381" w:name="_Toc407081728"/>
      <w:bookmarkStart w:id="2382" w:name="_Toc407083384"/>
      <w:bookmarkStart w:id="2383" w:name="_Toc407084218"/>
      <w:bookmarkStart w:id="2384" w:name="_Toc407085337"/>
      <w:bookmarkStart w:id="2385" w:name="_Toc407085480"/>
      <w:bookmarkStart w:id="2386" w:name="_Toc407085623"/>
      <w:bookmarkStart w:id="2387" w:name="_Toc407086071"/>
      <w:bookmarkStart w:id="2388" w:name="_Toc194476824"/>
      <w:bookmarkStart w:id="2389" w:name="_Toc227760115"/>
      <w:bookmarkStart w:id="2390" w:name="_Toc227825262"/>
      <w:r w:rsidRPr="004853EB">
        <w:rPr>
          <w:rFonts w:eastAsia="Times New Roman" w:cstheme="minorHAnsi"/>
          <w:b/>
          <w:sz w:val="20"/>
          <w:szCs w:val="20"/>
          <w:lang w:eastAsia="pl-PL"/>
        </w:rPr>
        <w:t>7.1. Ogólne zasady obmiaru robót</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46657F7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obmiaru robót podano w SST D-00.00.00 „Wymagania ogólne” pkt 7.</w:t>
      </w:r>
    </w:p>
    <w:p w14:paraId="3ED7E673"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391" w:name="_Toc406913905"/>
      <w:bookmarkStart w:id="2392" w:name="_Toc406914150"/>
      <w:bookmarkStart w:id="2393" w:name="_Toc406914804"/>
      <w:bookmarkStart w:id="2394" w:name="_Toc406914907"/>
      <w:bookmarkStart w:id="2395" w:name="_Toc406915382"/>
      <w:bookmarkStart w:id="2396" w:name="_Toc406984075"/>
      <w:bookmarkStart w:id="2397" w:name="_Toc406984222"/>
      <w:bookmarkStart w:id="2398" w:name="_Toc406984413"/>
      <w:bookmarkStart w:id="2399" w:name="_Toc407069621"/>
      <w:bookmarkStart w:id="2400" w:name="_Toc407081586"/>
      <w:bookmarkStart w:id="2401" w:name="_Toc407081729"/>
      <w:bookmarkStart w:id="2402" w:name="_Toc407083385"/>
      <w:bookmarkStart w:id="2403" w:name="_Toc407084219"/>
      <w:bookmarkStart w:id="2404" w:name="_Toc407085338"/>
      <w:bookmarkStart w:id="2405" w:name="_Toc407085481"/>
      <w:bookmarkStart w:id="2406" w:name="_Toc407085624"/>
      <w:bookmarkStart w:id="2407" w:name="_Toc407086072"/>
      <w:bookmarkStart w:id="2408" w:name="_Toc194476825"/>
      <w:bookmarkStart w:id="2409" w:name="_Toc227760116"/>
      <w:bookmarkStart w:id="2410" w:name="_Toc227825263"/>
      <w:r w:rsidRPr="004853EB">
        <w:rPr>
          <w:rFonts w:eastAsia="Times New Roman" w:cstheme="minorHAnsi"/>
          <w:b/>
          <w:sz w:val="20"/>
          <w:szCs w:val="20"/>
          <w:lang w:eastAsia="pl-PL"/>
        </w:rPr>
        <w:t>7.2. Jednostka obmiarowa</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7BB0AB0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Jednostką obmiarową jest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(metr kwadratowy) warstwy odsączającej.</w:t>
      </w:r>
    </w:p>
    <w:p w14:paraId="439E4944"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411" w:name="_Toc406913906"/>
      <w:bookmarkStart w:id="2412" w:name="_Toc406914151"/>
      <w:bookmarkStart w:id="2413" w:name="_Toc406914805"/>
      <w:bookmarkStart w:id="2414" w:name="_Toc406914908"/>
      <w:bookmarkStart w:id="2415" w:name="_Toc406915383"/>
      <w:bookmarkStart w:id="2416" w:name="_Toc406984076"/>
      <w:bookmarkStart w:id="2417" w:name="_Toc406984223"/>
      <w:bookmarkStart w:id="2418" w:name="_Toc406984414"/>
      <w:bookmarkStart w:id="2419" w:name="_Toc407069622"/>
      <w:bookmarkStart w:id="2420" w:name="_Toc407081587"/>
      <w:bookmarkStart w:id="2421" w:name="_Toc407081730"/>
      <w:bookmarkStart w:id="2422" w:name="_Toc407083386"/>
      <w:bookmarkStart w:id="2423" w:name="_Toc407084220"/>
      <w:bookmarkStart w:id="2424" w:name="_Toc407085339"/>
      <w:bookmarkStart w:id="2425" w:name="_Toc407085482"/>
      <w:bookmarkStart w:id="2426" w:name="_Toc407085625"/>
      <w:bookmarkStart w:id="2427" w:name="_Toc407086073"/>
      <w:bookmarkStart w:id="2428" w:name="_Toc194476826"/>
      <w:bookmarkStart w:id="2429" w:name="_Toc227760117"/>
      <w:bookmarkStart w:id="2430" w:name="_Toc227825264"/>
      <w:r w:rsidRPr="004853EB">
        <w:rPr>
          <w:rFonts w:eastAsia="Times New Roman" w:cstheme="minorHAnsi"/>
          <w:b/>
          <w:caps/>
          <w:kern w:val="28"/>
          <w:sz w:val="20"/>
          <w:szCs w:val="20"/>
          <w:lang w:eastAsia="pl-PL"/>
        </w:rPr>
        <w:t>8. odbiór robót</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2A6D9D2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odbioru robót podano w SST D-00.00.00 „Wymagania ogólne” pkt 8.</w:t>
      </w:r>
    </w:p>
    <w:p w14:paraId="4A33C1A1" w14:textId="77777777" w:rsidR="00CC1EF4" w:rsidRPr="004853EB" w:rsidRDefault="00CC1EF4" w:rsidP="00CC1EF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Roboty uznaje się za wykonane zgodnie z dokumentacją projektową, SST i wymaganiami Inżyniera, jeżeli wszystkie pomiary i badania z zachowaniem tolerancji wg pkt 6 dały wyniki pozytywne.</w:t>
      </w:r>
    </w:p>
    <w:p w14:paraId="3E98281D"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431" w:name="_Toc406913907"/>
      <w:bookmarkStart w:id="2432" w:name="_Toc406914152"/>
      <w:bookmarkStart w:id="2433" w:name="_Toc406914806"/>
      <w:bookmarkStart w:id="2434" w:name="_Toc406914909"/>
      <w:bookmarkStart w:id="2435" w:name="_Toc406915384"/>
      <w:bookmarkStart w:id="2436" w:name="_Toc406984077"/>
      <w:bookmarkStart w:id="2437" w:name="_Toc406984224"/>
      <w:bookmarkStart w:id="2438" w:name="_Toc406984415"/>
      <w:bookmarkStart w:id="2439" w:name="_Toc407069623"/>
      <w:bookmarkStart w:id="2440" w:name="_Toc407081588"/>
      <w:bookmarkStart w:id="2441" w:name="_Toc407081731"/>
      <w:bookmarkStart w:id="2442" w:name="_Toc407083387"/>
      <w:bookmarkStart w:id="2443" w:name="_Toc407084221"/>
      <w:bookmarkStart w:id="2444" w:name="_Toc407085340"/>
      <w:bookmarkStart w:id="2445" w:name="_Toc407085483"/>
      <w:bookmarkStart w:id="2446" w:name="_Toc407085626"/>
      <w:bookmarkStart w:id="2447" w:name="_Toc407086074"/>
      <w:bookmarkStart w:id="2448" w:name="_Toc194476827"/>
      <w:bookmarkStart w:id="2449" w:name="_Toc227760118"/>
      <w:bookmarkStart w:id="2450" w:name="_Toc227825265"/>
      <w:r w:rsidRPr="004853EB">
        <w:rPr>
          <w:rFonts w:eastAsia="Times New Roman" w:cstheme="minorHAnsi"/>
          <w:b/>
          <w:caps/>
          <w:kern w:val="28"/>
          <w:sz w:val="20"/>
          <w:szCs w:val="20"/>
          <w:lang w:eastAsia="pl-PL"/>
        </w:rPr>
        <w:t>9. podstawa płatności</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6E47A637"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451" w:name="_Toc406913908"/>
      <w:bookmarkStart w:id="2452" w:name="_Toc406914153"/>
      <w:bookmarkStart w:id="2453" w:name="_Toc406914807"/>
      <w:bookmarkStart w:id="2454" w:name="_Toc406914910"/>
      <w:bookmarkStart w:id="2455" w:name="_Toc406915385"/>
      <w:bookmarkStart w:id="2456" w:name="_Toc406984078"/>
      <w:bookmarkStart w:id="2457" w:name="_Toc406984225"/>
      <w:bookmarkStart w:id="2458" w:name="_Toc406984416"/>
      <w:bookmarkStart w:id="2459" w:name="_Toc407069624"/>
      <w:bookmarkStart w:id="2460" w:name="_Toc407081589"/>
      <w:bookmarkStart w:id="2461" w:name="_Toc407081732"/>
      <w:bookmarkStart w:id="2462" w:name="_Toc407083388"/>
      <w:bookmarkStart w:id="2463" w:name="_Toc407084222"/>
      <w:bookmarkStart w:id="2464" w:name="_Toc407085341"/>
      <w:bookmarkStart w:id="2465" w:name="_Toc407085484"/>
      <w:bookmarkStart w:id="2466" w:name="_Toc407085627"/>
      <w:bookmarkStart w:id="2467" w:name="_Toc407086075"/>
      <w:bookmarkStart w:id="2468" w:name="_Toc194476828"/>
      <w:bookmarkStart w:id="2469" w:name="_Toc227760119"/>
      <w:bookmarkStart w:id="2470" w:name="_Toc227825266"/>
      <w:r w:rsidRPr="004853EB">
        <w:rPr>
          <w:rFonts w:eastAsia="Times New Roman" w:cstheme="minorHAnsi"/>
          <w:b/>
          <w:sz w:val="20"/>
          <w:szCs w:val="20"/>
          <w:lang w:eastAsia="pl-PL"/>
        </w:rPr>
        <w:t>9.1. Ogólne ustalenia dotyczące podstawy płatności</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p>
    <w:p w14:paraId="4DC0895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ustalenia dotyczące podstawy płatności podano w SST D-00.00.00 „Wymagania ogólne” pkt 9.</w:t>
      </w:r>
    </w:p>
    <w:p w14:paraId="6E617DBC"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471" w:name="_Toc406913909"/>
      <w:bookmarkStart w:id="2472" w:name="_Toc406914154"/>
      <w:bookmarkStart w:id="2473" w:name="_Toc406914808"/>
      <w:bookmarkStart w:id="2474" w:name="_Toc406914911"/>
      <w:bookmarkStart w:id="2475" w:name="_Toc406915386"/>
      <w:bookmarkStart w:id="2476" w:name="_Toc406984079"/>
      <w:bookmarkStart w:id="2477" w:name="_Toc406984226"/>
      <w:bookmarkStart w:id="2478" w:name="_Toc406984417"/>
      <w:bookmarkStart w:id="2479" w:name="_Toc407069625"/>
      <w:bookmarkStart w:id="2480" w:name="_Toc407081590"/>
      <w:bookmarkStart w:id="2481" w:name="_Toc407081733"/>
      <w:bookmarkStart w:id="2482" w:name="_Toc407083389"/>
      <w:bookmarkStart w:id="2483" w:name="_Toc407084223"/>
      <w:bookmarkStart w:id="2484" w:name="_Toc407085342"/>
      <w:bookmarkStart w:id="2485" w:name="_Toc407085485"/>
      <w:bookmarkStart w:id="2486" w:name="_Toc407085628"/>
      <w:bookmarkStart w:id="2487" w:name="_Toc407086076"/>
      <w:bookmarkStart w:id="2488" w:name="_Toc194476829"/>
      <w:bookmarkStart w:id="2489" w:name="_Toc227760120"/>
      <w:bookmarkStart w:id="2490" w:name="_Toc227825267"/>
      <w:r w:rsidRPr="004853EB">
        <w:rPr>
          <w:rFonts w:eastAsia="Times New Roman" w:cstheme="minorHAnsi"/>
          <w:b/>
          <w:sz w:val="20"/>
          <w:szCs w:val="20"/>
          <w:lang w:eastAsia="pl-PL"/>
        </w:rPr>
        <w:t>9.2. Cena jednostki obmiarowej</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2D2178C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Cena wykonania 1m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warstwy ulepszonego podłoża pełniącej rolę warstwy odsączającej z kruszywa obejmuje:</w:t>
      </w:r>
    </w:p>
    <w:p w14:paraId="782432B3"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prace pomiarowe,</w:t>
      </w:r>
    </w:p>
    <w:p w14:paraId="1FBA0241"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dostarczenie i rozłożenie na uprzednio przygotowanym podłożu warstwy materiału o grubości i jakości określonej w dokumentacji projektowej i specyfikacji technicznej,</w:t>
      </w:r>
    </w:p>
    <w:p w14:paraId="3DF52997"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wyrównanie ułożonej warstwy do wymaganego profilu,</w:t>
      </w:r>
    </w:p>
    <w:p w14:paraId="0149659E"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zagęszczenie wyprofilowanej warstwy,</w:t>
      </w:r>
    </w:p>
    <w:p w14:paraId="77CC171E"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przeprowadzenie pomiarów i badań laboratoryjnych wymaganych w specyfikacji technicznej,</w:t>
      </w:r>
    </w:p>
    <w:p w14:paraId="6B9FC6FE"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utrzymanie warstwy.</w:t>
      </w:r>
    </w:p>
    <w:p w14:paraId="6BA1F5A2"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491" w:name="_Toc406913910"/>
      <w:bookmarkStart w:id="2492" w:name="_Toc406914155"/>
      <w:bookmarkStart w:id="2493" w:name="_Toc406914809"/>
      <w:bookmarkStart w:id="2494" w:name="_Toc406914912"/>
      <w:bookmarkStart w:id="2495" w:name="_Toc406915387"/>
      <w:bookmarkStart w:id="2496" w:name="_Toc406984080"/>
      <w:bookmarkStart w:id="2497" w:name="_Toc406984227"/>
      <w:bookmarkStart w:id="2498" w:name="_Toc406984418"/>
      <w:bookmarkStart w:id="2499" w:name="_Toc407069626"/>
      <w:bookmarkStart w:id="2500" w:name="_Toc407081591"/>
      <w:bookmarkStart w:id="2501" w:name="_Toc407081734"/>
      <w:bookmarkStart w:id="2502" w:name="_Toc407083390"/>
      <w:bookmarkStart w:id="2503" w:name="_Toc407084224"/>
      <w:bookmarkStart w:id="2504" w:name="_Toc407085343"/>
      <w:bookmarkStart w:id="2505" w:name="_Toc407085486"/>
      <w:bookmarkStart w:id="2506" w:name="_Toc407085629"/>
      <w:bookmarkStart w:id="2507" w:name="_Toc407086077"/>
      <w:bookmarkStart w:id="2508" w:name="_Toc194476830"/>
      <w:bookmarkStart w:id="2509" w:name="_Toc227760121"/>
      <w:bookmarkStart w:id="2510" w:name="_Toc227825268"/>
      <w:r w:rsidRPr="004853EB">
        <w:rPr>
          <w:rFonts w:eastAsia="Times New Roman" w:cstheme="minorHAnsi"/>
          <w:b/>
          <w:caps/>
          <w:kern w:val="28"/>
          <w:sz w:val="20"/>
          <w:szCs w:val="20"/>
          <w:lang w:eastAsia="pl-PL"/>
        </w:rPr>
        <w:t>10. przepisy związane</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3F592F54"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511" w:name="_Toc406913911"/>
      <w:bookmarkStart w:id="2512" w:name="_Toc406914156"/>
      <w:bookmarkStart w:id="2513" w:name="_Toc406914810"/>
      <w:bookmarkStart w:id="2514" w:name="_Toc406914913"/>
      <w:bookmarkStart w:id="2515" w:name="_Toc406915388"/>
      <w:bookmarkStart w:id="2516" w:name="_Toc406984081"/>
      <w:bookmarkStart w:id="2517" w:name="_Toc406984228"/>
      <w:bookmarkStart w:id="2518" w:name="_Toc406984419"/>
      <w:bookmarkStart w:id="2519" w:name="_Toc407069627"/>
      <w:bookmarkStart w:id="2520" w:name="_Toc407081592"/>
      <w:bookmarkStart w:id="2521" w:name="_Toc407081735"/>
      <w:bookmarkStart w:id="2522" w:name="_Toc407083391"/>
      <w:bookmarkStart w:id="2523" w:name="_Toc407084225"/>
      <w:bookmarkStart w:id="2524" w:name="_Toc407085344"/>
      <w:bookmarkStart w:id="2525" w:name="_Toc407085487"/>
      <w:bookmarkStart w:id="2526" w:name="_Toc407085630"/>
      <w:bookmarkStart w:id="2527" w:name="_Toc407086078"/>
      <w:bookmarkStart w:id="2528" w:name="_Toc194476831"/>
      <w:bookmarkStart w:id="2529" w:name="_Toc227760122"/>
      <w:bookmarkStart w:id="2530" w:name="_Toc227825269"/>
      <w:r w:rsidRPr="004853EB">
        <w:rPr>
          <w:rFonts w:eastAsia="Times New Roman" w:cstheme="minorHAnsi"/>
          <w:b/>
          <w:sz w:val="20"/>
          <w:szCs w:val="20"/>
          <w:lang w:eastAsia="pl-PL"/>
        </w:rPr>
        <w:t>10.1. Normy</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tbl>
      <w:tblPr>
        <w:tblW w:w="9214" w:type="dxa"/>
        <w:tblLayout w:type="fixed"/>
        <w:tblCellMar>
          <w:left w:w="70" w:type="dxa"/>
          <w:right w:w="70" w:type="dxa"/>
        </w:tblCellMar>
        <w:tblLook w:val="0000" w:firstRow="0" w:lastRow="0" w:firstColumn="0" w:lastColumn="0" w:noHBand="0" w:noVBand="0"/>
      </w:tblPr>
      <w:tblGrid>
        <w:gridCol w:w="496"/>
        <w:gridCol w:w="1984"/>
        <w:gridCol w:w="6734"/>
      </w:tblGrid>
      <w:tr w:rsidR="00CC1EF4" w:rsidRPr="004853EB" w14:paraId="14EC7491" w14:textId="77777777" w:rsidTr="00B67D8D">
        <w:tc>
          <w:tcPr>
            <w:tcW w:w="496" w:type="dxa"/>
          </w:tcPr>
          <w:p w14:paraId="5B797D82"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1984" w:type="dxa"/>
          </w:tcPr>
          <w:p w14:paraId="5ED0D5D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PN-B-04481</w:t>
            </w:r>
          </w:p>
        </w:tc>
        <w:tc>
          <w:tcPr>
            <w:tcW w:w="6734" w:type="dxa"/>
          </w:tcPr>
          <w:p w14:paraId="0CA79AD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Grunty budowlane. Badania próbek gruntu</w:t>
            </w:r>
          </w:p>
        </w:tc>
      </w:tr>
      <w:tr w:rsidR="00CC1EF4" w:rsidRPr="004853EB" w14:paraId="3C2A58DF" w14:textId="77777777" w:rsidTr="00B67D8D">
        <w:tc>
          <w:tcPr>
            <w:tcW w:w="496" w:type="dxa"/>
          </w:tcPr>
          <w:p w14:paraId="4E408A35"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1984" w:type="dxa"/>
          </w:tcPr>
          <w:p w14:paraId="1D03018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PN-B-06714-17</w:t>
            </w:r>
          </w:p>
        </w:tc>
        <w:tc>
          <w:tcPr>
            <w:tcW w:w="6734" w:type="dxa"/>
          </w:tcPr>
          <w:p w14:paraId="175F401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Kruszywa mineralne. Badania. Oznaczanie wilgotności</w:t>
            </w:r>
          </w:p>
        </w:tc>
      </w:tr>
      <w:tr w:rsidR="00CC1EF4" w:rsidRPr="004853EB" w14:paraId="705899D4" w14:textId="77777777" w:rsidTr="00B67D8D">
        <w:tc>
          <w:tcPr>
            <w:tcW w:w="496" w:type="dxa"/>
          </w:tcPr>
          <w:p w14:paraId="3FA0246D"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1984" w:type="dxa"/>
          </w:tcPr>
          <w:p w14:paraId="7DA2330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PN-B-11111</w:t>
            </w:r>
          </w:p>
        </w:tc>
        <w:tc>
          <w:tcPr>
            <w:tcW w:w="6734" w:type="dxa"/>
          </w:tcPr>
          <w:p w14:paraId="528C6DAE" w14:textId="59639192"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Kruszywa mineralne. Kruszywo naturalne do nawierzchni </w:t>
            </w:r>
            <w:r w:rsidR="00B67D8D" w:rsidRPr="004853EB">
              <w:rPr>
                <w:rFonts w:eastAsia="Times New Roman" w:cstheme="minorHAnsi"/>
                <w:sz w:val="20"/>
                <w:szCs w:val="20"/>
                <w:lang w:eastAsia="pl-PL"/>
              </w:rPr>
              <w:t>drogowych.</w:t>
            </w:r>
            <w:r w:rsidRPr="004853EB">
              <w:rPr>
                <w:rFonts w:eastAsia="Times New Roman" w:cstheme="minorHAnsi"/>
                <w:sz w:val="20"/>
                <w:szCs w:val="20"/>
                <w:lang w:eastAsia="pl-PL"/>
              </w:rPr>
              <w:t xml:space="preserve"> Żwir </w:t>
            </w:r>
            <w:r w:rsidR="00B67D8D">
              <w:rPr>
                <w:rFonts w:eastAsia="Times New Roman" w:cstheme="minorHAnsi"/>
                <w:sz w:val="20"/>
                <w:szCs w:val="20"/>
                <w:lang w:eastAsia="pl-PL"/>
              </w:rPr>
              <w:br/>
            </w:r>
            <w:r w:rsidRPr="004853EB">
              <w:rPr>
                <w:rFonts w:eastAsia="Times New Roman" w:cstheme="minorHAnsi"/>
                <w:sz w:val="20"/>
                <w:szCs w:val="20"/>
                <w:lang w:eastAsia="pl-PL"/>
              </w:rPr>
              <w:t>i mieszanka</w:t>
            </w:r>
          </w:p>
        </w:tc>
      </w:tr>
      <w:tr w:rsidR="00CC1EF4" w:rsidRPr="004853EB" w14:paraId="2913E782" w14:textId="77777777" w:rsidTr="00B67D8D">
        <w:tc>
          <w:tcPr>
            <w:tcW w:w="496" w:type="dxa"/>
          </w:tcPr>
          <w:p w14:paraId="12125041"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1984" w:type="dxa"/>
          </w:tcPr>
          <w:p w14:paraId="639D995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PN-B-11112</w:t>
            </w:r>
          </w:p>
        </w:tc>
        <w:tc>
          <w:tcPr>
            <w:tcW w:w="6734" w:type="dxa"/>
          </w:tcPr>
          <w:p w14:paraId="3011772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Kruszywa mineralne. Kruszywo łamane do nawierzchni drogowych</w:t>
            </w:r>
          </w:p>
        </w:tc>
      </w:tr>
      <w:tr w:rsidR="00CC1EF4" w:rsidRPr="004853EB" w14:paraId="0A506569" w14:textId="77777777" w:rsidTr="00B67D8D">
        <w:tc>
          <w:tcPr>
            <w:tcW w:w="496" w:type="dxa"/>
          </w:tcPr>
          <w:p w14:paraId="7BA53ABE"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c>
          <w:tcPr>
            <w:tcW w:w="1984" w:type="dxa"/>
          </w:tcPr>
          <w:p w14:paraId="0CCB870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PN-B-11113</w:t>
            </w:r>
          </w:p>
        </w:tc>
        <w:tc>
          <w:tcPr>
            <w:tcW w:w="6734" w:type="dxa"/>
          </w:tcPr>
          <w:p w14:paraId="7708090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Kruszywa mineralne. Kruszywo naturalne do nawierzchni drogowych. Piasek</w:t>
            </w:r>
          </w:p>
        </w:tc>
      </w:tr>
      <w:tr w:rsidR="00CC1EF4" w:rsidRPr="004853EB" w14:paraId="3C699BA6" w14:textId="77777777" w:rsidTr="00B67D8D">
        <w:tc>
          <w:tcPr>
            <w:tcW w:w="496" w:type="dxa"/>
          </w:tcPr>
          <w:p w14:paraId="494F226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tc>
        <w:tc>
          <w:tcPr>
            <w:tcW w:w="1984" w:type="dxa"/>
          </w:tcPr>
          <w:p w14:paraId="7BE8425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BN-64/8931-02</w:t>
            </w:r>
          </w:p>
        </w:tc>
        <w:tc>
          <w:tcPr>
            <w:tcW w:w="6734" w:type="dxa"/>
          </w:tcPr>
          <w:p w14:paraId="18457A18" w14:textId="5BD46508"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Drogi samochodowe. Oznaczanie modułu odkształcenia nawierzchni podatnych </w:t>
            </w:r>
            <w:r w:rsidR="00B67D8D">
              <w:rPr>
                <w:rFonts w:eastAsia="Times New Roman" w:cstheme="minorHAnsi"/>
                <w:sz w:val="20"/>
                <w:szCs w:val="20"/>
                <w:lang w:eastAsia="pl-PL"/>
              </w:rPr>
              <w:br/>
            </w:r>
            <w:r w:rsidRPr="004853EB">
              <w:rPr>
                <w:rFonts w:eastAsia="Times New Roman" w:cstheme="minorHAnsi"/>
                <w:sz w:val="20"/>
                <w:szCs w:val="20"/>
                <w:lang w:eastAsia="pl-PL"/>
              </w:rPr>
              <w:t>i podłoża przez obciążenie płytą</w:t>
            </w:r>
          </w:p>
        </w:tc>
      </w:tr>
      <w:tr w:rsidR="00CC1EF4" w:rsidRPr="004853EB" w14:paraId="1F17F8FA" w14:textId="77777777" w:rsidTr="00B67D8D">
        <w:tc>
          <w:tcPr>
            <w:tcW w:w="496" w:type="dxa"/>
          </w:tcPr>
          <w:p w14:paraId="3A84FA3C"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w:t>
            </w:r>
          </w:p>
        </w:tc>
        <w:tc>
          <w:tcPr>
            <w:tcW w:w="1984" w:type="dxa"/>
          </w:tcPr>
          <w:p w14:paraId="1A809BD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BN-68/8931-04</w:t>
            </w:r>
          </w:p>
        </w:tc>
        <w:tc>
          <w:tcPr>
            <w:tcW w:w="6734" w:type="dxa"/>
          </w:tcPr>
          <w:p w14:paraId="52E7BBA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Drogi samochodowe. Pomiar równości nawierzchni </w:t>
            </w:r>
            <w:proofErr w:type="spellStart"/>
            <w:r w:rsidRPr="004853EB">
              <w:rPr>
                <w:rFonts w:eastAsia="Times New Roman" w:cstheme="minorHAnsi"/>
                <w:sz w:val="20"/>
                <w:szCs w:val="20"/>
                <w:lang w:eastAsia="pl-PL"/>
              </w:rPr>
              <w:t>planografem</w:t>
            </w:r>
            <w:proofErr w:type="spellEnd"/>
            <w:r w:rsidRPr="004853EB">
              <w:rPr>
                <w:rFonts w:eastAsia="Times New Roman" w:cstheme="minorHAnsi"/>
                <w:sz w:val="20"/>
                <w:szCs w:val="20"/>
                <w:lang w:eastAsia="pl-PL"/>
              </w:rPr>
              <w:t xml:space="preserve"> i łatą</w:t>
            </w:r>
          </w:p>
        </w:tc>
      </w:tr>
      <w:tr w:rsidR="00CC1EF4" w:rsidRPr="004853EB" w14:paraId="5AFFCC9D" w14:textId="77777777" w:rsidTr="00B67D8D">
        <w:tc>
          <w:tcPr>
            <w:tcW w:w="496" w:type="dxa"/>
          </w:tcPr>
          <w:p w14:paraId="75B73E79"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8.</w:t>
            </w:r>
          </w:p>
        </w:tc>
        <w:tc>
          <w:tcPr>
            <w:tcW w:w="1984" w:type="dxa"/>
          </w:tcPr>
          <w:p w14:paraId="11E495E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BN-77/8931-12</w:t>
            </w:r>
          </w:p>
        </w:tc>
        <w:tc>
          <w:tcPr>
            <w:tcW w:w="6734" w:type="dxa"/>
          </w:tcPr>
          <w:p w14:paraId="09569E3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Oznaczanie wskaźnika zagęszczenia gruntu</w:t>
            </w:r>
          </w:p>
        </w:tc>
      </w:tr>
    </w:tbl>
    <w:p w14:paraId="225984D2"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F492156" w14:textId="77777777" w:rsidR="00713454" w:rsidRPr="004853EB" w:rsidRDefault="00713454">
      <w:pPr>
        <w:rPr>
          <w:rFonts w:cstheme="minorHAnsi"/>
        </w:rPr>
      </w:pPr>
    </w:p>
    <w:p w14:paraId="1390D12A" w14:textId="77777777" w:rsidR="00CC1EF4" w:rsidRPr="004853EB" w:rsidRDefault="00CC1EF4">
      <w:pPr>
        <w:rPr>
          <w:rFonts w:cstheme="minorHAnsi"/>
        </w:rPr>
      </w:pPr>
    </w:p>
    <w:p w14:paraId="35B4E178" w14:textId="77777777" w:rsidR="00CC1EF4" w:rsidRPr="004853EB" w:rsidRDefault="00CC1EF4">
      <w:pPr>
        <w:rPr>
          <w:rFonts w:cstheme="minorHAnsi"/>
        </w:rPr>
      </w:pPr>
    </w:p>
    <w:p w14:paraId="773A8EAF" w14:textId="77777777" w:rsidR="00CC1EF4" w:rsidRPr="004853EB" w:rsidRDefault="00CC1EF4">
      <w:pPr>
        <w:rPr>
          <w:rFonts w:cstheme="minorHAnsi"/>
        </w:rPr>
      </w:pPr>
    </w:p>
    <w:p w14:paraId="1C80C477" w14:textId="77777777" w:rsidR="00CC1EF4" w:rsidRPr="004853EB" w:rsidRDefault="00CC1EF4">
      <w:pPr>
        <w:rPr>
          <w:rFonts w:cstheme="minorHAnsi"/>
        </w:rPr>
      </w:pPr>
    </w:p>
    <w:p w14:paraId="12FDCA7F" w14:textId="77777777" w:rsidR="00CC1EF4" w:rsidRPr="004853EB" w:rsidRDefault="00CC1EF4">
      <w:pPr>
        <w:rPr>
          <w:rFonts w:cstheme="minorHAnsi"/>
        </w:rPr>
      </w:pPr>
    </w:p>
    <w:p w14:paraId="2D4E25A2" w14:textId="77777777" w:rsidR="00CC1EF4" w:rsidRPr="004853EB" w:rsidRDefault="00CC1EF4">
      <w:pPr>
        <w:rPr>
          <w:rFonts w:cstheme="minorHAnsi"/>
        </w:rPr>
      </w:pPr>
    </w:p>
    <w:p w14:paraId="5497F872" w14:textId="77777777" w:rsidR="00CC1EF4" w:rsidRPr="004853EB" w:rsidRDefault="00CC1EF4" w:rsidP="003A11E0">
      <w:pPr>
        <w:pStyle w:val="Nagwek1"/>
        <w:rPr>
          <w:rFonts w:asciiTheme="minorHAnsi" w:hAnsiTheme="minorHAnsi" w:cstheme="minorHAnsi"/>
          <w:sz w:val="22"/>
          <w:szCs w:val="22"/>
        </w:rPr>
      </w:pPr>
      <w:bookmarkStart w:id="2531" w:name="_Toc227825270"/>
      <w:bookmarkStart w:id="2532" w:name="_Toc407069660"/>
      <w:bookmarkStart w:id="2533" w:name="_Toc407081625"/>
      <w:bookmarkStart w:id="2534" w:name="_Toc407081768"/>
      <w:bookmarkStart w:id="2535" w:name="_Toc407083424"/>
      <w:bookmarkStart w:id="2536" w:name="_Toc407084258"/>
      <w:bookmarkStart w:id="2537" w:name="_Toc407085377"/>
      <w:bookmarkStart w:id="2538" w:name="_Toc407085520"/>
      <w:bookmarkStart w:id="2539" w:name="_Toc407085663"/>
      <w:bookmarkStart w:id="2540" w:name="_Toc407086111"/>
      <w:r w:rsidRPr="004853EB">
        <w:rPr>
          <w:rFonts w:asciiTheme="minorHAnsi" w:hAnsiTheme="minorHAnsi" w:cstheme="minorHAnsi"/>
          <w:sz w:val="22"/>
          <w:szCs w:val="22"/>
        </w:rPr>
        <w:lastRenderedPageBreak/>
        <w:t>D</w:t>
      </w:r>
      <w:r w:rsidR="003A11E0" w:rsidRPr="004853EB">
        <w:rPr>
          <w:rFonts w:asciiTheme="minorHAnsi" w:hAnsiTheme="minorHAnsi" w:cstheme="minorHAnsi"/>
          <w:sz w:val="22"/>
          <w:szCs w:val="22"/>
        </w:rPr>
        <w:t xml:space="preserve"> </w:t>
      </w:r>
      <w:r w:rsidRPr="004853EB">
        <w:rPr>
          <w:rFonts w:asciiTheme="minorHAnsi" w:hAnsiTheme="minorHAnsi" w:cstheme="minorHAnsi"/>
          <w:sz w:val="22"/>
          <w:szCs w:val="22"/>
        </w:rPr>
        <w:t>-</w:t>
      </w:r>
      <w:r w:rsidR="003A11E0" w:rsidRPr="004853EB">
        <w:rPr>
          <w:rFonts w:asciiTheme="minorHAnsi" w:hAnsiTheme="minorHAnsi" w:cstheme="minorHAnsi"/>
          <w:sz w:val="22"/>
          <w:szCs w:val="22"/>
        </w:rPr>
        <w:t xml:space="preserve"> </w:t>
      </w:r>
      <w:r w:rsidRPr="004853EB">
        <w:rPr>
          <w:rFonts w:asciiTheme="minorHAnsi" w:hAnsiTheme="minorHAnsi" w:cstheme="minorHAnsi"/>
          <w:sz w:val="22"/>
          <w:szCs w:val="22"/>
        </w:rPr>
        <w:t>04.03.01 OCZYSZCZENIE WARSTW KONSTRUKCYJNYCH</w:t>
      </w:r>
      <w:bookmarkEnd w:id="2531"/>
    </w:p>
    <w:p w14:paraId="6522FD5C"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541" w:name="_Toc194476833"/>
      <w:bookmarkStart w:id="2542" w:name="_Toc227760124"/>
      <w:bookmarkStart w:id="2543" w:name="_Toc227825271"/>
      <w:r w:rsidRPr="004853EB">
        <w:rPr>
          <w:rFonts w:eastAsia="Times New Roman" w:cstheme="minorHAnsi"/>
          <w:b/>
          <w:caps/>
          <w:kern w:val="28"/>
          <w:sz w:val="20"/>
          <w:szCs w:val="20"/>
          <w:lang w:eastAsia="pl-PL"/>
        </w:rPr>
        <w:t>1. WSTĘP</w:t>
      </w:r>
      <w:bookmarkEnd w:id="2532"/>
      <w:bookmarkEnd w:id="2533"/>
      <w:bookmarkEnd w:id="2534"/>
      <w:bookmarkEnd w:id="2535"/>
      <w:bookmarkEnd w:id="2536"/>
      <w:bookmarkEnd w:id="2537"/>
      <w:bookmarkEnd w:id="2538"/>
      <w:bookmarkEnd w:id="2539"/>
      <w:bookmarkEnd w:id="2540"/>
      <w:bookmarkEnd w:id="2541"/>
      <w:bookmarkEnd w:id="2542"/>
      <w:bookmarkEnd w:id="2543"/>
    </w:p>
    <w:p w14:paraId="0A5EAB5C"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544" w:name="_Toc407069661"/>
      <w:bookmarkStart w:id="2545" w:name="_Toc407081626"/>
      <w:bookmarkStart w:id="2546" w:name="_Toc407081769"/>
      <w:bookmarkStart w:id="2547" w:name="_Toc407083425"/>
      <w:bookmarkStart w:id="2548" w:name="_Toc407084259"/>
      <w:bookmarkStart w:id="2549" w:name="_Toc407085378"/>
      <w:bookmarkStart w:id="2550" w:name="_Toc407085521"/>
      <w:bookmarkStart w:id="2551" w:name="_Toc407085664"/>
      <w:bookmarkStart w:id="2552" w:name="_Toc407086112"/>
      <w:bookmarkStart w:id="2553" w:name="_Toc194476834"/>
      <w:bookmarkStart w:id="2554" w:name="_Toc227760125"/>
      <w:bookmarkStart w:id="2555" w:name="_Toc227825272"/>
      <w:r w:rsidRPr="004853EB">
        <w:rPr>
          <w:rFonts w:eastAsia="Times New Roman" w:cstheme="minorHAnsi"/>
          <w:b/>
          <w:sz w:val="20"/>
          <w:szCs w:val="20"/>
          <w:lang w:eastAsia="pl-PL"/>
        </w:rPr>
        <w:t>1.1. Przedmiot SST</w:t>
      </w:r>
      <w:bookmarkEnd w:id="2544"/>
      <w:bookmarkEnd w:id="2545"/>
      <w:bookmarkEnd w:id="2546"/>
      <w:bookmarkEnd w:id="2547"/>
      <w:bookmarkEnd w:id="2548"/>
      <w:bookmarkEnd w:id="2549"/>
      <w:bookmarkEnd w:id="2550"/>
      <w:bookmarkEnd w:id="2551"/>
      <w:bookmarkEnd w:id="2552"/>
      <w:bookmarkEnd w:id="2553"/>
      <w:bookmarkEnd w:id="2554"/>
      <w:bookmarkEnd w:id="2555"/>
    </w:p>
    <w:p w14:paraId="6CE0A25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Przedmiotem niniejszej szczegółowej specyfikacji technicznej (SST) są wymagania dotyczące wykonania i odbioru robót związanych z oczyszczeniem warstw konstrukcyjnych nawierzchni.</w:t>
      </w:r>
    </w:p>
    <w:p w14:paraId="00C0CD1C"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556" w:name="_Toc194476835"/>
      <w:bookmarkStart w:id="2557" w:name="_Toc227760126"/>
      <w:bookmarkStart w:id="2558" w:name="_Toc227825273"/>
      <w:r w:rsidRPr="004853EB">
        <w:rPr>
          <w:rFonts w:eastAsia="Times New Roman" w:cstheme="minorHAnsi"/>
          <w:b/>
          <w:sz w:val="20"/>
          <w:szCs w:val="20"/>
          <w:lang w:eastAsia="pl-PL"/>
        </w:rPr>
        <w:t>1.2. Zakres stosowania SST</w:t>
      </w:r>
      <w:bookmarkEnd w:id="2556"/>
      <w:bookmarkEnd w:id="2557"/>
      <w:bookmarkEnd w:id="2558"/>
    </w:p>
    <w:p w14:paraId="7F89550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Specyfikacja techniczna jest stosowana jako dokument przetargowy i kontraktowy przy zlecaniu i realizacji robót wymienionych w pkt 1.1.</w:t>
      </w:r>
    </w:p>
    <w:p w14:paraId="5290E888"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559" w:name="_Toc194476836"/>
      <w:bookmarkStart w:id="2560" w:name="_Toc227760127"/>
      <w:bookmarkStart w:id="2561" w:name="_Toc227825274"/>
      <w:r w:rsidRPr="004853EB">
        <w:rPr>
          <w:rFonts w:eastAsia="Times New Roman" w:cstheme="minorHAnsi"/>
          <w:b/>
          <w:sz w:val="20"/>
          <w:szCs w:val="20"/>
          <w:lang w:eastAsia="pl-PL"/>
        </w:rPr>
        <w:t>1.3. Zakres robót objętych SST</w:t>
      </w:r>
      <w:bookmarkEnd w:id="2559"/>
      <w:bookmarkEnd w:id="2560"/>
      <w:bookmarkEnd w:id="2561"/>
    </w:p>
    <w:p w14:paraId="1C3584BF" w14:textId="47B681B0"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Ustalenia zawarte w niniejszej specyfikacji związane są z </w:t>
      </w:r>
      <w:r w:rsidRPr="004853EB">
        <w:rPr>
          <w:rFonts w:eastAsia="Times New Roman" w:cstheme="minorHAnsi"/>
          <w:b/>
          <w:sz w:val="20"/>
          <w:szCs w:val="20"/>
          <w:lang w:eastAsia="pl-PL"/>
        </w:rPr>
        <w:t xml:space="preserve">Przebudową </w:t>
      </w:r>
      <w:r w:rsidR="00B67D8D" w:rsidRPr="004853EB">
        <w:rPr>
          <w:rFonts w:eastAsia="Times New Roman" w:cstheme="minorHAnsi"/>
          <w:b/>
          <w:sz w:val="20"/>
          <w:szCs w:val="20"/>
          <w:lang w:eastAsia="pl-PL"/>
        </w:rPr>
        <w:t>drogi powiatowej</w:t>
      </w:r>
      <w:r w:rsidRPr="004853EB">
        <w:rPr>
          <w:rFonts w:eastAsia="Times New Roman" w:cstheme="minorHAnsi"/>
          <w:b/>
          <w:sz w:val="20"/>
          <w:szCs w:val="20"/>
          <w:lang w:eastAsia="pl-PL"/>
        </w:rPr>
        <w:t xml:space="preserve"> nr </w:t>
      </w:r>
      <w:r w:rsidR="00386337" w:rsidRPr="00386337">
        <w:rPr>
          <w:rFonts w:eastAsia="Times New Roman" w:cstheme="minorHAnsi"/>
          <w:b/>
          <w:bCs/>
          <w:sz w:val="20"/>
          <w:szCs w:val="20"/>
          <w:lang w:eastAsia="pl-PL"/>
        </w:rPr>
        <w:t>4506W Zwoleń – Sarnów w miejscowości Łuczynów</w:t>
      </w:r>
      <w:r w:rsidRPr="004853EB">
        <w:rPr>
          <w:rFonts w:eastAsia="Times New Roman" w:cstheme="minorHAnsi"/>
          <w:b/>
          <w:sz w:val="20"/>
          <w:szCs w:val="20"/>
          <w:lang w:eastAsia="pl-PL"/>
        </w:rPr>
        <w:t xml:space="preserve"> </w:t>
      </w:r>
      <w:r w:rsidRPr="004853EB">
        <w:rPr>
          <w:rFonts w:eastAsia="Times New Roman" w:cstheme="minorHAnsi"/>
          <w:sz w:val="20"/>
          <w:szCs w:val="20"/>
          <w:lang w:eastAsia="pl-PL"/>
        </w:rPr>
        <w:t xml:space="preserve">i dotyczą zasad prowadzenia robót związanych z oczyszczeniem warstw konstrukcyjnych przed ułożeniem następnej warstwy nawierzchni. </w:t>
      </w:r>
    </w:p>
    <w:p w14:paraId="4C3256F9"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562" w:name="_Toc407069664"/>
      <w:bookmarkStart w:id="2563" w:name="_Toc407081629"/>
      <w:bookmarkStart w:id="2564" w:name="_Toc407081772"/>
      <w:bookmarkStart w:id="2565" w:name="_Toc407083428"/>
      <w:bookmarkStart w:id="2566" w:name="_Toc407084262"/>
      <w:bookmarkStart w:id="2567" w:name="_Toc407085381"/>
      <w:bookmarkStart w:id="2568" w:name="_Toc407085524"/>
      <w:bookmarkStart w:id="2569" w:name="_Toc407085667"/>
      <w:bookmarkStart w:id="2570" w:name="_Toc407086115"/>
      <w:bookmarkStart w:id="2571" w:name="_Toc194476837"/>
      <w:bookmarkStart w:id="2572" w:name="_Toc227760128"/>
      <w:bookmarkStart w:id="2573" w:name="_Toc227825275"/>
      <w:r w:rsidRPr="004853EB">
        <w:rPr>
          <w:rFonts w:eastAsia="Times New Roman" w:cstheme="minorHAnsi"/>
          <w:b/>
          <w:sz w:val="20"/>
          <w:szCs w:val="20"/>
          <w:lang w:eastAsia="pl-PL"/>
        </w:rPr>
        <w:t>1.4. Określenia podstawowe</w:t>
      </w:r>
      <w:bookmarkEnd w:id="2562"/>
      <w:bookmarkEnd w:id="2563"/>
      <w:bookmarkEnd w:id="2564"/>
      <w:bookmarkEnd w:id="2565"/>
      <w:bookmarkEnd w:id="2566"/>
      <w:bookmarkEnd w:id="2567"/>
      <w:bookmarkEnd w:id="2568"/>
      <w:bookmarkEnd w:id="2569"/>
      <w:bookmarkEnd w:id="2570"/>
      <w:bookmarkEnd w:id="2571"/>
      <w:bookmarkEnd w:id="2572"/>
      <w:bookmarkEnd w:id="2573"/>
    </w:p>
    <w:p w14:paraId="423F622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Określenia podstawowe są zgodne z obowiązującymi, odpowiednimi polskimi normami i z definicjami podanymi w SST D-00.00.00 „Wymagania ogólne” pkt 1.4.</w:t>
      </w:r>
    </w:p>
    <w:p w14:paraId="14A547E4"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574" w:name="_Toc407069665"/>
      <w:bookmarkStart w:id="2575" w:name="_Toc407081630"/>
      <w:bookmarkStart w:id="2576" w:name="_Toc407081773"/>
      <w:bookmarkStart w:id="2577" w:name="_Toc407083429"/>
      <w:bookmarkStart w:id="2578" w:name="_Toc407084263"/>
      <w:bookmarkStart w:id="2579" w:name="_Toc407085382"/>
      <w:bookmarkStart w:id="2580" w:name="_Toc407085525"/>
      <w:bookmarkStart w:id="2581" w:name="_Toc407085668"/>
      <w:bookmarkStart w:id="2582" w:name="_Toc407086116"/>
      <w:bookmarkStart w:id="2583" w:name="_Toc194476838"/>
      <w:bookmarkStart w:id="2584" w:name="_Toc227760129"/>
      <w:bookmarkStart w:id="2585" w:name="_Toc227825276"/>
      <w:r w:rsidRPr="004853EB">
        <w:rPr>
          <w:rFonts w:eastAsia="Times New Roman" w:cstheme="minorHAnsi"/>
          <w:b/>
          <w:sz w:val="20"/>
          <w:szCs w:val="20"/>
          <w:lang w:eastAsia="pl-PL"/>
        </w:rPr>
        <w:t>1.5. Ogólne wymagania dotyczące robót</w:t>
      </w:r>
      <w:bookmarkEnd w:id="2574"/>
      <w:bookmarkEnd w:id="2575"/>
      <w:bookmarkEnd w:id="2576"/>
      <w:bookmarkEnd w:id="2577"/>
      <w:bookmarkEnd w:id="2578"/>
      <w:bookmarkEnd w:id="2579"/>
      <w:bookmarkEnd w:id="2580"/>
      <w:bookmarkEnd w:id="2581"/>
      <w:bookmarkEnd w:id="2582"/>
      <w:bookmarkEnd w:id="2583"/>
      <w:bookmarkEnd w:id="2584"/>
      <w:bookmarkEnd w:id="2585"/>
    </w:p>
    <w:p w14:paraId="23C3A183" w14:textId="77777777" w:rsidR="00CC1EF4" w:rsidRPr="004853EB" w:rsidRDefault="00CC1EF4" w:rsidP="00CC1EF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robót podano w SST D-00.00.00 „Wymagania ogólne” pkt 1.5.</w:t>
      </w:r>
    </w:p>
    <w:p w14:paraId="2317F476"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586" w:name="_Toc407069672"/>
      <w:bookmarkStart w:id="2587" w:name="_Toc407081637"/>
      <w:bookmarkStart w:id="2588" w:name="_Toc407081780"/>
      <w:bookmarkStart w:id="2589" w:name="_Toc407083436"/>
      <w:bookmarkStart w:id="2590" w:name="_Toc407084270"/>
      <w:bookmarkStart w:id="2591" w:name="_Toc407085389"/>
      <w:bookmarkStart w:id="2592" w:name="_Toc407085532"/>
      <w:bookmarkStart w:id="2593" w:name="_Toc407085675"/>
      <w:bookmarkStart w:id="2594" w:name="_Toc407086123"/>
      <w:bookmarkStart w:id="2595" w:name="_Toc194476839"/>
      <w:bookmarkStart w:id="2596" w:name="_Toc227760130"/>
      <w:bookmarkStart w:id="2597" w:name="_Toc227825277"/>
      <w:r w:rsidRPr="004853EB">
        <w:rPr>
          <w:rFonts w:eastAsia="Times New Roman" w:cstheme="minorHAnsi"/>
          <w:b/>
          <w:caps/>
          <w:kern w:val="28"/>
          <w:sz w:val="20"/>
          <w:szCs w:val="20"/>
          <w:lang w:eastAsia="pl-PL"/>
        </w:rPr>
        <w:t>3. sprzęt</w:t>
      </w:r>
      <w:bookmarkEnd w:id="2586"/>
      <w:bookmarkEnd w:id="2587"/>
      <w:bookmarkEnd w:id="2588"/>
      <w:bookmarkEnd w:id="2589"/>
      <w:bookmarkEnd w:id="2590"/>
      <w:bookmarkEnd w:id="2591"/>
      <w:bookmarkEnd w:id="2592"/>
      <w:bookmarkEnd w:id="2593"/>
      <w:bookmarkEnd w:id="2594"/>
      <w:bookmarkEnd w:id="2595"/>
      <w:bookmarkEnd w:id="2596"/>
      <w:bookmarkEnd w:id="2597"/>
    </w:p>
    <w:p w14:paraId="690A0C7C"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598" w:name="_Toc407069673"/>
      <w:bookmarkStart w:id="2599" w:name="_Toc407081638"/>
      <w:bookmarkStart w:id="2600" w:name="_Toc407081781"/>
      <w:bookmarkStart w:id="2601" w:name="_Toc407083437"/>
      <w:bookmarkStart w:id="2602" w:name="_Toc407084271"/>
      <w:bookmarkStart w:id="2603" w:name="_Toc407085390"/>
      <w:bookmarkStart w:id="2604" w:name="_Toc407085533"/>
      <w:bookmarkStart w:id="2605" w:name="_Toc407085676"/>
      <w:bookmarkStart w:id="2606" w:name="_Toc407086124"/>
      <w:bookmarkStart w:id="2607" w:name="_Toc194476840"/>
      <w:bookmarkStart w:id="2608" w:name="_Toc227760131"/>
      <w:bookmarkStart w:id="2609" w:name="_Toc227825278"/>
      <w:r w:rsidRPr="004853EB">
        <w:rPr>
          <w:rFonts w:eastAsia="Times New Roman" w:cstheme="minorHAnsi"/>
          <w:b/>
          <w:sz w:val="20"/>
          <w:szCs w:val="20"/>
          <w:lang w:eastAsia="pl-PL"/>
        </w:rPr>
        <w:t>3.1. Ogólne wymagania dotyczące sprzętu</w:t>
      </w:r>
      <w:bookmarkEnd w:id="2598"/>
      <w:bookmarkEnd w:id="2599"/>
      <w:bookmarkEnd w:id="2600"/>
      <w:bookmarkEnd w:id="2601"/>
      <w:bookmarkEnd w:id="2602"/>
      <w:bookmarkEnd w:id="2603"/>
      <w:bookmarkEnd w:id="2604"/>
      <w:bookmarkEnd w:id="2605"/>
      <w:bookmarkEnd w:id="2606"/>
      <w:bookmarkEnd w:id="2607"/>
      <w:bookmarkEnd w:id="2608"/>
      <w:bookmarkEnd w:id="2609"/>
    </w:p>
    <w:p w14:paraId="418DE50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sprzętu podano w SST D-00.00.00 „Wymagania ogólne” pkt 3.</w:t>
      </w:r>
    </w:p>
    <w:p w14:paraId="7B986B00"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610" w:name="_Toc407069674"/>
      <w:bookmarkStart w:id="2611" w:name="_Toc407081639"/>
      <w:bookmarkStart w:id="2612" w:name="_Toc407081782"/>
      <w:bookmarkStart w:id="2613" w:name="_Toc407083438"/>
      <w:bookmarkStart w:id="2614" w:name="_Toc407084272"/>
      <w:bookmarkStart w:id="2615" w:name="_Toc407085391"/>
      <w:bookmarkStart w:id="2616" w:name="_Toc407085534"/>
      <w:bookmarkStart w:id="2617" w:name="_Toc407085677"/>
      <w:bookmarkStart w:id="2618" w:name="_Toc407086125"/>
      <w:bookmarkStart w:id="2619" w:name="_Toc194476841"/>
      <w:bookmarkStart w:id="2620" w:name="_Toc227760132"/>
      <w:bookmarkStart w:id="2621" w:name="_Toc227825279"/>
      <w:r w:rsidRPr="004853EB">
        <w:rPr>
          <w:rFonts w:eastAsia="Times New Roman" w:cstheme="minorHAnsi"/>
          <w:b/>
          <w:sz w:val="20"/>
          <w:szCs w:val="20"/>
          <w:lang w:eastAsia="pl-PL"/>
        </w:rPr>
        <w:t>3.2. Sprzęt do oczyszczania warstw nawierzchni</w:t>
      </w:r>
      <w:bookmarkEnd w:id="2610"/>
      <w:bookmarkEnd w:id="2611"/>
      <w:bookmarkEnd w:id="2612"/>
      <w:bookmarkEnd w:id="2613"/>
      <w:bookmarkEnd w:id="2614"/>
      <w:bookmarkEnd w:id="2615"/>
      <w:bookmarkEnd w:id="2616"/>
      <w:bookmarkEnd w:id="2617"/>
      <w:bookmarkEnd w:id="2618"/>
      <w:bookmarkEnd w:id="2619"/>
      <w:bookmarkEnd w:id="2620"/>
      <w:bookmarkEnd w:id="2621"/>
    </w:p>
    <w:p w14:paraId="214DCBF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Wykonawca przystępujący do oczyszczania warstw nawierzchni, powinien wykazać się możliwością korzystania z następującego sprzętu:</w:t>
      </w:r>
    </w:p>
    <w:p w14:paraId="4095E0F3"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szczotek mechanicznych,              </w:t>
      </w:r>
    </w:p>
    <w:p w14:paraId="50E3A28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14:paraId="47DF8749"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sprężarek,</w:t>
      </w:r>
    </w:p>
    <w:p w14:paraId="6555DEB9"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zbiorników z wodą,</w:t>
      </w:r>
    </w:p>
    <w:p w14:paraId="2A4E4BEE"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szczotek ręcznych.</w:t>
      </w:r>
    </w:p>
    <w:p w14:paraId="18C3B272" w14:textId="77777777" w:rsidR="00CC1EF4" w:rsidRPr="004853EB" w:rsidRDefault="00CC1EF4" w:rsidP="00CC1EF4">
      <w:pPr>
        <w:keepNext/>
        <w:keepLines/>
        <w:suppressAutoHyphens/>
        <w:overflowPunct w:val="0"/>
        <w:autoSpaceDE w:val="0"/>
        <w:autoSpaceDN w:val="0"/>
        <w:adjustRightInd w:val="0"/>
        <w:spacing w:before="120" w:after="120" w:line="240" w:lineRule="auto"/>
        <w:jc w:val="both"/>
        <w:textAlignment w:val="baseline"/>
        <w:outlineLvl w:val="0"/>
        <w:rPr>
          <w:rFonts w:eastAsia="Times New Roman" w:cstheme="minorHAnsi"/>
          <w:b/>
          <w:caps/>
          <w:kern w:val="28"/>
          <w:sz w:val="20"/>
          <w:szCs w:val="20"/>
          <w:lang w:eastAsia="pl-PL"/>
        </w:rPr>
      </w:pPr>
      <w:bookmarkStart w:id="2622" w:name="_Toc407069679"/>
      <w:bookmarkStart w:id="2623" w:name="_Toc407081644"/>
      <w:bookmarkStart w:id="2624" w:name="_Toc407081787"/>
      <w:bookmarkStart w:id="2625" w:name="_Toc407083443"/>
      <w:bookmarkStart w:id="2626" w:name="_Toc407084277"/>
      <w:bookmarkStart w:id="2627" w:name="_Toc407085396"/>
      <w:bookmarkStart w:id="2628" w:name="_Toc407085539"/>
      <w:bookmarkStart w:id="2629" w:name="_Toc407085682"/>
      <w:bookmarkStart w:id="2630" w:name="_Toc407086130"/>
      <w:bookmarkStart w:id="2631" w:name="_Toc194476842"/>
      <w:bookmarkStart w:id="2632" w:name="_Toc227760133"/>
      <w:bookmarkStart w:id="2633" w:name="_Toc227825280"/>
      <w:r w:rsidRPr="004853EB">
        <w:rPr>
          <w:rFonts w:eastAsia="Times New Roman" w:cstheme="minorHAnsi"/>
          <w:b/>
          <w:caps/>
          <w:kern w:val="28"/>
          <w:sz w:val="20"/>
          <w:szCs w:val="20"/>
          <w:lang w:eastAsia="pl-PL"/>
        </w:rPr>
        <w:t>5. wykonanie robót</w:t>
      </w:r>
      <w:bookmarkEnd w:id="2622"/>
      <w:bookmarkEnd w:id="2623"/>
      <w:bookmarkEnd w:id="2624"/>
      <w:bookmarkEnd w:id="2625"/>
      <w:bookmarkEnd w:id="2626"/>
      <w:bookmarkEnd w:id="2627"/>
      <w:bookmarkEnd w:id="2628"/>
      <w:bookmarkEnd w:id="2629"/>
      <w:bookmarkEnd w:id="2630"/>
      <w:bookmarkEnd w:id="2631"/>
      <w:bookmarkEnd w:id="2632"/>
      <w:bookmarkEnd w:id="2633"/>
    </w:p>
    <w:p w14:paraId="26A16FBF"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634" w:name="_Toc407069680"/>
      <w:bookmarkStart w:id="2635" w:name="_Toc407081645"/>
      <w:bookmarkStart w:id="2636" w:name="_Toc407081788"/>
      <w:bookmarkStart w:id="2637" w:name="_Toc407083444"/>
      <w:bookmarkStart w:id="2638" w:name="_Toc407084278"/>
      <w:bookmarkStart w:id="2639" w:name="_Toc407085397"/>
      <w:bookmarkStart w:id="2640" w:name="_Toc407085540"/>
      <w:bookmarkStart w:id="2641" w:name="_Toc407085683"/>
      <w:bookmarkStart w:id="2642" w:name="_Toc407086131"/>
      <w:bookmarkStart w:id="2643" w:name="_Toc194476843"/>
      <w:bookmarkStart w:id="2644" w:name="_Toc227760134"/>
      <w:bookmarkStart w:id="2645" w:name="_Toc227825281"/>
      <w:r w:rsidRPr="004853EB">
        <w:rPr>
          <w:rFonts w:eastAsia="Times New Roman" w:cstheme="minorHAnsi"/>
          <w:b/>
          <w:sz w:val="20"/>
          <w:szCs w:val="20"/>
          <w:lang w:eastAsia="pl-PL"/>
        </w:rPr>
        <w:t>5.1. Ogólne zasady wykonania robót</w:t>
      </w:r>
      <w:bookmarkEnd w:id="2634"/>
      <w:bookmarkEnd w:id="2635"/>
      <w:bookmarkEnd w:id="2636"/>
      <w:bookmarkEnd w:id="2637"/>
      <w:bookmarkEnd w:id="2638"/>
      <w:bookmarkEnd w:id="2639"/>
      <w:bookmarkEnd w:id="2640"/>
      <w:bookmarkEnd w:id="2641"/>
      <w:bookmarkEnd w:id="2642"/>
      <w:bookmarkEnd w:id="2643"/>
      <w:bookmarkEnd w:id="2644"/>
      <w:bookmarkEnd w:id="2645"/>
    </w:p>
    <w:p w14:paraId="1A48ABE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wykonania robót podano w SST D-00.00.00 „Wymagania ogólne” pkt 5.</w:t>
      </w:r>
    </w:p>
    <w:p w14:paraId="70F8B67B"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646" w:name="_Toc407069681"/>
      <w:bookmarkStart w:id="2647" w:name="_Toc407081646"/>
      <w:bookmarkStart w:id="2648" w:name="_Toc407081789"/>
      <w:bookmarkStart w:id="2649" w:name="_Toc407083445"/>
      <w:bookmarkStart w:id="2650" w:name="_Toc407084279"/>
      <w:bookmarkStart w:id="2651" w:name="_Toc407085398"/>
      <w:bookmarkStart w:id="2652" w:name="_Toc407085541"/>
      <w:bookmarkStart w:id="2653" w:name="_Toc407085684"/>
      <w:bookmarkStart w:id="2654" w:name="_Toc407086132"/>
      <w:bookmarkStart w:id="2655" w:name="_Toc194476844"/>
      <w:bookmarkStart w:id="2656" w:name="_Toc227760135"/>
      <w:bookmarkStart w:id="2657" w:name="_Toc227825282"/>
      <w:r w:rsidRPr="004853EB">
        <w:rPr>
          <w:rFonts w:eastAsia="Times New Roman" w:cstheme="minorHAnsi"/>
          <w:b/>
          <w:sz w:val="20"/>
          <w:szCs w:val="20"/>
          <w:lang w:eastAsia="pl-PL"/>
        </w:rPr>
        <w:t>5.2. Oczyszczenie warstw nawierzchni</w:t>
      </w:r>
      <w:bookmarkEnd w:id="2646"/>
      <w:bookmarkEnd w:id="2647"/>
      <w:bookmarkEnd w:id="2648"/>
      <w:bookmarkEnd w:id="2649"/>
      <w:bookmarkEnd w:id="2650"/>
      <w:bookmarkEnd w:id="2651"/>
      <w:bookmarkEnd w:id="2652"/>
      <w:bookmarkEnd w:id="2653"/>
      <w:bookmarkEnd w:id="2654"/>
      <w:bookmarkEnd w:id="2655"/>
      <w:bookmarkEnd w:id="2656"/>
      <w:bookmarkEnd w:id="2657"/>
    </w:p>
    <w:p w14:paraId="107D718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Oczyszczenie warstw nawierzchni polega na usunięciu luźnego materiału, brudu, błota i kurzu przy użyciu szczotek 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14:paraId="3779817E"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658" w:name="_Toc407069683"/>
      <w:bookmarkStart w:id="2659" w:name="_Toc407081648"/>
      <w:bookmarkStart w:id="2660" w:name="_Toc407081791"/>
      <w:bookmarkStart w:id="2661" w:name="_Toc407083447"/>
      <w:bookmarkStart w:id="2662" w:name="_Toc407084281"/>
      <w:bookmarkStart w:id="2663" w:name="_Toc407085400"/>
      <w:bookmarkStart w:id="2664" w:name="_Toc407085543"/>
      <w:bookmarkStart w:id="2665" w:name="_Toc407085686"/>
      <w:bookmarkStart w:id="2666" w:name="_Toc407086134"/>
      <w:bookmarkStart w:id="2667" w:name="_Toc194476845"/>
      <w:bookmarkStart w:id="2668" w:name="_Toc227760136"/>
      <w:bookmarkStart w:id="2669" w:name="_Toc227825283"/>
      <w:r w:rsidRPr="004853EB">
        <w:rPr>
          <w:rFonts w:eastAsia="Times New Roman" w:cstheme="minorHAnsi"/>
          <w:b/>
          <w:caps/>
          <w:kern w:val="28"/>
          <w:sz w:val="20"/>
          <w:szCs w:val="20"/>
          <w:lang w:eastAsia="pl-PL"/>
        </w:rPr>
        <w:t>6. kontrola jakości robót</w:t>
      </w:r>
      <w:bookmarkEnd w:id="2658"/>
      <w:bookmarkEnd w:id="2659"/>
      <w:bookmarkEnd w:id="2660"/>
      <w:bookmarkEnd w:id="2661"/>
      <w:bookmarkEnd w:id="2662"/>
      <w:bookmarkEnd w:id="2663"/>
      <w:bookmarkEnd w:id="2664"/>
      <w:bookmarkEnd w:id="2665"/>
      <w:bookmarkEnd w:id="2666"/>
      <w:bookmarkEnd w:id="2667"/>
      <w:bookmarkEnd w:id="2668"/>
      <w:bookmarkEnd w:id="2669"/>
    </w:p>
    <w:p w14:paraId="4B6987C1"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670" w:name="_Toc407069684"/>
      <w:bookmarkStart w:id="2671" w:name="_Toc407081649"/>
      <w:bookmarkStart w:id="2672" w:name="_Toc407081792"/>
      <w:bookmarkStart w:id="2673" w:name="_Toc407083448"/>
      <w:bookmarkStart w:id="2674" w:name="_Toc407084282"/>
      <w:bookmarkStart w:id="2675" w:name="_Toc407085401"/>
      <w:bookmarkStart w:id="2676" w:name="_Toc407085544"/>
      <w:bookmarkStart w:id="2677" w:name="_Toc407085687"/>
      <w:bookmarkStart w:id="2678" w:name="_Toc407086135"/>
      <w:bookmarkStart w:id="2679" w:name="_Toc194476846"/>
      <w:bookmarkStart w:id="2680" w:name="_Toc227760137"/>
      <w:bookmarkStart w:id="2681" w:name="_Toc227825284"/>
      <w:r w:rsidRPr="004853EB">
        <w:rPr>
          <w:rFonts w:eastAsia="Times New Roman" w:cstheme="minorHAnsi"/>
          <w:b/>
          <w:sz w:val="20"/>
          <w:szCs w:val="20"/>
          <w:lang w:eastAsia="pl-PL"/>
        </w:rPr>
        <w:t>6.1. Ogólne zasady kontroli jakości robót</w:t>
      </w:r>
      <w:bookmarkEnd w:id="2670"/>
      <w:bookmarkEnd w:id="2671"/>
      <w:bookmarkEnd w:id="2672"/>
      <w:bookmarkEnd w:id="2673"/>
      <w:bookmarkEnd w:id="2674"/>
      <w:bookmarkEnd w:id="2675"/>
      <w:bookmarkEnd w:id="2676"/>
      <w:bookmarkEnd w:id="2677"/>
      <w:bookmarkEnd w:id="2678"/>
      <w:bookmarkEnd w:id="2679"/>
      <w:bookmarkEnd w:id="2680"/>
      <w:bookmarkEnd w:id="2681"/>
    </w:p>
    <w:p w14:paraId="2A89CDC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kontroli jakości robót podano w SST D-00.00.00 „Wymagania ogólne” pkt 6.</w:t>
      </w:r>
    </w:p>
    <w:p w14:paraId="03A937C0"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682" w:name="_Toc407069687"/>
      <w:bookmarkStart w:id="2683" w:name="_Toc407081652"/>
      <w:bookmarkStart w:id="2684" w:name="_Toc407081795"/>
      <w:bookmarkStart w:id="2685" w:name="_Toc407083451"/>
      <w:bookmarkStart w:id="2686" w:name="_Toc407084285"/>
      <w:bookmarkStart w:id="2687" w:name="_Toc407085404"/>
      <w:bookmarkStart w:id="2688" w:name="_Toc407085547"/>
      <w:bookmarkStart w:id="2689" w:name="_Toc407085690"/>
      <w:bookmarkStart w:id="2690" w:name="_Toc407086138"/>
      <w:bookmarkStart w:id="2691" w:name="_Toc194476847"/>
      <w:bookmarkStart w:id="2692" w:name="_Toc227760138"/>
      <w:bookmarkStart w:id="2693" w:name="_Toc227825285"/>
      <w:r w:rsidRPr="004853EB">
        <w:rPr>
          <w:rFonts w:eastAsia="Times New Roman" w:cstheme="minorHAnsi"/>
          <w:b/>
          <w:caps/>
          <w:kern w:val="28"/>
          <w:sz w:val="20"/>
          <w:szCs w:val="20"/>
          <w:lang w:eastAsia="pl-PL"/>
        </w:rPr>
        <w:lastRenderedPageBreak/>
        <w:t>7. obmiar robót</w:t>
      </w:r>
      <w:bookmarkEnd w:id="2682"/>
      <w:bookmarkEnd w:id="2683"/>
      <w:bookmarkEnd w:id="2684"/>
      <w:bookmarkEnd w:id="2685"/>
      <w:bookmarkEnd w:id="2686"/>
      <w:bookmarkEnd w:id="2687"/>
      <w:bookmarkEnd w:id="2688"/>
      <w:bookmarkEnd w:id="2689"/>
      <w:bookmarkEnd w:id="2690"/>
      <w:bookmarkEnd w:id="2691"/>
      <w:bookmarkEnd w:id="2692"/>
      <w:bookmarkEnd w:id="2693"/>
    </w:p>
    <w:p w14:paraId="0DCC610C"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694" w:name="_Toc407069688"/>
      <w:bookmarkStart w:id="2695" w:name="_Toc407081653"/>
      <w:bookmarkStart w:id="2696" w:name="_Toc407081796"/>
      <w:bookmarkStart w:id="2697" w:name="_Toc407083452"/>
      <w:bookmarkStart w:id="2698" w:name="_Toc407084286"/>
      <w:bookmarkStart w:id="2699" w:name="_Toc407085405"/>
      <w:bookmarkStart w:id="2700" w:name="_Toc407085548"/>
      <w:bookmarkStart w:id="2701" w:name="_Toc407085691"/>
      <w:bookmarkStart w:id="2702" w:name="_Toc407086139"/>
      <w:bookmarkStart w:id="2703" w:name="_Toc194476848"/>
      <w:bookmarkStart w:id="2704" w:name="_Toc227760139"/>
      <w:bookmarkStart w:id="2705" w:name="_Toc227825286"/>
      <w:r w:rsidRPr="004853EB">
        <w:rPr>
          <w:rFonts w:eastAsia="Times New Roman" w:cstheme="minorHAnsi"/>
          <w:b/>
          <w:sz w:val="20"/>
          <w:szCs w:val="20"/>
          <w:lang w:eastAsia="pl-PL"/>
        </w:rPr>
        <w:t>7.1. Ogólne zasady obmiaru robót</w:t>
      </w:r>
      <w:bookmarkEnd w:id="2694"/>
      <w:bookmarkEnd w:id="2695"/>
      <w:bookmarkEnd w:id="2696"/>
      <w:bookmarkEnd w:id="2697"/>
      <w:bookmarkEnd w:id="2698"/>
      <w:bookmarkEnd w:id="2699"/>
      <w:bookmarkEnd w:id="2700"/>
      <w:bookmarkEnd w:id="2701"/>
      <w:bookmarkEnd w:id="2702"/>
      <w:bookmarkEnd w:id="2703"/>
      <w:bookmarkEnd w:id="2704"/>
      <w:bookmarkEnd w:id="2705"/>
    </w:p>
    <w:p w14:paraId="74B3C7D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obmiaru robót podano w SST D-00.00.00 „Wymagania ogólne” pkt 7.</w:t>
      </w:r>
    </w:p>
    <w:p w14:paraId="3006BC68"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706" w:name="_Toc407069689"/>
      <w:bookmarkStart w:id="2707" w:name="_Toc407081654"/>
      <w:bookmarkStart w:id="2708" w:name="_Toc407081797"/>
      <w:bookmarkStart w:id="2709" w:name="_Toc407083453"/>
      <w:bookmarkStart w:id="2710" w:name="_Toc407084287"/>
      <w:bookmarkStart w:id="2711" w:name="_Toc407085406"/>
      <w:bookmarkStart w:id="2712" w:name="_Toc407085549"/>
      <w:bookmarkStart w:id="2713" w:name="_Toc407085692"/>
      <w:bookmarkStart w:id="2714" w:name="_Toc407086140"/>
      <w:bookmarkStart w:id="2715" w:name="_Toc194476849"/>
      <w:bookmarkStart w:id="2716" w:name="_Toc227760140"/>
      <w:bookmarkStart w:id="2717" w:name="_Toc227825287"/>
      <w:r w:rsidRPr="004853EB">
        <w:rPr>
          <w:rFonts w:eastAsia="Times New Roman" w:cstheme="minorHAnsi"/>
          <w:b/>
          <w:sz w:val="20"/>
          <w:szCs w:val="20"/>
          <w:lang w:eastAsia="pl-PL"/>
        </w:rPr>
        <w:t>7.2. Jednostka obmiarowa</w:t>
      </w:r>
      <w:bookmarkEnd w:id="2706"/>
      <w:bookmarkEnd w:id="2707"/>
      <w:bookmarkEnd w:id="2708"/>
      <w:bookmarkEnd w:id="2709"/>
      <w:bookmarkEnd w:id="2710"/>
      <w:bookmarkEnd w:id="2711"/>
      <w:bookmarkEnd w:id="2712"/>
      <w:bookmarkEnd w:id="2713"/>
      <w:bookmarkEnd w:id="2714"/>
      <w:bookmarkEnd w:id="2715"/>
      <w:bookmarkEnd w:id="2716"/>
      <w:bookmarkEnd w:id="2717"/>
    </w:p>
    <w:p w14:paraId="0D769CE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Jednostką obmiarową jest:</w:t>
      </w:r>
    </w:p>
    <w:p w14:paraId="1A6E097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(metr kwadratowy) oczyszczonej powierzchni,</w:t>
      </w:r>
    </w:p>
    <w:p w14:paraId="0A6DA88C"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718" w:name="_Toc407069690"/>
      <w:bookmarkStart w:id="2719" w:name="_Toc407081655"/>
      <w:bookmarkStart w:id="2720" w:name="_Toc407081798"/>
      <w:bookmarkStart w:id="2721" w:name="_Toc407083454"/>
      <w:bookmarkStart w:id="2722" w:name="_Toc407084288"/>
      <w:bookmarkStart w:id="2723" w:name="_Toc407085407"/>
      <w:bookmarkStart w:id="2724" w:name="_Toc407085550"/>
      <w:bookmarkStart w:id="2725" w:name="_Toc407085693"/>
      <w:bookmarkStart w:id="2726" w:name="_Toc407086141"/>
      <w:bookmarkStart w:id="2727" w:name="_Toc194476850"/>
      <w:bookmarkStart w:id="2728" w:name="_Toc227760141"/>
      <w:bookmarkStart w:id="2729" w:name="_Toc227825288"/>
      <w:r w:rsidRPr="004853EB">
        <w:rPr>
          <w:rFonts w:eastAsia="Times New Roman" w:cstheme="minorHAnsi"/>
          <w:b/>
          <w:caps/>
          <w:kern w:val="28"/>
          <w:sz w:val="20"/>
          <w:szCs w:val="20"/>
          <w:lang w:eastAsia="pl-PL"/>
        </w:rPr>
        <w:t>8. odbiór robót</w:t>
      </w:r>
      <w:bookmarkEnd w:id="2718"/>
      <w:bookmarkEnd w:id="2719"/>
      <w:bookmarkEnd w:id="2720"/>
      <w:bookmarkEnd w:id="2721"/>
      <w:bookmarkEnd w:id="2722"/>
      <w:bookmarkEnd w:id="2723"/>
      <w:bookmarkEnd w:id="2724"/>
      <w:bookmarkEnd w:id="2725"/>
      <w:bookmarkEnd w:id="2726"/>
      <w:bookmarkEnd w:id="2727"/>
      <w:bookmarkEnd w:id="2728"/>
      <w:bookmarkEnd w:id="2729"/>
    </w:p>
    <w:p w14:paraId="2BE7AA9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odbioru robót podano w SST D-00.00.00 „Wymagania ogólne” pkt 8.</w:t>
      </w:r>
    </w:p>
    <w:p w14:paraId="71878737"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730" w:name="_Toc407069691"/>
      <w:bookmarkStart w:id="2731" w:name="_Toc407081656"/>
      <w:bookmarkStart w:id="2732" w:name="_Toc407081799"/>
      <w:bookmarkStart w:id="2733" w:name="_Toc407083455"/>
      <w:bookmarkStart w:id="2734" w:name="_Toc407084289"/>
      <w:bookmarkStart w:id="2735" w:name="_Toc407085408"/>
      <w:bookmarkStart w:id="2736" w:name="_Toc407085551"/>
      <w:bookmarkStart w:id="2737" w:name="_Toc407085694"/>
      <w:bookmarkStart w:id="2738" w:name="_Toc407086142"/>
      <w:bookmarkStart w:id="2739" w:name="_Toc194476851"/>
      <w:bookmarkStart w:id="2740" w:name="_Toc227760142"/>
      <w:bookmarkStart w:id="2741" w:name="_Toc227825289"/>
      <w:r w:rsidRPr="004853EB">
        <w:rPr>
          <w:rFonts w:eastAsia="Times New Roman" w:cstheme="minorHAnsi"/>
          <w:b/>
          <w:caps/>
          <w:kern w:val="28"/>
          <w:sz w:val="20"/>
          <w:szCs w:val="20"/>
          <w:lang w:eastAsia="pl-PL"/>
        </w:rPr>
        <w:t>9. podstawa płatności</w:t>
      </w:r>
      <w:bookmarkEnd w:id="2730"/>
      <w:bookmarkEnd w:id="2731"/>
      <w:bookmarkEnd w:id="2732"/>
      <w:bookmarkEnd w:id="2733"/>
      <w:bookmarkEnd w:id="2734"/>
      <w:bookmarkEnd w:id="2735"/>
      <w:bookmarkEnd w:id="2736"/>
      <w:bookmarkEnd w:id="2737"/>
      <w:bookmarkEnd w:id="2738"/>
      <w:bookmarkEnd w:id="2739"/>
      <w:bookmarkEnd w:id="2740"/>
      <w:bookmarkEnd w:id="2741"/>
    </w:p>
    <w:p w14:paraId="775B438F"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742" w:name="_Toc407069692"/>
      <w:bookmarkStart w:id="2743" w:name="_Toc407081657"/>
      <w:bookmarkStart w:id="2744" w:name="_Toc407081800"/>
      <w:bookmarkStart w:id="2745" w:name="_Toc407083456"/>
      <w:bookmarkStart w:id="2746" w:name="_Toc407084290"/>
      <w:bookmarkStart w:id="2747" w:name="_Toc407085409"/>
      <w:bookmarkStart w:id="2748" w:name="_Toc407085552"/>
      <w:bookmarkStart w:id="2749" w:name="_Toc407085695"/>
      <w:bookmarkStart w:id="2750" w:name="_Toc407086143"/>
      <w:bookmarkStart w:id="2751" w:name="_Toc194476852"/>
      <w:bookmarkStart w:id="2752" w:name="_Toc227760143"/>
      <w:bookmarkStart w:id="2753" w:name="_Toc227825290"/>
      <w:r w:rsidRPr="004853EB">
        <w:rPr>
          <w:rFonts w:eastAsia="Times New Roman" w:cstheme="minorHAnsi"/>
          <w:b/>
          <w:sz w:val="20"/>
          <w:szCs w:val="20"/>
          <w:lang w:eastAsia="pl-PL"/>
        </w:rPr>
        <w:t>9.1. Ogólne ustalenia dotyczące podstawy płatności</w:t>
      </w:r>
      <w:bookmarkEnd w:id="2742"/>
      <w:bookmarkEnd w:id="2743"/>
      <w:bookmarkEnd w:id="2744"/>
      <w:bookmarkEnd w:id="2745"/>
      <w:bookmarkEnd w:id="2746"/>
      <w:bookmarkEnd w:id="2747"/>
      <w:bookmarkEnd w:id="2748"/>
      <w:bookmarkEnd w:id="2749"/>
      <w:bookmarkEnd w:id="2750"/>
      <w:bookmarkEnd w:id="2751"/>
      <w:bookmarkEnd w:id="2752"/>
      <w:bookmarkEnd w:id="2753"/>
    </w:p>
    <w:p w14:paraId="033BCB7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ustalenia dotyczące podstawy płatności podano w SST D-00.00.00 „Wymagania ogólne” pkt 9.</w:t>
      </w:r>
    </w:p>
    <w:p w14:paraId="27F8B00E"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754" w:name="_Toc407069693"/>
      <w:bookmarkStart w:id="2755" w:name="_Toc407081658"/>
      <w:bookmarkStart w:id="2756" w:name="_Toc407081801"/>
      <w:bookmarkStart w:id="2757" w:name="_Toc407083457"/>
      <w:bookmarkStart w:id="2758" w:name="_Toc407084291"/>
      <w:bookmarkStart w:id="2759" w:name="_Toc407085410"/>
      <w:bookmarkStart w:id="2760" w:name="_Toc407085553"/>
      <w:bookmarkStart w:id="2761" w:name="_Toc407085696"/>
      <w:bookmarkStart w:id="2762" w:name="_Toc407086144"/>
      <w:bookmarkStart w:id="2763" w:name="_Toc194476853"/>
      <w:bookmarkStart w:id="2764" w:name="_Toc227760144"/>
      <w:bookmarkStart w:id="2765" w:name="_Toc227825291"/>
      <w:r w:rsidRPr="004853EB">
        <w:rPr>
          <w:rFonts w:eastAsia="Times New Roman" w:cstheme="minorHAnsi"/>
          <w:b/>
          <w:sz w:val="20"/>
          <w:szCs w:val="20"/>
          <w:lang w:eastAsia="pl-PL"/>
        </w:rPr>
        <w:t>9.2. Cena jednostki obmiarowej</w:t>
      </w:r>
      <w:bookmarkEnd w:id="2754"/>
      <w:bookmarkEnd w:id="2755"/>
      <w:bookmarkEnd w:id="2756"/>
      <w:bookmarkEnd w:id="2757"/>
      <w:bookmarkEnd w:id="2758"/>
      <w:bookmarkEnd w:id="2759"/>
      <w:bookmarkEnd w:id="2760"/>
      <w:bookmarkEnd w:id="2761"/>
      <w:bookmarkEnd w:id="2762"/>
      <w:bookmarkEnd w:id="2763"/>
      <w:bookmarkEnd w:id="2764"/>
      <w:bookmarkEnd w:id="2765"/>
    </w:p>
    <w:p w14:paraId="0A86C230" w14:textId="6D1B1784"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Cena 1 m</w:t>
      </w:r>
      <w:r w:rsidR="00B67D8D" w:rsidRPr="004853EB">
        <w:rPr>
          <w:rFonts w:eastAsia="Times New Roman" w:cstheme="minorHAnsi"/>
          <w:sz w:val="20"/>
          <w:szCs w:val="20"/>
          <w:vertAlign w:val="superscript"/>
          <w:lang w:eastAsia="pl-PL"/>
        </w:rPr>
        <w:t>2</w:t>
      </w:r>
      <w:r w:rsidR="00B67D8D" w:rsidRPr="004853EB">
        <w:rPr>
          <w:rFonts w:eastAsia="Times New Roman" w:cstheme="minorHAnsi"/>
          <w:sz w:val="20"/>
          <w:szCs w:val="20"/>
          <w:lang w:eastAsia="pl-PL"/>
        </w:rPr>
        <w:t xml:space="preserve"> oczyszczenia warstw</w:t>
      </w:r>
      <w:r w:rsidRPr="004853EB">
        <w:rPr>
          <w:rFonts w:eastAsia="Times New Roman" w:cstheme="minorHAnsi"/>
          <w:sz w:val="20"/>
          <w:szCs w:val="20"/>
          <w:lang w:eastAsia="pl-PL"/>
        </w:rPr>
        <w:t xml:space="preserve"> konstrukcyjnych obejmuje:</w:t>
      </w:r>
    </w:p>
    <w:p w14:paraId="6ED45F49"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mechaniczne oczyszczenie każdej niżej położonej warstwy konstrukcyjnej nawierzchni z ewentualnym polewaniem wodą lub użyciem sprężonego powietrza, </w:t>
      </w:r>
    </w:p>
    <w:p w14:paraId="64586808"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ręczne odspojenie stwardniałych zanieczyszczeń.</w:t>
      </w:r>
    </w:p>
    <w:p w14:paraId="2E9BE621" w14:textId="77777777" w:rsidR="00CC1EF4" w:rsidRPr="004853EB" w:rsidRDefault="00CC1EF4">
      <w:pPr>
        <w:rPr>
          <w:rFonts w:cstheme="minorHAnsi"/>
        </w:rPr>
      </w:pPr>
    </w:p>
    <w:p w14:paraId="2DD8570E" w14:textId="77777777" w:rsidR="00CC1EF4" w:rsidRPr="004853EB" w:rsidRDefault="00CC1EF4">
      <w:pPr>
        <w:rPr>
          <w:rFonts w:cstheme="minorHAnsi"/>
        </w:rPr>
      </w:pPr>
    </w:p>
    <w:p w14:paraId="5F909079" w14:textId="77777777" w:rsidR="00CC1EF4" w:rsidRPr="004853EB" w:rsidRDefault="00CC1EF4">
      <w:pPr>
        <w:rPr>
          <w:rFonts w:cstheme="minorHAnsi"/>
        </w:rPr>
      </w:pPr>
    </w:p>
    <w:p w14:paraId="48034A5F" w14:textId="77777777" w:rsidR="00CC1EF4" w:rsidRPr="004853EB" w:rsidRDefault="00CC1EF4">
      <w:pPr>
        <w:rPr>
          <w:rFonts w:cstheme="minorHAnsi"/>
        </w:rPr>
      </w:pPr>
    </w:p>
    <w:p w14:paraId="4149053D" w14:textId="77777777" w:rsidR="00CC1EF4" w:rsidRPr="004853EB" w:rsidRDefault="00CC1EF4">
      <w:pPr>
        <w:rPr>
          <w:rFonts w:cstheme="minorHAnsi"/>
        </w:rPr>
      </w:pPr>
    </w:p>
    <w:p w14:paraId="295AD020" w14:textId="77777777" w:rsidR="00CC1EF4" w:rsidRPr="004853EB" w:rsidRDefault="00CC1EF4">
      <w:pPr>
        <w:rPr>
          <w:rFonts w:cstheme="minorHAnsi"/>
        </w:rPr>
      </w:pPr>
    </w:p>
    <w:p w14:paraId="1BEF22BC" w14:textId="77777777" w:rsidR="00CC1EF4" w:rsidRPr="004853EB" w:rsidRDefault="00CC1EF4">
      <w:pPr>
        <w:rPr>
          <w:rFonts w:cstheme="minorHAnsi"/>
        </w:rPr>
      </w:pPr>
    </w:p>
    <w:p w14:paraId="4014483C" w14:textId="77777777" w:rsidR="00CC1EF4" w:rsidRPr="004853EB" w:rsidRDefault="00CC1EF4">
      <w:pPr>
        <w:rPr>
          <w:rFonts w:cstheme="minorHAnsi"/>
        </w:rPr>
      </w:pPr>
    </w:p>
    <w:p w14:paraId="6523F9A4" w14:textId="77777777" w:rsidR="00CC1EF4" w:rsidRPr="004853EB" w:rsidRDefault="00CC1EF4">
      <w:pPr>
        <w:rPr>
          <w:rFonts w:cstheme="minorHAnsi"/>
        </w:rPr>
      </w:pPr>
    </w:p>
    <w:p w14:paraId="302CEC3C" w14:textId="77777777" w:rsidR="00CC1EF4" w:rsidRPr="004853EB" w:rsidRDefault="00CC1EF4">
      <w:pPr>
        <w:rPr>
          <w:rFonts w:cstheme="minorHAnsi"/>
        </w:rPr>
      </w:pPr>
    </w:p>
    <w:p w14:paraId="466F839A" w14:textId="77777777" w:rsidR="00CC1EF4" w:rsidRPr="004853EB" w:rsidRDefault="00CC1EF4">
      <w:pPr>
        <w:rPr>
          <w:rFonts w:cstheme="minorHAnsi"/>
        </w:rPr>
      </w:pPr>
    </w:p>
    <w:p w14:paraId="3F188190" w14:textId="77777777" w:rsidR="00CC1EF4" w:rsidRPr="004853EB" w:rsidRDefault="00CC1EF4">
      <w:pPr>
        <w:rPr>
          <w:rFonts w:cstheme="minorHAnsi"/>
        </w:rPr>
      </w:pPr>
    </w:p>
    <w:p w14:paraId="2A2F4A41" w14:textId="77777777" w:rsidR="00CC1EF4" w:rsidRPr="004853EB" w:rsidRDefault="00CC1EF4">
      <w:pPr>
        <w:rPr>
          <w:rFonts w:cstheme="minorHAnsi"/>
        </w:rPr>
      </w:pPr>
    </w:p>
    <w:p w14:paraId="73406A64" w14:textId="77777777" w:rsidR="00CC1EF4" w:rsidRPr="004853EB" w:rsidRDefault="00CC1EF4">
      <w:pPr>
        <w:rPr>
          <w:rFonts w:cstheme="minorHAnsi"/>
        </w:rPr>
      </w:pPr>
    </w:p>
    <w:p w14:paraId="093E62D0" w14:textId="77777777" w:rsidR="00CC1EF4" w:rsidRPr="004853EB" w:rsidRDefault="00CC1EF4">
      <w:pPr>
        <w:rPr>
          <w:rFonts w:cstheme="minorHAnsi"/>
        </w:rPr>
      </w:pPr>
    </w:p>
    <w:p w14:paraId="39616901" w14:textId="77777777" w:rsidR="00CC1EF4" w:rsidRPr="004853EB" w:rsidRDefault="00CC1EF4">
      <w:pPr>
        <w:rPr>
          <w:rFonts w:cstheme="minorHAnsi"/>
        </w:rPr>
      </w:pPr>
    </w:p>
    <w:p w14:paraId="690621FA" w14:textId="77777777" w:rsidR="00CC1EF4" w:rsidRPr="004853EB" w:rsidRDefault="00CC1EF4">
      <w:pPr>
        <w:rPr>
          <w:rFonts w:cstheme="minorHAnsi"/>
        </w:rPr>
      </w:pPr>
    </w:p>
    <w:p w14:paraId="2B527320" w14:textId="77777777" w:rsidR="00CC1EF4" w:rsidRPr="004853EB" w:rsidRDefault="00CC1EF4">
      <w:pPr>
        <w:rPr>
          <w:rFonts w:cstheme="minorHAnsi"/>
        </w:rPr>
      </w:pPr>
    </w:p>
    <w:p w14:paraId="15175D68" w14:textId="77777777" w:rsidR="00CC1EF4" w:rsidRPr="004853EB" w:rsidRDefault="00CC1EF4">
      <w:pPr>
        <w:rPr>
          <w:rFonts w:cstheme="minorHAnsi"/>
        </w:rPr>
      </w:pPr>
    </w:p>
    <w:p w14:paraId="3C671CE6" w14:textId="77777777" w:rsidR="00CC1EF4" w:rsidRPr="004853EB" w:rsidRDefault="00CC1EF4" w:rsidP="003A11E0">
      <w:pPr>
        <w:pStyle w:val="Nagwek1"/>
        <w:rPr>
          <w:rFonts w:asciiTheme="minorHAnsi" w:hAnsiTheme="minorHAnsi" w:cstheme="minorHAnsi"/>
          <w:sz w:val="22"/>
          <w:szCs w:val="22"/>
        </w:rPr>
      </w:pPr>
      <w:bookmarkStart w:id="2766" w:name="_Toc227825292"/>
      <w:r w:rsidRPr="004853EB">
        <w:rPr>
          <w:rFonts w:asciiTheme="minorHAnsi" w:hAnsiTheme="minorHAnsi" w:cstheme="minorHAnsi"/>
          <w:sz w:val="22"/>
          <w:szCs w:val="22"/>
        </w:rPr>
        <w:lastRenderedPageBreak/>
        <w:t xml:space="preserve">D </w:t>
      </w:r>
      <w:r w:rsidR="003A11E0" w:rsidRPr="004853EB">
        <w:rPr>
          <w:rFonts w:asciiTheme="minorHAnsi" w:hAnsiTheme="minorHAnsi" w:cstheme="minorHAnsi"/>
          <w:sz w:val="22"/>
          <w:szCs w:val="22"/>
        </w:rPr>
        <w:t>-</w:t>
      </w:r>
      <w:r w:rsidRPr="004853EB">
        <w:rPr>
          <w:rFonts w:asciiTheme="minorHAnsi" w:hAnsiTheme="minorHAnsi" w:cstheme="minorHAnsi"/>
          <w:sz w:val="22"/>
          <w:szCs w:val="22"/>
        </w:rPr>
        <w:t xml:space="preserve"> 04.03.01a POŁĄCZENIE MIĘDZYWARSTWOWE NAWIERZCHNI DROGOWEJ EMULSJĄ ASFALTOWĄ</w:t>
      </w:r>
      <w:bookmarkEnd w:id="2766"/>
    </w:p>
    <w:p w14:paraId="5ACC6D48"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767" w:name="_Toc344981393"/>
      <w:bookmarkStart w:id="2768" w:name="_Toc194476855"/>
      <w:bookmarkStart w:id="2769" w:name="_Toc227760146"/>
      <w:bookmarkStart w:id="2770" w:name="_Toc227825293"/>
      <w:r w:rsidRPr="004853EB">
        <w:rPr>
          <w:rFonts w:eastAsia="Times New Roman" w:cstheme="minorHAnsi"/>
          <w:b/>
          <w:caps/>
          <w:kern w:val="28"/>
          <w:sz w:val="20"/>
          <w:szCs w:val="20"/>
          <w:lang w:eastAsia="pl-PL"/>
        </w:rPr>
        <w:t>1. Wstęp</w:t>
      </w:r>
      <w:bookmarkEnd w:id="2767"/>
      <w:bookmarkEnd w:id="2768"/>
      <w:bookmarkEnd w:id="2769"/>
      <w:bookmarkEnd w:id="2770"/>
    </w:p>
    <w:p w14:paraId="6F89592A"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771" w:name="_Toc194476856"/>
      <w:bookmarkStart w:id="2772" w:name="_Toc227760147"/>
      <w:bookmarkStart w:id="2773" w:name="_Toc227825294"/>
      <w:r w:rsidRPr="004853EB">
        <w:rPr>
          <w:rFonts w:eastAsia="Times New Roman" w:cstheme="minorHAnsi"/>
          <w:b/>
          <w:sz w:val="20"/>
          <w:szCs w:val="20"/>
          <w:lang w:eastAsia="pl-PL"/>
        </w:rPr>
        <w:t>1.1. Przedmiot SST</w:t>
      </w:r>
      <w:bookmarkEnd w:id="2771"/>
      <w:bookmarkEnd w:id="2772"/>
      <w:bookmarkEnd w:id="2773"/>
    </w:p>
    <w:p w14:paraId="032EA3B0" w14:textId="77777777" w:rsidR="00CC1EF4" w:rsidRPr="004853EB" w:rsidRDefault="00CC1EF4" w:rsidP="00CC1EF4">
      <w:pPr>
        <w:keepNext/>
        <w:overflowPunct w:val="0"/>
        <w:autoSpaceDE w:val="0"/>
        <w:autoSpaceDN w:val="0"/>
        <w:adjustRightInd w:val="0"/>
        <w:spacing w:before="120" w:after="120" w:line="240" w:lineRule="auto"/>
        <w:ind w:firstLine="709"/>
        <w:jc w:val="both"/>
        <w:textAlignment w:val="baseline"/>
        <w:outlineLvl w:val="1"/>
        <w:rPr>
          <w:rFonts w:eastAsia="Times New Roman" w:cstheme="minorHAnsi"/>
          <w:sz w:val="20"/>
          <w:szCs w:val="20"/>
          <w:lang w:eastAsia="pl-PL"/>
        </w:rPr>
      </w:pPr>
      <w:bookmarkStart w:id="2774" w:name="_Toc194476857"/>
      <w:bookmarkStart w:id="2775" w:name="_Toc227760148"/>
      <w:bookmarkStart w:id="2776" w:name="_Toc227825295"/>
      <w:r w:rsidRPr="004853EB">
        <w:rPr>
          <w:rFonts w:eastAsia="Times New Roman" w:cstheme="minorHAnsi"/>
          <w:sz w:val="20"/>
          <w:szCs w:val="20"/>
          <w:lang w:eastAsia="pl-PL"/>
        </w:rPr>
        <w:t>Przedmiotem niniejszej szczegółowej specyfikacji technicznej (SST) są wymagania dotyczące wykonania i odbioru robót związanych z połączeniem międzywarstwowym emulsją asfaltową warstw nawierzchni drogowej.</w:t>
      </w:r>
      <w:bookmarkEnd w:id="2774"/>
      <w:bookmarkEnd w:id="2775"/>
      <w:bookmarkEnd w:id="2776"/>
    </w:p>
    <w:p w14:paraId="2F4A3B21"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777" w:name="_Toc194476858"/>
      <w:bookmarkStart w:id="2778" w:name="_Toc227760149"/>
      <w:bookmarkStart w:id="2779" w:name="_Toc227825296"/>
      <w:r w:rsidRPr="004853EB">
        <w:rPr>
          <w:rFonts w:eastAsia="Times New Roman" w:cstheme="minorHAnsi"/>
          <w:b/>
          <w:sz w:val="20"/>
          <w:szCs w:val="20"/>
          <w:lang w:eastAsia="pl-PL"/>
        </w:rPr>
        <w:t>1.2. Zakres stosowania SST</w:t>
      </w:r>
      <w:bookmarkEnd w:id="2777"/>
      <w:bookmarkEnd w:id="2778"/>
      <w:bookmarkEnd w:id="2779"/>
    </w:p>
    <w:p w14:paraId="4DCB309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Specyfikacja techniczna jest stosowana jako dokument przetargowy i kontraktowy przy zlecaniu i realizacji robót wymienionych w pkt 1.1.</w:t>
      </w:r>
    </w:p>
    <w:p w14:paraId="0712F169"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780" w:name="_Toc194476859"/>
      <w:bookmarkStart w:id="2781" w:name="_Toc227760150"/>
      <w:bookmarkStart w:id="2782" w:name="_Toc227825297"/>
      <w:r w:rsidRPr="004853EB">
        <w:rPr>
          <w:rFonts w:eastAsia="Times New Roman" w:cstheme="minorHAnsi"/>
          <w:b/>
          <w:sz w:val="20"/>
          <w:szCs w:val="20"/>
          <w:lang w:eastAsia="pl-PL"/>
        </w:rPr>
        <w:t>1.3. Zakres robót objętych SST</w:t>
      </w:r>
      <w:bookmarkEnd w:id="2780"/>
      <w:bookmarkEnd w:id="2781"/>
      <w:bookmarkEnd w:id="2782"/>
    </w:p>
    <w:p w14:paraId="7CC40E9A" w14:textId="7253AD7B"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Ustalenia zawarte w niniejszej specyfikacji związane z </w:t>
      </w:r>
      <w:r w:rsidRPr="004853EB">
        <w:rPr>
          <w:rFonts w:eastAsia="Times New Roman" w:cstheme="minorHAnsi"/>
          <w:b/>
          <w:sz w:val="20"/>
          <w:szCs w:val="20"/>
          <w:lang w:eastAsia="pl-PL"/>
        </w:rPr>
        <w:t xml:space="preserve">Przebudową </w:t>
      </w:r>
      <w:r w:rsidR="00B67D8D" w:rsidRPr="004853EB">
        <w:rPr>
          <w:rFonts w:eastAsia="Times New Roman" w:cstheme="minorHAnsi"/>
          <w:b/>
          <w:sz w:val="20"/>
          <w:szCs w:val="20"/>
          <w:lang w:eastAsia="pl-PL"/>
        </w:rPr>
        <w:t>drogi powiatowej</w:t>
      </w:r>
      <w:r w:rsidRPr="004853EB">
        <w:rPr>
          <w:rFonts w:eastAsia="Times New Roman" w:cstheme="minorHAnsi"/>
          <w:b/>
          <w:sz w:val="20"/>
          <w:szCs w:val="20"/>
          <w:lang w:eastAsia="pl-PL"/>
        </w:rPr>
        <w:t xml:space="preserve"> nr </w:t>
      </w:r>
      <w:r w:rsidR="00386337" w:rsidRPr="00386337">
        <w:rPr>
          <w:rFonts w:eastAsia="Times New Roman" w:cstheme="minorHAnsi"/>
          <w:b/>
          <w:bCs/>
          <w:sz w:val="20"/>
          <w:szCs w:val="20"/>
          <w:lang w:eastAsia="pl-PL"/>
        </w:rPr>
        <w:t>4506W Zwoleń – Sarnów w miejscowości Łuczynów</w:t>
      </w:r>
      <w:r w:rsidR="00386337" w:rsidRPr="00386337">
        <w:rPr>
          <w:rFonts w:eastAsia="Times New Roman" w:cstheme="minorHAnsi"/>
          <w:b/>
          <w:sz w:val="20"/>
          <w:szCs w:val="20"/>
          <w:lang w:eastAsia="pl-PL"/>
        </w:rPr>
        <w:t xml:space="preserve"> </w:t>
      </w:r>
      <w:r w:rsidRPr="004853EB">
        <w:rPr>
          <w:rFonts w:eastAsia="Times New Roman" w:cstheme="minorHAnsi"/>
          <w:sz w:val="20"/>
          <w:szCs w:val="20"/>
          <w:lang w:eastAsia="pl-PL"/>
        </w:rPr>
        <w:t xml:space="preserve">i obejmują roboty związane z wykonaniem i odbiorem połączeń międzywarstwowycvh warstw z mieszanek mineralno-asfaltowych i warstwy podbudowy znajdujących się </w:t>
      </w:r>
      <w:r w:rsidR="00B67D8D">
        <w:rPr>
          <w:rFonts w:eastAsia="Times New Roman" w:cstheme="minorHAnsi"/>
          <w:sz w:val="20"/>
          <w:szCs w:val="20"/>
          <w:lang w:eastAsia="pl-PL"/>
        </w:rPr>
        <w:br/>
      </w:r>
      <w:r w:rsidRPr="004853EB">
        <w:rPr>
          <w:rFonts w:eastAsia="Times New Roman" w:cstheme="minorHAnsi"/>
          <w:sz w:val="20"/>
          <w:szCs w:val="20"/>
          <w:lang w:eastAsia="pl-PL"/>
        </w:rPr>
        <w:t>w ciągu drogi.</w:t>
      </w:r>
    </w:p>
    <w:p w14:paraId="0871126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Połączenia międzywarstwowe mają zadanie powiązania warstw nawierzchni w jeden monolit, co jest konieczne ze względu na nośność (przenoszenie obciążeń na podłoże) oraz zapobieganie sfalowaniu, koleinowaniu a także łuszczeniu się nawierzchni.</w:t>
      </w:r>
    </w:p>
    <w:p w14:paraId="74DB8E9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Połączenia międzywarstwowe wykonuje się z zasady przez skropienie emulsją asfaltową.</w:t>
      </w:r>
    </w:p>
    <w:p w14:paraId="25FB531D" w14:textId="0F33359B"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 SST podano wymagania, dotyczące połączeń międzywarstwowych układanych warstw asfaltowych </w:t>
      </w:r>
      <w:r w:rsidR="00B67D8D">
        <w:rPr>
          <w:rFonts w:eastAsia="Times New Roman" w:cstheme="minorHAnsi"/>
          <w:sz w:val="20"/>
          <w:szCs w:val="20"/>
          <w:lang w:eastAsia="pl-PL"/>
        </w:rPr>
        <w:br/>
      </w:r>
      <w:r w:rsidRPr="004853EB">
        <w:rPr>
          <w:rFonts w:eastAsia="Times New Roman" w:cstheme="minorHAnsi"/>
          <w:sz w:val="20"/>
          <w:szCs w:val="20"/>
          <w:lang w:eastAsia="pl-PL"/>
        </w:rPr>
        <w:t>z betonu asfaltowego, asfaltu porowatego, mieszanek SMA i BBTM na warstwach asfaltowych oraz podbudowach z kruszyw.</w:t>
      </w:r>
    </w:p>
    <w:p w14:paraId="35B041FF" w14:textId="77777777" w:rsidR="00CC1EF4" w:rsidRPr="004853EB" w:rsidRDefault="00CC1EF4" w:rsidP="00CC1EF4">
      <w:pPr>
        <w:overflowPunct w:val="0"/>
        <w:autoSpaceDE w:val="0"/>
        <w:autoSpaceDN w:val="0"/>
        <w:adjustRightInd w:val="0"/>
        <w:spacing w:after="0" w:line="240" w:lineRule="auto"/>
        <w:ind w:left="66"/>
        <w:jc w:val="both"/>
        <w:textAlignment w:val="baseline"/>
        <w:rPr>
          <w:rFonts w:eastAsia="Times New Roman" w:cstheme="minorHAnsi"/>
          <w:sz w:val="20"/>
          <w:szCs w:val="20"/>
          <w:lang w:eastAsia="pl-PL"/>
        </w:rPr>
      </w:pPr>
    </w:p>
    <w:p w14:paraId="45E0B1E5"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783" w:name="_Toc194476860"/>
      <w:bookmarkStart w:id="2784" w:name="_Toc227760151"/>
      <w:bookmarkStart w:id="2785" w:name="_Toc227825298"/>
      <w:r w:rsidRPr="004853EB">
        <w:rPr>
          <w:rFonts w:eastAsia="Times New Roman" w:cstheme="minorHAnsi"/>
          <w:b/>
          <w:sz w:val="20"/>
          <w:szCs w:val="20"/>
          <w:lang w:eastAsia="pl-PL"/>
        </w:rPr>
        <w:t>1.4. Określenia podstawowe</w:t>
      </w:r>
      <w:bookmarkEnd w:id="2783"/>
      <w:bookmarkEnd w:id="2784"/>
      <w:bookmarkEnd w:id="2785"/>
    </w:p>
    <w:p w14:paraId="58158B5C" w14:textId="3A9C40C5" w:rsidR="00CC1EF4" w:rsidRPr="004853EB" w:rsidRDefault="00CC1EF4" w:rsidP="00CC1EF4">
      <w:pPr>
        <w:overflowPunct w:val="0"/>
        <w:autoSpaceDE w:val="0"/>
        <w:autoSpaceDN w:val="0"/>
        <w:adjustRightInd w:val="0"/>
        <w:spacing w:after="120" w:line="240" w:lineRule="auto"/>
        <w:jc w:val="both"/>
        <w:textAlignment w:val="baseline"/>
        <w:rPr>
          <w:rFonts w:eastAsia="Times New Roman" w:cstheme="minorHAnsi"/>
          <w:b/>
          <w:sz w:val="20"/>
          <w:szCs w:val="20"/>
          <w:lang w:eastAsia="pl-PL"/>
        </w:rPr>
      </w:pPr>
      <w:r w:rsidRPr="004853EB">
        <w:rPr>
          <w:rFonts w:eastAsia="Times New Roman" w:cstheme="minorHAnsi"/>
          <w:b/>
          <w:sz w:val="20"/>
          <w:szCs w:val="20"/>
          <w:lang w:eastAsia="pl-PL"/>
        </w:rPr>
        <w:t xml:space="preserve">1.4.1. </w:t>
      </w:r>
      <w:r w:rsidRPr="004853EB">
        <w:rPr>
          <w:rFonts w:eastAsia="Times New Roman" w:cstheme="minorHAnsi"/>
          <w:sz w:val="20"/>
          <w:szCs w:val="20"/>
          <w:lang w:eastAsia="pl-PL"/>
        </w:rPr>
        <w:t xml:space="preserve">Nawierzchnia – konstrukcja składająca się z jednej lub kilku warstw, służących do przejmowania </w:t>
      </w:r>
      <w:r w:rsidR="00B67D8D">
        <w:rPr>
          <w:rFonts w:eastAsia="Times New Roman" w:cstheme="minorHAnsi"/>
          <w:sz w:val="20"/>
          <w:szCs w:val="20"/>
          <w:lang w:eastAsia="pl-PL"/>
        </w:rPr>
        <w:br/>
      </w:r>
      <w:r w:rsidRPr="004853EB">
        <w:rPr>
          <w:rFonts w:eastAsia="Times New Roman" w:cstheme="minorHAnsi"/>
          <w:sz w:val="20"/>
          <w:szCs w:val="20"/>
          <w:lang w:eastAsia="pl-PL"/>
        </w:rPr>
        <w:t>i rozkładania na podłoże obciążeń od ruchu pojazdów.</w:t>
      </w:r>
    </w:p>
    <w:p w14:paraId="4D903B36" w14:textId="176D87A8"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1.4.2. </w:t>
      </w:r>
      <w:r w:rsidRPr="004853EB">
        <w:rPr>
          <w:rFonts w:eastAsia="Times New Roman" w:cstheme="minorHAnsi"/>
          <w:sz w:val="20"/>
          <w:szCs w:val="20"/>
          <w:lang w:eastAsia="pl-PL"/>
        </w:rPr>
        <w:t xml:space="preserve">Warstwa – element konstrukcji nawierzchni zbudowany z jednego materiału, który może składać się </w:t>
      </w:r>
      <w:r w:rsidR="00B67D8D">
        <w:rPr>
          <w:rFonts w:eastAsia="Times New Roman" w:cstheme="minorHAnsi"/>
          <w:sz w:val="20"/>
          <w:szCs w:val="20"/>
          <w:lang w:eastAsia="pl-PL"/>
        </w:rPr>
        <w:br/>
      </w:r>
      <w:r w:rsidRPr="004853EB">
        <w:rPr>
          <w:rFonts w:eastAsia="Times New Roman" w:cstheme="minorHAnsi"/>
          <w:sz w:val="20"/>
          <w:szCs w:val="20"/>
          <w:lang w:eastAsia="pl-PL"/>
        </w:rPr>
        <w:t>z jednej lub wielu warstw układanych w pojedynczej operacji.</w:t>
      </w:r>
    </w:p>
    <w:p w14:paraId="313C6AF3"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1.4.3. </w:t>
      </w:r>
      <w:r w:rsidRPr="004853EB">
        <w:rPr>
          <w:rFonts w:eastAsia="Times New Roman" w:cstheme="minorHAnsi"/>
          <w:sz w:val="20"/>
          <w:szCs w:val="20"/>
          <w:lang w:eastAsia="pl-PL"/>
        </w:rPr>
        <w:t>Warstwa ścieralna</w:t>
      </w:r>
      <w:r w:rsidRPr="004853EB">
        <w:rPr>
          <w:rFonts w:eastAsia="Times New Roman" w:cstheme="minorHAnsi"/>
          <w:b/>
          <w:sz w:val="20"/>
          <w:szCs w:val="20"/>
          <w:lang w:eastAsia="pl-PL"/>
        </w:rPr>
        <w:t xml:space="preserve"> </w:t>
      </w:r>
      <w:r w:rsidRPr="004853EB">
        <w:rPr>
          <w:rFonts w:eastAsia="Times New Roman" w:cstheme="minorHAnsi"/>
          <w:sz w:val="20"/>
          <w:szCs w:val="20"/>
          <w:lang w:eastAsia="pl-PL"/>
        </w:rPr>
        <w:t>– górna warstwa nawierzchni będąca w bezpośrednim kontakcie z kołami pojazdów.</w:t>
      </w:r>
    </w:p>
    <w:p w14:paraId="75DFA811"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1.4.4. </w:t>
      </w:r>
      <w:r w:rsidRPr="004853EB">
        <w:rPr>
          <w:rFonts w:eastAsia="Times New Roman" w:cstheme="minorHAnsi"/>
          <w:sz w:val="20"/>
          <w:szCs w:val="20"/>
          <w:lang w:eastAsia="pl-PL"/>
        </w:rPr>
        <w:t>Warstwa wiążąca – warstwa nawierzchni między warstwą ścieralną a podbudową.</w:t>
      </w:r>
    </w:p>
    <w:p w14:paraId="203F926F"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1.4.5. </w:t>
      </w:r>
      <w:r w:rsidRPr="004853EB">
        <w:rPr>
          <w:rFonts w:eastAsia="Times New Roman" w:cstheme="minorHAnsi"/>
          <w:sz w:val="20"/>
          <w:szCs w:val="20"/>
          <w:lang w:eastAsia="pl-PL"/>
        </w:rPr>
        <w:t>Podbudowa – główny element konstrukcyjny nawierzchni przenoszący obciążenia na warstwę podłoża, który może być ułożony w jednej lub kilku warstwach.</w:t>
      </w:r>
    </w:p>
    <w:p w14:paraId="41E16259"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1.4.6.</w:t>
      </w:r>
      <w:r w:rsidRPr="004853EB">
        <w:rPr>
          <w:rFonts w:eastAsia="Times New Roman" w:cstheme="minorHAnsi"/>
          <w:sz w:val="20"/>
          <w:szCs w:val="20"/>
          <w:lang w:eastAsia="pl-PL"/>
        </w:rPr>
        <w:t xml:space="preserve"> Mieszanka mineralno-asfaltowa – mieszanka kruszywa i lepiszcza asfaltowego.</w:t>
      </w:r>
    </w:p>
    <w:p w14:paraId="7E86C8BE"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1.4.7.</w:t>
      </w:r>
      <w:r w:rsidRPr="004853EB">
        <w:rPr>
          <w:rFonts w:eastAsia="Times New Roman" w:cstheme="minorHAnsi"/>
          <w:sz w:val="20"/>
          <w:szCs w:val="20"/>
          <w:lang w:eastAsia="pl-PL"/>
        </w:rPr>
        <w:t xml:space="preserve"> Beton asfaltowy – mieszanka mineralno-asfaltowa, w której kruszywo o uziarnieniu ciągłym lub nieciągłym tworzy strukturę wzajemnie klinującą się.</w:t>
      </w:r>
    </w:p>
    <w:p w14:paraId="13D02E1E"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1.4.8.</w:t>
      </w:r>
      <w:r w:rsidRPr="004853EB">
        <w:rPr>
          <w:rFonts w:eastAsia="Times New Roman" w:cstheme="minorHAnsi"/>
          <w:sz w:val="20"/>
          <w:szCs w:val="20"/>
          <w:lang w:eastAsia="pl-PL"/>
        </w:rPr>
        <w:t xml:space="preserve"> Mieszanka SMA – mieszanka mastyksowo-grysowa, będąca mieszanką mineralno-asfaltową, składająca się z grubego łamanego kruszywa o nieciągłym uziarnieniu, związanego zaprawą mastyksową.</w:t>
      </w:r>
    </w:p>
    <w:p w14:paraId="3485E993" w14:textId="1D13485B" w:rsidR="00CC1EF4" w:rsidRPr="004853EB" w:rsidRDefault="00B67D8D"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1.4.9.</w:t>
      </w:r>
      <w:r w:rsidRPr="004853EB">
        <w:rPr>
          <w:rFonts w:eastAsia="Times New Roman" w:cstheme="minorHAnsi"/>
          <w:sz w:val="20"/>
          <w:szCs w:val="20"/>
          <w:lang w:eastAsia="pl-PL"/>
        </w:rPr>
        <w:t xml:space="preserve"> Emulsja</w:t>
      </w:r>
      <w:r w:rsidR="00CC1EF4" w:rsidRPr="004853EB">
        <w:rPr>
          <w:rFonts w:eastAsia="Times New Roman" w:cstheme="minorHAnsi"/>
          <w:sz w:val="20"/>
          <w:szCs w:val="20"/>
          <w:lang w:eastAsia="pl-PL"/>
        </w:rPr>
        <w:t xml:space="preserve"> asfaltowa – emulsja będąca zawiesiną asfaltu w wodzie, w której fazą zdyspergowaną (rozproszoną) jest asfalt, a fazą ciągłą jest woda lub roztwór wodny.</w:t>
      </w:r>
    </w:p>
    <w:p w14:paraId="105E7A7B"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1.4.10.</w:t>
      </w:r>
      <w:r w:rsidRPr="004853EB">
        <w:rPr>
          <w:rFonts w:eastAsia="Times New Roman" w:cstheme="minorHAnsi"/>
          <w:sz w:val="20"/>
          <w:szCs w:val="20"/>
          <w:lang w:eastAsia="pl-PL"/>
        </w:rPr>
        <w:t xml:space="preserve"> Kationowa emulsja asfaltowa – emulsja, w której emulgator nadaje dodatnie ładunki cząstkom zdyspergowanego asfaltu.</w:t>
      </w:r>
    </w:p>
    <w:p w14:paraId="138D7E81"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1.4.11.</w:t>
      </w:r>
      <w:r w:rsidRPr="004853EB">
        <w:rPr>
          <w:rFonts w:eastAsia="Times New Roman" w:cstheme="minorHAnsi"/>
          <w:sz w:val="20"/>
          <w:szCs w:val="20"/>
          <w:lang w:eastAsia="pl-PL"/>
        </w:rPr>
        <w:t xml:space="preserve"> Emulsja asfaltowa modyfikowana polimerami – emulsja, w której asfalt jest modyfikowany polimerami albo jest to emulsja modyfikowana lateksem kationowym.</w:t>
      </w:r>
    </w:p>
    <w:p w14:paraId="363AC8B8" w14:textId="28F80EF2"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1.4.12.</w:t>
      </w:r>
      <w:r w:rsidRPr="004853EB">
        <w:rPr>
          <w:rFonts w:eastAsia="Times New Roman" w:cstheme="minorHAnsi"/>
          <w:sz w:val="20"/>
          <w:szCs w:val="20"/>
          <w:lang w:eastAsia="pl-PL"/>
        </w:rPr>
        <w:t xml:space="preserve"> Połączenie międzywarstwowe – związanie asfaltowych warstw konstrukcyjnych nawierzchni i </w:t>
      </w:r>
      <w:r w:rsidR="00B67D8D" w:rsidRPr="004853EB">
        <w:rPr>
          <w:rFonts w:eastAsia="Times New Roman" w:cstheme="minorHAnsi"/>
          <w:sz w:val="20"/>
          <w:szCs w:val="20"/>
          <w:lang w:eastAsia="pl-PL"/>
        </w:rPr>
        <w:t>podbudowy z</w:t>
      </w:r>
      <w:r w:rsidRPr="004853EB">
        <w:rPr>
          <w:rFonts w:eastAsia="Times New Roman" w:cstheme="minorHAnsi"/>
          <w:sz w:val="20"/>
          <w:szCs w:val="20"/>
          <w:lang w:eastAsia="pl-PL"/>
        </w:rPr>
        <w:t xml:space="preserve"> kruszyw przez skropienie warstwy dolnej emulsją asfaltową w celu zwiększenia wytrzymałości zespołu warstw (dolnej i górnej) i uniemożliwienia penetracji wody między warstwami.</w:t>
      </w:r>
    </w:p>
    <w:p w14:paraId="08331AFB"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lastRenderedPageBreak/>
        <w:t>1.4.13.</w:t>
      </w:r>
      <w:r w:rsidRPr="004853EB">
        <w:rPr>
          <w:rFonts w:eastAsia="Times New Roman" w:cstheme="minorHAnsi"/>
          <w:sz w:val="20"/>
          <w:szCs w:val="20"/>
          <w:lang w:eastAsia="pl-PL"/>
        </w:rPr>
        <w:t xml:space="preserve"> Mieszanka niezwiązana – ziarnisty materiał (kruszywa naturalne, sztuczne, z recyklingu lub mieszaniny tych kruszyw), który jest stosowany do wykonania ulepszonego podłoża gruntowego lub warstw konstrukcji nawierzchni dróg.</w:t>
      </w:r>
    </w:p>
    <w:p w14:paraId="2B9EC462" w14:textId="4F622870"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1.4.14.</w:t>
      </w:r>
      <w:r w:rsidRPr="004853EB">
        <w:rPr>
          <w:rFonts w:eastAsia="Times New Roman" w:cstheme="minorHAnsi"/>
          <w:sz w:val="20"/>
          <w:szCs w:val="20"/>
          <w:lang w:eastAsia="pl-PL"/>
        </w:rPr>
        <w:t xml:space="preserve"> Mieszanka związana spoiwem hydraulicznym – mieszanka z kruszywa naturalnego, sztucznego, </w:t>
      </w:r>
      <w:r w:rsidR="00B67D8D">
        <w:rPr>
          <w:rFonts w:eastAsia="Times New Roman" w:cstheme="minorHAnsi"/>
          <w:sz w:val="20"/>
          <w:szCs w:val="20"/>
          <w:lang w:eastAsia="pl-PL"/>
        </w:rPr>
        <w:br/>
      </w:r>
      <w:r w:rsidRPr="004853EB">
        <w:rPr>
          <w:rFonts w:eastAsia="Times New Roman" w:cstheme="minorHAnsi"/>
          <w:sz w:val="20"/>
          <w:szCs w:val="20"/>
          <w:lang w:eastAsia="pl-PL"/>
        </w:rPr>
        <w:t>z recyklingu lub ich mieszanina oraz spoiwa hydraulicznego, w której następuje wiązanie i twardnienie na skutek reakcji hydraulicznych.</w:t>
      </w:r>
    </w:p>
    <w:p w14:paraId="04E0BC19"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1.4.15.</w:t>
      </w:r>
      <w:r w:rsidRPr="004853EB">
        <w:rPr>
          <w:rFonts w:eastAsia="Times New Roman" w:cstheme="minorHAnsi"/>
          <w:sz w:val="20"/>
          <w:szCs w:val="20"/>
          <w:lang w:eastAsia="pl-PL"/>
        </w:rPr>
        <w:t xml:space="preserve"> Kategoria ruchu (KR1-KR7) – obciążenie drogi ruchem samochodowym, wyrażone w osiach obliczeniowych (100 </w:t>
      </w:r>
      <w:proofErr w:type="spellStart"/>
      <w:r w:rsidRPr="004853EB">
        <w:rPr>
          <w:rFonts w:eastAsia="Times New Roman" w:cstheme="minorHAnsi"/>
          <w:sz w:val="20"/>
          <w:szCs w:val="20"/>
          <w:lang w:eastAsia="pl-PL"/>
        </w:rPr>
        <w:t>kN</w:t>
      </w:r>
      <w:proofErr w:type="spellEnd"/>
      <w:r w:rsidRPr="004853EB">
        <w:rPr>
          <w:rFonts w:eastAsia="Times New Roman" w:cstheme="minorHAnsi"/>
          <w:sz w:val="20"/>
          <w:szCs w:val="20"/>
          <w:lang w:eastAsia="pl-PL"/>
        </w:rPr>
        <w:t>) według „Katalogu typowych konstrukcji nawierzchni podatnych i półsztywnych” [24].</w:t>
      </w:r>
    </w:p>
    <w:p w14:paraId="3C9CAC0D"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1.4.16.</w:t>
      </w:r>
      <w:r w:rsidRPr="004853EB">
        <w:rPr>
          <w:rFonts w:eastAsia="Times New Roman" w:cstheme="minorHAnsi"/>
          <w:sz w:val="20"/>
          <w:szCs w:val="20"/>
          <w:lang w:eastAsia="pl-PL"/>
        </w:rPr>
        <w:t xml:space="preserve"> Symbole i skróty</w:t>
      </w:r>
    </w:p>
    <w:p w14:paraId="61814590" w14:textId="77777777" w:rsidR="00CC1EF4" w:rsidRPr="004853EB" w:rsidRDefault="00CC1EF4" w:rsidP="00CC1EF4">
      <w:pPr>
        <w:tabs>
          <w:tab w:val="left" w:pos="851"/>
          <w:tab w:val="left" w:pos="964"/>
        </w:tabs>
        <w:overflowPunct w:val="0"/>
        <w:autoSpaceDE w:val="0"/>
        <w:autoSpaceDN w:val="0"/>
        <w:adjustRightInd w:val="0"/>
        <w:spacing w:before="120" w:after="0" w:line="240" w:lineRule="auto"/>
        <w:ind w:left="964" w:hanging="96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AC</w:t>
      </w:r>
      <w:r w:rsidRPr="004853EB">
        <w:rPr>
          <w:rFonts w:eastAsia="Times New Roman" w:cstheme="minorHAnsi"/>
          <w:sz w:val="20"/>
          <w:szCs w:val="20"/>
          <w:lang w:eastAsia="pl-PL"/>
        </w:rPr>
        <w:tab/>
        <w:t>-</w:t>
      </w:r>
      <w:r w:rsidRPr="004853EB">
        <w:rPr>
          <w:rFonts w:eastAsia="Times New Roman" w:cstheme="minorHAnsi"/>
          <w:sz w:val="20"/>
          <w:szCs w:val="20"/>
          <w:lang w:eastAsia="pl-PL"/>
        </w:rPr>
        <w:tab/>
        <w:t>beton asfaltowy (ang. Asphalt Concrete)</w:t>
      </w:r>
    </w:p>
    <w:p w14:paraId="37569329" w14:textId="77777777" w:rsidR="00CC1EF4" w:rsidRPr="004853EB" w:rsidRDefault="00CC1EF4" w:rsidP="00CC1EF4">
      <w:pPr>
        <w:tabs>
          <w:tab w:val="left" w:pos="851"/>
          <w:tab w:val="left" w:pos="964"/>
        </w:tabs>
        <w:overflowPunct w:val="0"/>
        <w:autoSpaceDE w:val="0"/>
        <w:autoSpaceDN w:val="0"/>
        <w:adjustRightInd w:val="0"/>
        <w:spacing w:after="0" w:line="240" w:lineRule="auto"/>
        <w:ind w:left="964" w:hanging="964"/>
        <w:jc w:val="both"/>
        <w:textAlignment w:val="baseline"/>
        <w:rPr>
          <w:rFonts w:eastAsia="Times New Roman" w:cstheme="minorHAnsi"/>
          <w:sz w:val="20"/>
          <w:szCs w:val="20"/>
          <w:lang w:eastAsia="pl-PL"/>
        </w:rPr>
      </w:pPr>
      <w:proofErr w:type="spellStart"/>
      <w:r w:rsidRPr="004853EB">
        <w:rPr>
          <w:rFonts w:eastAsia="Times New Roman" w:cstheme="minorHAnsi"/>
          <w:sz w:val="20"/>
          <w:szCs w:val="20"/>
          <w:lang w:eastAsia="pl-PL"/>
        </w:rPr>
        <w:t>mma</w:t>
      </w:r>
      <w:proofErr w:type="spellEnd"/>
      <w:r w:rsidRPr="004853EB">
        <w:rPr>
          <w:rFonts w:eastAsia="Times New Roman" w:cstheme="minorHAnsi"/>
          <w:sz w:val="20"/>
          <w:szCs w:val="20"/>
          <w:lang w:eastAsia="pl-PL"/>
        </w:rPr>
        <w:tab/>
        <w:t>-</w:t>
      </w:r>
      <w:r w:rsidRPr="004853EB">
        <w:rPr>
          <w:rFonts w:eastAsia="Times New Roman" w:cstheme="minorHAnsi"/>
          <w:sz w:val="20"/>
          <w:szCs w:val="20"/>
          <w:lang w:eastAsia="pl-PL"/>
        </w:rPr>
        <w:tab/>
        <w:t>mieszanka mineralno asfaltowa</w:t>
      </w:r>
    </w:p>
    <w:p w14:paraId="0F584A50" w14:textId="77777777" w:rsidR="00CC1EF4" w:rsidRPr="004853EB" w:rsidRDefault="00CC1EF4" w:rsidP="00CC1EF4">
      <w:pPr>
        <w:tabs>
          <w:tab w:val="left" w:pos="851"/>
          <w:tab w:val="left" w:pos="964"/>
        </w:tabs>
        <w:overflowPunct w:val="0"/>
        <w:autoSpaceDE w:val="0"/>
        <w:autoSpaceDN w:val="0"/>
        <w:adjustRightInd w:val="0"/>
        <w:spacing w:after="0" w:line="240" w:lineRule="auto"/>
        <w:ind w:left="964" w:hanging="964"/>
        <w:jc w:val="both"/>
        <w:textAlignment w:val="baseline"/>
        <w:rPr>
          <w:rFonts w:eastAsia="Times New Roman" w:cstheme="minorHAnsi"/>
          <w:sz w:val="20"/>
          <w:szCs w:val="20"/>
          <w:lang w:eastAsia="pl-PL"/>
        </w:rPr>
      </w:pPr>
      <w:proofErr w:type="spellStart"/>
      <w:r w:rsidRPr="004853EB">
        <w:rPr>
          <w:rFonts w:eastAsia="Times New Roman" w:cstheme="minorHAnsi"/>
          <w:sz w:val="20"/>
          <w:szCs w:val="20"/>
          <w:lang w:eastAsia="pl-PL"/>
        </w:rPr>
        <w:t>pH</w:t>
      </w:r>
      <w:proofErr w:type="spellEnd"/>
      <w:r w:rsidRPr="004853EB">
        <w:rPr>
          <w:rFonts w:eastAsia="Times New Roman" w:cstheme="minorHAnsi"/>
          <w:sz w:val="20"/>
          <w:szCs w:val="20"/>
          <w:lang w:eastAsia="pl-PL"/>
        </w:rPr>
        <w:tab/>
        <w:t>-</w:t>
      </w:r>
      <w:r w:rsidRPr="004853EB">
        <w:rPr>
          <w:rFonts w:eastAsia="Times New Roman" w:cstheme="minorHAnsi"/>
          <w:sz w:val="20"/>
          <w:szCs w:val="20"/>
          <w:lang w:eastAsia="pl-PL"/>
        </w:rPr>
        <w:tab/>
        <w:t>wykładnik stężenia jonów wodorowych</w:t>
      </w:r>
    </w:p>
    <w:p w14:paraId="49279E4D" w14:textId="77777777" w:rsidR="00CC1EF4" w:rsidRPr="004853EB" w:rsidRDefault="00CC1EF4" w:rsidP="00CC1EF4">
      <w:pPr>
        <w:tabs>
          <w:tab w:val="left" w:pos="851"/>
          <w:tab w:val="left" w:pos="964"/>
        </w:tabs>
        <w:overflowPunct w:val="0"/>
        <w:autoSpaceDE w:val="0"/>
        <w:autoSpaceDN w:val="0"/>
        <w:adjustRightInd w:val="0"/>
        <w:spacing w:after="0" w:line="240" w:lineRule="auto"/>
        <w:ind w:left="964" w:hanging="964"/>
        <w:jc w:val="both"/>
        <w:textAlignment w:val="baseline"/>
        <w:rPr>
          <w:rFonts w:eastAsia="Times New Roman" w:cstheme="minorHAnsi"/>
          <w:sz w:val="20"/>
          <w:szCs w:val="20"/>
          <w:lang w:val="en-US" w:eastAsia="pl-PL"/>
        </w:rPr>
      </w:pPr>
      <w:r w:rsidRPr="004853EB">
        <w:rPr>
          <w:rFonts w:eastAsia="Times New Roman" w:cstheme="minorHAnsi"/>
          <w:sz w:val="20"/>
          <w:szCs w:val="20"/>
          <w:lang w:val="en-US" w:eastAsia="pl-PL"/>
        </w:rPr>
        <w:t>SMA</w:t>
      </w:r>
      <w:r w:rsidRPr="004853EB">
        <w:rPr>
          <w:rFonts w:eastAsia="Times New Roman" w:cstheme="minorHAnsi"/>
          <w:sz w:val="20"/>
          <w:szCs w:val="20"/>
          <w:lang w:val="en-US" w:eastAsia="pl-PL"/>
        </w:rPr>
        <w:tab/>
        <w:t>-</w:t>
      </w:r>
      <w:r w:rsidRPr="004853EB">
        <w:rPr>
          <w:rFonts w:eastAsia="Times New Roman" w:cstheme="minorHAnsi"/>
          <w:sz w:val="20"/>
          <w:szCs w:val="20"/>
          <w:lang w:val="en-US" w:eastAsia="pl-PL"/>
        </w:rPr>
        <w:tab/>
      </w:r>
      <w:proofErr w:type="spellStart"/>
      <w:r w:rsidRPr="004853EB">
        <w:rPr>
          <w:rFonts w:eastAsia="Times New Roman" w:cstheme="minorHAnsi"/>
          <w:sz w:val="20"/>
          <w:szCs w:val="20"/>
          <w:lang w:val="en-US" w:eastAsia="pl-PL"/>
        </w:rPr>
        <w:t>mastyks</w:t>
      </w:r>
      <w:proofErr w:type="spellEnd"/>
      <w:r w:rsidRPr="004853EB">
        <w:rPr>
          <w:rFonts w:eastAsia="Times New Roman" w:cstheme="minorHAnsi"/>
          <w:sz w:val="20"/>
          <w:szCs w:val="20"/>
          <w:lang w:val="en-US" w:eastAsia="pl-PL"/>
        </w:rPr>
        <w:t xml:space="preserve"> </w:t>
      </w:r>
      <w:proofErr w:type="spellStart"/>
      <w:r w:rsidRPr="004853EB">
        <w:rPr>
          <w:rFonts w:eastAsia="Times New Roman" w:cstheme="minorHAnsi"/>
          <w:sz w:val="20"/>
          <w:szCs w:val="20"/>
          <w:lang w:val="en-US" w:eastAsia="pl-PL"/>
        </w:rPr>
        <w:t>grysowy</w:t>
      </w:r>
      <w:proofErr w:type="spellEnd"/>
      <w:r w:rsidRPr="004853EB">
        <w:rPr>
          <w:rFonts w:eastAsia="Times New Roman" w:cstheme="minorHAnsi"/>
          <w:sz w:val="20"/>
          <w:szCs w:val="20"/>
          <w:lang w:val="en-US" w:eastAsia="pl-PL"/>
        </w:rPr>
        <w:t xml:space="preserve"> (ang. Stone Mastic Asphalt)</w:t>
      </w:r>
    </w:p>
    <w:p w14:paraId="0FF0D581" w14:textId="77777777" w:rsidR="00CC1EF4" w:rsidRPr="004853EB" w:rsidRDefault="00CC1EF4" w:rsidP="00CC1EF4">
      <w:pPr>
        <w:tabs>
          <w:tab w:val="left" w:pos="851"/>
          <w:tab w:val="left" w:pos="964"/>
        </w:tabs>
        <w:overflowPunct w:val="0"/>
        <w:autoSpaceDE w:val="0"/>
        <w:autoSpaceDN w:val="0"/>
        <w:adjustRightInd w:val="0"/>
        <w:spacing w:after="0" w:line="240" w:lineRule="auto"/>
        <w:ind w:left="964" w:hanging="96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%(m/m)</w:t>
      </w:r>
      <w:r w:rsidRPr="004853EB">
        <w:rPr>
          <w:rFonts w:eastAsia="Times New Roman" w:cstheme="minorHAnsi"/>
          <w:sz w:val="20"/>
          <w:szCs w:val="20"/>
          <w:lang w:eastAsia="pl-PL"/>
        </w:rPr>
        <w:tab/>
        <w:t>-</w:t>
      </w:r>
      <w:r w:rsidRPr="004853EB">
        <w:rPr>
          <w:rFonts w:eastAsia="Times New Roman" w:cstheme="minorHAnsi"/>
          <w:sz w:val="20"/>
          <w:szCs w:val="20"/>
          <w:lang w:eastAsia="pl-PL"/>
        </w:rPr>
        <w:tab/>
        <w:t>ułamek masowy wyrażony w procentach</w:t>
      </w:r>
    </w:p>
    <w:p w14:paraId="253B6E10" w14:textId="4E365AFC"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1.4.21. </w:t>
      </w:r>
      <w:r w:rsidRPr="004853EB">
        <w:rPr>
          <w:rFonts w:eastAsia="Times New Roman" w:cstheme="minorHAnsi"/>
          <w:sz w:val="20"/>
          <w:szCs w:val="20"/>
          <w:lang w:eastAsia="pl-PL"/>
        </w:rPr>
        <w:t xml:space="preserve">Pozostałe określenia podstawowe są zgodne z obowiązującymi, odpowiednimi polskimi normami </w:t>
      </w:r>
      <w:r w:rsidR="00B67D8D">
        <w:rPr>
          <w:rFonts w:eastAsia="Times New Roman" w:cstheme="minorHAnsi"/>
          <w:sz w:val="20"/>
          <w:szCs w:val="20"/>
          <w:lang w:eastAsia="pl-PL"/>
        </w:rPr>
        <w:br/>
      </w:r>
      <w:r w:rsidRPr="004853EB">
        <w:rPr>
          <w:rFonts w:eastAsia="Times New Roman" w:cstheme="minorHAnsi"/>
          <w:sz w:val="20"/>
          <w:szCs w:val="20"/>
          <w:lang w:eastAsia="pl-PL"/>
        </w:rPr>
        <w:t xml:space="preserve">i z definicjami podanymi w SST D-00.00.00 „Wymagania </w:t>
      </w:r>
      <w:r w:rsidR="00B67D8D" w:rsidRPr="004853EB">
        <w:rPr>
          <w:rFonts w:eastAsia="Times New Roman" w:cstheme="minorHAnsi"/>
          <w:sz w:val="20"/>
          <w:szCs w:val="20"/>
          <w:lang w:eastAsia="pl-PL"/>
        </w:rPr>
        <w:t>ogólne” [</w:t>
      </w:r>
      <w:r w:rsidRPr="004853EB">
        <w:rPr>
          <w:rFonts w:eastAsia="Times New Roman" w:cstheme="minorHAnsi"/>
          <w:sz w:val="20"/>
          <w:szCs w:val="20"/>
          <w:lang w:eastAsia="pl-PL"/>
        </w:rPr>
        <w:t>1] pkt 1.4.</w:t>
      </w:r>
    </w:p>
    <w:p w14:paraId="73FA1820"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786" w:name="_Toc194476861"/>
      <w:bookmarkStart w:id="2787" w:name="_Toc227760152"/>
      <w:bookmarkStart w:id="2788" w:name="_Toc227825299"/>
      <w:r w:rsidRPr="004853EB">
        <w:rPr>
          <w:rFonts w:eastAsia="Times New Roman" w:cstheme="minorHAnsi"/>
          <w:b/>
          <w:sz w:val="20"/>
          <w:szCs w:val="20"/>
          <w:lang w:eastAsia="pl-PL"/>
        </w:rPr>
        <w:t>1.5. Ogólne wymagania dotyczące robót</w:t>
      </w:r>
      <w:bookmarkEnd w:id="2786"/>
      <w:bookmarkEnd w:id="2787"/>
      <w:bookmarkEnd w:id="2788"/>
    </w:p>
    <w:p w14:paraId="5C7C8C4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robót podano w SST D-00.00.00 „Wymagania ogólne” [1] pkt 1.5.</w:t>
      </w:r>
    </w:p>
    <w:p w14:paraId="311EFF13"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789" w:name="_Toc344981394"/>
      <w:bookmarkStart w:id="2790" w:name="_Toc194476862"/>
      <w:bookmarkStart w:id="2791" w:name="_Toc227760153"/>
      <w:bookmarkStart w:id="2792" w:name="_Toc227825300"/>
      <w:r w:rsidRPr="004853EB">
        <w:rPr>
          <w:rFonts w:eastAsia="Times New Roman" w:cstheme="minorHAnsi"/>
          <w:b/>
          <w:caps/>
          <w:kern w:val="28"/>
          <w:sz w:val="20"/>
          <w:szCs w:val="20"/>
          <w:lang w:eastAsia="pl-PL"/>
        </w:rPr>
        <w:t>2. Materiały</w:t>
      </w:r>
      <w:bookmarkEnd w:id="2789"/>
      <w:bookmarkEnd w:id="2790"/>
      <w:bookmarkEnd w:id="2791"/>
      <w:bookmarkEnd w:id="2792"/>
    </w:p>
    <w:p w14:paraId="0D2C4FFA"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793" w:name="_Toc194476863"/>
      <w:bookmarkStart w:id="2794" w:name="_Toc227760154"/>
      <w:bookmarkStart w:id="2795" w:name="_Toc227825301"/>
      <w:bookmarkStart w:id="2796" w:name="_Toc344981395"/>
      <w:r w:rsidRPr="004853EB">
        <w:rPr>
          <w:rFonts w:eastAsia="Times New Roman" w:cstheme="minorHAnsi"/>
          <w:b/>
          <w:sz w:val="20"/>
          <w:szCs w:val="20"/>
          <w:lang w:eastAsia="pl-PL"/>
        </w:rPr>
        <w:t>2.1. Ogólne wymagania dotyczące materiałów</w:t>
      </w:r>
      <w:bookmarkEnd w:id="2793"/>
      <w:bookmarkEnd w:id="2794"/>
      <w:bookmarkEnd w:id="2795"/>
    </w:p>
    <w:p w14:paraId="7804D5A6" w14:textId="73242F45"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Ogólne wymagania dotyczące materiałów, ich pozyskiwania i składowania, podano </w:t>
      </w:r>
      <w:r w:rsidR="00B67D8D" w:rsidRPr="004853EB">
        <w:rPr>
          <w:rFonts w:eastAsia="Times New Roman" w:cstheme="minorHAnsi"/>
          <w:sz w:val="20"/>
          <w:szCs w:val="20"/>
          <w:lang w:eastAsia="pl-PL"/>
        </w:rPr>
        <w:t>w SST</w:t>
      </w:r>
      <w:r w:rsidRPr="004853EB">
        <w:rPr>
          <w:rFonts w:eastAsia="Times New Roman" w:cstheme="minorHAnsi"/>
          <w:sz w:val="20"/>
          <w:szCs w:val="20"/>
          <w:lang w:eastAsia="pl-PL"/>
        </w:rPr>
        <w:t xml:space="preserve"> D-00.00.00 „Wymagania ogólne” [1] pkt 2.</w:t>
      </w:r>
    </w:p>
    <w:p w14:paraId="6C854B78"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797" w:name="_Toc194476864"/>
      <w:bookmarkStart w:id="2798" w:name="_Toc227760155"/>
      <w:bookmarkStart w:id="2799" w:name="_Toc227825302"/>
      <w:r w:rsidRPr="004853EB">
        <w:rPr>
          <w:rFonts w:eastAsia="Times New Roman" w:cstheme="minorHAnsi"/>
          <w:b/>
          <w:sz w:val="20"/>
          <w:szCs w:val="20"/>
          <w:lang w:eastAsia="pl-PL"/>
        </w:rPr>
        <w:t>2.2. Materiały do wykonania robót</w:t>
      </w:r>
      <w:bookmarkEnd w:id="2797"/>
      <w:bookmarkEnd w:id="2798"/>
      <w:bookmarkEnd w:id="2799"/>
    </w:p>
    <w:p w14:paraId="50AD38B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2.2.1. </w:t>
      </w:r>
      <w:r w:rsidRPr="004853EB">
        <w:rPr>
          <w:rFonts w:eastAsia="Times New Roman" w:cstheme="minorHAnsi"/>
          <w:sz w:val="20"/>
          <w:szCs w:val="20"/>
          <w:lang w:eastAsia="pl-PL"/>
        </w:rPr>
        <w:t xml:space="preserve">Zgodność materiałów z dokumentacją projektową </w:t>
      </w:r>
    </w:p>
    <w:p w14:paraId="2064F97B"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Materiały do wykonania robót powinny być zgodne z ustaleniami dokumentacji projektowej lub ST.</w:t>
      </w:r>
    </w:p>
    <w:p w14:paraId="5CC39DFA"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2.2.2. </w:t>
      </w:r>
      <w:r w:rsidRPr="004853EB">
        <w:rPr>
          <w:rFonts w:eastAsia="Times New Roman" w:cstheme="minorHAnsi"/>
          <w:sz w:val="20"/>
          <w:szCs w:val="20"/>
          <w:lang w:eastAsia="pl-PL"/>
        </w:rPr>
        <w:t>Rodzaje materiałów do wykonania połączenia międzywarstwowego</w:t>
      </w:r>
    </w:p>
    <w:p w14:paraId="579065CC"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 wykonania połączenia międzywarstwowego mogą być stosowane następujące materiały:</w:t>
      </w:r>
    </w:p>
    <w:p w14:paraId="599E251D" w14:textId="77777777" w:rsidR="00CC1EF4" w:rsidRPr="004853EB" w:rsidRDefault="00CC1EF4">
      <w:pPr>
        <w:numPr>
          <w:ilvl w:val="0"/>
          <w:numId w:val="4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kationowe emulsje asfaltowe niemodyfikowane – na podbudowy z mieszanki z kruszywa niezwiązanego pod warstwą wiążącą oraz pod warstwę wiążącą i ścieralną na drodze gminnej,</w:t>
      </w:r>
    </w:p>
    <w:p w14:paraId="2302B9DB" w14:textId="77777777" w:rsidR="00CC1EF4" w:rsidRPr="004853EB" w:rsidRDefault="00CC1EF4">
      <w:pPr>
        <w:numPr>
          <w:ilvl w:val="0"/>
          <w:numId w:val="4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kationowe emulsje asfaltowe modyfikowane polimerami – pod SMA na drodze krajowej,</w:t>
      </w:r>
    </w:p>
    <w:p w14:paraId="3AA0C4C0" w14:textId="77777777" w:rsidR="00CC1EF4" w:rsidRPr="004853EB" w:rsidRDefault="00CC1EF4">
      <w:pPr>
        <w:numPr>
          <w:ilvl w:val="0"/>
          <w:numId w:val="4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kruszywo (grysy) do posypania emulsji.</w:t>
      </w:r>
    </w:p>
    <w:p w14:paraId="44A8CA73"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Należy stosować emulsje wg aktualnego wydania Załącznika krajowego NA do PN-EN 13808 [21].</w:t>
      </w:r>
    </w:p>
    <w:p w14:paraId="1A6B694F"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Spośród rodzajów emulsji wymienionych w Załączniku krajowym NA [22] do normy PN-EN 13808 [21], należy stosować emulsje oznaczone kodem ZM. </w:t>
      </w:r>
    </w:p>
    <w:p w14:paraId="25B3B2C6"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2.2.3. </w:t>
      </w:r>
      <w:r w:rsidRPr="004853EB">
        <w:rPr>
          <w:rFonts w:eastAsia="Times New Roman" w:cstheme="minorHAnsi"/>
          <w:sz w:val="20"/>
          <w:szCs w:val="20"/>
          <w:lang w:eastAsia="pl-PL"/>
        </w:rPr>
        <w:t>Kationowe</w:t>
      </w:r>
      <w:r w:rsidRPr="004853EB">
        <w:rPr>
          <w:rFonts w:eastAsia="Times New Roman" w:cstheme="minorHAnsi"/>
          <w:b/>
          <w:sz w:val="20"/>
          <w:szCs w:val="20"/>
          <w:lang w:eastAsia="pl-PL"/>
        </w:rPr>
        <w:t xml:space="preserve"> </w:t>
      </w:r>
      <w:r w:rsidRPr="004853EB">
        <w:rPr>
          <w:rFonts w:eastAsia="Times New Roman" w:cstheme="minorHAnsi"/>
          <w:sz w:val="20"/>
          <w:szCs w:val="20"/>
          <w:lang w:eastAsia="pl-PL"/>
        </w:rPr>
        <w:t>emulsje asfaltowe</w:t>
      </w:r>
    </w:p>
    <w:p w14:paraId="79DE1CCF"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b/>
          <w:sz w:val="20"/>
          <w:szCs w:val="20"/>
          <w:lang w:eastAsia="pl-PL"/>
        </w:rPr>
      </w:pPr>
      <w:r w:rsidRPr="004853EB">
        <w:rPr>
          <w:rFonts w:eastAsia="Times New Roman" w:cstheme="minorHAnsi"/>
          <w:sz w:val="20"/>
          <w:szCs w:val="20"/>
          <w:lang w:eastAsia="pl-PL"/>
        </w:rPr>
        <w:t xml:space="preserve">2.2.3.1. Rodzaje i właściwości kationowych emulsji asfaltowych </w:t>
      </w:r>
    </w:p>
    <w:p w14:paraId="59042AF5"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 emulsjach kationowych cząstki w emulsji jonowej mają dodatnią polarność wg PN-EN 1430 [8].</w:t>
      </w:r>
    </w:p>
    <w:p w14:paraId="0FF0D94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Kationowe emulsje asfaltowe powinny odpowiadać wymaganiom Załącznika krajowego NA (normatywnego) [22] do normy PN-EN 13808 [21], w którym umieszczono następujące trzy krajowe emulsje asfaltowe przeznaczone do złączania warstw asfaltowych nawierzchni:</w:t>
      </w:r>
    </w:p>
    <w:p w14:paraId="25CCAF05" w14:textId="77777777" w:rsidR="00CC1EF4" w:rsidRPr="004853EB" w:rsidRDefault="00CC1EF4">
      <w:pPr>
        <w:numPr>
          <w:ilvl w:val="0"/>
          <w:numId w:val="49"/>
        </w:num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C60B3 ZM – na warstwy wiążące na drodze powiatowej,</w:t>
      </w:r>
    </w:p>
    <w:p w14:paraId="38632311" w14:textId="2D646C3A" w:rsidR="00CC1EF4" w:rsidRPr="004853EB" w:rsidRDefault="00CC1EF4">
      <w:pPr>
        <w:numPr>
          <w:ilvl w:val="0"/>
          <w:numId w:val="49"/>
        </w:num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C60B10 ZM/R – na podbudowy z mieszanki z kruszywa </w:t>
      </w:r>
      <w:r w:rsidR="00B67D8D" w:rsidRPr="004853EB">
        <w:rPr>
          <w:rFonts w:eastAsia="Times New Roman" w:cstheme="minorHAnsi"/>
          <w:sz w:val="20"/>
          <w:szCs w:val="20"/>
          <w:lang w:eastAsia="pl-PL"/>
        </w:rPr>
        <w:t>niezwiązanego.</w:t>
      </w:r>
    </w:p>
    <w:p w14:paraId="4E450B42"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Pełne nazwy i zastosowanie powyższych emulsji asfaltowych wyspecyfikowano w tablicy 1.</w:t>
      </w:r>
    </w:p>
    <w:p w14:paraId="49CDB2C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735040ED" w14:textId="77777777" w:rsidR="00CC1EF4" w:rsidRPr="004853EB" w:rsidRDefault="00CC1EF4" w:rsidP="00CC1EF4">
      <w:pPr>
        <w:tabs>
          <w:tab w:val="left" w:pos="993"/>
        </w:tabs>
        <w:overflowPunct w:val="0"/>
        <w:autoSpaceDE w:val="0"/>
        <w:autoSpaceDN w:val="0"/>
        <w:adjustRightInd w:val="0"/>
        <w:spacing w:after="120" w:line="240" w:lineRule="auto"/>
        <w:ind w:left="993" w:hanging="993"/>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1.</w:t>
      </w:r>
      <w:r w:rsidRPr="004853EB">
        <w:rPr>
          <w:rFonts w:eastAsia="Times New Roman" w:cstheme="minorHAnsi"/>
          <w:sz w:val="20"/>
          <w:szCs w:val="20"/>
          <w:lang w:eastAsia="pl-PL"/>
        </w:rPr>
        <w:tab/>
        <w:t>Nazwa i zastosowanie emulsji asfaltowych wg Załącznika krajowego NA [22] do PN-EN 13808 [21]</w:t>
      </w:r>
    </w:p>
    <w:tbl>
      <w:tblPr>
        <w:tblW w:w="8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407"/>
        <w:gridCol w:w="4394"/>
        <w:gridCol w:w="2331"/>
      </w:tblGrid>
      <w:tr w:rsidR="00CC1EF4" w:rsidRPr="004853EB" w14:paraId="6B2DD5DC" w14:textId="77777777" w:rsidTr="00E95D02">
        <w:tc>
          <w:tcPr>
            <w:tcW w:w="828" w:type="dxa"/>
          </w:tcPr>
          <w:p w14:paraId="68D7AC9F"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35063896"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Lp.</w:t>
            </w:r>
          </w:p>
        </w:tc>
        <w:tc>
          <w:tcPr>
            <w:tcW w:w="1407" w:type="dxa"/>
          </w:tcPr>
          <w:p w14:paraId="4AB5B0C0"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Oznaczenie kodowe emulsji</w:t>
            </w:r>
          </w:p>
        </w:tc>
        <w:tc>
          <w:tcPr>
            <w:tcW w:w="4394" w:type="dxa"/>
          </w:tcPr>
          <w:p w14:paraId="374AA2EC"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45590429"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Pełna nazwa emulsji</w:t>
            </w:r>
          </w:p>
        </w:tc>
        <w:tc>
          <w:tcPr>
            <w:tcW w:w="2331" w:type="dxa"/>
          </w:tcPr>
          <w:p w14:paraId="03017D3A" w14:textId="77777777" w:rsidR="00CC1EF4" w:rsidRPr="004853EB" w:rsidRDefault="00CC1EF4" w:rsidP="00CC1EF4">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Zalecane zastosowanie</w:t>
            </w:r>
          </w:p>
        </w:tc>
      </w:tr>
      <w:tr w:rsidR="00CC1EF4" w:rsidRPr="004853EB" w14:paraId="53B9407A" w14:textId="77777777" w:rsidTr="00E95D02">
        <w:tc>
          <w:tcPr>
            <w:tcW w:w="828" w:type="dxa"/>
          </w:tcPr>
          <w:p w14:paraId="5872572D"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1407" w:type="dxa"/>
          </w:tcPr>
          <w:p w14:paraId="35874CA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C60B3 ZM</w:t>
            </w:r>
          </w:p>
        </w:tc>
        <w:tc>
          <w:tcPr>
            <w:tcW w:w="4394" w:type="dxa"/>
          </w:tcPr>
          <w:p w14:paraId="2294DE2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Kationowa emulsja asfaltowa o zawartości lepiszcza 60%, wyprodukowana z asfaltu drogowego, o klasie indeksu rozpadu 3, przeznaczona do złączania warstw konstrukcyjnych nawierzchni</w:t>
            </w:r>
          </w:p>
        </w:tc>
        <w:tc>
          <w:tcPr>
            <w:tcW w:w="2331" w:type="dxa"/>
          </w:tcPr>
          <w:p w14:paraId="441AD063" w14:textId="77777777" w:rsidR="00CC1EF4" w:rsidRPr="004853EB" w:rsidRDefault="00CC1EF4" w:rsidP="00CC1EF4">
            <w:p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Do złączania wszystkich warstw asfaltowych na drodze </w:t>
            </w:r>
          </w:p>
        </w:tc>
      </w:tr>
      <w:tr w:rsidR="00CC1EF4" w:rsidRPr="004853EB" w14:paraId="2253A8E0" w14:textId="77777777" w:rsidTr="00E95D02">
        <w:tc>
          <w:tcPr>
            <w:tcW w:w="828" w:type="dxa"/>
          </w:tcPr>
          <w:p w14:paraId="04EB7259"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1407" w:type="dxa"/>
          </w:tcPr>
          <w:p w14:paraId="578E74A2"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highlight w:val="yellow"/>
                <w:lang w:eastAsia="pl-PL"/>
              </w:rPr>
            </w:pPr>
            <w:r w:rsidRPr="004853EB">
              <w:rPr>
                <w:rFonts w:eastAsia="Times New Roman" w:cstheme="minorHAnsi"/>
                <w:sz w:val="20"/>
                <w:szCs w:val="20"/>
                <w:lang w:eastAsia="pl-PL"/>
              </w:rPr>
              <w:t>C60B10 ZM/R</w:t>
            </w:r>
          </w:p>
        </w:tc>
        <w:tc>
          <w:tcPr>
            <w:tcW w:w="4394" w:type="dxa"/>
          </w:tcPr>
          <w:p w14:paraId="0F1D3C7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highlight w:val="yellow"/>
                <w:lang w:eastAsia="pl-PL"/>
              </w:rPr>
            </w:pPr>
            <w:r w:rsidRPr="004853EB">
              <w:rPr>
                <w:rFonts w:eastAsia="Times New Roman" w:cstheme="minorHAnsi"/>
                <w:sz w:val="20"/>
                <w:szCs w:val="20"/>
                <w:lang w:eastAsia="pl-PL"/>
              </w:rPr>
              <w:t>Kationowa emulsja asfaltowa o zawartości lepiszcza 60%, wyprodukowana z asfaltu drogowego, o klasie indeksu rozpadu 10, przeznaczona do recyklingu nawierzchni oraz do złączania warstw konstrukcyjnych nawierzchni</w:t>
            </w:r>
          </w:p>
        </w:tc>
        <w:tc>
          <w:tcPr>
            <w:tcW w:w="2331" w:type="dxa"/>
          </w:tcPr>
          <w:p w14:paraId="6FA4DA32" w14:textId="77777777" w:rsidR="00CC1EF4" w:rsidRPr="004853EB" w:rsidRDefault="00CC1EF4" w:rsidP="00CC1EF4">
            <w:pPr>
              <w:overflowPunct w:val="0"/>
              <w:autoSpaceDE w:val="0"/>
              <w:autoSpaceDN w:val="0"/>
              <w:adjustRightInd w:val="0"/>
              <w:spacing w:after="0" w:line="240" w:lineRule="auto"/>
              <w:textAlignment w:val="baseline"/>
              <w:rPr>
                <w:rFonts w:eastAsia="Times New Roman" w:cstheme="minorHAnsi"/>
                <w:sz w:val="20"/>
                <w:szCs w:val="20"/>
                <w:highlight w:val="yellow"/>
                <w:lang w:eastAsia="pl-PL"/>
              </w:rPr>
            </w:pPr>
            <w:r w:rsidRPr="004853EB">
              <w:rPr>
                <w:rFonts w:eastAsia="Times New Roman" w:cstheme="minorHAnsi"/>
                <w:sz w:val="20"/>
                <w:szCs w:val="20"/>
                <w:lang w:eastAsia="pl-PL"/>
              </w:rPr>
              <w:t xml:space="preserve">Do złączenia warstw bitumicznych z podbudową z kruszywa niezwiązanego </w:t>
            </w:r>
          </w:p>
        </w:tc>
      </w:tr>
    </w:tbl>
    <w:p w14:paraId="7E8264D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6B62EF7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Kationowe emulsje asfaltowe, przeznaczone do wykonania połączeń międzywarstwowych powinny spełniać wymagania określone w tablicy 2.</w:t>
      </w:r>
    </w:p>
    <w:p w14:paraId="4D8A3333" w14:textId="77777777" w:rsidR="00CC1EF4" w:rsidRPr="004853EB" w:rsidRDefault="00CC1EF4" w:rsidP="00CC1EF4">
      <w:pPr>
        <w:overflowPunct w:val="0"/>
        <w:autoSpaceDE w:val="0"/>
        <w:autoSpaceDN w:val="0"/>
        <w:adjustRightInd w:val="0"/>
        <w:spacing w:before="120" w:after="120" w:line="240" w:lineRule="auto"/>
        <w:ind w:left="993" w:hanging="1080"/>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2. Wymagania dotyczące krajowych emulsji asfaltowych do wykonania połączeń międzywarstwowych wg Załącznika krajowego NA [22] do PN-EN 13808 [21]</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13"/>
        <w:gridCol w:w="1418"/>
        <w:gridCol w:w="1701"/>
        <w:gridCol w:w="1276"/>
        <w:gridCol w:w="1842"/>
        <w:gridCol w:w="1985"/>
      </w:tblGrid>
      <w:tr w:rsidR="00CC1EF4" w:rsidRPr="004853EB" w14:paraId="2D9475F0" w14:textId="77777777" w:rsidTr="00E95D02">
        <w:tc>
          <w:tcPr>
            <w:tcW w:w="675" w:type="dxa"/>
            <w:gridSpan w:val="2"/>
            <w:vMerge w:val="restart"/>
            <w:vAlign w:val="center"/>
          </w:tcPr>
          <w:p w14:paraId="49DB0C8F" w14:textId="77777777" w:rsidR="00CC1EF4" w:rsidRPr="004853EB" w:rsidRDefault="00CC1EF4" w:rsidP="00CC1EF4">
            <w:pPr>
              <w:overflowPunct w:val="0"/>
              <w:autoSpaceDE w:val="0"/>
              <w:autoSpaceDN w:val="0"/>
              <w:adjustRightInd w:val="0"/>
              <w:spacing w:before="120" w:after="12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Lp.</w:t>
            </w:r>
          </w:p>
        </w:tc>
        <w:tc>
          <w:tcPr>
            <w:tcW w:w="1418" w:type="dxa"/>
            <w:vMerge w:val="restart"/>
            <w:vAlign w:val="center"/>
          </w:tcPr>
          <w:p w14:paraId="737DAC67" w14:textId="77777777" w:rsidR="00CC1EF4" w:rsidRPr="004853EB" w:rsidRDefault="00CC1EF4" w:rsidP="00CC1EF4">
            <w:pPr>
              <w:overflowPunct w:val="0"/>
              <w:autoSpaceDE w:val="0"/>
              <w:autoSpaceDN w:val="0"/>
              <w:adjustRightInd w:val="0"/>
              <w:spacing w:before="120" w:after="120" w:line="240" w:lineRule="auto"/>
              <w:jc w:val="center"/>
              <w:textAlignment w:val="baseline"/>
              <w:rPr>
                <w:rFonts w:eastAsia="Times New Roman" w:cstheme="minorHAnsi"/>
                <w:sz w:val="20"/>
                <w:szCs w:val="20"/>
                <w:vertAlign w:val="superscript"/>
                <w:lang w:eastAsia="pl-PL"/>
              </w:rPr>
            </w:pPr>
            <w:r w:rsidRPr="004853EB">
              <w:rPr>
                <w:rFonts w:eastAsia="Times New Roman" w:cstheme="minorHAnsi"/>
                <w:sz w:val="20"/>
                <w:szCs w:val="20"/>
                <w:lang w:eastAsia="pl-PL"/>
              </w:rPr>
              <w:t>Właściwość</w:t>
            </w:r>
          </w:p>
        </w:tc>
        <w:tc>
          <w:tcPr>
            <w:tcW w:w="1701" w:type="dxa"/>
            <w:vMerge w:val="restart"/>
            <w:vAlign w:val="center"/>
          </w:tcPr>
          <w:p w14:paraId="374BDF2F" w14:textId="77777777" w:rsidR="00CC1EF4" w:rsidRPr="004853EB" w:rsidRDefault="00CC1EF4" w:rsidP="00CC1EF4">
            <w:pPr>
              <w:overflowPunct w:val="0"/>
              <w:autoSpaceDE w:val="0"/>
              <w:autoSpaceDN w:val="0"/>
              <w:adjustRightInd w:val="0"/>
              <w:spacing w:before="120" w:after="12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Metoda badania</w:t>
            </w:r>
          </w:p>
        </w:tc>
        <w:tc>
          <w:tcPr>
            <w:tcW w:w="1276" w:type="dxa"/>
            <w:vMerge w:val="restart"/>
            <w:vAlign w:val="center"/>
          </w:tcPr>
          <w:p w14:paraId="74BDD9F9" w14:textId="77777777" w:rsidR="00CC1EF4" w:rsidRPr="004853EB" w:rsidRDefault="00CC1EF4" w:rsidP="00CC1EF4">
            <w:pPr>
              <w:overflowPunct w:val="0"/>
              <w:autoSpaceDE w:val="0"/>
              <w:autoSpaceDN w:val="0"/>
              <w:adjustRightInd w:val="0"/>
              <w:spacing w:before="120" w:after="12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Jednostka</w:t>
            </w:r>
          </w:p>
        </w:tc>
        <w:tc>
          <w:tcPr>
            <w:tcW w:w="3827" w:type="dxa"/>
            <w:gridSpan w:val="2"/>
            <w:vAlign w:val="center"/>
          </w:tcPr>
          <w:p w14:paraId="326025BC" w14:textId="77777777" w:rsidR="00CC1EF4" w:rsidRPr="004853EB" w:rsidRDefault="00CC1EF4" w:rsidP="00CC1EF4">
            <w:pPr>
              <w:overflowPunct w:val="0"/>
              <w:autoSpaceDE w:val="0"/>
              <w:autoSpaceDN w:val="0"/>
              <w:adjustRightInd w:val="0"/>
              <w:spacing w:before="120" w:after="12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Wymagania dotyczące emulsji (klasa)</w:t>
            </w:r>
            <w:r w:rsidRPr="004853EB">
              <w:rPr>
                <w:rFonts w:eastAsia="Times New Roman" w:cstheme="minorHAnsi"/>
                <w:sz w:val="20"/>
                <w:szCs w:val="20"/>
                <w:vertAlign w:val="superscript"/>
                <w:lang w:eastAsia="pl-PL"/>
              </w:rPr>
              <w:t xml:space="preserve"> b</w:t>
            </w:r>
          </w:p>
        </w:tc>
      </w:tr>
      <w:tr w:rsidR="00CC1EF4" w:rsidRPr="004853EB" w14:paraId="6366F195" w14:textId="77777777" w:rsidTr="00E95D02">
        <w:tc>
          <w:tcPr>
            <w:tcW w:w="675" w:type="dxa"/>
            <w:gridSpan w:val="2"/>
            <w:vMerge/>
            <w:vAlign w:val="center"/>
          </w:tcPr>
          <w:p w14:paraId="337D4D75" w14:textId="77777777" w:rsidR="00CC1EF4" w:rsidRPr="004853EB" w:rsidRDefault="00CC1EF4" w:rsidP="00CC1EF4">
            <w:pPr>
              <w:overflowPunct w:val="0"/>
              <w:autoSpaceDE w:val="0"/>
              <w:autoSpaceDN w:val="0"/>
              <w:adjustRightInd w:val="0"/>
              <w:spacing w:before="120" w:after="120" w:line="240" w:lineRule="auto"/>
              <w:jc w:val="center"/>
              <w:textAlignment w:val="baseline"/>
              <w:rPr>
                <w:rFonts w:eastAsia="Times New Roman" w:cstheme="minorHAnsi"/>
                <w:sz w:val="20"/>
                <w:szCs w:val="20"/>
                <w:lang w:eastAsia="pl-PL"/>
              </w:rPr>
            </w:pPr>
          </w:p>
        </w:tc>
        <w:tc>
          <w:tcPr>
            <w:tcW w:w="1418" w:type="dxa"/>
            <w:vMerge/>
            <w:vAlign w:val="center"/>
          </w:tcPr>
          <w:p w14:paraId="6911501A" w14:textId="77777777" w:rsidR="00CC1EF4" w:rsidRPr="004853EB" w:rsidRDefault="00CC1EF4" w:rsidP="00CC1EF4">
            <w:pPr>
              <w:overflowPunct w:val="0"/>
              <w:autoSpaceDE w:val="0"/>
              <w:autoSpaceDN w:val="0"/>
              <w:adjustRightInd w:val="0"/>
              <w:spacing w:before="120" w:after="120" w:line="240" w:lineRule="auto"/>
              <w:jc w:val="center"/>
              <w:textAlignment w:val="baseline"/>
              <w:rPr>
                <w:rFonts w:eastAsia="Times New Roman" w:cstheme="minorHAnsi"/>
                <w:sz w:val="20"/>
                <w:szCs w:val="20"/>
                <w:lang w:eastAsia="pl-PL"/>
              </w:rPr>
            </w:pPr>
          </w:p>
        </w:tc>
        <w:tc>
          <w:tcPr>
            <w:tcW w:w="1701" w:type="dxa"/>
            <w:vMerge/>
            <w:vAlign w:val="center"/>
          </w:tcPr>
          <w:p w14:paraId="583AE40A" w14:textId="77777777" w:rsidR="00CC1EF4" w:rsidRPr="004853EB" w:rsidRDefault="00CC1EF4" w:rsidP="00CC1EF4">
            <w:pPr>
              <w:overflowPunct w:val="0"/>
              <w:autoSpaceDE w:val="0"/>
              <w:autoSpaceDN w:val="0"/>
              <w:adjustRightInd w:val="0"/>
              <w:spacing w:before="120" w:after="120" w:line="240" w:lineRule="auto"/>
              <w:jc w:val="center"/>
              <w:textAlignment w:val="baseline"/>
              <w:rPr>
                <w:rFonts w:eastAsia="Times New Roman" w:cstheme="minorHAnsi"/>
                <w:sz w:val="20"/>
                <w:szCs w:val="20"/>
                <w:lang w:eastAsia="pl-PL"/>
              </w:rPr>
            </w:pPr>
          </w:p>
        </w:tc>
        <w:tc>
          <w:tcPr>
            <w:tcW w:w="1276" w:type="dxa"/>
            <w:vMerge/>
            <w:vAlign w:val="center"/>
          </w:tcPr>
          <w:p w14:paraId="664B315E" w14:textId="77777777" w:rsidR="00CC1EF4" w:rsidRPr="004853EB" w:rsidRDefault="00CC1EF4" w:rsidP="00CC1EF4">
            <w:pPr>
              <w:overflowPunct w:val="0"/>
              <w:autoSpaceDE w:val="0"/>
              <w:autoSpaceDN w:val="0"/>
              <w:adjustRightInd w:val="0"/>
              <w:spacing w:before="120" w:after="120" w:line="240" w:lineRule="auto"/>
              <w:jc w:val="center"/>
              <w:textAlignment w:val="baseline"/>
              <w:rPr>
                <w:rFonts w:eastAsia="Times New Roman" w:cstheme="minorHAnsi"/>
                <w:sz w:val="20"/>
                <w:szCs w:val="20"/>
                <w:lang w:eastAsia="pl-PL"/>
              </w:rPr>
            </w:pPr>
          </w:p>
        </w:tc>
        <w:tc>
          <w:tcPr>
            <w:tcW w:w="1842" w:type="dxa"/>
            <w:vAlign w:val="center"/>
          </w:tcPr>
          <w:p w14:paraId="6DB1C5E7" w14:textId="77777777" w:rsidR="00CC1EF4" w:rsidRPr="004853EB" w:rsidRDefault="00CC1EF4" w:rsidP="00CC1EF4">
            <w:pPr>
              <w:overflowPunct w:val="0"/>
              <w:autoSpaceDE w:val="0"/>
              <w:autoSpaceDN w:val="0"/>
              <w:adjustRightInd w:val="0"/>
              <w:spacing w:before="120" w:after="12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C60B3 ZM</w:t>
            </w:r>
          </w:p>
        </w:tc>
        <w:tc>
          <w:tcPr>
            <w:tcW w:w="1985" w:type="dxa"/>
            <w:vAlign w:val="center"/>
          </w:tcPr>
          <w:p w14:paraId="58021831" w14:textId="77777777" w:rsidR="00CC1EF4" w:rsidRPr="004853EB" w:rsidRDefault="00CC1EF4" w:rsidP="00CC1EF4">
            <w:pPr>
              <w:overflowPunct w:val="0"/>
              <w:autoSpaceDE w:val="0"/>
              <w:autoSpaceDN w:val="0"/>
              <w:adjustRightInd w:val="0"/>
              <w:spacing w:before="120" w:after="12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C60B10 ZM/R</w:t>
            </w:r>
          </w:p>
        </w:tc>
      </w:tr>
      <w:tr w:rsidR="00CC1EF4" w:rsidRPr="004853EB" w14:paraId="74996513" w14:textId="77777777" w:rsidTr="00E95D02">
        <w:tc>
          <w:tcPr>
            <w:tcW w:w="675" w:type="dxa"/>
            <w:gridSpan w:val="2"/>
          </w:tcPr>
          <w:p w14:paraId="7F4EBC8A"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1418" w:type="dxa"/>
          </w:tcPr>
          <w:p w14:paraId="0AA3EB0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Zawartość lepiszcza</w:t>
            </w:r>
          </w:p>
        </w:tc>
        <w:tc>
          <w:tcPr>
            <w:tcW w:w="1701" w:type="dxa"/>
          </w:tcPr>
          <w:p w14:paraId="4D7D215F"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PN-EN 1428[6]</w:t>
            </w:r>
          </w:p>
        </w:tc>
        <w:tc>
          <w:tcPr>
            <w:tcW w:w="1276" w:type="dxa"/>
          </w:tcPr>
          <w:p w14:paraId="54761692"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(m/m)</w:t>
            </w:r>
          </w:p>
        </w:tc>
        <w:tc>
          <w:tcPr>
            <w:tcW w:w="1842" w:type="dxa"/>
          </w:tcPr>
          <w:p w14:paraId="514CCFCE"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58 do 62(6)</w:t>
            </w:r>
          </w:p>
        </w:tc>
        <w:tc>
          <w:tcPr>
            <w:tcW w:w="1985" w:type="dxa"/>
          </w:tcPr>
          <w:p w14:paraId="0ACCF9D7"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58 do 62(6)</w:t>
            </w:r>
          </w:p>
        </w:tc>
      </w:tr>
      <w:tr w:rsidR="00CC1EF4" w:rsidRPr="004853EB" w14:paraId="15E4C250" w14:textId="77777777" w:rsidTr="00E95D02">
        <w:tc>
          <w:tcPr>
            <w:tcW w:w="675" w:type="dxa"/>
            <w:gridSpan w:val="2"/>
          </w:tcPr>
          <w:p w14:paraId="3BC77E0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1418" w:type="dxa"/>
          </w:tcPr>
          <w:p w14:paraId="6F3B347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Indeks rozpadu</w:t>
            </w:r>
          </w:p>
        </w:tc>
        <w:tc>
          <w:tcPr>
            <w:tcW w:w="1701" w:type="dxa"/>
          </w:tcPr>
          <w:p w14:paraId="4D58126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PN-EN 13075-1[16]</w:t>
            </w:r>
          </w:p>
        </w:tc>
        <w:tc>
          <w:tcPr>
            <w:tcW w:w="1276" w:type="dxa"/>
          </w:tcPr>
          <w:p w14:paraId="46C7696A"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g/100 g</w:t>
            </w:r>
          </w:p>
        </w:tc>
        <w:tc>
          <w:tcPr>
            <w:tcW w:w="1842" w:type="dxa"/>
          </w:tcPr>
          <w:p w14:paraId="6B23D97A"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70-155 (3)</w:t>
            </w:r>
          </w:p>
        </w:tc>
        <w:tc>
          <w:tcPr>
            <w:tcW w:w="1985" w:type="dxa"/>
          </w:tcPr>
          <w:p w14:paraId="595B1295"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roofErr w:type="spellStart"/>
            <w:r w:rsidRPr="004853EB">
              <w:rPr>
                <w:rFonts w:eastAsia="Times New Roman" w:cstheme="minorHAnsi"/>
                <w:sz w:val="20"/>
                <w:szCs w:val="20"/>
                <w:lang w:eastAsia="pl-PL"/>
              </w:rPr>
              <w:t>NR</w:t>
            </w:r>
            <w:r w:rsidRPr="004853EB">
              <w:rPr>
                <w:rFonts w:eastAsia="Times New Roman" w:cstheme="minorHAnsi"/>
                <w:sz w:val="20"/>
                <w:szCs w:val="20"/>
                <w:vertAlign w:val="superscript"/>
                <w:lang w:eastAsia="pl-PL"/>
              </w:rPr>
              <w:t>a</w:t>
            </w:r>
            <w:proofErr w:type="spellEnd"/>
            <w:r w:rsidRPr="004853EB">
              <w:rPr>
                <w:rFonts w:eastAsia="Times New Roman" w:cstheme="minorHAnsi"/>
                <w:sz w:val="20"/>
                <w:szCs w:val="20"/>
                <w:lang w:eastAsia="pl-PL"/>
              </w:rPr>
              <w:t xml:space="preserve"> (0)</w:t>
            </w:r>
          </w:p>
        </w:tc>
      </w:tr>
      <w:tr w:rsidR="00CC1EF4" w:rsidRPr="004853EB" w14:paraId="59CB0E6F" w14:textId="77777777" w:rsidTr="00E95D02">
        <w:tc>
          <w:tcPr>
            <w:tcW w:w="675" w:type="dxa"/>
            <w:gridSpan w:val="2"/>
          </w:tcPr>
          <w:p w14:paraId="03FF24EC"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1418" w:type="dxa"/>
          </w:tcPr>
          <w:p w14:paraId="6E382B8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Pozostałość na sicie</w:t>
            </w:r>
          </w:p>
        </w:tc>
        <w:tc>
          <w:tcPr>
            <w:tcW w:w="1701" w:type="dxa"/>
          </w:tcPr>
          <w:p w14:paraId="7BE9CF6C"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PN-EN 1429[7]</w:t>
            </w:r>
          </w:p>
        </w:tc>
        <w:tc>
          <w:tcPr>
            <w:tcW w:w="1276" w:type="dxa"/>
          </w:tcPr>
          <w:p w14:paraId="53C7613D"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(m/m)</w:t>
            </w:r>
          </w:p>
        </w:tc>
        <w:tc>
          <w:tcPr>
            <w:tcW w:w="1842" w:type="dxa"/>
          </w:tcPr>
          <w:p w14:paraId="22EA3681"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≤0,2 (3)</w:t>
            </w:r>
          </w:p>
        </w:tc>
        <w:tc>
          <w:tcPr>
            <w:tcW w:w="1985" w:type="dxa"/>
          </w:tcPr>
          <w:p w14:paraId="0E39C86F"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≤0,2 (3)</w:t>
            </w:r>
          </w:p>
        </w:tc>
      </w:tr>
      <w:tr w:rsidR="00CC1EF4" w:rsidRPr="004853EB" w14:paraId="2F013727" w14:textId="77777777" w:rsidTr="00E95D02">
        <w:tc>
          <w:tcPr>
            <w:tcW w:w="675" w:type="dxa"/>
            <w:gridSpan w:val="2"/>
          </w:tcPr>
          <w:p w14:paraId="5DF5966F"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1418" w:type="dxa"/>
          </w:tcPr>
          <w:p w14:paraId="3198FF8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Czas wypływu Ø 2 mm przy 40°C</w:t>
            </w:r>
          </w:p>
        </w:tc>
        <w:tc>
          <w:tcPr>
            <w:tcW w:w="1701" w:type="dxa"/>
          </w:tcPr>
          <w:p w14:paraId="5590E59E"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PN-EN 12846-1[12]</w:t>
            </w:r>
          </w:p>
        </w:tc>
        <w:tc>
          <w:tcPr>
            <w:tcW w:w="1276" w:type="dxa"/>
          </w:tcPr>
          <w:p w14:paraId="32C5C1F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S</w:t>
            </w:r>
          </w:p>
        </w:tc>
        <w:tc>
          <w:tcPr>
            <w:tcW w:w="1842" w:type="dxa"/>
          </w:tcPr>
          <w:p w14:paraId="67AF7D04"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15-70 (3)</w:t>
            </w:r>
          </w:p>
        </w:tc>
        <w:tc>
          <w:tcPr>
            <w:tcW w:w="1985" w:type="dxa"/>
          </w:tcPr>
          <w:p w14:paraId="525C038E"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15-70 (3)</w:t>
            </w:r>
          </w:p>
        </w:tc>
      </w:tr>
      <w:tr w:rsidR="00CC1EF4" w:rsidRPr="004853EB" w14:paraId="3824F66A" w14:textId="77777777" w:rsidTr="00E95D02">
        <w:tc>
          <w:tcPr>
            <w:tcW w:w="675" w:type="dxa"/>
            <w:gridSpan w:val="2"/>
          </w:tcPr>
          <w:p w14:paraId="5CADA177"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c>
          <w:tcPr>
            <w:tcW w:w="1418" w:type="dxa"/>
          </w:tcPr>
          <w:p w14:paraId="0C184B51" w14:textId="77777777" w:rsidR="00CC1EF4" w:rsidRPr="004853EB" w:rsidRDefault="00CC1EF4" w:rsidP="00CC1EF4">
            <w:p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Przyczep-</w:t>
            </w:r>
            <w:proofErr w:type="spellStart"/>
            <w:r w:rsidRPr="004853EB">
              <w:rPr>
                <w:rFonts w:eastAsia="Times New Roman" w:cstheme="minorHAnsi"/>
                <w:sz w:val="20"/>
                <w:szCs w:val="20"/>
                <w:lang w:eastAsia="pl-PL"/>
              </w:rPr>
              <w:t>ność</w:t>
            </w:r>
            <w:proofErr w:type="spellEnd"/>
            <w:r w:rsidRPr="004853EB">
              <w:rPr>
                <w:rFonts w:eastAsia="Times New Roman" w:cstheme="minorHAnsi"/>
                <w:sz w:val="20"/>
                <w:szCs w:val="20"/>
                <w:lang w:eastAsia="pl-PL"/>
              </w:rPr>
              <w:t xml:space="preserve"> do kruszywa referencyjnego</w:t>
            </w:r>
          </w:p>
        </w:tc>
        <w:tc>
          <w:tcPr>
            <w:tcW w:w="1701" w:type="dxa"/>
          </w:tcPr>
          <w:p w14:paraId="1B0E2A49"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PN-EN 13614[19]</w:t>
            </w:r>
          </w:p>
          <w:p w14:paraId="0978ED6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(badanie na kruszywie bazaltowym)</w:t>
            </w:r>
          </w:p>
        </w:tc>
        <w:tc>
          <w:tcPr>
            <w:tcW w:w="1276" w:type="dxa"/>
          </w:tcPr>
          <w:p w14:paraId="7F38CC80"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 </w:t>
            </w:r>
            <w:r w:rsidRPr="004853EB">
              <w:rPr>
                <w:rFonts w:eastAsia="Times New Roman" w:cstheme="minorHAnsi"/>
                <w:sz w:val="20"/>
                <w:szCs w:val="20"/>
                <w:lang w:eastAsia="pl-PL"/>
              </w:rPr>
              <w:br/>
              <w:t>po-wierzch-ni</w:t>
            </w:r>
          </w:p>
        </w:tc>
        <w:tc>
          <w:tcPr>
            <w:tcW w:w="1842" w:type="dxa"/>
          </w:tcPr>
          <w:p w14:paraId="410A5844"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roofErr w:type="spellStart"/>
            <w:r w:rsidRPr="004853EB">
              <w:rPr>
                <w:rFonts w:eastAsia="Times New Roman" w:cstheme="minorHAnsi"/>
                <w:sz w:val="20"/>
                <w:szCs w:val="20"/>
                <w:lang w:eastAsia="pl-PL"/>
              </w:rPr>
              <w:t>NR</w:t>
            </w:r>
            <w:r w:rsidRPr="004853EB">
              <w:rPr>
                <w:rFonts w:eastAsia="Times New Roman" w:cstheme="minorHAnsi"/>
                <w:sz w:val="20"/>
                <w:szCs w:val="20"/>
                <w:vertAlign w:val="superscript"/>
                <w:lang w:eastAsia="pl-PL"/>
              </w:rPr>
              <w:t>a</w:t>
            </w:r>
            <w:proofErr w:type="spellEnd"/>
            <w:r w:rsidRPr="004853EB">
              <w:rPr>
                <w:rFonts w:eastAsia="Times New Roman" w:cstheme="minorHAnsi"/>
                <w:sz w:val="20"/>
                <w:szCs w:val="20"/>
                <w:lang w:eastAsia="pl-PL"/>
              </w:rPr>
              <w:t xml:space="preserve"> (0)</w:t>
            </w:r>
          </w:p>
        </w:tc>
        <w:tc>
          <w:tcPr>
            <w:tcW w:w="1985" w:type="dxa"/>
          </w:tcPr>
          <w:p w14:paraId="44E8F5A8"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≥75 (2)</w:t>
            </w:r>
          </w:p>
        </w:tc>
      </w:tr>
      <w:tr w:rsidR="00CC1EF4" w:rsidRPr="004853EB" w14:paraId="37A3409E" w14:textId="77777777" w:rsidTr="00E95D02">
        <w:tc>
          <w:tcPr>
            <w:tcW w:w="675" w:type="dxa"/>
            <w:gridSpan w:val="2"/>
          </w:tcPr>
          <w:p w14:paraId="7D0E05D0"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tc>
        <w:tc>
          <w:tcPr>
            <w:tcW w:w="1418" w:type="dxa"/>
          </w:tcPr>
          <w:p w14:paraId="1E01FD7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Pozostałość na sicie po 7 dniach magazynowania, sito 0,5 mm</w:t>
            </w:r>
          </w:p>
        </w:tc>
        <w:tc>
          <w:tcPr>
            <w:tcW w:w="1701" w:type="dxa"/>
          </w:tcPr>
          <w:p w14:paraId="4D649BB6"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PN-EN 1429[7]</w:t>
            </w:r>
          </w:p>
        </w:tc>
        <w:tc>
          <w:tcPr>
            <w:tcW w:w="1276" w:type="dxa"/>
          </w:tcPr>
          <w:p w14:paraId="27B66FC8"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(m/m)</w:t>
            </w:r>
          </w:p>
        </w:tc>
        <w:tc>
          <w:tcPr>
            <w:tcW w:w="1842" w:type="dxa"/>
          </w:tcPr>
          <w:p w14:paraId="1CEB1D41"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≤0,2 (3)</w:t>
            </w:r>
          </w:p>
        </w:tc>
        <w:tc>
          <w:tcPr>
            <w:tcW w:w="1985" w:type="dxa"/>
          </w:tcPr>
          <w:p w14:paraId="02CE190A"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≤0,2 (3)</w:t>
            </w:r>
          </w:p>
        </w:tc>
      </w:tr>
      <w:tr w:rsidR="00CC1EF4" w:rsidRPr="004853EB" w14:paraId="17C24D18" w14:textId="77777777" w:rsidTr="00E95D02">
        <w:tc>
          <w:tcPr>
            <w:tcW w:w="2093" w:type="dxa"/>
            <w:gridSpan w:val="3"/>
            <w:vAlign w:val="center"/>
          </w:tcPr>
          <w:p w14:paraId="0CF2B8C8" w14:textId="77777777" w:rsidR="00CC1EF4" w:rsidRPr="004853EB" w:rsidRDefault="00CC1EF4" w:rsidP="00CC1EF4">
            <w:p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Asfalt odzyskany i stabilizowany</w:t>
            </w:r>
          </w:p>
        </w:tc>
        <w:tc>
          <w:tcPr>
            <w:tcW w:w="1701" w:type="dxa"/>
          </w:tcPr>
          <w:p w14:paraId="56A790C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val="en-US" w:eastAsia="pl-PL"/>
              </w:rPr>
            </w:pPr>
            <w:r w:rsidRPr="004853EB">
              <w:rPr>
                <w:rFonts w:eastAsia="Times New Roman" w:cstheme="minorHAnsi"/>
                <w:sz w:val="20"/>
                <w:szCs w:val="20"/>
                <w:lang w:val="en-US" w:eastAsia="pl-PL"/>
              </w:rPr>
              <w:t xml:space="preserve">PN-EN 13074-1[14] </w:t>
            </w:r>
            <w:proofErr w:type="spellStart"/>
            <w:r w:rsidRPr="004853EB">
              <w:rPr>
                <w:rFonts w:eastAsia="Times New Roman" w:cstheme="minorHAnsi"/>
                <w:sz w:val="20"/>
                <w:szCs w:val="20"/>
                <w:lang w:val="en-US" w:eastAsia="pl-PL"/>
              </w:rPr>
              <w:t>i</w:t>
            </w:r>
            <w:proofErr w:type="spellEnd"/>
            <w:r w:rsidRPr="004853EB">
              <w:rPr>
                <w:rFonts w:eastAsia="Times New Roman" w:cstheme="minorHAnsi"/>
                <w:sz w:val="20"/>
                <w:szCs w:val="20"/>
                <w:lang w:val="en-US" w:eastAsia="pl-PL"/>
              </w:rPr>
              <w:t xml:space="preserve"> PN-EN 13074-2[15]</w:t>
            </w:r>
          </w:p>
        </w:tc>
        <w:tc>
          <w:tcPr>
            <w:tcW w:w="5103" w:type="dxa"/>
            <w:gridSpan w:val="3"/>
            <w:vAlign w:val="center"/>
          </w:tcPr>
          <w:p w14:paraId="756AA82A"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val="en-US" w:eastAsia="pl-PL"/>
              </w:rPr>
            </w:pPr>
            <w:r w:rsidRPr="004853EB">
              <w:rPr>
                <w:rFonts w:eastAsia="Times New Roman" w:cstheme="minorHAnsi"/>
                <w:sz w:val="20"/>
                <w:szCs w:val="20"/>
                <w:lang w:val="en-US" w:eastAsia="pl-PL"/>
              </w:rPr>
              <w:t>-</w:t>
            </w:r>
          </w:p>
        </w:tc>
      </w:tr>
      <w:tr w:rsidR="00CC1EF4" w:rsidRPr="004853EB" w14:paraId="6F9785EE" w14:textId="77777777" w:rsidTr="00E95D02">
        <w:tc>
          <w:tcPr>
            <w:tcW w:w="662" w:type="dxa"/>
          </w:tcPr>
          <w:p w14:paraId="141452AF"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w:t>
            </w:r>
          </w:p>
        </w:tc>
        <w:tc>
          <w:tcPr>
            <w:tcW w:w="1431" w:type="dxa"/>
            <w:gridSpan w:val="2"/>
          </w:tcPr>
          <w:p w14:paraId="6AB4C98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vertAlign w:val="subscript"/>
                <w:lang w:eastAsia="pl-PL"/>
              </w:rPr>
            </w:pPr>
            <w:r w:rsidRPr="004853EB">
              <w:rPr>
                <w:rFonts w:eastAsia="Times New Roman" w:cstheme="minorHAnsi"/>
                <w:sz w:val="20"/>
                <w:szCs w:val="20"/>
                <w:lang w:eastAsia="pl-PL"/>
              </w:rPr>
              <w:t>Penetracja w 25°C asfaltu odzyskanego</w:t>
            </w:r>
          </w:p>
        </w:tc>
        <w:tc>
          <w:tcPr>
            <w:tcW w:w="1701" w:type="dxa"/>
          </w:tcPr>
          <w:p w14:paraId="34A53F74"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PN-EN 1426[4]</w:t>
            </w:r>
          </w:p>
        </w:tc>
        <w:tc>
          <w:tcPr>
            <w:tcW w:w="1276" w:type="dxa"/>
          </w:tcPr>
          <w:p w14:paraId="42800A1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0,1 mm</w:t>
            </w:r>
          </w:p>
        </w:tc>
        <w:tc>
          <w:tcPr>
            <w:tcW w:w="1842" w:type="dxa"/>
          </w:tcPr>
          <w:p w14:paraId="450F58F0"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≤100 (3)</w:t>
            </w:r>
          </w:p>
        </w:tc>
        <w:tc>
          <w:tcPr>
            <w:tcW w:w="1985" w:type="dxa"/>
          </w:tcPr>
          <w:p w14:paraId="78D3C77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≤100 (3)</w:t>
            </w:r>
          </w:p>
        </w:tc>
      </w:tr>
      <w:tr w:rsidR="00CC1EF4" w:rsidRPr="004853EB" w14:paraId="1D254323" w14:textId="77777777" w:rsidTr="00E95D02">
        <w:tc>
          <w:tcPr>
            <w:tcW w:w="662" w:type="dxa"/>
          </w:tcPr>
          <w:p w14:paraId="22F9DEBE"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8.</w:t>
            </w:r>
          </w:p>
        </w:tc>
        <w:tc>
          <w:tcPr>
            <w:tcW w:w="1431" w:type="dxa"/>
            <w:gridSpan w:val="2"/>
          </w:tcPr>
          <w:p w14:paraId="66E2EC6C"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Temperatura mięknienia asfaltu odzyskanego</w:t>
            </w:r>
          </w:p>
        </w:tc>
        <w:tc>
          <w:tcPr>
            <w:tcW w:w="1701" w:type="dxa"/>
          </w:tcPr>
          <w:p w14:paraId="2A94DD6D"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PN-EN 1427[5]</w:t>
            </w:r>
          </w:p>
        </w:tc>
        <w:tc>
          <w:tcPr>
            <w:tcW w:w="1276" w:type="dxa"/>
          </w:tcPr>
          <w:p w14:paraId="2BFF718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°C</w:t>
            </w:r>
          </w:p>
        </w:tc>
        <w:tc>
          <w:tcPr>
            <w:tcW w:w="1842" w:type="dxa"/>
          </w:tcPr>
          <w:p w14:paraId="01B3BE4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≥43 (6)</w:t>
            </w:r>
          </w:p>
        </w:tc>
        <w:tc>
          <w:tcPr>
            <w:tcW w:w="1985" w:type="dxa"/>
          </w:tcPr>
          <w:p w14:paraId="6796BEDE"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≥43 (6)</w:t>
            </w:r>
          </w:p>
        </w:tc>
      </w:tr>
      <w:tr w:rsidR="00CC1EF4" w:rsidRPr="004853EB" w14:paraId="32819E61" w14:textId="77777777" w:rsidTr="00E95D02">
        <w:tc>
          <w:tcPr>
            <w:tcW w:w="662" w:type="dxa"/>
          </w:tcPr>
          <w:p w14:paraId="398D6331"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9.</w:t>
            </w:r>
          </w:p>
        </w:tc>
        <w:tc>
          <w:tcPr>
            <w:tcW w:w="1431" w:type="dxa"/>
            <w:gridSpan w:val="2"/>
          </w:tcPr>
          <w:p w14:paraId="0023219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Energia kohezji</w:t>
            </w:r>
          </w:p>
        </w:tc>
        <w:tc>
          <w:tcPr>
            <w:tcW w:w="1701" w:type="dxa"/>
          </w:tcPr>
          <w:p w14:paraId="5ECCB968"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PN-EN 13589 [18]i PN-EN 13703[20]</w:t>
            </w:r>
          </w:p>
        </w:tc>
        <w:tc>
          <w:tcPr>
            <w:tcW w:w="1276" w:type="dxa"/>
          </w:tcPr>
          <w:p w14:paraId="6EF1A7E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J/cm</w:t>
            </w:r>
            <w:r w:rsidRPr="004853EB">
              <w:rPr>
                <w:rFonts w:eastAsia="Times New Roman" w:cstheme="minorHAnsi"/>
                <w:sz w:val="20"/>
                <w:szCs w:val="20"/>
                <w:vertAlign w:val="superscript"/>
                <w:lang w:eastAsia="pl-PL"/>
              </w:rPr>
              <w:t>2</w:t>
            </w:r>
          </w:p>
        </w:tc>
        <w:tc>
          <w:tcPr>
            <w:tcW w:w="1842" w:type="dxa"/>
          </w:tcPr>
          <w:p w14:paraId="47C3C221"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roofErr w:type="spellStart"/>
            <w:r w:rsidRPr="004853EB">
              <w:rPr>
                <w:rFonts w:eastAsia="Times New Roman" w:cstheme="minorHAnsi"/>
                <w:sz w:val="20"/>
                <w:szCs w:val="20"/>
                <w:lang w:eastAsia="pl-PL"/>
              </w:rPr>
              <w:t>NR</w:t>
            </w:r>
            <w:r w:rsidRPr="004853EB">
              <w:rPr>
                <w:rFonts w:eastAsia="Times New Roman" w:cstheme="minorHAnsi"/>
                <w:sz w:val="20"/>
                <w:szCs w:val="20"/>
                <w:vertAlign w:val="superscript"/>
                <w:lang w:eastAsia="pl-PL"/>
              </w:rPr>
              <w:t>a</w:t>
            </w:r>
            <w:proofErr w:type="spellEnd"/>
            <w:r w:rsidRPr="004853EB">
              <w:rPr>
                <w:rFonts w:eastAsia="Times New Roman" w:cstheme="minorHAnsi"/>
                <w:sz w:val="20"/>
                <w:szCs w:val="20"/>
                <w:lang w:eastAsia="pl-PL"/>
              </w:rPr>
              <w:t xml:space="preserve"> (0)</w:t>
            </w:r>
          </w:p>
        </w:tc>
        <w:tc>
          <w:tcPr>
            <w:tcW w:w="1985" w:type="dxa"/>
          </w:tcPr>
          <w:p w14:paraId="3BFB4B39"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roofErr w:type="spellStart"/>
            <w:r w:rsidRPr="004853EB">
              <w:rPr>
                <w:rFonts w:eastAsia="Times New Roman" w:cstheme="minorHAnsi"/>
                <w:sz w:val="20"/>
                <w:szCs w:val="20"/>
                <w:lang w:eastAsia="pl-PL"/>
              </w:rPr>
              <w:t>NR</w:t>
            </w:r>
            <w:r w:rsidRPr="004853EB">
              <w:rPr>
                <w:rFonts w:eastAsia="Times New Roman" w:cstheme="minorHAnsi"/>
                <w:sz w:val="20"/>
                <w:szCs w:val="20"/>
                <w:vertAlign w:val="superscript"/>
                <w:lang w:eastAsia="pl-PL"/>
              </w:rPr>
              <w:t>a</w:t>
            </w:r>
            <w:proofErr w:type="spellEnd"/>
            <w:r w:rsidRPr="004853EB">
              <w:rPr>
                <w:rFonts w:eastAsia="Times New Roman" w:cstheme="minorHAnsi"/>
                <w:sz w:val="20"/>
                <w:szCs w:val="20"/>
                <w:lang w:eastAsia="pl-PL"/>
              </w:rPr>
              <w:t xml:space="preserve"> (0)</w:t>
            </w:r>
          </w:p>
        </w:tc>
      </w:tr>
      <w:tr w:rsidR="00CC1EF4" w:rsidRPr="004853EB" w14:paraId="76D13031" w14:textId="77777777" w:rsidTr="00E95D02">
        <w:tc>
          <w:tcPr>
            <w:tcW w:w="662" w:type="dxa"/>
          </w:tcPr>
          <w:p w14:paraId="31A5AC75"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10.</w:t>
            </w:r>
          </w:p>
        </w:tc>
        <w:tc>
          <w:tcPr>
            <w:tcW w:w="1431" w:type="dxa"/>
            <w:gridSpan w:val="2"/>
          </w:tcPr>
          <w:p w14:paraId="3BD5C75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Nawrót sprężysty w 25°C</w:t>
            </w:r>
          </w:p>
        </w:tc>
        <w:tc>
          <w:tcPr>
            <w:tcW w:w="1701" w:type="dxa"/>
          </w:tcPr>
          <w:p w14:paraId="134D2F59"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PN-EN 13398[17]</w:t>
            </w:r>
          </w:p>
        </w:tc>
        <w:tc>
          <w:tcPr>
            <w:tcW w:w="1276" w:type="dxa"/>
          </w:tcPr>
          <w:p w14:paraId="131E1B89"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t>
            </w:r>
          </w:p>
        </w:tc>
        <w:tc>
          <w:tcPr>
            <w:tcW w:w="1842" w:type="dxa"/>
          </w:tcPr>
          <w:p w14:paraId="0513251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roofErr w:type="spellStart"/>
            <w:r w:rsidRPr="004853EB">
              <w:rPr>
                <w:rFonts w:eastAsia="Times New Roman" w:cstheme="minorHAnsi"/>
                <w:sz w:val="20"/>
                <w:szCs w:val="20"/>
                <w:lang w:eastAsia="pl-PL"/>
              </w:rPr>
              <w:t>NR</w:t>
            </w:r>
            <w:r w:rsidRPr="004853EB">
              <w:rPr>
                <w:rFonts w:eastAsia="Times New Roman" w:cstheme="minorHAnsi"/>
                <w:sz w:val="20"/>
                <w:szCs w:val="20"/>
                <w:vertAlign w:val="superscript"/>
                <w:lang w:eastAsia="pl-PL"/>
              </w:rPr>
              <w:t>a</w:t>
            </w:r>
            <w:proofErr w:type="spellEnd"/>
            <w:r w:rsidRPr="004853EB">
              <w:rPr>
                <w:rFonts w:eastAsia="Times New Roman" w:cstheme="minorHAnsi"/>
                <w:sz w:val="20"/>
                <w:szCs w:val="20"/>
                <w:lang w:eastAsia="pl-PL"/>
              </w:rPr>
              <w:t xml:space="preserve"> (0)</w:t>
            </w:r>
          </w:p>
        </w:tc>
        <w:tc>
          <w:tcPr>
            <w:tcW w:w="1985" w:type="dxa"/>
          </w:tcPr>
          <w:p w14:paraId="4A81F642"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roofErr w:type="spellStart"/>
            <w:r w:rsidRPr="004853EB">
              <w:rPr>
                <w:rFonts w:eastAsia="Times New Roman" w:cstheme="minorHAnsi"/>
                <w:sz w:val="20"/>
                <w:szCs w:val="20"/>
                <w:lang w:eastAsia="pl-PL"/>
              </w:rPr>
              <w:t>NR</w:t>
            </w:r>
            <w:r w:rsidRPr="004853EB">
              <w:rPr>
                <w:rFonts w:eastAsia="Times New Roman" w:cstheme="minorHAnsi"/>
                <w:sz w:val="20"/>
                <w:szCs w:val="20"/>
                <w:vertAlign w:val="superscript"/>
                <w:lang w:eastAsia="pl-PL"/>
              </w:rPr>
              <w:t>a</w:t>
            </w:r>
            <w:proofErr w:type="spellEnd"/>
            <w:r w:rsidRPr="004853EB">
              <w:rPr>
                <w:rFonts w:eastAsia="Times New Roman" w:cstheme="minorHAnsi"/>
                <w:sz w:val="20"/>
                <w:szCs w:val="20"/>
                <w:lang w:eastAsia="pl-PL"/>
              </w:rPr>
              <w:t xml:space="preserve"> (0)</w:t>
            </w:r>
          </w:p>
        </w:tc>
      </w:tr>
    </w:tbl>
    <w:p w14:paraId="5232CF6C"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val="en-US" w:eastAsia="pl-PL"/>
        </w:rPr>
      </w:pPr>
      <w:r w:rsidRPr="004853EB">
        <w:rPr>
          <w:rFonts w:eastAsia="Times New Roman" w:cstheme="minorHAnsi"/>
          <w:sz w:val="20"/>
          <w:szCs w:val="20"/>
          <w:vertAlign w:val="superscript"/>
          <w:lang w:val="en-US" w:eastAsia="pl-PL"/>
        </w:rPr>
        <w:lastRenderedPageBreak/>
        <w:t>a</w:t>
      </w:r>
      <w:r w:rsidRPr="004853EB">
        <w:rPr>
          <w:rFonts w:eastAsia="Times New Roman" w:cstheme="minorHAnsi"/>
          <w:sz w:val="20"/>
          <w:szCs w:val="20"/>
          <w:lang w:val="en-US" w:eastAsia="pl-PL"/>
        </w:rPr>
        <w:t xml:space="preserve"> NR – No Requirements (</w:t>
      </w:r>
      <w:r w:rsidRPr="00B67D8D">
        <w:rPr>
          <w:rFonts w:eastAsia="Times New Roman" w:cstheme="minorHAnsi"/>
          <w:sz w:val="20"/>
          <w:szCs w:val="20"/>
          <w:lang w:eastAsia="pl-PL"/>
        </w:rPr>
        <w:t>brak wymagań)</w:t>
      </w:r>
    </w:p>
    <w:p w14:paraId="024C3363" w14:textId="77777777" w:rsidR="00CC1EF4" w:rsidRPr="004853EB" w:rsidRDefault="00CC1EF4" w:rsidP="00CC1EF4">
      <w:pPr>
        <w:overflowPunct w:val="0"/>
        <w:autoSpaceDE w:val="0"/>
        <w:autoSpaceDN w:val="0"/>
        <w:adjustRightInd w:val="0"/>
        <w:spacing w:after="120" w:line="240" w:lineRule="auto"/>
        <w:ind w:left="238" w:hanging="238"/>
        <w:jc w:val="both"/>
        <w:textAlignment w:val="baseline"/>
        <w:rPr>
          <w:rFonts w:eastAsia="Times New Roman" w:cstheme="minorHAnsi"/>
          <w:sz w:val="20"/>
          <w:szCs w:val="20"/>
          <w:lang w:eastAsia="pl-PL"/>
        </w:rPr>
      </w:pPr>
      <w:r w:rsidRPr="004853EB">
        <w:rPr>
          <w:rFonts w:eastAsia="Times New Roman" w:cstheme="minorHAnsi"/>
          <w:sz w:val="20"/>
          <w:szCs w:val="20"/>
          <w:vertAlign w:val="superscript"/>
          <w:lang w:eastAsia="pl-PL"/>
        </w:rPr>
        <w:t>b</w:t>
      </w:r>
      <w:r w:rsidRPr="004853EB">
        <w:rPr>
          <w:rFonts w:eastAsia="Times New Roman" w:cstheme="minorHAnsi"/>
          <w:sz w:val="20"/>
          <w:szCs w:val="20"/>
          <w:lang w:eastAsia="pl-PL"/>
        </w:rPr>
        <w:t xml:space="preserve"> Klasa wymagania podana jest w nawiasie obok wymagania liczbowego</w:t>
      </w:r>
    </w:p>
    <w:p w14:paraId="405C0594" w14:textId="77777777" w:rsidR="00CC1EF4" w:rsidRPr="004853EB" w:rsidRDefault="00CC1EF4" w:rsidP="00CC1EF4">
      <w:pPr>
        <w:keepNext/>
        <w:overflowPunct w:val="0"/>
        <w:autoSpaceDE w:val="0"/>
        <w:autoSpaceDN w:val="0"/>
        <w:adjustRightInd w:val="0"/>
        <w:spacing w:after="120" w:line="240" w:lineRule="auto"/>
        <w:ind w:left="238" w:hanging="23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2.2.3.2. Składowanie emulsji asfaltowej</w:t>
      </w:r>
    </w:p>
    <w:p w14:paraId="254EC37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Emulsję można magazynować w opakowaniach transportowych lub stacjonarnych zbiornikach pionowych z nalewaniem od dna.</w:t>
      </w:r>
    </w:p>
    <w:p w14:paraId="59ADFF7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Przy przechowywaniu emulsji asfaltowej należy przestrzegać zasad ustalonych przez producenta w celu zachowania ich jakości.</w:t>
      </w:r>
    </w:p>
    <w:p w14:paraId="032DE0B5"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2.2.4.</w:t>
      </w:r>
      <w:r w:rsidRPr="004853EB">
        <w:rPr>
          <w:rFonts w:eastAsia="Times New Roman" w:cstheme="minorHAnsi"/>
          <w:sz w:val="20"/>
          <w:szCs w:val="20"/>
          <w:lang w:eastAsia="pl-PL"/>
        </w:rPr>
        <w:t xml:space="preserve"> Grysy do posypania emulsji</w:t>
      </w:r>
    </w:p>
    <w:p w14:paraId="121231E2"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 posypania emulsji asfaltowej, którą spryskano podbudowę z gruntu lub kruszywa związanego spoiwem hydraulicznym (patrz tab. 5 i 6) należy stosować kruszywo (grysy) 2/5 mm w celu uzyskania membrany poprawiającej połączenie międzywarstwowe oraz zmniejszające ryzyko spękań odbitych. Kruszywo powinno spełniać wymagania dla kruszyw warstwy ścieralnej na drodze.</w:t>
      </w:r>
    </w:p>
    <w:p w14:paraId="5F10726F"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800" w:name="_Toc194476865"/>
      <w:bookmarkStart w:id="2801" w:name="_Toc227760156"/>
      <w:bookmarkStart w:id="2802" w:name="_Toc227825303"/>
      <w:r w:rsidRPr="004853EB">
        <w:rPr>
          <w:rFonts w:eastAsia="Times New Roman" w:cstheme="minorHAnsi"/>
          <w:b/>
          <w:caps/>
          <w:kern w:val="28"/>
          <w:sz w:val="20"/>
          <w:szCs w:val="20"/>
          <w:lang w:eastAsia="pl-PL"/>
        </w:rPr>
        <w:t>3. Sprzęt</w:t>
      </w:r>
      <w:bookmarkEnd w:id="2796"/>
      <w:bookmarkEnd w:id="2800"/>
      <w:bookmarkEnd w:id="2801"/>
      <w:bookmarkEnd w:id="2802"/>
    </w:p>
    <w:p w14:paraId="1502FA2C"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03" w:name="_Toc194476866"/>
      <w:bookmarkStart w:id="2804" w:name="_Toc227760157"/>
      <w:bookmarkStart w:id="2805" w:name="_Toc227825304"/>
      <w:bookmarkStart w:id="2806" w:name="_Toc344981396"/>
      <w:r w:rsidRPr="004853EB">
        <w:rPr>
          <w:rFonts w:eastAsia="Times New Roman" w:cstheme="minorHAnsi"/>
          <w:b/>
          <w:sz w:val="20"/>
          <w:szCs w:val="20"/>
          <w:lang w:eastAsia="pl-PL"/>
        </w:rPr>
        <w:t>3.1. Ogólne wymagania dotyczące sprzętu</w:t>
      </w:r>
      <w:bookmarkEnd w:id="2803"/>
      <w:bookmarkEnd w:id="2804"/>
      <w:bookmarkEnd w:id="2805"/>
    </w:p>
    <w:p w14:paraId="2E442867" w14:textId="7DC384F4"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Ogólne wymagania dotyczące sprzętu podano w </w:t>
      </w:r>
      <w:r w:rsidR="00B67D8D" w:rsidRPr="004853EB">
        <w:rPr>
          <w:rFonts w:eastAsia="Times New Roman" w:cstheme="minorHAnsi"/>
          <w:sz w:val="20"/>
          <w:szCs w:val="20"/>
          <w:lang w:eastAsia="pl-PL"/>
        </w:rPr>
        <w:t>SST D</w:t>
      </w:r>
      <w:r w:rsidRPr="004853EB">
        <w:rPr>
          <w:rFonts w:eastAsia="Times New Roman" w:cstheme="minorHAnsi"/>
          <w:sz w:val="20"/>
          <w:szCs w:val="20"/>
          <w:lang w:eastAsia="pl-PL"/>
        </w:rPr>
        <w:t>-00.00.00 „Wymagania ogólne” [1] pkt 3.</w:t>
      </w:r>
    </w:p>
    <w:p w14:paraId="07CEB6A9"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07" w:name="_Toc194476867"/>
      <w:bookmarkStart w:id="2808" w:name="_Toc227760158"/>
      <w:bookmarkStart w:id="2809" w:name="_Toc227825305"/>
      <w:r w:rsidRPr="004853EB">
        <w:rPr>
          <w:rFonts w:eastAsia="Times New Roman" w:cstheme="minorHAnsi"/>
          <w:b/>
          <w:sz w:val="20"/>
          <w:szCs w:val="20"/>
          <w:lang w:eastAsia="pl-PL"/>
        </w:rPr>
        <w:t>3.2. Sprzęt stosowany do wykonania robót</w:t>
      </w:r>
      <w:bookmarkEnd w:id="2807"/>
      <w:bookmarkEnd w:id="2808"/>
      <w:bookmarkEnd w:id="2809"/>
    </w:p>
    <w:p w14:paraId="2042309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  Przy wykonywaniu robót Wykonawca w zależności od potrzeb, powinien wykazać się możliwością korzystania ze sprzętu dostosowanego do przyjętej metody robót, jak:</w:t>
      </w:r>
    </w:p>
    <w:p w14:paraId="264DBC83" w14:textId="77777777" w:rsidR="00CC1EF4" w:rsidRPr="004853EB" w:rsidRDefault="00CC1EF4">
      <w:pPr>
        <w:numPr>
          <w:ilvl w:val="0"/>
          <w:numId w:val="4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sprzęt do oczyszczenia warstw nawierzchni</w:t>
      </w:r>
    </w:p>
    <w:p w14:paraId="0F45A9E9" w14:textId="77777777" w:rsidR="00CC1EF4" w:rsidRPr="004853EB" w:rsidRDefault="00CC1EF4">
      <w:pPr>
        <w:numPr>
          <w:ilvl w:val="0"/>
          <w:numId w:val="37"/>
        </w:numPr>
        <w:overflowPunct w:val="0"/>
        <w:autoSpaceDE w:val="0"/>
        <w:autoSpaceDN w:val="0"/>
        <w:adjustRightInd w:val="0"/>
        <w:spacing w:after="0" w:line="240" w:lineRule="auto"/>
        <w:ind w:hanging="37"/>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szczotki mechaniczne,</w:t>
      </w:r>
    </w:p>
    <w:p w14:paraId="7E940B95" w14:textId="77777777" w:rsidR="00CC1EF4" w:rsidRPr="004853EB" w:rsidRDefault="00CC1EF4">
      <w:pPr>
        <w:numPr>
          <w:ilvl w:val="0"/>
          <w:numId w:val="37"/>
        </w:numPr>
        <w:overflowPunct w:val="0"/>
        <w:autoSpaceDE w:val="0"/>
        <w:autoSpaceDN w:val="0"/>
        <w:adjustRightInd w:val="0"/>
        <w:spacing w:after="0" w:line="240" w:lineRule="auto"/>
        <w:ind w:hanging="37"/>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sprężarki,</w:t>
      </w:r>
    </w:p>
    <w:p w14:paraId="108D5F53" w14:textId="77777777" w:rsidR="00CC1EF4" w:rsidRPr="004853EB" w:rsidRDefault="00CC1EF4">
      <w:pPr>
        <w:numPr>
          <w:ilvl w:val="0"/>
          <w:numId w:val="37"/>
        </w:numPr>
        <w:overflowPunct w:val="0"/>
        <w:autoSpaceDE w:val="0"/>
        <w:autoSpaceDN w:val="0"/>
        <w:adjustRightInd w:val="0"/>
        <w:spacing w:after="0" w:line="240" w:lineRule="auto"/>
        <w:ind w:hanging="37"/>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zbiorniki z wodą,</w:t>
      </w:r>
    </w:p>
    <w:p w14:paraId="1A8EA0F0" w14:textId="77777777" w:rsidR="00CC1EF4" w:rsidRPr="004853EB" w:rsidRDefault="00CC1EF4">
      <w:pPr>
        <w:numPr>
          <w:ilvl w:val="0"/>
          <w:numId w:val="37"/>
        </w:numPr>
        <w:overflowPunct w:val="0"/>
        <w:autoSpaceDE w:val="0"/>
        <w:autoSpaceDN w:val="0"/>
        <w:adjustRightInd w:val="0"/>
        <w:spacing w:after="0" w:line="240" w:lineRule="auto"/>
        <w:ind w:hanging="37"/>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szczotki ręczne,</w:t>
      </w:r>
    </w:p>
    <w:p w14:paraId="6CC0C9FD" w14:textId="77777777" w:rsidR="00CC1EF4" w:rsidRPr="004853EB" w:rsidRDefault="00CC1EF4">
      <w:pPr>
        <w:numPr>
          <w:ilvl w:val="0"/>
          <w:numId w:val="4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sprzęt do skrapiania emulsją asfaltową warstw nawierzchni</w:t>
      </w:r>
    </w:p>
    <w:p w14:paraId="3B11CE98" w14:textId="77777777" w:rsidR="00CC1EF4" w:rsidRPr="004853EB" w:rsidRDefault="00CC1EF4" w:rsidP="00CC1EF4">
      <w:pPr>
        <w:overflowPunct w:val="0"/>
        <w:autoSpaceDE w:val="0"/>
        <w:autoSpaceDN w:val="0"/>
        <w:adjustRightInd w:val="0"/>
        <w:spacing w:after="0" w:line="240" w:lineRule="auto"/>
        <w:ind w:left="360" w:firstLine="34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Należy używać skrapiarki wyposażonej w urządzenia pomiarowo-kontrolne pozwalające na sprawdzanie i regulowanie następujących parametrów:</w:t>
      </w:r>
    </w:p>
    <w:p w14:paraId="352F7569" w14:textId="77777777" w:rsidR="00CC1EF4" w:rsidRPr="004853EB" w:rsidRDefault="00CC1EF4">
      <w:pPr>
        <w:numPr>
          <w:ilvl w:val="1"/>
          <w:numId w:val="41"/>
        </w:numPr>
        <w:tabs>
          <w:tab w:val="num" w:pos="360"/>
        </w:tabs>
        <w:overflowPunct w:val="0"/>
        <w:autoSpaceDE w:val="0"/>
        <w:autoSpaceDN w:val="0"/>
        <w:adjustRightInd w:val="0"/>
        <w:spacing w:after="0" w:line="240" w:lineRule="auto"/>
        <w:ind w:left="360" w:firstLine="0"/>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temperatury rozkładanego lepiszcza,</w:t>
      </w:r>
    </w:p>
    <w:p w14:paraId="78B80EF7" w14:textId="77777777" w:rsidR="00CC1EF4" w:rsidRPr="004853EB" w:rsidRDefault="00CC1EF4">
      <w:pPr>
        <w:numPr>
          <w:ilvl w:val="1"/>
          <w:numId w:val="41"/>
        </w:numPr>
        <w:tabs>
          <w:tab w:val="num" w:pos="360"/>
        </w:tabs>
        <w:overflowPunct w:val="0"/>
        <w:autoSpaceDE w:val="0"/>
        <w:autoSpaceDN w:val="0"/>
        <w:adjustRightInd w:val="0"/>
        <w:spacing w:after="0" w:line="240" w:lineRule="auto"/>
        <w:ind w:left="360" w:firstLine="0"/>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ciśnienia lepiszcza w kolektorze,</w:t>
      </w:r>
    </w:p>
    <w:p w14:paraId="4823010E" w14:textId="77777777" w:rsidR="00CC1EF4" w:rsidRPr="004853EB" w:rsidRDefault="00CC1EF4">
      <w:pPr>
        <w:numPr>
          <w:ilvl w:val="1"/>
          <w:numId w:val="41"/>
        </w:numPr>
        <w:tabs>
          <w:tab w:val="num" w:pos="360"/>
        </w:tabs>
        <w:overflowPunct w:val="0"/>
        <w:autoSpaceDE w:val="0"/>
        <w:autoSpaceDN w:val="0"/>
        <w:adjustRightInd w:val="0"/>
        <w:spacing w:after="0" w:line="240" w:lineRule="auto"/>
        <w:ind w:left="360" w:firstLine="0"/>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obrotów pompy dozującej emulsję,</w:t>
      </w:r>
    </w:p>
    <w:p w14:paraId="01EC6283" w14:textId="77777777" w:rsidR="00CC1EF4" w:rsidRPr="004853EB" w:rsidRDefault="00CC1EF4">
      <w:pPr>
        <w:numPr>
          <w:ilvl w:val="1"/>
          <w:numId w:val="41"/>
        </w:numPr>
        <w:tabs>
          <w:tab w:val="num" w:pos="360"/>
        </w:tabs>
        <w:overflowPunct w:val="0"/>
        <w:autoSpaceDE w:val="0"/>
        <w:autoSpaceDN w:val="0"/>
        <w:adjustRightInd w:val="0"/>
        <w:spacing w:after="0" w:line="240" w:lineRule="auto"/>
        <w:ind w:left="360" w:firstLine="0"/>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prędkości poruszania się skrapiarki,</w:t>
      </w:r>
    </w:p>
    <w:p w14:paraId="648BE8B2" w14:textId="77777777" w:rsidR="00CC1EF4" w:rsidRPr="004853EB" w:rsidRDefault="00CC1EF4">
      <w:pPr>
        <w:numPr>
          <w:ilvl w:val="1"/>
          <w:numId w:val="41"/>
        </w:numPr>
        <w:tabs>
          <w:tab w:val="num" w:pos="360"/>
        </w:tabs>
        <w:overflowPunct w:val="0"/>
        <w:autoSpaceDE w:val="0"/>
        <w:autoSpaceDN w:val="0"/>
        <w:adjustRightInd w:val="0"/>
        <w:spacing w:after="0" w:line="240" w:lineRule="auto"/>
        <w:ind w:left="360" w:firstLine="0"/>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wysokości i długości kolektora,</w:t>
      </w:r>
    </w:p>
    <w:p w14:paraId="666ADBD7" w14:textId="6B06AFDC" w:rsidR="00CC1EF4" w:rsidRPr="004853EB" w:rsidRDefault="00CC1EF4">
      <w:pPr>
        <w:numPr>
          <w:ilvl w:val="1"/>
          <w:numId w:val="41"/>
        </w:numPr>
        <w:tabs>
          <w:tab w:val="num" w:pos="720"/>
        </w:tabs>
        <w:overflowPunct w:val="0"/>
        <w:autoSpaceDE w:val="0"/>
        <w:autoSpaceDN w:val="0"/>
        <w:adjustRightInd w:val="0"/>
        <w:spacing w:after="0" w:line="240" w:lineRule="auto"/>
        <w:ind w:left="720"/>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ilości dozowanej emulsji (dozator), przy czym skrapiarka powinna </w:t>
      </w:r>
      <w:r w:rsidR="00B67D8D" w:rsidRPr="004853EB">
        <w:rPr>
          <w:rFonts w:eastAsia="Times New Roman" w:cstheme="minorHAnsi"/>
          <w:sz w:val="20"/>
          <w:szCs w:val="20"/>
          <w:lang w:eastAsia="pl-PL"/>
        </w:rPr>
        <w:t>zapewnić rozkładanie</w:t>
      </w:r>
      <w:r w:rsidRPr="004853EB">
        <w:rPr>
          <w:rFonts w:eastAsia="Times New Roman" w:cstheme="minorHAnsi"/>
          <w:sz w:val="20"/>
          <w:szCs w:val="20"/>
          <w:lang w:eastAsia="pl-PL"/>
        </w:rPr>
        <w:t xml:space="preserve"> emulsji </w:t>
      </w:r>
      <w:r w:rsidR="00B67D8D">
        <w:rPr>
          <w:rFonts w:eastAsia="Times New Roman" w:cstheme="minorHAnsi"/>
          <w:sz w:val="20"/>
          <w:szCs w:val="20"/>
          <w:lang w:eastAsia="pl-PL"/>
        </w:rPr>
        <w:br/>
      </w:r>
      <w:r w:rsidRPr="004853EB">
        <w:rPr>
          <w:rFonts w:eastAsia="Times New Roman" w:cstheme="minorHAnsi"/>
          <w:sz w:val="20"/>
          <w:szCs w:val="20"/>
          <w:lang w:eastAsia="pl-PL"/>
        </w:rPr>
        <w:t>z tolerancją ± 10% od ilości założonej.</w:t>
      </w:r>
    </w:p>
    <w:p w14:paraId="2C80BC85"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Zbiornik na lepiszcze skrapiarki powinien być izolowany termicznie tak, aby było możliwe zachowanie stałej temperatury lepiszcza.</w:t>
      </w:r>
    </w:p>
    <w:p w14:paraId="61CD05FE"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Wykonawca powinien posiadać aktualne świadectwo cechowania skrapiarki (kopię protokołu kalibracji skrapiarki – równomierności skrapiania oraz wydatku emulsji przy ustalonej prędkości przejazdu.) Skrapiarka, dla której nie wykonano kalibracji nie może zostać dopuszczona do wykonania skropienia.</w:t>
      </w:r>
    </w:p>
    <w:p w14:paraId="116BCCA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Sprzęt powinien odpowiadać wymaganiom określonym w dokumentacji projektowej, ST, instrukcjach producentów lub propozycji Wykonawcy i powinien być zaakceptowany przez Inżyniera.</w:t>
      </w:r>
    </w:p>
    <w:p w14:paraId="6F96BAF1"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810" w:name="_Toc194476868"/>
      <w:bookmarkStart w:id="2811" w:name="_Toc227760159"/>
      <w:bookmarkStart w:id="2812" w:name="_Toc227825306"/>
      <w:r w:rsidRPr="004853EB">
        <w:rPr>
          <w:rFonts w:eastAsia="Times New Roman" w:cstheme="minorHAnsi"/>
          <w:b/>
          <w:caps/>
          <w:kern w:val="28"/>
          <w:sz w:val="20"/>
          <w:szCs w:val="20"/>
          <w:lang w:eastAsia="pl-PL"/>
        </w:rPr>
        <w:t>4. Transport</w:t>
      </w:r>
      <w:bookmarkEnd w:id="2806"/>
      <w:bookmarkEnd w:id="2810"/>
      <w:bookmarkEnd w:id="2811"/>
      <w:bookmarkEnd w:id="2812"/>
    </w:p>
    <w:p w14:paraId="048EAA10"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13" w:name="_Toc194476869"/>
      <w:bookmarkStart w:id="2814" w:name="_Toc227760160"/>
      <w:bookmarkStart w:id="2815" w:name="_Toc227825307"/>
      <w:bookmarkStart w:id="2816" w:name="_Toc344981397"/>
      <w:r w:rsidRPr="004853EB">
        <w:rPr>
          <w:rFonts w:eastAsia="Times New Roman" w:cstheme="minorHAnsi"/>
          <w:b/>
          <w:sz w:val="20"/>
          <w:szCs w:val="20"/>
          <w:lang w:eastAsia="pl-PL"/>
        </w:rPr>
        <w:t>4.1. Ogólne wymagania dotyczące transportu</w:t>
      </w:r>
      <w:bookmarkEnd w:id="2813"/>
      <w:bookmarkEnd w:id="2814"/>
      <w:bookmarkEnd w:id="2815"/>
    </w:p>
    <w:p w14:paraId="701EDAB0" w14:textId="77777777"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transportu podano w SST D-00.00.00 „Wymagania ogólne” [1] pkt 4.</w:t>
      </w:r>
      <w:r w:rsidRPr="004853EB">
        <w:rPr>
          <w:rFonts w:eastAsia="Times New Roman" w:cstheme="minorHAnsi"/>
          <w:sz w:val="20"/>
          <w:szCs w:val="20"/>
          <w:lang w:eastAsia="pl-PL"/>
        </w:rPr>
        <w:tab/>
      </w:r>
    </w:p>
    <w:p w14:paraId="6AB87896"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17" w:name="_Toc194476870"/>
      <w:bookmarkStart w:id="2818" w:name="_Toc227760161"/>
      <w:bookmarkStart w:id="2819" w:name="_Toc227825308"/>
      <w:r w:rsidRPr="004853EB">
        <w:rPr>
          <w:rFonts w:eastAsia="Times New Roman" w:cstheme="minorHAnsi"/>
          <w:b/>
          <w:sz w:val="20"/>
          <w:szCs w:val="20"/>
          <w:lang w:eastAsia="pl-PL"/>
        </w:rPr>
        <w:t>4.2. Transport materiałów</w:t>
      </w:r>
      <w:bookmarkEnd w:id="2817"/>
      <w:bookmarkEnd w:id="2818"/>
      <w:bookmarkEnd w:id="2819"/>
      <w:r w:rsidRPr="004853EB">
        <w:rPr>
          <w:rFonts w:eastAsia="Times New Roman" w:cstheme="minorHAnsi"/>
          <w:b/>
          <w:sz w:val="20"/>
          <w:szCs w:val="20"/>
          <w:lang w:eastAsia="pl-PL"/>
        </w:rPr>
        <w:t xml:space="preserve"> </w:t>
      </w:r>
    </w:p>
    <w:p w14:paraId="41F70D0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Materiały sypkie (kruszywa) można przewozić dowolnymi środkami transportu, w warunkach zabezpieczających je przed zanieczyszczeniem, zmieszaniem z innymi materiałami i nadmiernym zawilgoceniem.</w:t>
      </w:r>
    </w:p>
    <w:p w14:paraId="3DBA922A" w14:textId="7A957D09"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Emulsja asfaltowa może być transportowana w cysternach, autocysternach, skrapiarkach, beczkach </w:t>
      </w:r>
      <w:r w:rsidR="00B67D8D">
        <w:rPr>
          <w:rFonts w:eastAsia="Times New Roman" w:cstheme="minorHAnsi"/>
          <w:sz w:val="20"/>
          <w:szCs w:val="20"/>
          <w:lang w:eastAsia="pl-PL"/>
        </w:rPr>
        <w:br/>
      </w:r>
      <w:r w:rsidRPr="004853EB">
        <w:rPr>
          <w:rFonts w:eastAsia="Times New Roman" w:cstheme="minorHAnsi"/>
          <w:sz w:val="20"/>
          <w:szCs w:val="20"/>
          <w:lang w:eastAsia="pl-PL"/>
        </w:rPr>
        <w:t xml:space="preserve">i innych opakowaniach pod warunkiem, że nie będą korodowały pod wpływem emulsji i nie będą powodowały </w:t>
      </w:r>
      <w:r w:rsidRPr="004853EB">
        <w:rPr>
          <w:rFonts w:eastAsia="Times New Roman" w:cstheme="minorHAnsi"/>
          <w:sz w:val="20"/>
          <w:szCs w:val="20"/>
          <w:lang w:eastAsia="pl-PL"/>
        </w:rPr>
        <w:lastRenderedPageBreak/>
        <w:t>jej rozpadu. Zbiorniki przeznaczone do transportu emulsji powinny być czyste i nie powinny zawierać resztek innych lepiszczy.</w:t>
      </w:r>
    </w:p>
    <w:p w14:paraId="398634F1"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820" w:name="_Toc194476871"/>
      <w:bookmarkStart w:id="2821" w:name="_Toc227760162"/>
      <w:bookmarkStart w:id="2822" w:name="_Toc227825309"/>
      <w:r w:rsidRPr="004853EB">
        <w:rPr>
          <w:rFonts w:eastAsia="Times New Roman" w:cstheme="minorHAnsi"/>
          <w:b/>
          <w:caps/>
          <w:kern w:val="28"/>
          <w:sz w:val="20"/>
          <w:szCs w:val="20"/>
          <w:lang w:eastAsia="pl-PL"/>
        </w:rPr>
        <w:t>5. Wykonanie robót</w:t>
      </w:r>
      <w:bookmarkEnd w:id="2816"/>
      <w:bookmarkEnd w:id="2820"/>
      <w:bookmarkEnd w:id="2821"/>
      <w:bookmarkEnd w:id="2822"/>
    </w:p>
    <w:p w14:paraId="6CA9D9AA"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23" w:name="_Toc194476872"/>
      <w:bookmarkStart w:id="2824" w:name="_Toc227760163"/>
      <w:bookmarkStart w:id="2825" w:name="_Toc227825310"/>
      <w:bookmarkStart w:id="2826" w:name="_Toc344981398"/>
      <w:r w:rsidRPr="004853EB">
        <w:rPr>
          <w:rFonts w:eastAsia="Times New Roman" w:cstheme="minorHAnsi"/>
          <w:b/>
          <w:sz w:val="20"/>
          <w:szCs w:val="20"/>
          <w:lang w:eastAsia="pl-PL"/>
        </w:rPr>
        <w:t>5.1. Ogólne zasady wykonania robót</w:t>
      </w:r>
      <w:bookmarkEnd w:id="2823"/>
      <w:bookmarkEnd w:id="2824"/>
      <w:bookmarkEnd w:id="2825"/>
    </w:p>
    <w:p w14:paraId="4B103FF9" w14:textId="77777777"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wykonania robót podano w SST D-00.00.00 „Wymagania ogólne” [1] pkt 5.</w:t>
      </w:r>
    </w:p>
    <w:p w14:paraId="49731EFB"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27" w:name="_Toc194476873"/>
      <w:bookmarkStart w:id="2828" w:name="_Toc227760164"/>
      <w:bookmarkStart w:id="2829" w:name="_Toc227825311"/>
      <w:r w:rsidRPr="004853EB">
        <w:rPr>
          <w:rFonts w:eastAsia="Times New Roman" w:cstheme="minorHAnsi"/>
          <w:b/>
          <w:sz w:val="20"/>
          <w:szCs w:val="20"/>
          <w:lang w:eastAsia="pl-PL"/>
        </w:rPr>
        <w:t>5.2. Zasady wykonywania robót</w:t>
      </w:r>
      <w:bookmarkEnd w:id="2827"/>
      <w:bookmarkEnd w:id="2828"/>
      <w:bookmarkEnd w:id="2829"/>
    </w:p>
    <w:p w14:paraId="60784FC2"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Sposób wykonania robót powinien być zgodny z dokumentacją projektową i ST. W przypadku braku wystarczających danych można korzystać z ustaleń podanych w niniejszej specyfikacji oraz z informacji podanych w załączniku.</w:t>
      </w:r>
    </w:p>
    <w:p w14:paraId="0298B7B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Podstawowe czynności przy wykonywaniu robót obejmują:</w:t>
      </w:r>
    </w:p>
    <w:p w14:paraId="37CDCDF0" w14:textId="77777777" w:rsidR="00CC1EF4" w:rsidRPr="004853EB" w:rsidRDefault="00CC1EF4">
      <w:pPr>
        <w:numPr>
          <w:ilvl w:val="0"/>
          <w:numId w:val="4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roboty przygotowawcze, </w:t>
      </w:r>
    </w:p>
    <w:p w14:paraId="6D6248D4" w14:textId="77777777" w:rsidR="00CC1EF4" w:rsidRPr="004853EB" w:rsidRDefault="00CC1EF4">
      <w:pPr>
        <w:numPr>
          <w:ilvl w:val="0"/>
          <w:numId w:val="4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oczyszczenie warstwy przed skropieniem,</w:t>
      </w:r>
    </w:p>
    <w:p w14:paraId="6E90D949" w14:textId="77777777" w:rsidR="00CC1EF4" w:rsidRPr="004853EB" w:rsidRDefault="00CC1EF4">
      <w:pPr>
        <w:numPr>
          <w:ilvl w:val="0"/>
          <w:numId w:val="4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odcinek próbny,</w:t>
      </w:r>
    </w:p>
    <w:p w14:paraId="45ECB17E" w14:textId="77777777" w:rsidR="00CC1EF4" w:rsidRPr="004853EB" w:rsidRDefault="00CC1EF4">
      <w:pPr>
        <w:numPr>
          <w:ilvl w:val="0"/>
          <w:numId w:val="4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skropienie warstw nawierzchni,</w:t>
      </w:r>
    </w:p>
    <w:p w14:paraId="2461FEE0" w14:textId="77777777" w:rsidR="00CC1EF4" w:rsidRPr="004853EB" w:rsidRDefault="00CC1EF4">
      <w:pPr>
        <w:numPr>
          <w:ilvl w:val="0"/>
          <w:numId w:val="4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wykończeniowe.</w:t>
      </w:r>
    </w:p>
    <w:p w14:paraId="5E7B9185"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30" w:name="_Toc194476874"/>
      <w:bookmarkStart w:id="2831" w:name="_Toc227760165"/>
      <w:bookmarkStart w:id="2832" w:name="_Toc227825312"/>
      <w:r w:rsidRPr="004853EB">
        <w:rPr>
          <w:rFonts w:eastAsia="Times New Roman" w:cstheme="minorHAnsi"/>
          <w:b/>
          <w:sz w:val="20"/>
          <w:szCs w:val="20"/>
          <w:lang w:eastAsia="pl-PL"/>
        </w:rPr>
        <w:t>5.3. Roboty przygotowawcze</w:t>
      </w:r>
      <w:bookmarkEnd w:id="2830"/>
      <w:bookmarkEnd w:id="2831"/>
      <w:bookmarkEnd w:id="2832"/>
    </w:p>
    <w:p w14:paraId="458A735B" w14:textId="6E22857F"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Przed przystąpieniem do robót należy, na podstawie dokumentacji </w:t>
      </w:r>
      <w:r w:rsidR="00B67D8D" w:rsidRPr="004853EB">
        <w:rPr>
          <w:rFonts w:eastAsia="Times New Roman" w:cstheme="minorHAnsi"/>
          <w:sz w:val="20"/>
          <w:szCs w:val="20"/>
          <w:lang w:eastAsia="pl-PL"/>
        </w:rPr>
        <w:t>projektowej, ST</w:t>
      </w:r>
      <w:r w:rsidRPr="004853EB">
        <w:rPr>
          <w:rFonts w:eastAsia="Times New Roman" w:cstheme="minorHAnsi"/>
          <w:sz w:val="20"/>
          <w:szCs w:val="20"/>
          <w:lang w:eastAsia="pl-PL"/>
        </w:rPr>
        <w:t xml:space="preserve"> lub wskazań Inżyniera:</w:t>
      </w:r>
    </w:p>
    <w:p w14:paraId="6B78544E"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ustalić lokalizację terenu robót,</w:t>
      </w:r>
    </w:p>
    <w:p w14:paraId="024723E9" w14:textId="66D954B1"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przeprowadzić </w:t>
      </w:r>
      <w:r w:rsidR="00B67D8D" w:rsidRPr="004853EB">
        <w:rPr>
          <w:rFonts w:eastAsia="Times New Roman" w:cstheme="minorHAnsi"/>
          <w:sz w:val="20"/>
          <w:szCs w:val="20"/>
          <w:lang w:eastAsia="pl-PL"/>
        </w:rPr>
        <w:t>szczegółowe wytyczenie</w:t>
      </w:r>
      <w:r w:rsidRPr="004853EB">
        <w:rPr>
          <w:rFonts w:eastAsia="Times New Roman" w:cstheme="minorHAnsi"/>
          <w:sz w:val="20"/>
          <w:szCs w:val="20"/>
          <w:lang w:eastAsia="pl-PL"/>
        </w:rPr>
        <w:t xml:space="preserve"> robót,</w:t>
      </w:r>
    </w:p>
    <w:p w14:paraId="7E394096"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usunąć przeszkody utrudniające wykonanie robót,</w:t>
      </w:r>
    </w:p>
    <w:p w14:paraId="756FBB5E"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wprowadzić oznakowanie drogi na okres robót,</w:t>
      </w:r>
    </w:p>
    <w:p w14:paraId="5A740640"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zgromadzić materiały i sprzęt potrzebne do rozpoczęcia robót.</w:t>
      </w:r>
    </w:p>
    <w:p w14:paraId="30209DE4"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b/>
          <w:sz w:val="20"/>
          <w:szCs w:val="20"/>
          <w:lang w:eastAsia="pl-PL"/>
        </w:rPr>
      </w:pPr>
      <w:r w:rsidRPr="004853EB">
        <w:rPr>
          <w:rFonts w:eastAsia="Times New Roman" w:cstheme="minorHAnsi"/>
          <w:b/>
          <w:sz w:val="20"/>
          <w:szCs w:val="20"/>
          <w:lang w:eastAsia="pl-PL"/>
        </w:rPr>
        <w:t>5.4. Oczyszczenie warstwy przed skropieniem</w:t>
      </w:r>
    </w:p>
    <w:p w14:paraId="6E56091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5.4.1. </w:t>
      </w:r>
      <w:r w:rsidRPr="004853EB">
        <w:rPr>
          <w:rFonts w:eastAsia="Times New Roman" w:cstheme="minorHAnsi"/>
          <w:sz w:val="20"/>
          <w:szCs w:val="20"/>
          <w:lang w:eastAsia="pl-PL"/>
        </w:rPr>
        <w:t>Przygotowanie podłoża z mieszanki mineralno-asfaltowej</w:t>
      </w:r>
    </w:p>
    <w:p w14:paraId="75A7D2A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Oczyszczenie warstwy nawierzchni przed skropieniem polega na usunięciu luźnego materiału, brudu, błota, kurzu, plam oleju itp. przy użyciu szczotek mechanicznych, a w razie potrzeby wody pod ciśnieniem i ew. absorbentów. W miejscach trudno dostępnych należy używać szczotek ręcznych. Na terenach niezabudowanych, bezpośrednio przed skropieniem warstwę nawierzchni można oczyścić przy użyciu sprężonego powietrza.</w:t>
      </w:r>
    </w:p>
    <w:p w14:paraId="424A4BE1"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Przy używaniu szczotek mechanicznych należy zwrócić uwagę, aby nie została uszkodzona warstwa błonki asfaltowej na powierzchni ziaren kruszyw stanowiących górną powierzchnię warstwy. W przypadku zanieczyszczenia podłoża olejami, paliwem lub chemikaliami należy użyć specjalnych absorbentów do zebrania zanieczyszczeń, a następnie zmyć powierzchnie wodą pod ciśnieniem</w:t>
      </w:r>
    </w:p>
    <w:p w14:paraId="374DDB85"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sz w:val="20"/>
          <w:szCs w:val="20"/>
          <w:lang w:eastAsia="pl-PL"/>
        </w:rPr>
      </w:pPr>
      <w:bookmarkStart w:id="2833" w:name="_Toc194476875"/>
      <w:bookmarkStart w:id="2834" w:name="_Toc227760166"/>
      <w:bookmarkStart w:id="2835" w:name="_Toc227825313"/>
      <w:r w:rsidRPr="004853EB">
        <w:rPr>
          <w:rFonts w:eastAsia="Times New Roman" w:cstheme="minorHAnsi"/>
          <w:b/>
          <w:sz w:val="20"/>
          <w:szCs w:val="20"/>
          <w:lang w:eastAsia="pl-PL"/>
        </w:rPr>
        <w:t xml:space="preserve">5.4.2. </w:t>
      </w:r>
      <w:r w:rsidRPr="004853EB">
        <w:rPr>
          <w:rFonts w:eastAsia="Times New Roman" w:cstheme="minorHAnsi"/>
          <w:sz w:val="20"/>
          <w:szCs w:val="20"/>
          <w:lang w:eastAsia="pl-PL"/>
        </w:rPr>
        <w:t>Przygotowanie podłoża z mieszanki mineralnej niezwiązanej i związanej hydraulicznie</w:t>
      </w:r>
      <w:bookmarkEnd w:id="2833"/>
      <w:bookmarkEnd w:id="2834"/>
      <w:bookmarkEnd w:id="2835"/>
    </w:p>
    <w:p w14:paraId="40EB3C8E"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Powierzchnia podłoża musi być oczyszczona z wszelkiego obcego materiału innego niż mieszanka mineralna, z której została wykonana warstwa.</w:t>
      </w:r>
    </w:p>
    <w:p w14:paraId="1B7EF91E"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 przypadku podbudowy bardzo suchej, bezpośrednio przed wykonanie skropienia emulsją asfaltową podłoże należy zwilżyć wodą, tak aby powierzchnię podłoża doprowadzić do stanu matowo-wilgotnego, bez zastoisk wodnych i bez zjawiska nasączania warstwy wodą.</w:t>
      </w:r>
    </w:p>
    <w:p w14:paraId="7127AC18"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 przypadku skrapiania warstwy niezwiązanej nasiąkniętej wodą po opadach atmosferycznych należy opóźnić skropienie do momentu częściowego przesuszenia powierzchniowego warstwy (do stanu matowo-wilgotnego).</w:t>
      </w:r>
    </w:p>
    <w:p w14:paraId="1A01F767"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5.4.3.</w:t>
      </w:r>
      <w:r w:rsidRPr="004853EB">
        <w:rPr>
          <w:rFonts w:eastAsia="Times New Roman" w:cstheme="minorHAnsi"/>
          <w:sz w:val="20"/>
          <w:szCs w:val="20"/>
          <w:lang w:eastAsia="pl-PL"/>
        </w:rPr>
        <w:t xml:space="preserve"> Przygotowanie podłoża na obiektach inżynierskich</w:t>
      </w:r>
    </w:p>
    <w:p w14:paraId="587CE66F"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 przypadku podłoża, które stanowi izolacja przeciwwodna na obiektach mostowych, należy postępować wg wskazań producenta izolacji lub zapisów normach lub aprobatach technicznych.</w:t>
      </w:r>
    </w:p>
    <w:p w14:paraId="4AA11D1F"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36" w:name="_Toc194476876"/>
      <w:bookmarkStart w:id="2837" w:name="_Toc227760167"/>
      <w:bookmarkStart w:id="2838" w:name="_Toc227825314"/>
      <w:r w:rsidRPr="004853EB">
        <w:rPr>
          <w:rFonts w:eastAsia="Times New Roman" w:cstheme="minorHAnsi"/>
          <w:b/>
          <w:sz w:val="20"/>
          <w:szCs w:val="20"/>
          <w:lang w:eastAsia="pl-PL"/>
        </w:rPr>
        <w:t>5.5. Warunki wykonywania robót</w:t>
      </w:r>
      <w:bookmarkEnd w:id="2836"/>
      <w:bookmarkEnd w:id="2837"/>
      <w:bookmarkEnd w:id="2838"/>
    </w:p>
    <w:p w14:paraId="21E6FE36" w14:textId="356E6F64"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Temperatura podłoża w czasie skrapiania emulsją asfaltową powinna wynosić co najmniej +5°C. Nie dopuszcza się wykonywania skrapiania podczas opadów </w:t>
      </w:r>
      <w:r w:rsidR="00B67D8D" w:rsidRPr="004853EB">
        <w:rPr>
          <w:rFonts w:eastAsia="Times New Roman" w:cstheme="minorHAnsi"/>
          <w:sz w:val="20"/>
          <w:szCs w:val="20"/>
          <w:lang w:eastAsia="pl-PL"/>
        </w:rPr>
        <w:t>atmosferycznych, bezpośrednio</w:t>
      </w:r>
      <w:r w:rsidRPr="004853EB">
        <w:rPr>
          <w:rFonts w:eastAsia="Times New Roman" w:cstheme="minorHAnsi"/>
          <w:sz w:val="20"/>
          <w:szCs w:val="20"/>
          <w:lang w:eastAsia="pl-PL"/>
        </w:rPr>
        <w:t xml:space="preserve"> po nich lub tuż przed </w:t>
      </w:r>
      <w:r w:rsidRPr="004853EB">
        <w:rPr>
          <w:rFonts w:eastAsia="Times New Roman" w:cstheme="minorHAnsi"/>
          <w:sz w:val="20"/>
          <w:szCs w:val="20"/>
          <w:lang w:eastAsia="pl-PL"/>
        </w:rPr>
        <w:lastRenderedPageBreak/>
        <w:t>spodziewanymi opadami. Czasookres skropienia należy tak zaplanować, aby nie wystąpiły opady atmosferyczne wcześniej niż po całkowitym rozpadzie emulsji.</w:t>
      </w:r>
    </w:p>
    <w:p w14:paraId="35B3303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Temperatury stosowania emulsji asfaltowych powinny mieścić się w przedziałach podanych w tablicy 3.</w:t>
      </w:r>
    </w:p>
    <w:p w14:paraId="364C81B9"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3. Temperatury stosowania emulsji asfaltowych</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680"/>
        <w:gridCol w:w="3600"/>
      </w:tblGrid>
      <w:tr w:rsidR="00CC1EF4" w:rsidRPr="004853EB" w14:paraId="28C6DE66" w14:textId="77777777" w:rsidTr="00E95D02">
        <w:tc>
          <w:tcPr>
            <w:tcW w:w="588" w:type="dxa"/>
          </w:tcPr>
          <w:p w14:paraId="30195958"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Lp.</w:t>
            </w:r>
          </w:p>
        </w:tc>
        <w:tc>
          <w:tcPr>
            <w:tcW w:w="4680" w:type="dxa"/>
          </w:tcPr>
          <w:p w14:paraId="57855537"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Rodzaj emulsji</w:t>
            </w:r>
          </w:p>
        </w:tc>
        <w:tc>
          <w:tcPr>
            <w:tcW w:w="3600" w:type="dxa"/>
          </w:tcPr>
          <w:p w14:paraId="31230D6D"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Temperatury (°C)</w:t>
            </w:r>
          </w:p>
        </w:tc>
      </w:tr>
      <w:tr w:rsidR="00CC1EF4" w:rsidRPr="004853EB" w14:paraId="400F4690" w14:textId="77777777" w:rsidTr="00E95D02">
        <w:tc>
          <w:tcPr>
            <w:tcW w:w="588" w:type="dxa"/>
          </w:tcPr>
          <w:p w14:paraId="704EB3B0"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4680" w:type="dxa"/>
          </w:tcPr>
          <w:p w14:paraId="16504F77" w14:textId="77777777" w:rsidR="00CC1EF4" w:rsidRPr="004853EB" w:rsidRDefault="00CC1EF4" w:rsidP="00CC1EF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Emulsja asfaltowa</w:t>
            </w:r>
          </w:p>
        </w:tc>
        <w:tc>
          <w:tcPr>
            <w:tcW w:w="3600" w:type="dxa"/>
          </w:tcPr>
          <w:p w14:paraId="22054AB2"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od 50 do 85</w:t>
            </w:r>
          </w:p>
        </w:tc>
      </w:tr>
      <w:tr w:rsidR="00CC1EF4" w:rsidRPr="004853EB" w14:paraId="4DF76CDC" w14:textId="77777777" w:rsidTr="00E95D02">
        <w:tc>
          <w:tcPr>
            <w:tcW w:w="588" w:type="dxa"/>
          </w:tcPr>
          <w:p w14:paraId="2512C91F"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4680" w:type="dxa"/>
          </w:tcPr>
          <w:p w14:paraId="5CBA76B0" w14:textId="77777777" w:rsidR="00CC1EF4" w:rsidRPr="004853EB" w:rsidRDefault="00CC1EF4" w:rsidP="00CC1EF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Emulsja asfaltowa modyfikowana polimerem</w:t>
            </w:r>
          </w:p>
        </w:tc>
        <w:tc>
          <w:tcPr>
            <w:tcW w:w="3600" w:type="dxa"/>
          </w:tcPr>
          <w:p w14:paraId="78682243"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od 60 do 85</w:t>
            </w:r>
          </w:p>
        </w:tc>
      </w:tr>
    </w:tbl>
    <w:p w14:paraId="28180BF7"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39" w:name="_Toc194476877"/>
      <w:bookmarkStart w:id="2840" w:name="_Toc227760168"/>
      <w:bookmarkStart w:id="2841" w:name="_Toc227825315"/>
      <w:r w:rsidRPr="004853EB">
        <w:rPr>
          <w:rFonts w:eastAsia="Times New Roman" w:cstheme="minorHAnsi"/>
          <w:b/>
          <w:sz w:val="20"/>
          <w:szCs w:val="20"/>
          <w:lang w:eastAsia="pl-PL"/>
        </w:rPr>
        <w:t>5.6. Odcinek próbny</w:t>
      </w:r>
      <w:bookmarkEnd w:id="2839"/>
      <w:bookmarkEnd w:id="2840"/>
      <w:bookmarkEnd w:id="2841"/>
    </w:p>
    <w:p w14:paraId="3D8FC69E" w14:textId="68B41CF4"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Jeżeli w ST przewidziano potrzebę wykonania odcinka próbnego, to przed rozpoczęciem robót, </w:t>
      </w:r>
      <w:r w:rsidR="00B67D8D">
        <w:rPr>
          <w:rFonts w:eastAsia="Times New Roman" w:cstheme="minorHAnsi"/>
          <w:sz w:val="20"/>
          <w:szCs w:val="20"/>
          <w:lang w:eastAsia="pl-PL"/>
        </w:rPr>
        <w:br/>
      </w:r>
      <w:r w:rsidRPr="004853EB">
        <w:rPr>
          <w:rFonts w:eastAsia="Times New Roman" w:cstheme="minorHAnsi"/>
          <w:sz w:val="20"/>
          <w:szCs w:val="20"/>
          <w:lang w:eastAsia="pl-PL"/>
        </w:rPr>
        <w:t>w terminie uzgodnionym z Inżynierem, Wykonawca powinien wykonać odcinek próbny w celu:</w:t>
      </w:r>
    </w:p>
    <w:p w14:paraId="4FC3649A" w14:textId="77777777" w:rsidR="00CC1EF4" w:rsidRPr="004853EB" w:rsidRDefault="00CC1EF4">
      <w:pPr>
        <w:numPr>
          <w:ilvl w:val="0"/>
          <w:numId w:val="47"/>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stwierdzenia czy właściwy jest sprzęt do skropienia emulsją asfaltową,</w:t>
      </w:r>
    </w:p>
    <w:p w14:paraId="15F7538C" w14:textId="77777777" w:rsidR="00CC1EF4" w:rsidRPr="004853EB" w:rsidRDefault="00CC1EF4">
      <w:pPr>
        <w:numPr>
          <w:ilvl w:val="0"/>
          <w:numId w:val="47"/>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określenia poprawności dozowania emulsji.</w:t>
      </w:r>
    </w:p>
    <w:p w14:paraId="4C4CCF0A"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Na odcinku próbnym Wykonawca powinien użyć takich materiałów oraz sprzętu jakie będą stosowane do wykonania skropienia warstwy.</w:t>
      </w:r>
    </w:p>
    <w:p w14:paraId="39AFA0C7"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Powierzchnia odcinka próbnego powinna być uzgodniona z Inżynierem.</w:t>
      </w:r>
    </w:p>
    <w:p w14:paraId="21B7CC95"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Odcinek próbny powinien być zlokalizowany w miejscu wskazanym przez Inżyniera.</w:t>
      </w:r>
    </w:p>
    <w:p w14:paraId="23304540"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Wykonawca może przystąpić do wykonywania skropienia po zaakceptowaniu wyników prób na odcinku próbnym przez Inżyniera.</w:t>
      </w:r>
    </w:p>
    <w:p w14:paraId="0DDD68EB"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42" w:name="_Toc194476878"/>
      <w:bookmarkStart w:id="2843" w:name="_Toc227760169"/>
      <w:bookmarkStart w:id="2844" w:name="_Toc227825316"/>
      <w:r w:rsidRPr="004853EB">
        <w:rPr>
          <w:rFonts w:eastAsia="Times New Roman" w:cstheme="minorHAnsi"/>
          <w:b/>
          <w:sz w:val="20"/>
          <w:szCs w:val="20"/>
          <w:lang w:eastAsia="pl-PL"/>
        </w:rPr>
        <w:t>5.7. Wykonanie skropienia warstw nawierzchni emulsją asfaltową</w:t>
      </w:r>
      <w:bookmarkEnd w:id="2842"/>
      <w:bookmarkEnd w:id="2843"/>
      <w:bookmarkEnd w:id="2844"/>
    </w:p>
    <w:p w14:paraId="020EA97C"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5.7.1.</w:t>
      </w:r>
      <w:r w:rsidRPr="004853EB">
        <w:rPr>
          <w:rFonts w:eastAsia="Times New Roman" w:cstheme="minorHAnsi"/>
          <w:sz w:val="20"/>
          <w:szCs w:val="20"/>
          <w:lang w:eastAsia="pl-PL"/>
        </w:rPr>
        <w:t xml:space="preserve"> Zastosowanie emulsji asfaltowej </w:t>
      </w:r>
      <w:r w:rsidRPr="004853EB">
        <w:rPr>
          <w:rFonts w:eastAsia="Times New Roman" w:cstheme="minorHAnsi"/>
          <w:sz w:val="20"/>
          <w:szCs w:val="20"/>
          <w:lang w:eastAsia="pl-PL"/>
        </w:rPr>
        <w:tab/>
      </w:r>
    </w:p>
    <w:p w14:paraId="0788B0AC" w14:textId="7AB59063"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Rodzaj zastosowanej emulsji powinien być dostosowany do rodzaju łączonych materiałów zgodnie z tablicą 1, </w:t>
      </w:r>
      <w:r w:rsidR="00B67D8D">
        <w:rPr>
          <w:rFonts w:eastAsia="Times New Roman" w:cstheme="minorHAnsi"/>
          <w:sz w:val="20"/>
          <w:szCs w:val="20"/>
          <w:lang w:eastAsia="pl-PL"/>
        </w:rPr>
        <w:br/>
      </w:r>
      <w:r w:rsidRPr="004853EB">
        <w:rPr>
          <w:rFonts w:eastAsia="Times New Roman" w:cstheme="minorHAnsi"/>
          <w:sz w:val="20"/>
          <w:szCs w:val="20"/>
          <w:lang w:eastAsia="pl-PL"/>
        </w:rPr>
        <w:t xml:space="preserve">z </w:t>
      </w:r>
      <w:r w:rsidR="00B67D8D" w:rsidRPr="004853EB">
        <w:rPr>
          <w:rFonts w:eastAsia="Times New Roman" w:cstheme="minorHAnsi"/>
          <w:sz w:val="20"/>
          <w:szCs w:val="20"/>
          <w:lang w:eastAsia="pl-PL"/>
        </w:rPr>
        <w:t>zastrzeżeniami:</w:t>
      </w:r>
    </w:p>
    <w:p w14:paraId="21EE79ED" w14:textId="77777777" w:rsidR="00CC1EF4" w:rsidRPr="004853EB" w:rsidRDefault="00CC1EF4">
      <w:pPr>
        <w:numPr>
          <w:ilvl w:val="0"/>
          <w:numId w:val="46"/>
        </w:numPr>
        <w:overflowPunct w:val="0"/>
        <w:autoSpaceDE w:val="0"/>
        <w:autoSpaceDN w:val="0"/>
        <w:adjustRightInd w:val="0"/>
        <w:spacing w:after="0" w:line="240" w:lineRule="auto"/>
        <w:ind w:left="426"/>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Kationowe emulsje asfaltowe modyfikowane polimerami stosuje się zwłaszcza pod cienkie warstwy asfaltowe na gorąco oraz do łączenia geosyntetyków z warstwami asfaltowymi nawierzchni.</w:t>
      </w:r>
    </w:p>
    <w:p w14:paraId="54C82F7C" w14:textId="77777777" w:rsidR="00CC1EF4" w:rsidRPr="004853EB" w:rsidRDefault="00CC1EF4">
      <w:pPr>
        <w:numPr>
          <w:ilvl w:val="0"/>
          <w:numId w:val="46"/>
        </w:numPr>
        <w:overflowPunct w:val="0"/>
        <w:autoSpaceDE w:val="0"/>
        <w:autoSpaceDN w:val="0"/>
        <w:adjustRightInd w:val="0"/>
        <w:spacing w:after="0" w:line="240" w:lineRule="auto"/>
        <w:ind w:left="426"/>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 przypadku stosowania emulsji asfaltowej do skropienia podłoża z warstwy niezwiązanej lub warstwy związanej hydraulicznie należy użyć emulsję o indeksie rozpadu od 120 do 180, a do skropienia podłoża zawierającego spoiwo hydrauliczne – emulsję o </w:t>
      </w:r>
      <w:proofErr w:type="spellStart"/>
      <w:r w:rsidRPr="004853EB">
        <w:rPr>
          <w:rFonts w:eastAsia="Times New Roman" w:cstheme="minorHAnsi"/>
          <w:sz w:val="20"/>
          <w:szCs w:val="20"/>
          <w:lang w:eastAsia="pl-PL"/>
        </w:rPr>
        <w:t>pH</w:t>
      </w:r>
      <w:proofErr w:type="spellEnd"/>
      <w:r w:rsidRPr="004853EB">
        <w:rPr>
          <w:rFonts w:eastAsia="Times New Roman" w:cstheme="minorHAnsi"/>
          <w:sz w:val="20"/>
          <w:szCs w:val="20"/>
          <w:lang w:eastAsia="pl-PL"/>
        </w:rPr>
        <w:t xml:space="preserve"> większym niż 4.</w:t>
      </w:r>
    </w:p>
    <w:p w14:paraId="1ED2940F" w14:textId="77777777" w:rsidR="00CC1EF4" w:rsidRPr="004853EB" w:rsidRDefault="00CC1EF4">
      <w:pPr>
        <w:numPr>
          <w:ilvl w:val="0"/>
          <w:numId w:val="46"/>
        </w:numPr>
        <w:overflowPunct w:val="0"/>
        <w:autoSpaceDE w:val="0"/>
        <w:autoSpaceDN w:val="0"/>
        <w:adjustRightInd w:val="0"/>
        <w:spacing w:after="0" w:line="240" w:lineRule="auto"/>
        <w:ind w:left="426"/>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Na podbudowie z chudego betonu i podbudowie związanej spoiwem hydraulicznym w przypadku tworzenia membrany poprawiającej połączenie oraz przeciwdziałającej spękaniom odbitym (przeciwspękaniowej) stosuje się powtórne skropienie emulsją z asfaltu modyfikowanego, którą posypuje się kruszywem (grysem) 2/5 mm.</w:t>
      </w:r>
    </w:p>
    <w:p w14:paraId="0F86C3BE" w14:textId="77777777" w:rsidR="00CC1EF4" w:rsidRPr="004853EB" w:rsidRDefault="00CC1EF4">
      <w:pPr>
        <w:numPr>
          <w:ilvl w:val="0"/>
          <w:numId w:val="46"/>
        </w:numPr>
        <w:overflowPunct w:val="0"/>
        <w:autoSpaceDE w:val="0"/>
        <w:autoSpaceDN w:val="0"/>
        <w:adjustRightInd w:val="0"/>
        <w:spacing w:after="0" w:line="240" w:lineRule="auto"/>
        <w:ind w:left="426"/>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Skropienia lepiszczem nie należy stosować na izolacji przeciwwodnej obiektów inżynierskich oraz na podłożu pod asfalt lany. W wypadku podłoża z izolacji przeciwwodnej należy postępować według wskazań producenta lub zapisów w normach.</w:t>
      </w:r>
    </w:p>
    <w:p w14:paraId="400FFDA8" w14:textId="677F0C10"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Jeśli w dokumentacji </w:t>
      </w:r>
      <w:r w:rsidR="00B67D8D" w:rsidRPr="004853EB">
        <w:rPr>
          <w:rFonts w:eastAsia="Times New Roman" w:cstheme="minorHAnsi"/>
          <w:sz w:val="20"/>
          <w:szCs w:val="20"/>
          <w:lang w:eastAsia="pl-PL"/>
        </w:rPr>
        <w:t>projektowej lub</w:t>
      </w:r>
      <w:r w:rsidRPr="004853EB">
        <w:rPr>
          <w:rFonts w:eastAsia="Times New Roman" w:cstheme="minorHAnsi"/>
          <w:sz w:val="20"/>
          <w:szCs w:val="20"/>
          <w:lang w:eastAsia="pl-PL"/>
        </w:rPr>
        <w:t xml:space="preserve"> ST nie określono rodzaju stosowanej emulsji asfaltowej, to jej rodzaj należy przyjąć według ogólnych ustaleń jak powyżej oraz zaleceń podanych w tablicy 4, po zaakceptowaniu rodzaju emulsji przez Inżyniera.</w:t>
      </w:r>
    </w:p>
    <w:p w14:paraId="4082E142"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4. Zalecane emulsje asfaltowe do połączeń międzywarstwowych</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6120"/>
        <w:gridCol w:w="1920"/>
      </w:tblGrid>
      <w:tr w:rsidR="00CC1EF4" w:rsidRPr="004853EB" w14:paraId="409E8F9E" w14:textId="77777777" w:rsidTr="00E95D02">
        <w:tc>
          <w:tcPr>
            <w:tcW w:w="828" w:type="dxa"/>
          </w:tcPr>
          <w:p w14:paraId="780888E6" w14:textId="77777777" w:rsidR="00CC1EF4" w:rsidRPr="004853EB" w:rsidRDefault="00CC1EF4" w:rsidP="00CC1EF4">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Lp.</w:t>
            </w:r>
          </w:p>
        </w:tc>
        <w:tc>
          <w:tcPr>
            <w:tcW w:w="6120" w:type="dxa"/>
          </w:tcPr>
          <w:p w14:paraId="7A78DD48" w14:textId="77777777" w:rsidR="00CC1EF4" w:rsidRPr="004853EB" w:rsidRDefault="00CC1EF4" w:rsidP="00CC1EF4">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Rodzaj połączenia międzywarstwowego</w:t>
            </w:r>
          </w:p>
        </w:tc>
        <w:tc>
          <w:tcPr>
            <w:tcW w:w="1920" w:type="dxa"/>
          </w:tcPr>
          <w:p w14:paraId="09CE0B92"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Emulsja asfaltowa</w:t>
            </w:r>
          </w:p>
        </w:tc>
      </w:tr>
      <w:tr w:rsidR="00CC1EF4" w:rsidRPr="004853EB" w14:paraId="68F91A46" w14:textId="77777777" w:rsidTr="00E95D02">
        <w:tc>
          <w:tcPr>
            <w:tcW w:w="828" w:type="dxa"/>
          </w:tcPr>
          <w:p w14:paraId="1DF8875A"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6120" w:type="dxa"/>
          </w:tcPr>
          <w:p w14:paraId="626D5133" w14:textId="36F0B878"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Podbudowa z </w:t>
            </w:r>
            <w:r w:rsidR="00B67D8D" w:rsidRPr="004853EB">
              <w:rPr>
                <w:rFonts w:eastAsia="Times New Roman" w:cstheme="minorHAnsi"/>
                <w:sz w:val="20"/>
                <w:szCs w:val="20"/>
                <w:lang w:eastAsia="pl-PL"/>
              </w:rPr>
              <w:t>AC na</w:t>
            </w:r>
            <w:r w:rsidRPr="004853EB">
              <w:rPr>
                <w:rFonts w:eastAsia="Times New Roman" w:cstheme="minorHAnsi"/>
                <w:sz w:val="20"/>
                <w:szCs w:val="20"/>
                <w:lang w:eastAsia="pl-PL"/>
              </w:rPr>
              <w:t xml:space="preserve"> podbudowie z kruszywa niezwiązanego</w:t>
            </w:r>
          </w:p>
        </w:tc>
        <w:tc>
          <w:tcPr>
            <w:tcW w:w="1920" w:type="dxa"/>
          </w:tcPr>
          <w:p w14:paraId="16D0F2A3" w14:textId="77777777" w:rsidR="00CC1EF4" w:rsidRPr="004853EB" w:rsidRDefault="00CC1EF4" w:rsidP="00CC1EF4">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C60B10 ZM/R</w:t>
            </w:r>
          </w:p>
        </w:tc>
      </w:tr>
      <w:tr w:rsidR="00CC1EF4" w:rsidRPr="004853EB" w14:paraId="30423CF4" w14:textId="77777777" w:rsidTr="00E95D02">
        <w:tc>
          <w:tcPr>
            <w:tcW w:w="828" w:type="dxa"/>
          </w:tcPr>
          <w:p w14:paraId="3771DF1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6120" w:type="dxa"/>
          </w:tcPr>
          <w:p w14:paraId="2687A81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Podbudowa z AC na nawierzchni asfaltowej o chropawej powierzchni – po frezowaniu</w:t>
            </w:r>
          </w:p>
        </w:tc>
        <w:tc>
          <w:tcPr>
            <w:tcW w:w="1920" w:type="dxa"/>
          </w:tcPr>
          <w:p w14:paraId="3D48E33C" w14:textId="77777777" w:rsidR="00CC1EF4" w:rsidRPr="004853EB" w:rsidRDefault="00CC1EF4" w:rsidP="00CC1EF4">
            <w:pPr>
              <w:overflowPunct w:val="0"/>
              <w:autoSpaceDE w:val="0"/>
              <w:autoSpaceDN w:val="0"/>
              <w:adjustRightInd w:val="0"/>
              <w:spacing w:before="120" w:after="0" w:line="240" w:lineRule="auto"/>
              <w:jc w:val="center"/>
              <w:textAlignment w:val="baseline"/>
              <w:rPr>
                <w:rFonts w:eastAsia="Times New Roman" w:cstheme="minorHAnsi"/>
                <w:sz w:val="20"/>
                <w:szCs w:val="20"/>
                <w:vertAlign w:val="superscript"/>
                <w:lang w:eastAsia="pl-PL"/>
              </w:rPr>
            </w:pPr>
            <w:r w:rsidRPr="004853EB">
              <w:rPr>
                <w:rFonts w:eastAsia="Times New Roman" w:cstheme="minorHAnsi"/>
                <w:sz w:val="20"/>
                <w:szCs w:val="20"/>
                <w:vertAlign w:val="superscript"/>
                <w:lang w:eastAsia="pl-PL"/>
              </w:rPr>
              <w:t>1)</w:t>
            </w:r>
          </w:p>
        </w:tc>
      </w:tr>
      <w:tr w:rsidR="00CC1EF4" w:rsidRPr="004853EB" w14:paraId="05B66B90" w14:textId="77777777" w:rsidTr="00E95D02">
        <w:tc>
          <w:tcPr>
            <w:tcW w:w="828" w:type="dxa"/>
          </w:tcPr>
          <w:p w14:paraId="78293368"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6120" w:type="dxa"/>
          </w:tcPr>
          <w:p w14:paraId="5FA603A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Warstwa wiążąca z AC </w:t>
            </w:r>
          </w:p>
        </w:tc>
        <w:tc>
          <w:tcPr>
            <w:tcW w:w="1920" w:type="dxa"/>
          </w:tcPr>
          <w:p w14:paraId="7EE72D01"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C60B3 ZM</w:t>
            </w:r>
            <w:r w:rsidRPr="004853EB">
              <w:rPr>
                <w:rFonts w:eastAsia="Times New Roman" w:cstheme="minorHAnsi"/>
                <w:sz w:val="20"/>
                <w:szCs w:val="20"/>
                <w:vertAlign w:val="superscript"/>
                <w:lang w:eastAsia="pl-PL"/>
              </w:rPr>
              <w:t>2)</w:t>
            </w:r>
          </w:p>
        </w:tc>
      </w:tr>
      <w:tr w:rsidR="00CC1EF4" w:rsidRPr="004853EB" w14:paraId="20852B8F" w14:textId="77777777" w:rsidTr="00E95D02">
        <w:tc>
          <w:tcPr>
            <w:tcW w:w="828" w:type="dxa"/>
          </w:tcPr>
          <w:p w14:paraId="424931E1"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6120" w:type="dxa"/>
          </w:tcPr>
          <w:p w14:paraId="0D0B51EB" w14:textId="77777777" w:rsidR="00CC1EF4" w:rsidRPr="004853EB" w:rsidRDefault="00CC1EF4" w:rsidP="00CC1EF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Warstwa ścieralna z AC na warstwie wiążącej asfaltowej </w:t>
            </w:r>
          </w:p>
        </w:tc>
        <w:tc>
          <w:tcPr>
            <w:tcW w:w="1920" w:type="dxa"/>
          </w:tcPr>
          <w:p w14:paraId="06525B4C"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C60B3 ZM</w:t>
            </w:r>
            <w:r w:rsidRPr="004853EB">
              <w:rPr>
                <w:rFonts w:eastAsia="Times New Roman" w:cstheme="minorHAnsi"/>
                <w:sz w:val="20"/>
                <w:szCs w:val="20"/>
                <w:vertAlign w:val="superscript"/>
                <w:lang w:eastAsia="pl-PL"/>
              </w:rPr>
              <w:t>2)</w:t>
            </w:r>
          </w:p>
        </w:tc>
      </w:tr>
      <w:tr w:rsidR="00CC1EF4" w:rsidRPr="004853EB" w14:paraId="5B6D08D5" w14:textId="77777777" w:rsidTr="00E95D02">
        <w:tc>
          <w:tcPr>
            <w:tcW w:w="8868" w:type="dxa"/>
            <w:gridSpan w:val="3"/>
          </w:tcPr>
          <w:p w14:paraId="2FE4C239" w14:textId="77777777" w:rsidR="00CC1EF4" w:rsidRPr="004853EB" w:rsidRDefault="00CC1EF4" w:rsidP="00CC1EF4">
            <w:pPr>
              <w:overflowPunct w:val="0"/>
              <w:autoSpaceDE w:val="0"/>
              <w:autoSpaceDN w:val="0"/>
              <w:adjustRightInd w:val="0"/>
              <w:spacing w:after="0" w:line="240" w:lineRule="auto"/>
              <w:ind w:left="360" w:hanging="360"/>
              <w:jc w:val="both"/>
              <w:textAlignment w:val="baseline"/>
              <w:rPr>
                <w:rFonts w:eastAsia="Times New Roman" w:cstheme="minorHAnsi"/>
                <w:sz w:val="20"/>
                <w:szCs w:val="20"/>
                <w:lang w:eastAsia="pl-PL"/>
              </w:rPr>
            </w:pPr>
            <w:r w:rsidRPr="004853EB">
              <w:rPr>
                <w:rFonts w:eastAsia="Times New Roman" w:cstheme="minorHAnsi"/>
                <w:sz w:val="20"/>
                <w:szCs w:val="20"/>
                <w:vertAlign w:val="superscript"/>
                <w:lang w:eastAsia="pl-PL"/>
              </w:rPr>
              <w:t>1)</w:t>
            </w:r>
            <w:r w:rsidRPr="004853EB">
              <w:rPr>
                <w:rFonts w:eastAsia="Times New Roman" w:cstheme="minorHAnsi"/>
                <w:sz w:val="20"/>
                <w:szCs w:val="20"/>
                <w:lang w:eastAsia="pl-PL"/>
              </w:rPr>
              <w:t xml:space="preserve"> Rodzaj emulsji należy przyjąć w zależności od stanu nawierzchni, np. przy dużym braku lepiszcza startego przez koła pojazdów i znacznym stopniu porowatości nawierzchni – C60B10 ZM/R, przy dość dużej szczelności nawierzchni – C60B3 ZM, w celu zapewnienia większej wytrzymałości połączeniu międzywarstwowemu – C60BP3 ZM</w:t>
            </w:r>
          </w:p>
          <w:p w14:paraId="75FBE42A" w14:textId="77777777" w:rsidR="00CC1EF4" w:rsidRPr="004853EB" w:rsidRDefault="00CC1EF4" w:rsidP="00CC1EF4">
            <w:pPr>
              <w:overflowPunct w:val="0"/>
              <w:autoSpaceDE w:val="0"/>
              <w:autoSpaceDN w:val="0"/>
              <w:adjustRightInd w:val="0"/>
              <w:spacing w:after="0" w:line="240" w:lineRule="auto"/>
              <w:ind w:left="360" w:hanging="360"/>
              <w:jc w:val="both"/>
              <w:textAlignment w:val="baseline"/>
              <w:rPr>
                <w:rFonts w:eastAsia="Times New Roman" w:cstheme="minorHAnsi"/>
                <w:sz w:val="20"/>
                <w:szCs w:val="20"/>
                <w:lang w:eastAsia="pl-PL"/>
              </w:rPr>
            </w:pPr>
            <w:r w:rsidRPr="004853EB">
              <w:rPr>
                <w:rFonts w:eastAsia="Times New Roman" w:cstheme="minorHAnsi"/>
                <w:sz w:val="20"/>
                <w:szCs w:val="20"/>
                <w:vertAlign w:val="superscript"/>
                <w:lang w:eastAsia="pl-PL"/>
              </w:rPr>
              <w:lastRenderedPageBreak/>
              <w:t>2)</w:t>
            </w:r>
            <w:r w:rsidRPr="004853EB">
              <w:rPr>
                <w:rFonts w:eastAsia="Times New Roman" w:cstheme="minorHAnsi"/>
                <w:sz w:val="20"/>
                <w:szCs w:val="20"/>
                <w:lang w:eastAsia="pl-PL"/>
              </w:rPr>
              <w:t xml:space="preserve"> Można rozważyć stosowanie emulsji C60BP3 ZM w celu uzyskania większej wytrzymałości na ścinanie w połączeniu międzywarstwowym</w:t>
            </w:r>
          </w:p>
        </w:tc>
      </w:tr>
    </w:tbl>
    <w:p w14:paraId="00F8AAA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r>
    </w:p>
    <w:p w14:paraId="5EB85369" w14:textId="77777777" w:rsidR="00CC1EF4" w:rsidRPr="004853EB" w:rsidRDefault="00CC1EF4" w:rsidP="00CC1EF4">
      <w:pPr>
        <w:keepNext/>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5.7.2.</w:t>
      </w:r>
      <w:r w:rsidRPr="004853EB">
        <w:rPr>
          <w:rFonts w:eastAsia="Times New Roman" w:cstheme="minorHAnsi"/>
          <w:sz w:val="20"/>
          <w:szCs w:val="20"/>
          <w:lang w:eastAsia="pl-PL"/>
        </w:rPr>
        <w:t xml:space="preserve"> Określenie ilości skropienia emulsją</w:t>
      </w:r>
    </w:p>
    <w:p w14:paraId="6064D58F" w14:textId="77777777" w:rsidR="00CC1EF4" w:rsidRPr="004853EB" w:rsidRDefault="00CC1EF4" w:rsidP="00CC1EF4">
      <w:pPr>
        <w:keepNext/>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5.7.2.1. Skropienie warstwy z mieszanki mineralno-asfaltowej</w:t>
      </w:r>
    </w:p>
    <w:p w14:paraId="1761C244"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Skropienie lepiszczem powinno być wykonane w ilości podanej w tablicy 5.</w:t>
      </w:r>
    </w:p>
    <w:p w14:paraId="1C667316" w14:textId="29ADC52F" w:rsidR="00CC1EF4" w:rsidRPr="004853EB" w:rsidRDefault="00B67D8D"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Kontrolę ilości</w:t>
      </w:r>
      <w:r w:rsidR="00CC1EF4" w:rsidRPr="004853EB">
        <w:rPr>
          <w:rFonts w:eastAsia="Times New Roman" w:cstheme="minorHAnsi"/>
          <w:sz w:val="20"/>
          <w:szCs w:val="20"/>
          <w:lang w:eastAsia="pl-PL"/>
        </w:rPr>
        <w:t xml:space="preserve"> skropienia emulsją należy wykonać według PN-EN 12272-1 [10].</w:t>
      </w:r>
    </w:p>
    <w:p w14:paraId="2159D84E" w14:textId="77777777" w:rsidR="00CC1EF4" w:rsidRPr="004853EB" w:rsidRDefault="00CC1EF4" w:rsidP="00CC1EF4">
      <w:pPr>
        <w:overflowPunct w:val="0"/>
        <w:autoSpaceDE w:val="0"/>
        <w:autoSpaceDN w:val="0"/>
        <w:adjustRightInd w:val="0"/>
        <w:spacing w:before="120" w:after="120" w:line="240" w:lineRule="auto"/>
        <w:ind w:left="1077" w:hanging="1077"/>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5. Zalecane ilości pozostałego lepiszcza (po odparowaniu wody) do skropienia emulsją asfaltową podłoża z mieszanki mineralno-asfaltowej [kg/m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(uwaga- przyjęto dla emulsji kationowej o zawartości asfaltu 60%, wg Załącznika krajowego NA [22] do normy PN-EN 13808 [21], rodzaje C60B3 ZM)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2492"/>
        <w:gridCol w:w="1079"/>
        <w:gridCol w:w="1786"/>
      </w:tblGrid>
      <w:tr w:rsidR="00CC1EF4" w:rsidRPr="004853EB" w14:paraId="65D66C33" w14:textId="77777777" w:rsidTr="00E95D02">
        <w:tc>
          <w:tcPr>
            <w:tcW w:w="3570" w:type="dxa"/>
            <w:gridSpan w:val="2"/>
            <w:vAlign w:val="center"/>
          </w:tcPr>
          <w:p w14:paraId="0ECBDC7D"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Podłoże pod układaną warstwę asfaltową</w:t>
            </w:r>
          </w:p>
        </w:tc>
        <w:tc>
          <w:tcPr>
            <w:tcW w:w="5357" w:type="dxa"/>
            <w:gridSpan w:val="3"/>
            <w:vAlign w:val="center"/>
          </w:tcPr>
          <w:p w14:paraId="3DD66B12"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Układana warstwa</w:t>
            </w:r>
          </w:p>
        </w:tc>
      </w:tr>
      <w:tr w:rsidR="00CC1EF4" w:rsidRPr="004853EB" w14:paraId="550B79C6" w14:textId="77777777" w:rsidTr="00E95D02">
        <w:tc>
          <w:tcPr>
            <w:tcW w:w="1785" w:type="dxa"/>
            <w:vAlign w:val="center"/>
          </w:tcPr>
          <w:p w14:paraId="6E01D87C"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Rodzaj</w:t>
            </w:r>
          </w:p>
        </w:tc>
        <w:tc>
          <w:tcPr>
            <w:tcW w:w="1785" w:type="dxa"/>
            <w:vAlign w:val="center"/>
          </w:tcPr>
          <w:p w14:paraId="57DB05D5"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cecha</w:t>
            </w:r>
          </w:p>
        </w:tc>
        <w:tc>
          <w:tcPr>
            <w:tcW w:w="2492" w:type="dxa"/>
            <w:vAlign w:val="center"/>
          </w:tcPr>
          <w:p w14:paraId="087B8EBB"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Wyrównawcza i wiążąca</w:t>
            </w:r>
          </w:p>
        </w:tc>
        <w:tc>
          <w:tcPr>
            <w:tcW w:w="2865" w:type="dxa"/>
            <w:gridSpan w:val="2"/>
            <w:vAlign w:val="center"/>
          </w:tcPr>
          <w:p w14:paraId="071F40F4"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Ścieralna </w:t>
            </w:r>
          </w:p>
        </w:tc>
      </w:tr>
      <w:tr w:rsidR="00CC1EF4" w:rsidRPr="004853EB" w14:paraId="52D65984" w14:textId="77777777" w:rsidTr="00E95D02">
        <w:tc>
          <w:tcPr>
            <w:tcW w:w="8927" w:type="dxa"/>
            <w:gridSpan w:val="5"/>
          </w:tcPr>
          <w:p w14:paraId="344B966B" w14:textId="5ED2C0D9"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Dla dróg kategorii </w:t>
            </w:r>
            <w:r w:rsidR="00B67D8D" w:rsidRPr="004853EB">
              <w:rPr>
                <w:rFonts w:eastAsia="Times New Roman" w:cstheme="minorHAnsi"/>
                <w:sz w:val="20"/>
                <w:szCs w:val="20"/>
                <w:lang w:eastAsia="pl-PL"/>
              </w:rPr>
              <w:t>ruchu KR</w:t>
            </w:r>
            <w:r w:rsidRPr="004853EB">
              <w:rPr>
                <w:rFonts w:eastAsia="Times New Roman" w:cstheme="minorHAnsi"/>
                <w:sz w:val="20"/>
                <w:szCs w:val="20"/>
                <w:lang w:eastAsia="pl-PL"/>
              </w:rPr>
              <w:t>1– rodzaj emulsji C60B3ZM</w:t>
            </w:r>
          </w:p>
        </w:tc>
      </w:tr>
      <w:tr w:rsidR="00CC1EF4" w:rsidRPr="004853EB" w14:paraId="48341A18" w14:textId="77777777" w:rsidTr="00E95D02">
        <w:tc>
          <w:tcPr>
            <w:tcW w:w="1785" w:type="dxa"/>
            <w:vMerge w:val="restart"/>
          </w:tcPr>
          <w:p w14:paraId="0435043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Warstwa podbudowy asfaltowej lub stara nawierzchnia asfaltowa</w:t>
            </w:r>
          </w:p>
        </w:tc>
        <w:tc>
          <w:tcPr>
            <w:tcW w:w="1785" w:type="dxa"/>
          </w:tcPr>
          <w:p w14:paraId="00EF244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Nowo wykonana podbudowa lub stara nawierzchnia szczelna</w:t>
            </w:r>
          </w:p>
        </w:tc>
        <w:tc>
          <w:tcPr>
            <w:tcW w:w="3571" w:type="dxa"/>
            <w:gridSpan w:val="2"/>
          </w:tcPr>
          <w:p w14:paraId="714F3BB0"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0,3÷0,5</w:t>
            </w:r>
          </w:p>
        </w:tc>
        <w:tc>
          <w:tcPr>
            <w:tcW w:w="1786" w:type="dxa"/>
          </w:tcPr>
          <w:p w14:paraId="07B1B9DD"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0,2÷0,4</w:t>
            </w:r>
          </w:p>
        </w:tc>
      </w:tr>
      <w:tr w:rsidR="00CC1EF4" w:rsidRPr="004853EB" w14:paraId="7D1C9935" w14:textId="77777777" w:rsidTr="00E95D02">
        <w:tc>
          <w:tcPr>
            <w:tcW w:w="1785" w:type="dxa"/>
            <w:vMerge/>
          </w:tcPr>
          <w:p w14:paraId="11D9D72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c>
          <w:tcPr>
            <w:tcW w:w="1785" w:type="dxa"/>
          </w:tcPr>
          <w:p w14:paraId="6D1F8AC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Frezowana</w:t>
            </w:r>
          </w:p>
        </w:tc>
        <w:tc>
          <w:tcPr>
            <w:tcW w:w="3571" w:type="dxa"/>
            <w:gridSpan w:val="2"/>
          </w:tcPr>
          <w:p w14:paraId="6E1B89B8"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0,3÷0,5</w:t>
            </w:r>
          </w:p>
        </w:tc>
        <w:tc>
          <w:tcPr>
            <w:tcW w:w="1786" w:type="dxa"/>
          </w:tcPr>
          <w:p w14:paraId="317F5640"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0,3÷0,5</w:t>
            </w:r>
          </w:p>
        </w:tc>
      </w:tr>
      <w:tr w:rsidR="00CC1EF4" w:rsidRPr="004853EB" w14:paraId="0C154107" w14:textId="77777777" w:rsidTr="00E95D02">
        <w:tc>
          <w:tcPr>
            <w:tcW w:w="1785" w:type="dxa"/>
            <w:vMerge/>
          </w:tcPr>
          <w:p w14:paraId="4D2E7CC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c>
          <w:tcPr>
            <w:tcW w:w="1785" w:type="dxa"/>
          </w:tcPr>
          <w:p w14:paraId="0B76390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Porowata lub w złym stanie</w:t>
            </w:r>
          </w:p>
        </w:tc>
        <w:tc>
          <w:tcPr>
            <w:tcW w:w="3571" w:type="dxa"/>
            <w:gridSpan w:val="2"/>
          </w:tcPr>
          <w:p w14:paraId="5175E395"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0,3÷0,7</w:t>
            </w:r>
          </w:p>
        </w:tc>
        <w:tc>
          <w:tcPr>
            <w:tcW w:w="1786" w:type="dxa"/>
          </w:tcPr>
          <w:p w14:paraId="32A8AD8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0,3÷0,5</w:t>
            </w:r>
          </w:p>
        </w:tc>
      </w:tr>
      <w:tr w:rsidR="00CC1EF4" w:rsidRPr="004853EB" w14:paraId="486A3612" w14:textId="77777777" w:rsidTr="00E95D02">
        <w:tc>
          <w:tcPr>
            <w:tcW w:w="1785" w:type="dxa"/>
            <w:vMerge w:val="restart"/>
          </w:tcPr>
          <w:p w14:paraId="266C532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Warstwa wiążąca</w:t>
            </w:r>
          </w:p>
        </w:tc>
        <w:tc>
          <w:tcPr>
            <w:tcW w:w="1785" w:type="dxa"/>
          </w:tcPr>
          <w:p w14:paraId="24BDEB9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Nowo wykonana</w:t>
            </w:r>
          </w:p>
        </w:tc>
        <w:tc>
          <w:tcPr>
            <w:tcW w:w="3571" w:type="dxa"/>
            <w:gridSpan w:val="2"/>
          </w:tcPr>
          <w:p w14:paraId="2502AD3C"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X</w:t>
            </w:r>
          </w:p>
        </w:tc>
        <w:tc>
          <w:tcPr>
            <w:tcW w:w="1786" w:type="dxa"/>
          </w:tcPr>
          <w:p w14:paraId="72BC99EE"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0,2÷0,4</w:t>
            </w:r>
          </w:p>
        </w:tc>
      </w:tr>
      <w:tr w:rsidR="00CC1EF4" w:rsidRPr="004853EB" w14:paraId="318520BC" w14:textId="77777777" w:rsidTr="00E95D02">
        <w:tc>
          <w:tcPr>
            <w:tcW w:w="1785" w:type="dxa"/>
            <w:vMerge/>
          </w:tcPr>
          <w:p w14:paraId="2DA93F0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c>
          <w:tcPr>
            <w:tcW w:w="1785" w:type="dxa"/>
          </w:tcPr>
          <w:p w14:paraId="50E4F93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Frezowana</w:t>
            </w:r>
          </w:p>
        </w:tc>
        <w:tc>
          <w:tcPr>
            <w:tcW w:w="3571" w:type="dxa"/>
            <w:gridSpan w:val="2"/>
          </w:tcPr>
          <w:p w14:paraId="7B3999D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0,3÷0,5</w:t>
            </w:r>
          </w:p>
        </w:tc>
        <w:tc>
          <w:tcPr>
            <w:tcW w:w="1786" w:type="dxa"/>
          </w:tcPr>
          <w:p w14:paraId="6BD04F75"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0,3÷0,5</w:t>
            </w:r>
          </w:p>
        </w:tc>
      </w:tr>
      <w:tr w:rsidR="00CC1EF4" w:rsidRPr="004853EB" w14:paraId="4E65E89F" w14:textId="77777777" w:rsidTr="00E95D02">
        <w:tc>
          <w:tcPr>
            <w:tcW w:w="1785" w:type="dxa"/>
            <w:vMerge/>
          </w:tcPr>
          <w:p w14:paraId="5B458F0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c>
          <w:tcPr>
            <w:tcW w:w="1785" w:type="dxa"/>
          </w:tcPr>
          <w:p w14:paraId="168E063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Porowata lub w złym stanie</w:t>
            </w:r>
          </w:p>
        </w:tc>
        <w:tc>
          <w:tcPr>
            <w:tcW w:w="3571" w:type="dxa"/>
            <w:gridSpan w:val="2"/>
          </w:tcPr>
          <w:p w14:paraId="61916F07"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0,3÷0,6</w:t>
            </w:r>
          </w:p>
        </w:tc>
        <w:tc>
          <w:tcPr>
            <w:tcW w:w="1786" w:type="dxa"/>
          </w:tcPr>
          <w:p w14:paraId="235D53D5"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0,3÷0,5</w:t>
            </w:r>
          </w:p>
        </w:tc>
      </w:tr>
    </w:tbl>
    <w:p w14:paraId="3699F839" w14:textId="77777777" w:rsidR="00CC1EF4" w:rsidRPr="004853EB" w:rsidRDefault="00CC1EF4" w:rsidP="00CC1EF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 złączenia dwóch warstw asfaltowych, gdy obydwie warstwy wykonane są z zastosowaniem asfaltów niemodyfikowanych dopuszcza się zastosowanie emulsji C60B3 ZM</w:t>
      </w:r>
    </w:p>
    <w:p w14:paraId="4BD48217" w14:textId="620557E4"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Uwaga: w celu określenia ilości pozostałego lepiszcza asfaltowego, należy ilość emulsji asfaltowej podaną </w:t>
      </w:r>
      <w:r w:rsidR="00B67D8D">
        <w:rPr>
          <w:rFonts w:eastAsia="Times New Roman" w:cstheme="minorHAnsi"/>
          <w:sz w:val="20"/>
          <w:szCs w:val="20"/>
          <w:lang w:eastAsia="pl-PL"/>
        </w:rPr>
        <w:br/>
      </w:r>
      <w:r w:rsidRPr="004853EB">
        <w:rPr>
          <w:rFonts w:eastAsia="Times New Roman" w:cstheme="minorHAnsi"/>
          <w:sz w:val="20"/>
          <w:szCs w:val="20"/>
          <w:lang w:eastAsia="pl-PL"/>
        </w:rPr>
        <w:t>w tablicy pomnożyć przez 0,6</w:t>
      </w:r>
    </w:p>
    <w:p w14:paraId="328F8EF6" w14:textId="77777777" w:rsidR="00CC1EF4" w:rsidRPr="004853EB" w:rsidRDefault="00CC1EF4" w:rsidP="00CC1EF4">
      <w:pPr>
        <w:overflowPunct w:val="0"/>
        <w:autoSpaceDE w:val="0"/>
        <w:autoSpaceDN w:val="0"/>
        <w:adjustRightInd w:val="0"/>
        <w:spacing w:after="120" w:line="240" w:lineRule="auto"/>
        <w:jc w:val="both"/>
        <w:textAlignment w:val="baseline"/>
        <w:rPr>
          <w:rFonts w:eastAsia="Times New Roman" w:cstheme="minorHAnsi"/>
          <w:sz w:val="20"/>
          <w:szCs w:val="20"/>
          <w:u w:val="single"/>
          <w:lang w:eastAsia="pl-PL"/>
        </w:rPr>
      </w:pPr>
      <w:r w:rsidRPr="004853EB">
        <w:rPr>
          <w:rFonts w:eastAsia="Times New Roman" w:cstheme="minorHAnsi"/>
          <w:sz w:val="20"/>
          <w:szCs w:val="20"/>
          <w:u w:val="single"/>
          <w:lang w:eastAsia="pl-PL"/>
        </w:rPr>
        <w:t>Objaśnienia:</w:t>
      </w:r>
    </w:p>
    <w:p w14:paraId="486C4EB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„X” – nie dotyczy </w:t>
      </w:r>
    </w:p>
    <w:p w14:paraId="7E14395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 rozwiązanie nie występuje</w:t>
      </w:r>
    </w:p>
    <w:p w14:paraId="68E8924C"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Optymalną ilość emulsji asfaltowej do skropienia należy ustalić na odcinku próbnym układania mieszanki mineralno-asfaltowej. Ocenę należy dokonać na podstawie wytrzymałości na ścinanie, wymagania wg tablicy 8. W uzasadnionych przypadkach (brak szczepności), zakresy dozowania podane w tablicy 5 mogą zostać rozszerzone.</w:t>
      </w:r>
    </w:p>
    <w:p w14:paraId="3D4169C4"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5.7.2.2. Skropienie warstwy z mieszanki niezwiązanej lub związanej hydraulicznie</w:t>
      </w:r>
    </w:p>
    <w:p w14:paraId="11835D39"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 przypadku skrapiania warstwy z mieszanki niezwiązanej lub związanej hydraulicznie po okresie długotrwałych opadów deszczu, Inżynier dopuszcza powierzchnię, która ma być skrapiana i charakteryzuje się odpowiednią wilgotnością (patrz pkt.5.4.2). Jeśli poziom zawilgocenia warstwy jest zbyt duży, należy wstrzymać się ze skrapianiem do momentu przesuszenia powierzchni warstwy.</w:t>
      </w:r>
    </w:p>
    <w:p w14:paraId="779BFF16" w14:textId="1849CB34"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Skropienie lepiszczem powinno być wykonane w ilości podanej w tablicy 6. Kontrolę ilości lepiszcza </w:t>
      </w:r>
      <w:r w:rsidR="00B67D8D">
        <w:rPr>
          <w:rFonts w:eastAsia="Times New Roman" w:cstheme="minorHAnsi"/>
          <w:sz w:val="20"/>
          <w:szCs w:val="20"/>
          <w:lang w:eastAsia="pl-PL"/>
        </w:rPr>
        <w:br/>
      </w:r>
      <w:r w:rsidRPr="004853EB">
        <w:rPr>
          <w:rFonts w:eastAsia="Times New Roman" w:cstheme="minorHAnsi"/>
          <w:sz w:val="20"/>
          <w:szCs w:val="20"/>
          <w:lang w:eastAsia="pl-PL"/>
        </w:rPr>
        <w:t xml:space="preserve">w trakcie skrapiania należy dokonać wg PN-EN 12272-1 [10]. Skrapiarka powinna zapewniać rozkładanie lepiszcza z tolerancją ±10% w stosunku do ilości założonej. </w:t>
      </w:r>
    </w:p>
    <w:p w14:paraId="211ACD10" w14:textId="77777777" w:rsidR="00CF69C0" w:rsidRDefault="00CF69C0" w:rsidP="00CC1EF4">
      <w:pPr>
        <w:overflowPunct w:val="0"/>
        <w:autoSpaceDE w:val="0"/>
        <w:autoSpaceDN w:val="0"/>
        <w:adjustRightInd w:val="0"/>
        <w:spacing w:before="240" w:after="120" w:line="240" w:lineRule="auto"/>
        <w:ind w:left="1134" w:hanging="1134"/>
        <w:jc w:val="both"/>
        <w:textAlignment w:val="baseline"/>
        <w:rPr>
          <w:rFonts w:eastAsia="Times New Roman" w:cstheme="minorHAnsi"/>
          <w:sz w:val="20"/>
          <w:szCs w:val="20"/>
          <w:lang w:eastAsia="pl-PL"/>
        </w:rPr>
      </w:pPr>
    </w:p>
    <w:p w14:paraId="6896C814" w14:textId="77777777" w:rsidR="00CF69C0" w:rsidRDefault="00CF69C0" w:rsidP="00CC1EF4">
      <w:pPr>
        <w:overflowPunct w:val="0"/>
        <w:autoSpaceDE w:val="0"/>
        <w:autoSpaceDN w:val="0"/>
        <w:adjustRightInd w:val="0"/>
        <w:spacing w:before="240" w:after="120" w:line="240" w:lineRule="auto"/>
        <w:ind w:left="1134" w:hanging="1134"/>
        <w:jc w:val="both"/>
        <w:textAlignment w:val="baseline"/>
        <w:rPr>
          <w:rFonts w:eastAsia="Times New Roman" w:cstheme="minorHAnsi"/>
          <w:sz w:val="20"/>
          <w:szCs w:val="20"/>
          <w:lang w:eastAsia="pl-PL"/>
        </w:rPr>
      </w:pPr>
    </w:p>
    <w:p w14:paraId="3695F5B7" w14:textId="1C39985C" w:rsidR="00CC1EF4" w:rsidRPr="004853EB" w:rsidRDefault="00CC1EF4" w:rsidP="00CC1EF4">
      <w:pPr>
        <w:overflowPunct w:val="0"/>
        <w:autoSpaceDE w:val="0"/>
        <w:autoSpaceDN w:val="0"/>
        <w:adjustRightInd w:val="0"/>
        <w:spacing w:before="240" w:after="120" w:line="240" w:lineRule="auto"/>
        <w:ind w:left="1134" w:hanging="113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Tablica 6.</w:t>
      </w:r>
      <w:r w:rsidRPr="004853EB">
        <w:rPr>
          <w:rFonts w:eastAsia="Times New Roman" w:cstheme="minorHAnsi"/>
          <w:sz w:val="20"/>
          <w:szCs w:val="20"/>
          <w:lang w:eastAsia="pl-PL"/>
        </w:rPr>
        <w:tab/>
        <w:t xml:space="preserve">Zalecane ilości emulsji asfaltowej do skropienia </w:t>
      </w:r>
      <w:r w:rsidR="00B67D8D" w:rsidRPr="004853EB">
        <w:rPr>
          <w:rFonts w:eastAsia="Times New Roman" w:cstheme="minorHAnsi"/>
          <w:sz w:val="20"/>
          <w:szCs w:val="20"/>
          <w:lang w:eastAsia="pl-PL"/>
        </w:rPr>
        <w:t>podłoża z</w:t>
      </w:r>
      <w:r w:rsidRPr="004853EB">
        <w:rPr>
          <w:rFonts w:eastAsia="Times New Roman" w:cstheme="minorHAnsi"/>
          <w:sz w:val="20"/>
          <w:szCs w:val="20"/>
          <w:lang w:eastAsia="pl-PL"/>
        </w:rPr>
        <w:t xml:space="preserve"> mieszanki niezwiązanej [kg/m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(uwaga – przyjęto dla emulsji kationowej o zawartości asfaltu równej 60% wg Załącznika krajowego NA [22] do PN-EN 13808 [21], rodzaj C60B10 ZM/R)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CC1EF4" w:rsidRPr="004853EB" w14:paraId="03AC0D01" w14:textId="77777777" w:rsidTr="00E95D02">
        <w:tc>
          <w:tcPr>
            <w:tcW w:w="2975" w:type="dxa"/>
            <w:vMerge w:val="restart"/>
            <w:vAlign w:val="center"/>
          </w:tcPr>
          <w:p w14:paraId="320037BC"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Rodzaj podłoża</w:t>
            </w:r>
          </w:p>
        </w:tc>
        <w:tc>
          <w:tcPr>
            <w:tcW w:w="5952" w:type="dxa"/>
            <w:gridSpan w:val="2"/>
            <w:vAlign w:val="center"/>
          </w:tcPr>
          <w:p w14:paraId="4D67015C"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Emulsja asfaltowa</w:t>
            </w:r>
          </w:p>
        </w:tc>
      </w:tr>
      <w:tr w:rsidR="00CC1EF4" w:rsidRPr="004853EB" w14:paraId="2C8D5F13" w14:textId="77777777" w:rsidTr="00E95D02">
        <w:tc>
          <w:tcPr>
            <w:tcW w:w="2975" w:type="dxa"/>
            <w:vMerge/>
            <w:vAlign w:val="center"/>
          </w:tcPr>
          <w:p w14:paraId="7A7B8606"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p>
        </w:tc>
        <w:tc>
          <w:tcPr>
            <w:tcW w:w="2976" w:type="dxa"/>
            <w:vAlign w:val="center"/>
          </w:tcPr>
          <w:p w14:paraId="6FD189E4"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Ilość</w:t>
            </w:r>
          </w:p>
        </w:tc>
        <w:tc>
          <w:tcPr>
            <w:tcW w:w="2976" w:type="dxa"/>
            <w:vAlign w:val="center"/>
          </w:tcPr>
          <w:p w14:paraId="54A3D774"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Rodzaj</w:t>
            </w:r>
          </w:p>
        </w:tc>
      </w:tr>
      <w:tr w:rsidR="00CC1EF4" w:rsidRPr="004853EB" w14:paraId="0E722A78" w14:textId="77777777" w:rsidTr="00E95D02">
        <w:tc>
          <w:tcPr>
            <w:tcW w:w="2975" w:type="dxa"/>
          </w:tcPr>
          <w:p w14:paraId="46851EE3" w14:textId="77777777" w:rsidR="00CC1EF4" w:rsidRPr="004853EB" w:rsidRDefault="00CC1EF4" w:rsidP="00CC1EF4">
            <w:p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Warstwa podbudowy z mieszanki niezwiązanej</w:t>
            </w:r>
          </w:p>
        </w:tc>
        <w:tc>
          <w:tcPr>
            <w:tcW w:w="2976" w:type="dxa"/>
          </w:tcPr>
          <w:p w14:paraId="7BFED32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0,5÷0,7</w:t>
            </w:r>
          </w:p>
        </w:tc>
        <w:tc>
          <w:tcPr>
            <w:tcW w:w="2976" w:type="dxa"/>
          </w:tcPr>
          <w:p w14:paraId="79F6DC66"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C60B10 ZM/R</w:t>
            </w:r>
          </w:p>
        </w:tc>
      </w:tr>
    </w:tbl>
    <w:p w14:paraId="4CD4095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7D77674E"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5.7.3. Wykonanie skropienia emulsją</w:t>
      </w:r>
    </w:p>
    <w:p w14:paraId="68C32294"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Skrapianie podłoża należy wykonywać równomiernie na całej powierzchni przeznaczonej do skropienia, przy użyciu skrapiarek samochodowych, ewentualnie ciągnionych – wyposażonych w rampy spryskujące oraz automatyczne systemy kontroli wydatku skropienia. Dopuszcza się skrapianie ręczne lancą w miejscach trudno dostępnych (np. przy ściekach ulicznych) oraz przy urządzeniach usytuowanych w nawierzchni lub ją ograniczających (np. studzienki, krawężniki). W razie potrzeby urządzenia te należy zabezpieczyć przed zabrudzeniem.</w:t>
      </w:r>
    </w:p>
    <w:p w14:paraId="211282BA"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 wypadku dużej ilości pozostałej emulsji, np. powyżej 0,5 kg/m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może być konieczne wykonanie skropienia w kilku warstwach, aby zapobiec spłynięciu i powstaniu kałuż lepiszcza.</w:t>
      </w:r>
    </w:p>
    <w:p w14:paraId="5E2DCFD1"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Przed rozpoczęciem skrapiania należy strefy przyległe do skrapianych powierzchni jak np.: krawężniki, ścieki, wpusty itp. odpowiednio osłonić, zabezpieczając przed zabrudzeniem lub zalaniem emulsją.</w:t>
      </w:r>
    </w:p>
    <w:p w14:paraId="1E8A7240" w14:textId="46C08EF9"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Podłoże powinno być skropione z odpowiednim wyprzedzeniem przed układaniem następnej warstwy asfaltowej w celu rozpadu emulsji z wydzieleniem asfaltu i odparowani wody. O rozpadzie emulsji świadczy zmiana koloru skropionej powierzchni z brązowej na czarny. Przed wykonaniem następnego </w:t>
      </w:r>
      <w:r w:rsidR="00B67D8D" w:rsidRPr="004853EB">
        <w:rPr>
          <w:rFonts w:eastAsia="Times New Roman" w:cstheme="minorHAnsi"/>
          <w:sz w:val="20"/>
          <w:szCs w:val="20"/>
          <w:lang w:eastAsia="pl-PL"/>
        </w:rPr>
        <w:t>zabiegu technologicznego</w:t>
      </w:r>
      <w:r w:rsidRPr="004853EB">
        <w:rPr>
          <w:rFonts w:eastAsia="Times New Roman" w:cstheme="minorHAnsi"/>
          <w:sz w:val="20"/>
          <w:szCs w:val="20"/>
          <w:lang w:eastAsia="pl-PL"/>
        </w:rPr>
        <w:t xml:space="preserve"> należy odczekać minimum 30 minut od momentu zmiany koloru pokrytej lepiszczem warstwy na czarny.</w:t>
      </w:r>
    </w:p>
    <w:p w14:paraId="404DB540" w14:textId="17762212"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Skropioną warstwę Wykonawca powinien wyłączyć z ruchu publicznego i technologicznego przez zmianę organizacji ruchu </w:t>
      </w:r>
      <w:r w:rsidR="00B67D8D" w:rsidRPr="004853EB">
        <w:rPr>
          <w:rFonts w:eastAsia="Times New Roman" w:cstheme="minorHAnsi"/>
          <w:sz w:val="20"/>
          <w:szCs w:val="20"/>
          <w:lang w:eastAsia="pl-PL"/>
        </w:rPr>
        <w:t>lub odpowiednią</w:t>
      </w:r>
      <w:r w:rsidRPr="004853EB">
        <w:rPr>
          <w:rFonts w:eastAsia="Times New Roman" w:cstheme="minorHAnsi"/>
          <w:sz w:val="20"/>
          <w:szCs w:val="20"/>
          <w:lang w:eastAsia="pl-PL"/>
        </w:rPr>
        <w:t xml:space="preserve"> ochronę skropienia przez pokrycie specjalną warstwą osłonową.</w:t>
      </w:r>
    </w:p>
    <w:p w14:paraId="002F3457"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45" w:name="_Toc194476879"/>
      <w:bookmarkStart w:id="2846" w:name="_Toc227760170"/>
      <w:bookmarkStart w:id="2847" w:name="_Toc227825317"/>
      <w:r w:rsidRPr="004853EB">
        <w:rPr>
          <w:rFonts w:eastAsia="Times New Roman" w:cstheme="minorHAnsi"/>
          <w:b/>
          <w:sz w:val="20"/>
          <w:szCs w:val="20"/>
          <w:lang w:eastAsia="pl-PL"/>
        </w:rPr>
        <w:t>5.8. Ochrona wykonanego skropienia</w:t>
      </w:r>
      <w:bookmarkEnd w:id="2845"/>
      <w:bookmarkEnd w:id="2846"/>
      <w:bookmarkEnd w:id="2847"/>
    </w:p>
    <w:p w14:paraId="2DF7AA26"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Wykonanie warstwy ochronnej emulsji przez dodatkowe skropienie z użyciem mleczka wapiennego należy stosować dla drogi o kategorii KR 5. Skropienie mleczkiem wapiennym wykonuje się dopiero wtedy, gdy nastąpi rozpad emulsji i odparuje woda.</w:t>
      </w:r>
    </w:p>
    <w:p w14:paraId="114744A8"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Stężenie roztworu roboczego mleczka wapiennego należy przygotować tak, by w 100 g próbki zawartość wodorotlenku wapnia wyrażona w gramach, a otrzymana przez wysuszenie próbki w suszarce w temp. 110±5°C do stałej masy (jednak nie dłużej niż 5 godz.) była:</w:t>
      </w:r>
    </w:p>
    <w:p w14:paraId="7621A284" w14:textId="77777777" w:rsidR="00CC1EF4" w:rsidRPr="004853EB" w:rsidRDefault="00CC1EF4">
      <w:pPr>
        <w:numPr>
          <w:ilvl w:val="0"/>
          <w:numId w:val="50"/>
        </w:numPr>
        <w:overflowPunct w:val="0"/>
        <w:autoSpaceDE w:val="0"/>
        <w:autoSpaceDN w:val="0"/>
        <w:adjustRightInd w:val="0"/>
        <w:spacing w:after="0" w:line="240" w:lineRule="auto"/>
        <w:ind w:left="426"/>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nie mniejsza niż 16,0% i nie większa niż 28,0% - do skropienia podbudowy z mieszanki niezwiązanej lub związanej hydraulicznie,</w:t>
      </w:r>
    </w:p>
    <w:p w14:paraId="036498B8" w14:textId="77777777" w:rsidR="00CC1EF4" w:rsidRPr="004853EB" w:rsidRDefault="00CC1EF4">
      <w:pPr>
        <w:numPr>
          <w:ilvl w:val="0"/>
          <w:numId w:val="50"/>
        </w:numPr>
        <w:overflowPunct w:val="0"/>
        <w:autoSpaceDE w:val="0"/>
        <w:autoSpaceDN w:val="0"/>
        <w:adjustRightInd w:val="0"/>
        <w:spacing w:after="0" w:line="240" w:lineRule="auto"/>
        <w:ind w:left="426"/>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nie mniejsza niż 9,0 % i nie większa niż 16,0% - do skropienia warstw mineralno-asfaltowych.</w:t>
      </w:r>
    </w:p>
    <w:p w14:paraId="45437A93"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Dozowana na nawierzchnię dawka roztworu mleczka wapiennego powinna zawierać się w przedziale 250 g/m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 20 g.</w:t>
      </w:r>
    </w:p>
    <w:p w14:paraId="48C227ED" w14:textId="2A05CA35"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Dalsze prace budowlane na zabezpieczonej nawierzchni można prowadzić po odparowaniu wody </w:t>
      </w:r>
      <w:r w:rsidR="00B67D8D">
        <w:rPr>
          <w:rFonts w:eastAsia="Times New Roman" w:cstheme="minorHAnsi"/>
          <w:sz w:val="20"/>
          <w:szCs w:val="20"/>
          <w:lang w:eastAsia="pl-PL"/>
        </w:rPr>
        <w:br/>
      </w:r>
      <w:r w:rsidRPr="004853EB">
        <w:rPr>
          <w:rFonts w:eastAsia="Times New Roman" w:cstheme="minorHAnsi"/>
          <w:sz w:val="20"/>
          <w:szCs w:val="20"/>
          <w:lang w:eastAsia="pl-PL"/>
        </w:rPr>
        <w:t>z zaaplikowanego roztworu mleczka wapiennego wg oceny wizualnej (powstanie suchego filmu wodorotlenku wapnia na powierzchni).</w:t>
      </w:r>
    </w:p>
    <w:p w14:paraId="5B8296B9" w14:textId="7F7F8524"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Ze względu na osiadanie wodorotlenku wapnia na dnie zbiornika skrapiarki lub opryskiwacza, urządzenia te powinny być wyposażone w system obiegu zamkniętego lub mieszadło obrotowe. Jeśli producent mieszaniny </w:t>
      </w:r>
      <w:r w:rsidR="00B67D8D" w:rsidRPr="004853EB">
        <w:rPr>
          <w:rFonts w:eastAsia="Times New Roman" w:cstheme="minorHAnsi"/>
          <w:sz w:val="20"/>
          <w:szCs w:val="20"/>
          <w:lang w:eastAsia="pl-PL"/>
        </w:rPr>
        <w:t>gwarantuje jednorodność</w:t>
      </w:r>
      <w:r w:rsidRPr="004853EB">
        <w:rPr>
          <w:rFonts w:eastAsia="Times New Roman" w:cstheme="minorHAnsi"/>
          <w:sz w:val="20"/>
          <w:szCs w:val="20"/>
          <w:lang w:eastAsia="pl-PL"/>
        </w:rPr>
        <w:t xml:space="preserve"> w określonym czasie, mieszadło nie jest wymagane. Mleczko wapienne należy przechowywać w odpowiednich zbiornikach homogenizacyjnych z zastosowaniem mechanizmów zabezpieczających. Produkt nie może być przechowywany ani transportowany w pojemnikach aluminiowych oraz przechowywany w temperaturach poniżej 5°C. </w:t>
      </w:r>
    </w:p>
    <w:p w14:paraId="3BDD191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Warstwa skropiona emulsją asfaltową, przed ułożeniem na niej warstwy asfaltowej, powinna być pozostawiona na czas niezbędny do umożliwienia odparowania wody:</w:t>
      </w:r>
    </w:p>
    <w:p w14:paraId="2C175D32" w14:textId="77777777" w:rsidR="00CC1EF4" w:rsidRPr="004853EB" w:rsidRDefault="00CC1EF4">
      <w:pPr>
        <w:numPr>
          <w:ilvl w:val="0"/>
          <w:numId w:val="4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8 h w wypadku zastosowania więcej niż 1,0 kg/m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w:t>
      </w:r>
    </w:p>
    <w:p w14:paraId="175F0D99" w14:textId="77777777" w:rsidR="00CC1EF4" w:rsidRPr="004853EB" w:rsidRDefault="00CC1EF4">
      <w:pPr>
        <w:numPr>
          <w:ilvl w:val="0"/>
          <w:numId w:val="4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1 h w wypadku zastosowania od 0,5 do 1,0 kg/m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w:t>
      </w:r>
    </w:p>
    <w:p w14:paraId="34997688" w14:textId="77777777" w:rsidR="00CC1EF4" w:rsidRPr="004853EB" w:rsidRDefault="00CC1EF4">
      <w:pPr>
        <w:numPr>
          <w:ilvl w:val="0"/>
          <w:numId w:val="4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0,5 h w wypadku zastosowania do 0,5 kg/m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w:t>
      </w:r>
    </w:p>
    <w:p w14:paraId="7E6511F9" w14:textId="77777777" w:rsidR="00CC1EF4" w:rsidRPr="004853EB" w:rsidRDefault="00CC1EF4" w:rsidP="00CC1EF4">
      <w:pPr>
        <w:overflowPunct w:val="0"/>
        <w:autoSpaceDE w:val="0"/>
        <w:autoSpaceDN w:val="0"/>
        <w:adjustRightInd w:val="0"/>
        <w:spacing w:after="0" w:line="240" w:lineRule="auto"/>
        <w:ind w:left="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Czas ten nie dotyczy skrapiania rampą zamontowaną na rozkładarce.</w:t>
      </w:r>
    </w:p>
    <w:p w14:paraId="066F841B"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b/>
          <w:sz w:val="20"/>
          <w:szCs w:val="20"/>
          <w:lang w:eastAsia="pl-PL"/>
        </w:rPr>
      </w:pPr>
      <w:r w:rsidRPr="004853EB">
        <w:rPr>
          <w:rFonts w:eastAsia="Times New Roman" w:cstheme="minorHAnsi"/>
          <w:b/>
          <w:sz w:val="20"/>
          <w:szCs w:val="20"/>
          <w:lang w:eastAsia="pl-PL"/>
        </w:rPr>
        <w:lastRenderedPageBreak/>
        <w:t>5.8. Roboty wykończeniowe</w:t>
      </w:r>
    </w:p>
    <w:p w14:paraId="7F2BC304" w14:textId="47801DA4" w:rsidR="00CC1EF4" w:rsidRPr="004853EB" w:rsidRDefault="00CC1EF4" w:rsidP="00CC1EF4">
      <w:pPr>
        <w:overflowPunct w:val="0"/>
        <w:autoSpaceDE w:val="0"/>
        <w:autoSpaceDN w:val="0"/>
        <w:adjustRightInd w:val="0"/>
        <w:spacing w:before="120"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Roboty wykończeniowe, zgodne z dokumentacją projektową, ST lub </w:t>
      </w:r>
      <w:r w:rsidR="00B67D8D" w:rsidRPr="004853EB">
        <w:rPr>
          <w:rFonts w:eastAsia="Times New Roman" w:cstheme="minorHAnsi"/>
          <w:sz w:val="20"/>
          <w:szCs w:val="20"/>
          <w:lang w:eastAsia="pl-PL"/>
        </w:rPr>
        <w:t>wskazaniami Inżyniera</w:t>
      </w:r>
      <w:r w:rsidRPr="004853EB">
        <w:rPr>
          <w:rFonts w:eastAsia="Times New Roman" w:cstheme="minorHAnsi"/>
          <w:sz w:val="20"/>
          <w:szCs w:val="20"/>
          <w:lang w:eastAsia="pl-PL"/>
        </w:rPr>
        <w:t xml:space="preserve">, dotyczą prac związanych z dostosowaniem </w:t>
      </w:r>
      <w:r w:rsidR="00B67D8D" w:rsidRPr="004853EB">
        <w:rPr>
          <w:rFonts w:eastAsia="Times New Roman" w:cstheme="minorHAnsi"/>
          <w:sz w:val="20"/>
          <w:szCs w:val="20"/>
          <w:lang w:eastAsia="pl-PL"/>
        </w:rPr>
        <w:t>wykonanych robót</w:t>
      </w:r>
      <w:r w:rsidRPr="004853EB">
        <w:rPr>
          <w:rFonts w:eastAsia="Times New Roman" w:cstheme="minorHAnsi"/>
          <w:sz w:val="20"/>
          <w:szCs w:val="20"/>
          <w:lang w:eastAsia="pl-PL"/>
        </w:rPr>
        <w:t xml:space="preserve"> do istniejących warunków terenowych, takie jak:</w:t>
      </w:r>
    </w:p>
    <w:p w14:paraId="4CE56E08" w14:textId="77777777" w:rsidR="00CC1EF4" w:rsidRPr="004853EB" w:rsidRDefault="00CC1EF4">
      <w:pPr>
        <w:numPr>
          <w:ilvl w:val="0"/>
          <w:numId w:val="39"/>
        </w:numPr>
        <w:tabs>
          <w:tab w:val="num" w:pos="284"/>
        </w:tabs>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odtworzenie przeszkód czasowo usuniętych,</w:t>
      </w:r>
    </w:p>
    <w:p w14:paraId="18BB133B" w14:textId="77777777" w:rsidR="00CC1EF4" w:rsidRPr="004853EB" w:rsidRDefault="00CC1EF4">
      <w:pPr>
        <w:numPr>
          <w:ilvl w:val="0"/>
          <w:numId w:val="3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uzupełnienie zniszczonych w czasie robót istniejących elementów drogowych lub terenowych,</w:t>
      </w:r>
    </w:p>
    <w:p w14:paraId="5BDD8E9B"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porządkujące otoczenie terenu robót,</w:t>
      </w:r>
    </w:p>
    <w:p w14:paraId="5DB4B7C8"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usunięcie oznakowania drogi wprowadzonego na okres robót.</w:t>
      </w:r>
    </w:p>
    <w:p w14:paraId="78FB6DF0"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848" w:name="_Toc194476880"/>
      <w:bookmarkStart w:id="2849" w:name="_Toc227760171"/>
      <w:bookmarkStart w:id="2850" w:name="_Toc227825318"/>
      <w:r w:rsidRPr="004853EB">
        <w:rPr>
          <w:rFonts w:eastAsia="Times New Roman" w:cstheme="minorHAnsi"/>
          <w:b/>
          <w:caps/>
          <w:kern w:val="28"/>
          <w:sz w:val="20"/>
          <w:szCs w:val="20"/>
          <w:lang w:eastAsia="pl-PL"/>
        </w:rPr>
        <w:t>6. Kontrola jakości robót</w:t>
      </w:r>
      <w:bookmarkEnd w:id="2826"/>
      <w:bookmarkEnd w:id="2848"/>
      <w:bookmarkEnd w:id="2849"/>
      <w:bookmarkEnd w:id="2850"/>
    </w:p>
    <w:p w14:paraId="60B57ACF"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51" w:name="_Toc194476881"/>
      <w:bookmarkStart w:id="2852" w:name="_Toc227760172"/>
      <w:bookmarkStart w:id="2853" w:name="_Toc227825319"/>
      <w:bookmarkStart w:id="2854" w:name="_Toc344981399"/>
      <w:r w:rsidRPr="004853EB">
        <w:rPr>
          <w:rFonts w:eastAsia="Times New Roman" w:cstheme="minorHAnsi"/>
          <w:b/>
          <w:sz w:val="20"/>
          <w:szCs w:val="20"/>
          <w:lang w:eastAsia="pl-PL"/>
        </w:rPr>
        <w:t>6.1. Ogólne zasady kontroli jakości robót</w:t>
      </w:r>
      <w:bookmarkEnd w:id="2851"/>
      <w:bookmarkEnd w:id="2852"/>
      <w:bookmarkEnd w:id="2853"/>
    </w:p>
    <w:p w14:paraId="2D354352" w14:textId="77777777"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kontroli jakości robót podano w SST   D-00.00.00 „Wymagania ogólne” [1] pkt 6.</w:t>
      </w:r>
    </w:p>
    <w:p w14:paraId="6F647EBF"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55" w:name="_Toc194476882"/>
      <w:bookmarkStart w:id="2856" w:name="_Toc227760173"/>
      <w:bookmarkStart w:id="2857" w:name="_Toc227825320"/>
      <w:r w:rsidRPr="004853EB">
        <w:rPr>
          <w:rFonts w:eastAsia="Times New Roman" w:cstheme="minorHAnsi"/>
          <w:b/>
          <w:sz w:val="20"/>
          <w:szCs w:val="20"/>
          <w:lang w:eastAsia="pl-PL"/>
        </w:rPr>
        <w:t>6.2. Badania przed przystąpieniem do robót</w:t>
      </w:r>
      <w:bookmarkEnd w:id="2855"/>
      <w:bookmarkEnd w:id="2856"/>
      <w:bookmarkEnd w:id="2857"/>
    </w:p>
    <w:p w14:paraId="7D5F5D0B" w14:textId="77777777"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 przystąpieniem do robót Wykonawca powinien:</w:t>
      </w:r>
    </w:p>
    <w:p w14:paraId="4E817258"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570C83D7"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ew. wykonać własne badania właściwości materiałów przeznaczonych do wykonania robót, określone przez Inżyniera.</w:t>
      </w:r>
    </w:p>
    <w:p w14:paraId="162AC233" w14:textId="77777777"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Wszystkie dokumenty oraz wyniki badań Wykonawca przedstawia Inżynierowi do akceptacji.</w:t>
      </w:r>
    </w:p>
    <w:p w14:paraId="0168D202"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58" w:name="_Toc194476883"/>
      <w:bookmarkStart w:id="2859" w:name="_Toc227760174"/>
      <w:bookmarkStart w:id="2860" w:name="_Toc227825321"/>
      <w:r w:rsidRPr="004853EB">
        <w:rPr>
          <w:rFonts w:eastAsia="Times New Roman" w:cstheme="minorHAnsi"/>
          <w:b/>
          <w:sz w:val="20"/>
          <w:szCs w:val="20"/>
          <w:lang w:eastAsia="pl-PL"/>
        </w:rPr>
        <w:t>6.3. Badania w czasie robót</w:t>
      </w:r>
      <w:bookmarkEnd w:id="2858"/>
      <w:bookmarkEnd w:id="2859"/>
      <w:bookmarkEnd w:id="2860"/>
    </w:p>
    <w:p w14:paraId="2D4D4209" w14:textId="77777777" w:rsidR="00CC1EF4" w:rsidRPr="004853EB" w:rsidRDefault="00CC1EF4" w:rsidP="00CC1EF4">
      <w:pPr>
        <w:numPr>
          <w:ilvl w:val="12"/>
          <w:numId w:val="0"/>
        </w:num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Częstotliwość oraz zakres badań i pomiarów, które należy wykonać w czasie robót podaje tablica 7.  </w:t>
      </w:r>
    </w:p>
    <w:p w14:paraId="07EB2CAA" w14:textId="77777777" w:rsidR="00CC1EF4" w:rsidRPr="004853EB" w:rsidRDefault="00CC1EF4" w:rsidP="00CC1EF4">
      <w:pPr>
        <w:numPr>
          <w:ilvl w:val="12"/>
          <w:numId w:val="0"/>
        </w:num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7. Częstotliwość oraz zakres badań i pomiarów w czasie robót</w:t>
      </w:r>
    </w:p>
    <w:tbl>
      <w:tblPr>
        <w:tblW w:w="88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894"/>
        <w:gridCol w:w="1560"/>
        <w:gridCol w:w="2880"/>
      </w:tblGrid>
      <w:tr w:rsidR="00CC1EF4" w:rsidRPr="004853EB" w14:paraId="2A6C0E93" w14:textId="77777777" w:rsidTr="00E95D02">
        <w:tc>
          <w:tcPr>
            <w:tcW w:w="496" w:type="dxa"/>
            <w:tcBorders>
              <w:bottom w:val="single" w:sz="4" w:space="0" w:color="auto"/>
            </w:tcBorders>
          </w:tcPr>
          <w:p w14:paraId="641D291F" w14:textId="77777777" w:rsidR="00CC1EF4" w:rsidRPr="004853EB" w:rsidRDefault="00CC1EF4" w:rsidP="00CC1EF4">
            <w:pPr>
              <w:numPr>
                <w:ilvl w:val="12"/>
                <w:numId w:val="0"/>
              </w:numPr>
              <w:overflowPunct w:val="0"/>
              <w:autoSpaceDE w:val="0"/>
              <w:autoSpaceDN w:val="0"/>
              <w:adjustRightInd w:val="0"/>
              <w:spacing w:before="18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Lp.</w:t>
            </w:r>
          </w:p>
        </w:tc>
        <w:tc>
          <w:tcPr>
            <w:tcW w:w="3894" w:type="dxa"/>
            <w:tcBorders>
              <w:bottom w:val="single" w:sz="4" w:space="0" w:color="auto"/>
            </w:tcBorders>
          </w:tcPr>
          <w:p w14:paraId="4DBF64AA" w14:textId="77777777" w:rsidR="00CC1EF4" w:rsidRPr="004853EB" w:rsidRDefault="00CC1EF4" w:rsidP="00CC1EF4">
            <w:pPr>
              <w:numPr>
                <w:ilvl w:val="12"/>
                <w:numId w:val="0"/>
              </w:numPr>
              <w:overflowPunct w:val="0"/>
              <w:autoSpaceDE w:val="0"/>
              <w:autoSpaceDN w:val="0"/>
              <w:adjustRightInd w:val="0"/>
              <w:spacing w:before="18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Wyszczególnienie robót</w:t>
            </w:r>
          </w:p>
        </w:tc>
        <w:tc>
          <w:tcPr>
            <w:tcW w:w="1560" w:type="dxa"/>
            <w:tcBorders>
              <w:bottom w:val="single" w:sz="4" w:space="0" w:color="auto"/>
            </w:tcBorders>
          </w:tcPr>
          <w:p w14:paraId="42859A2F"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Częstotliwość badań</w:t>
            </w:r>
          </w:p>
        </w:tc>
        <w:tc>
          <w:tcPr>
            <w:tcW w:w="2880" w:type="dxa"/>
            <w:tcBorders>
              <w:bottom w:val="single" w:sz="4" w:space="0" w:color="auto"/>
            </w:tcBorders>
          </w:tcPr>
          <w:p w14:paraId="1A78E168" w14:textId="77777777" w:rsidR="00CC1EF4" w:rsidRPr="004853EB" w:rsidRDefault="00CC1EF4" w:rsidP="00CC1EF4">
            <w:pPr>
              <w:numPr>
                <w:ilvl w:val="12"/>
                <w:numId w:val="0"/>
              </w:numPr>
              <w:overflowPunct w:val="0"/>
              <w:autoSpaceDE w:val="0"/>
              <w:autoSpaceDN w:val="0"/>
              <w:adjustRightInd w:val="0"/>
              <w:spacing w:before="18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Wartości dopuszczalne</w:t>
            </w:r>
          </w:p>
        </w:tc>
      </w:tr>
      <w:tr w:rsidR="00CC1EF4" w:rsidRPr="004853EB" w14:paraId="4BBE95D6" w14:textId="77777777" w:rsidTr="00E95D02">
        <w:tc>
          <w:tcPr>
            <w:tcW w:w="496" w:type="dxa"/>
            <w:tcBorders>
              <w:top w:val="single" w:sz="4" w:space="0" w:color="auto"/>
            </w:tcBorders>
            <w:vAlign w:val="center"/>
          </w:tcPr>
          <w:p w14:paraId="0E77F54C" w14:textId="77777777" w:rsidR="00CC1EF4" w:rsidRPr="004853EB" w:rsidRDefault="00CC1EF4" w:rsidP="00CC1EF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3894" w:type="dxa"/>
            <w:tcBorders>
              <w:top w:val="single" w:sz="4" w:space="0" w:color="auto"/>
            </w:tcBorders>
            <w:vAlign w:val="center"/>
          </w:tcPr>
          <w:p w14:paraId="2B0A1A8F" w14:textId="77777777" w:rsidR="00CC1EF4" w:rsidRPr="004853EB" w:rsidRDefault="00CC1EF4" w:rsidP="00CC1EF4">
            <w:pPr>
              <w:numPr>
                <w:ilvl w:val="12"/>
                <w:numId w:val="0"/>
              </w:num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Lokalizacja i zgodność granic terenu robót z dokumentacją projektową</w:t>
            </w:r>
          </w:p>
        </w:tc>
        <w:tc>
          <w:tcPr>
            <w:tcW w:w="1560" w:type="dxa"/>
            <w:tcBorders>
              <w:top w:val="single" w:sz="4" w:space="0" w:color="auto"/>
            </w:tcBorders>
            <w:vAlign w:val="center"/>
          </w:tcPr>
          <w:p w14:paraId="3DA9B166" w14:textId="77777777" w:rsidR="00CC1EF4" w:rsidRPr="004853EB" w:rsidRDefault="00CC1EF4" w:rsidP="00CC1EF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 raz</w:t>
            </w:r>
          </w:p>
        </w:tc>
        <w:tc>
          <w:tcPr>
            <w:tcW w:w="2880" w:type="dxa"/>
            <w:tcBorders>
              <w:top w:val="single" w:sz="4" w:space="0" w:color="auto"/>
            </w:tcBorders>
            <w:vAlign w:val="center"/>
          </w:tcPr>
          <w:p w14:paraId="32075A8A" w14:textId="77777777" w:rsidR="00CC1EF4" w:rsidRPr="004853EB" w:rsidRDefault="00CC1EF4" w:rsidP="00CC1EF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Wg </w:t>
            </w:r>
            <w:proofErr w:type="spellStart"/>
            <w:r w:rsidRPr="004853EB">
              <w:rPr>
                <w:rFonts w:eastAsia="Times New Roman" w:cstheme="minorHAnsi"/>
                <w:sz w:val="20"/>
                <w:szCs w:val="20"/>
                <w:lang w:eastAsia="pl-PL"/>
              </w:rPr>
              <w:t>pktu</w:t>
            </w:r>
            <w:proofErr w:type="spellEnd"/>
            <w:r w:rsidRPr="004853EB">
              <w:rPr>
                <w:rFonts w:eastAsia="Times New Roman" w:cstheme="minorHAnsi"/>
                <w:sz w:val="20"/>
                <w:szCs w:val="20"/>
                <w:lang w:eastAsia="pl-PL"/>
              </w:rPr>
              <w:t xml:space="preserve"> 5 </w:t>
            </w:r>
          </w:p>
          <w:p w14:paraId="5F293AB8" w14:textId="77777777" w:rsidR="00CC1EF4" w:rsidRPr="004853EB" w:rsidRDefault="00CC1EF4" w:rsidP="00CC1EF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i dokumentacji projektowej </w:t>
            </w:r>
          </w:p>
        </w:tc>
      </w:tr>
      <w:tr w:rsidR="00CC1EF4" w:rsidRPr="004853EB" w14:paraId="4F2362FA" w14:textId="77777777" w:rsidTr="00E95D02">
        <w:tc>
          <w:tcPr>
            <w:tcW w:w="496" w:type="dxa"/>
            <w:vAlign w:val="center"/>
          </w:tcPr>
          <w:p w14:paraId="69870948"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3894" w:type="dxa"/>
            <w:vAlign w:val="center"/>
          </w:tcPr>
          <w:p w14:paraId="7C7C077D"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Roboty przygotowawcze</w:t>
            </w:r>
          </w:p>
        </w:tc>
        <w:tc>
          <w:tcPr>
            <w:tcW w:w="1560" w:type="dxa"/>
            <w:vAlign w:val="center"/>
          </w:tcPr>
          <w:p w14:paraId="3D383BAC"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Ocena ciągła</w:t>
            </w:r>
          </w:p>
        </w:tc>
        <w:tc>
          <w:tcPr>
            <w:tcW w:w="2880" w:type="dxa"/>
            <w:vAlign w:val="center"/>
          </w:tcPr>
          <w:p w14:paraId="315619AA"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Wg </w:t>
            </w:r>
            <w:proofErr w:type="spellStart"/>
            <w:r w:rsidRPr="004853EB">
              <w:rPr>
                <w:rFonts w:eastAsia="Times New Roman" w:cstheme="minorHAnsi"/>
                <w:sz w:val="20"/>
                <w:szCs w:val="20"/>
                <w:lang w:eastAsia="pl-PL"/>
              </w:rPr>
              <w:t>pktu</w:t>
            </w:r>
            <w:proofErr w:type="spellEnd"/>
            <w:r w:rsidRPr="004853EB">
              <w:rPr>
                <w:rFonts w:eastAsia="Times New Roman" w:cstheme="minorHAnsi"/>
                <w:sz w:val="20"/>
                <w:szCs w:val="20"/>
                <w:lang w:eastAsia="pl-PL"/>
              </w:rPr>
              <w:t xml:space="preserve"> 5.3</w:t>
            </w:r>
          </w:p>
        </w:tc>
      </w:tr>
      <w:tr w:rsidR="00CC1EF4" w:rsidRPr="004853EB" w14:paraId="5CFC8CAA" w14:textId="77777777" w:rsidTr="00E95D02">
        <w:tc>
          <w:tcPr>
            <w:tcW w:w="496" w:type="dxa"/>
            <w:vAlign w:val="center"/>
          </w:tcPr>
          <w:p w14:paraId="1B98F0F5"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3894" w:type="dxa"/>
            <w:vAlign w:val="center"/>
          </w:tcPr>
          <w:p w14:paraId="55609C34"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Czystość podłoża (sprawdzona wizualnie)</w:t>
            </w:r>
          </w:p>
        </w:tc>
        <w:tc>
          <w:tcPr>
            <w:tcW w:w="1560" w:type="dxa"/>
            <w:vAlign w:val="center"/>
          </w:tcPr>
          <w:p w14:paraId="76554F61"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Ocena ciągła</w:t>
            </w:r>
          </w:p>
        </w:tc>
        <w:tc>
          <w:tcPr>
            <w:tcW w:w="2880" w:type="dxa"/>
            <w:vAlign w:val="center"/>
          </w:tcPr>
          <w:p w14:paraId="41D329EF"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Wg </w:t>
            </w:r>
            <w:proofErr w:type="spellStart"/>
            <w:r w:rsidRPr="004853EB">
              <w:rPr>
                <w:rFonts w:eastAsia="Times New Roman" w:cstheme="minorHAnsi"/>
                <w:sz w:val="20"/>
                <w:szCs w:val="20"/>
                <w:lang w:eastAsia="pl-PL"/>
              </w:rPr>
              <w:t>pktu</w:t>
            </w:r>
            <w:proofErr w:type="spellEnd"/>
            <w:r w:rsidRPr="004853EB">
              <w:rPr>
                <w:rFonts w:eastAsia="Times New Roman" w:cstheme="minorHAnsi"/>
                <w:sz w:val="20"/>
                <w:szCs w:val="20"/>
                <w:lang w:eastAsia="pl-PL"/>
              </w:rPr>
              <w:t xml:space="preserve"> 5.4</w:t>
            </w:r>
          </w:p>
        </w:tc>
      </w:tr>
      <w:tr w:rsidR="00CC1EF4" w:rsidRPr="004853EB" w14:paraId="6C3F5921" w14:textId="77777777" w:rsidTr="00E95D02">
        <w:tc>
          <w:tcPr>
            <w:tcW w:w="496" w:type="dxa"/>
            <w:vAlign w:val="center"/>
          </w:tcPr>
          <w:p w14:paraId="5FAD439A" w14:textId="77777777" w:rsidR="00CC1EF4" w:rsidRPr="004853EB" w:rsidRDefault="00CC1EF4" w:rsidP="00CC1EF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3894" w:type="dxa"/>
            <w:vAlign w:val="center"/>
          </w:tcPr>
          <w:p w14:paraId="15074FBA" w14:textId="77777777" w:rsidR="00CC1EF4" w:rsidRPr="004853EB" w:rsidRDefault="00CC1EF4" w:rsidP="00CC1EF4">
            <w:pPr>
              <w:numPr>
                <w:ilvl w:val="12"/>
                <w:numId w:val="0"/>
              </w:num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Sprawdzenie jednorodności skropienia</w:t>
            </w:r>
          </w:p>
        </w:tc>
        <w:tc>
          <w:tcPr>
            <w:tcW w:w="1560" w:type="dxa"/>
            <w:vAlign w:val="center"/>
          </w:tcPr>
          <w:p w14:paraId="548A51CF" w14:textId="77777777" w:rsidR="00CC1EF4" w:rsidRPr="004853EB" w:rsidRDefault="00CC1EF4" w:rsidP="00CC1EF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2000 ÷ 3000 m</w:t>
            </w:r>
            <w:r w:rsidRPr="004853EB">
              <w:rPr>
                <w:rFonts w:eastAsia="Times New Roman" w:cstheme="minorHAnsi"/>
                <w:sz w:val="20"/>
                <w:szCs w:val="20"/>
                <w:vertAlign w:val="superscript"/>
                <w:lang w:eastAsia="pl-PL"/>
              </w:rPr>
              <w:t>2   1)</w:t>
            </w:r>
          </w:p>
        </w:tc>
        <w:tc>
          <w:tcPr>
            <w:tcW w:w="2880" w:type="dxa"/>
            <w:vAlign w:val="center"/>
          </w:tcPr>
          <w:p w14:paraId="597157BA" w14:textId="77777777" w:rsidR="00CC1EF4" w:rsidRPr="004853EB" w:rsidRDefault="00CC1EF4" w:rsidP="00CC1EF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Wg </w:t>
            </w:r>
            <w:proofErr w:type="spellStart"/>
            <w:r w:rsidRPr="004853EB">
              <w:rPr>
                <w:rFonts w:eastAsia="Times New Roman" w:cstheme="minorHAnsi"/>
                <w:sz w:val="20"/>
                <w:szCs w:val="20"/>
                <w:lang w:eastAsia="pl-PL"/>
              </w:rPr>
              <w:t>pktu</w:t>
            </w:r>
            <w:proofErr w:type="spellEnd"/>
            <w:r w:rsidRPr="004853EB">
              <w:rPr>
                <w:rFonts w:eastAsia="Times New Roman" w:cstheme="minorHAnsi"/>
                <w:sz w:val="20"/>
                <w:szCs w:val="20"/>
                <w:lang w:eastAsia="pl-PL"/>
              </w:rPr>
              <w:t xml:space="preserve"> 5.7.2 </w:t>
            </w:r>
            <w:r w:rsidRPr="004853EB">
              <w:rPr>
                <w:rFonts w:eastAsia="Times New Roman" w:cstheme="minorHAnsi"/>
                <w:sz w:val="20"/>
                <w:szCs w:val="20"/>
                <w:vertAlign w:val="superscript"/>
                <w:lang w:eastAsia="pl-PL"/>
              </w:rPr>
              <w:t>2)</w:t>
            </w:r>
          </w:p>
        </w:tc>
      </w:tr>
      <w:tr w:rsidR="00CC1EF4" w:rsidRPr="004853EB" w14:paraId="72CEFD84" w14:textId="77777777" w:rsidTr="00E95D02">
        <w:tc>
          <w:tcPr>
            <w:tcW w:w="496" w:type="dxa"/>
            <w:vAlign w:val="center"/>
          </w:tcPr>
          <w:p w14:paraId="554B29AB"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c>
          <w:tcPr>
            <w:tcW w:w="3894" w:type="dxa"/>
            <w:vAlign w:val="center"/>
          </w:tcPr>
          <w:p w14:paraId="3F8A6781"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Wytrzymałość na ścinanie połączenia między warstwami</w:t>
            </w:r>
          </w:p>
        </w:tc>
        <w:tc>
          <w:tcPr>
            <w:tcW w:w="1560" w:type="dxa"/>
            <w:vAlign w:val="center"/>
          </w:tcPr>
          <w:p w14:paraId="3BB1864C"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 próbka na 15000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wykonanej nawierzchni</w:t>
            </w:r>
          </w:p>
        </w:tc>
        <w:tc>
          <w:tcPr>
            <w:tcW w:w="2880" w:type="dxa"/>
            <w:vAlign w:val="center"/>
          </w:tcPr>
          <w:p w14:paraId="2479E18F"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Wg tab. 8 </w:t>
            </w:r>
            <w:r w:rsidRPr="004853EB">
              <w:rPr>
                <w:rFonts w:eastAsia="Times New Roman" w:cstheme="minorHAnsi"/>
                <w:sz w:val="20"/>
                <w:szCs w:val="20"/>
                <w:vertAlign w:val="superscript"/>
                <w:lang w:eastAsia="pl-PL"/>
              </w:rPr>
              <w:t>3)</w:t>
            </w:r>
          </w:p>
        </w:tc>
      </w:tr>
      <w:tr w:rsidR="00CC1EF4" w:rsidRPr="004853EB" w14:paraId="4E60B25D" w14:textId="77777777" w:rsidTr="00E95D02">
        <w:tc>
          <w:tcPr>
            <w:tcW w:w="496" w:type="dxa"/>
            <w:vAlign w:val="center"/>
          </w:tcPr>
          <w:p w14:paraId="09E0B79A"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tc>
        <w:tc>
          <w:tcPr>
            <w:tcW w:w="3894" w:type="dxa"/>
            <w:vAlign w:val="center"/>
          </w:tcPr>
          <w:p w14:paraId="0CF05229"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Wykonanie robót wykończeniowych</w:t>
            </w:r>
          </w:p>
        </w:tc>
        <w:tc>
          <w:tcPr>
            <w:tcW w:w="1560" w:type="dxa"/>
            <w:vAlign w:val="center"/>
          </w:tcPr>
          <w:p w14:paraId="7A8C9FBF"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Ocena ciągła</w:t>
            </w:r>
          </w:p>
        </w:tc>
        <w:tc>
          <w:tcPr>
            <w:tcW w:w="2880" w:type="dxa"/>
            <w:vAlign w:val="center"/>
          </w:tcPr>
          <w:p w14:paraId="7FD94CB5"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Według punktu 5.8</w:t>
            </w:r>
          </w:p>
        </w:tc>
      </w:tr>
    </w:tbl>
    <w:p w14:paraId="6EA7884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2C24EF1B" w14:textId="77777777" w:rsidR="00CC1EF4" w:rsidRPr="004853EB" w:rsidRDefault="00CC1EF4" w:rsidP="00CC1EF4">
      <w:pPr>
        <w:overflowPunct w:val="0"/>
        <w:autoSpaceDE w:val="0"/>
        <w:autoSpaceDN w:val="0"/>
        <w:adjustRightInd w:val="0"/>
        <w:spacing w:after="0" w:line="240" w:lineRule="auto"/>
        <w:ind w:left="360" w:hanging="360"/>
        <w:jc w:val="both"/>
        <w:textAlignment w:val="baseline"/>
        <w:rPr>
          <w:rFonts w:eastAsia="Times New Roman" w:cstheme="minorHAnsi"/>
          <w:sz w:val="20"/>
          <w:szCs w:val="20"/>
          <w:lang w:eastAsia="pl-PL"/>
        </w:rPr>
      </w:pPr>
      <w:r w:rsidRPr="004853EB">
        <w:rPr>
          <w:rFonts w:eastAsia="Times New Roman" w:cstheme="minorHAnsi"/>
          <w:sz w:val="20"/>
          <w:szCs w:val="20"/>
          <w:vertAlign w:val="superscript"/>
          <w:lang w:eastAsia="pl-PL"/>
        </w:rPr>
        <w:t>1)</w:t>
      </w:r>
      <w:r w:rsidRPr="004853EB">
        <w:rPr>
          <w:rFonts w:eastAsia="Times New Roman" w:cstheme="minorHAnsi"/>
          <w:sz w:val="20"/>
          <w:szCs w:val="20"/>
          <w:lang w:eastAsia="pl-PL"/>
        </w:rPr>
        <w:t xml:space="preserve"> Częstotliwość badań: raz na 2000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przy wielkości powierzchni do skropienia do          6000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i raz na 3000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przy wielkości powierzchni do skropienia powyżej 6000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w:t>
      </w:r>
    </w:p>
    <w:p w14:paraId="1FF59F79" w14:textId="77777777" w:rsidR="00CC1EF4" w:rsidRPr="004853EB" w:rsidRDefault="00CC1EF4" w:rsidP="00CC1EF4">
      <w:pPr>
        <w:overflowPunct w:val="0"/>
        <w:autoSpaceDE w:val="0"/>
        <w:autoSpaceDN w:val="0"/>
        <w:adjustRightInd w:val="0"/>
        <w:spacing w:after="0" w:line="240" w:lineRule="auto"/>
        <w:ind w:left="360" w:hanging="360"/>
        <w:jc w:val="both"/>
        <w:textAlignment w:val="baseline"/>
        <w:rPr>
          <w:rFonts w:eastAsia="Times New Roman" w:cstheme="minorHAnsi"/>
          <w:sz w:val="20"/>
          <w:szCs w:val="20"/>
          <w:lang w:eastAsia="pl-PL"/>
        </w:rPr>
      </w:pP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Dopuszczalne odchylenia ilości dozowanej emulsji na 1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 10%. Dopuszczalne odchylenia szerokości dozowanej warstwy emulsji: ± 10 cm.</w:t>
      </w:r>
    </w:p>
    <w:p w14:paraId="2CF3B56E" w14:textId="77777777" w:rsidR="00CC1EF4" w:rsidRPr="004853EB" w:rsidRDefault="00CC1EF4" w:rsidP="00CC1EF4">
      <w:pPr>
        <w:overflowPunct w:val="0"/>
        <w:autoSpaceDE w:val="0"/>
        <w:autoSpaceDN w:val="0"/>
        <w:adjustRightInd w:val="0"/>
        <w:spacing w:after="0" w:line="240" w:lineRule="auto"/>
        <w:ind w:left="360" w:hanging="360"/>
        <w:jc w:val="both"/>
        <w:textAlignment w:val="baseline"/>
        <w:rPr>
          <w:rFonts w:eastAsia="Times New Roman" w:cstheme="minorHAnsi"/>
          <w:sz w:val="20"/>
          <w:szCs w:val="20"/>
          <w:lang w:eastAsia="pl-PL"/>
        </w:rPr>
      </w:pPr>
      <w:r w:rsidRPr="004853EB">
        <w:rPr>
          <w:rFonts w:eastAsia="Times New Roman" w:cstheme="minorHAnsi"/>
          <w:sz w:val="20"/>
          <w:szCs w:val="20"/>
          <w:vertAlign w:val="superscript"/>
          <w:lang w:eastAsia="pl-PL"/>
        </w:rPr>
        <w:t>3)</w:t>
      </w:r>
      <w:r w:rsidRPr="004853EB">
        <w:rPr>
          <w:rFonts w:eastAsia="Times New Roman" w:cstheme="minorHAnsi"/>
          <w:sz w:val="20"/>
          <w:szCs w:val="20"/>
          <w:lang w:eastAsia="pl-PL"/>
        </w:rPr>
        <w:t xml:space="preserve">  Badanie połączenia międzywarstwowego powinno być wykonywane w nawierzchniach dróg o kategorii ruchu KR3 ÷ KR7. Częstość pobierania próbek powinna wynosić: 1 próbka na 15000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wykonanej nawierzchni.</w:t>
      </w:r>
    </w:p>
    <w:p w14:paraId="1C8419F3" w14:textId="77777777" w:rsidR="00CC1EF4" w:rsidRPr="004853EB" w:rsidRDefault="00CC1EF4" w:rsidP="00CC1EF4">
      <w:pPr>
        <w:overflowPunct w:val="0"/>
        <w:autoSpaceDE w:val="0"/>
        <w:autoSpaceDN w:val="0"/>
        <w:adjustRightInd w:val="0"/>
        <w:spacing w:before="120"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Wytrzymałość na ścinanie wszystkich połączeń jest warunkiem uzyskania odpowiedniej sztywności konstrukcji, a tym samym trwałości konstrukcji. Jest warunkiem, który jest zakładany do obliczenia grubości warstw na etapie wymiarowania nawierzchni i musi być spełniony.</w:t>
      </w:r>
    </w:p>
    <w:p w14:paraId="12E442B7"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Wymagane minimalne wartości wytrzymałości na ścinanie połączenia między warstwami asfaltowymi nawierzchni podano w tablicy 8.</w:t>
      </w:r>
      <w:r w:rsidRPr="004853EB">
        <w:rPr>
          <w:rFonts w:eastAsia="Times New Roman" w:cstheme="minorHAnsi"/>
          <w:sz w:val="20"/>
          <w:szCs w:val="20"/>
          <w:lang w:eastAsia="pl-PL"/>
        </w:rPr>
        <w:tab/>
      </w:r>
    </w:p>
    <w:p w14:paraId="59E02C3D" w14:textId="77777777" w:rsidR="00CC1EF4" w:rsidRPr="004853EB" w:rsidRDefault="00CC1EF4" w:rsidP="00CC1EF4">
      <w:pPr>
        <w:overflowPunct w:val="0"/>
        <w:autoSpaceDE w:val="0"/>
        <w:autoSpaceDN w:val="0"/>
        <w:adjustRightInd w:val="0"/>
        <w:spacing w:before="240" w:after="120" w:line="240" w:lineRule="auto"/>
        <w:ind w:left="993" w:hanging="993"/>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8.</w:t>
      </w:r>
      <w:r w:rsidRPr="004853EB">
        <w:rPr>
          <w:rFonts w:eastAsia="Times New Roman" w:cstheme="minorHAnsi"/>
          <w:sz w:val="20"/>
          <w:szCs w:val="20"/>
          <w:lang w:eastAsia="pl-PL"/>
        </w:rPr>
        <w:tab/>
        <w:t>Wymagania wytrzymałość na ścinanie połączenia między warstwami asfaltowymi nawierzchni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3"/>
        <w:gridCol w:w="4464"/>
      </w:tblGrid>
      <w:tr w:rsidR="00CC1EF4" w:rsidRPr="004853EB" w14:paraId="318096DD" w14:textId="77777777" w:rsidTr="00E95D02">
        <w:tc>
          <w:tcPr>
            <w:tcW w:w="4463" w:type="dxa"/>
            <w:vAlign w:val="center"/>
          </w:tcPr>
          <w:p w14:paraId="080DFE20" w14:textId="77777777" w:rsidR="00CC1EF4" w:rsidRPr="004853EB" w:rsidRDefault="00CC1EF4" w:rsidP="00CC1EF4">
            <w:pPr>
              <w:overflowPunct w:val="0"/>
              <w:autoSpaceDE w:val="0"/>
              <w:autoSpaceDN w:val="0"/>
              <w:adjustRightInd w:val="0"/>
              <w:spacing w:before="120" w:after="12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Połączenie między warstwami</w:t>
            </w:r>
          </w:p>
        </w:tc>
        <w:tc>
          <w:tcPr>
            <w:tcW w:w="4464" w:type="dxa"/>
            <w:vAlign w:val="center"/>
          </w:tcPr>
          <w:p w14:paraId="1BDABC90" w14:textId="77777777" w:rsidR="00CC1EF4" w:rsidRPr="004853EB" w:rsidRDefault="00CC1EF4" w:rsidP="00CC1EF4">
            <w:pPr>
              <w:overflowPunct w:val="0"/>
              <w:autoSpaceDE w:val="0"/>
              <w:autoSpaceDN w:val="0"/>
              <w:adjustRightInd w:val="0"/>
              <w:spacing w:before="120" w:after="12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Wymagana minimalna wytrzymałość na ścinanie, na próbkach Ø150 mm (Ø100 mm) [MPa]</w:t>
            </w:r>
          </w:p>
        </w:tc>
      </w:tr>
      <w:tr w:rsidR="00CC1EF4" w:rsidRPr="004853EB" w14:paraId="0FDCC6DD" w14:textId="77777777" w:rsidTr="00E95D02">
        <w:tc>
          <w:tcPr>
            <w:tcW w:w="4463" w:type="dxa"/>
          </w:tcPr>
          <w:p w14:paraId="2D2858C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vertAlign w:val="superscript"/>
                <w:lang w:eastAsia="pl-PL"/>
              </w:rPr>
            </w:pPr>
            <w:proofErr w:type="spellStart"/>
            <w:r w:rsidRPr="004853EB">
              <w:rPr>
                <w:rFonts w:eastAsia="Times New Roman" w:cstheme="minorHAnsi"/>
                <w:sz w:val="20"/>
                <w:szCs w:val="20"/>
                <w:lang w:eastAsia="pl-PL"/>
              </w:rPr>
              <w:t>Ścieralna-wiążąca</w:t>
            </w:r>
            <w:r w:rsidRPr="004853EB">
              <w:rPr>
                <w:rFonts w:eastAsia="Times New Roman" w:cstheme="minorHAnsi"/>
                <w:sz w:val="20"/>
                <w:szCs w:val="20"/>
                <w:vertAlign w:val="superscript"/>
                <w:lang w:eastAsia="pl-PL"/>
              </w:rPr>
              <w:t>a</w:t>
            </w:r>
            <w:proofErr w:type="spellEnd"/>
            <w:r w:rsidRPr="004853EB">
              <w:rPr>
                <w:rFonts w:eastAsia="Times New Roman" w:cstheme="minorHAnsi"/>
                <w:sz w:val="20"/>
                <w:szCs w:val="20"/>
                <w:vertAlign w:val="superscript"/>
                <w:lang w:eastAsia="pl-PL"/>
              </w:rPr>
              <w:t>)</w:t>
            </w:r>
          </w:p>
        </w:tc>
        <w:tc>
          <w:tcPr>
            <w:tcW w:w="4464" w:type="dxa"/>
          </w:tcPr>
          <w:p w14:paraId="7FE1ADFD"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1,0</w:t>
            </w:r>
          </w:p>
        </w:tc>
      </w:tr>
      <w:tr w:rsidR="00CC1EF4" w:rsidRPr="004853EB" w14:paraId="5E00C732" w14:textId="77777777" w:rsidTr="00E95D02">
        <w:tc>
          <w:tcPr>
            <w:tcW w:w="4463" w:type="dxa"/>
          </w:tcPr>
          <w:p w14:paraId="23C5BAD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Wiążąca-podbudowa</w:t>
            </w:r>
          </w:p>
        </w:tc>
        <w:tc>
          <w:tcPr>
            <w:tcW w:w="4464" w:type="dxa"/>
          </w:tcPr>
          <w:p w14:paraId="739CB60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0,7</w:t>
            </w:r>
          </w:p>
        </w:tc>
      </w:tr>
      <w:tr w:rsidR="00CC1EF4" w:rsidRPr="004853EB" w14:paraId="51B4DA99" w14:textId="77777777" w:rsidTr="00E95D02">
        <w:tc>
          <w:tcPr>
            <w:tcW w:w="4463" w:type="dxa"/>
          </w:tcPr>
          <w:p w14:paraId="5EE6A51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roofErr w:type="spellStart"/>
            <w:r w:rsidRPr="004853EB">
              <w:rPr>
                <w:rFonts w:eastAsia="Times New Roman" w:cstheme="minorHAnsi"/>
                <w:sz w:val="20"/>
                <w:szCs w:val="20"/>
                <w:lang w:eastAsia="pl-PL"/>
              </w:rPr>
              <w:t>Podbudowa-podbudowa</w:t>
            </w:r>
            <w:r w:rsidRPr="004853EB">
              <w:rPr>
                <w:rFonts w:eastAsia="Times New Roman" w:cstheme="minorHAnsi"/>
                <w:sz w:val="20"/>
                <w:szCs w:val="20"/>
                <w:vertAlign w:val="superscript"/>
                <w:lang w:eastAsia="pl-PL"/>
              </w:rPr>
              <w:t>b</w:t>
            </w:r>
            <w:proofErr w:type="spellEnd"/>
            <w:r w:rsidRPr="004853EB">
              <w:rPr>
                <w:rFonts w:eastAsia="Times New Roman" w:cstheme="minorHAnsi"/>
                <w:sz w:val="20"/>
                <w:szCs w:val="20"/>
                <w:vertAlign w:val="superscript"/>
                <w:lang w:eastAsia="pl-PL"/>
              </w:rPr>
              <w:t>)</w:t>
            </w:r>
          </w:p>
        </w:tc>
        <w:tc>
          <w:tcPr>
            <w:tcW w:w="4464" w:type="dxa"/>
          </w:tcPr>
          <w:p w14:paraId="5158AB6A"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0,6</w:t>
            </w:r>
          </w:p>
        </w:tc>
      </w:tr>
      <w:tr w:rsidR="00CC1EF4" w:rsidRPr="004853EB" w14:paraId="0F72EA50" w14:textId="77777777" w:rsidTr="00E95D02">
        <w:tc>
          <w:tcPr>
            <w:tcW w:w="8927" w:type="dxa"/>
            <w:gridSpan w:val="2"/>
          </w:tcPr>
          <w:p w14:paraId="2232F84D" w14:textId="77777777" w:rsidR="00CC1EF4" w:rsidRPr="004853EB" w:rsidRDefault="00CC1EF4">
            <w:pPr>
              <w:numPr>
                <w:ilvl w:val="0"/>
                <w:numId w:val="51"/>
              </w:numPr>
              <w:overflowPunct w:val="0"/>
              <w:autoSpaceDE w:val="0"/>
              <w:autoSpaceDN w:val="0"/>
              <w:adjustRightInd w:val="0"/>
              <w:spacing w:after="0" w:line="240" w:lineRule="auto"/>
              <w:ind w:left="426"/>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nie dotyczy asfaltowych warstw kompaktowych</w:t>
            </w:r>
          </w:p>
          <w:p w14:paraId="186C57D9" w14:textId="77777777" w:rsidR="00CC1EF4" w:rsidRPr="004853EB" w:rsidRDefault="00CC1EF4">
            <w:pPr>
              <w:numPr>
                <w:ilvl w:val="0"/>
                <w:numId w:val="51"/>
              </w:numPr>
              <w:overflowPunct w:val="0"/>
              <w:autoSpaceDE w:val="0"/>
              <w:autoSpaceDN w:val="0"/>
              <w:adjustRightInd w:val="0"/>
              <w:spacing w:after="0" w:line="240" w:lineRule="auto"/>
              <w:ind w:left="426"/>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jeśli podbudowa składa się z kilku warstw asfaltowych</w:t>
            </w:r>
          </w:p>
        </w:tc>
      </w:tr>
    </w:tbl>
    <w:p w14:paraId="4693C7AB" w14:textId="77777777" w:rsidR="00CC1EF4" w:rsidRPr="004853EB" w:rsidRDefault="00CC1EF4" w:rsidP="00CC1EF4">
      <w:pPr>
        <w:overflowPunct w:val="0"/>
        <w:autoSpaceDE w:val="0"/>
        <w:autoSpaceDN w:val="0"/>
        <w:adjustRightInd w:val="0"/>
        <w:spacing w:before="120" w:after="0" w:line="240" w:lineRule="auto"/>
        <w:ind w:firstLine="709"/>
        <w:jc w:val="both"/>
        <w:textAlignment w:val="baseline"/>
        <w:rPr>
          <w:rFonts w:eastAsia="Times New Roman" w:cstheme="minorHAnsi"/>
          <w:sz w:val="20"/>
          <w:szCs w:val="20"/>
          <w:highlight w:val="yellow"/>
          <w:lang w:eastAsia="pl-PL"/>
        </w:rPr>
      </w:pPr>
      <w:r w:rsidRPr="004853EB">
        <w:rPr>
          <w:rFonts w:eastAsia="Times New Roman" w:cstheme="minorHAnsi"/>
          <w:sz w:val="20"/>
          <w:szCs w:val="20"/>
          <w:lang w:eastAsia="pl-PL"/>
        </w:rPr>
        <w:t xml:space="preserve">Metodyka badania wytrzymałości na ścinanie zgodnie z „Instrukcją laboratoryjnego badania sczepności międzywarstwowej warstw asfaltowych wg metody </w:t>
      </w:r>
      <w:proofErr w:type="spellStart"/>
      <w:r w:rsidRPr="004853EB">
        <w:rPr>
          <w:rFonts w:eastAsia="Times New Roman" w:cstheme="minorHAnsi"/>
          <w:sz w:val="20"/>
          <w:szCs w:val="20"/>
          <w:lang w:eastAsia="pl-PL"/>
        </w:rPr>
        <w:t>Leutnera</w:t>
      </w:r>
      <w:proofErr w:type="spellEnd"/>
      <w:r w:rsidRPr="004853EB">
        <w:rPr>
          <w:rFonts w:eastAsia="Times New Roman" w:cstheme="minorHAnsi"/>
          <w:sz w:val="20"/>
          <w:szCs w:val="20"/>
          <w:lang w:eastAsia="pl-PL"/>
        </w:rPr>
        <w:t xml:space="preserve"> i wymagania techniczne sczepności”, GDDKiA, Gdańsk, 2014 [27], z zastosowaniem próbek Ø100 mm lub Ø150 mm. Badaniem referencyjnym jest badanie na próbkach Ø150 mm.</w:t>
      </w:r>
    </w:p>
    <w:p w14:paraId="2E5FC556" w14:textId="646CDB50"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Badanie połączenia międzywarstwowego jako badanie kontrolne powinno być wykonywane </w:t>
      </w:r>
      <w:r w:rsidR="00B67D8D">
        <w:rPr>
          <w:rFonts w:eastAsia="Times New Roman" w:cstheme="minorHAnsi"/>
          <w:sz w:val="20"/>
          <w:szCs w:val="20"/>
          <w:lang w:eastAsia="pl-PL"/>
        </w:rPr>
        <w:br/>
      </w:r>
      <w:r w:rsidRPr="004853EB">
        <w:rPr>
          <w:rFonts w:eastAsia="Times New Roman" w:cstheme="minorHAnsi"/>
          <w:sz w:val="20"/>
          <w:szCs w:val="20"/>
          <w:lang w:eastAsia="pl-PL"/>
        </w:rPr>
        <w:t>w nawierzchniach dróg KR4-7. Częstość wykonywanych badań powinna wynosić nie rzadziej niż jeden punkt na 15 000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wykonanej nawierzchni.</w:t>
      </w:r>
    </w:p>
    <w:p w14:paraId="2B224265" w14:textId="18FE075B"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 odniesieniu do dróg kategorii KR1-3 badania kontrolne połączenia miedzywarstwowego nie są obligatoryjne, jednak należy je wykonać w przypadkach budzących wątpliwości co do jakości wykonanych robót.   </w:t>
      </w:r>
    </w:p>
    <w:p w14:paraId="5C59E179"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861" w:name="_Toc194476884"/>
      <w:bookmarkStart w:id="2862" w:name="_Toc227760175"/>
      <w:bookmarkStart w:id="2863" w:name="_Toc227825322"/>
      <w:r w:rsidRPr="004853EB">
        <w:rPr>
          <w:rFonts w:eastAsia="Times New Roman" w:cstheme="minorHAnsi"/>
          <w:b/>
          <w:caps/>
          <w:kern w:val="28"/>
          <w:sz w:val="20"/>
          <w:szCs w:val="20"/>
          <w:lang w:eastAsia="pl-PL"/>
        </w:rPr>
        <w:t>7. Obmiar robót</w:t>
      </w:r>
      <w:bookmarkEnd w:id="2854"/>
      <w:bookmarkEnd w:id="2861"/>
      <w:bookmarkEnd w:id="2862"/>
      <w:bookmarkEnd w:id="2863"/>
    </w:p>
    <w:p w14:paraId="7F2BD56A"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64" w:name="_Toc194476885"/>
      <w:bookmarkStart w:id="2865" w:name="_Toc227760176"/>
      <w:bookmarkStart w:id="2866" w:name="_Toc227825323"/>
      <w:bookmarkStart w:id="2867" w:name="_Toc344981400"/>
      <w:r w:rsidRPr="004853EB">
        <w:rPr>
          <w:rFonts w:eastAsia="Times New Roman" w:cstheme="minorHAnsi"/>
          <w:b/>
          <w:sz w:val="20"/>
          <w:szCs w:val="20"/>
          <w:lang w:eastAsia="pl-PL"/>
        </w:rPr>
        <w:t>7.1. Ogólne zasady obmiaru robót</w:t>
      </w:r>
      <w:bookmarkEnd w:id="2864"/>
      <w:bookmarkEnd w:id="2865"/>
      <w:bookmarkEnd w:id="2866"/>
    </w:p>
    <w:p w14:paraId="4FA74A61" w14:textId="43367184"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Ogólne zasady obmiaru robót podano w </w:t>
      </w:r>
      <w:r w:rsidR="00B67D8D" w:rsidRPr="004853EB">
        <w:rPr>
          <w:rFonts w:eastAsia="Times New Roman" w:cstheme="minorHAnsi"/>
          <w:sz w:val="20"/>
          <w:szCs w:val="20"/>
          <w:lang w:eastAsia="pl-PL"/>
        </w:rPr>
        <w:t>SST D</w:t>
      </w:r>
      <w:r w:rsidRPr="004853EB">
        <w:rPr>
          <w:rFonts w:eastAsia="Times New Roman" w:cstheme="minorHAnsi"/>
          <w:sz w:val="20"/>
          <w:szCs w:val="20"/>
          <w:lang w:eastAsia="pl-PL"/>
        </w:rPr>
        <w:t>-00.00.00 „Wymagania ogólne” [1] pkt 7.</w:t>
      </w:r>
    </w:p>
    <w:p w14:paraId="5FDD4347"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68" w:name="_Toc194476886"/>
      <w:bookmarkStart w:id="2869" w:name="_Toc227760177"/>
      <w:bookmarkStart w:id="2870" w:name="_Toc227825324"/>
      <w:r w:rsidRPr="004853EB">
        <w:rPr>
          <w:rFonts w:eastAsia="Times New Roman" w:cstheme="minorHAnsi"/>
          <w:b/>
          <w:sz w:val="20"/>
          <w:szCs w:val="20"/>
          <w:lang w:eastAsia="pl-PL"/>
        </w:rPr>
        <w:t>7.2. Jednostka obmiarowa</w:t>
      </w:r>
      <w:bookmarkEnd w:id="2868"/>
      <w:bookmarkEnd w:id="2869"/>
      <w:bookmarkEnd w:id="2870"/>
    </w:p>
    <w:p w14:paraId="466AE50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Jednostką obmiarową jest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(metr kwadratowy) oczyszczonej i skropionej powierzchni warstwy.</w:t>
      </w:r>
    </w:p>
    <w:p w14:paraId="0DE1A034"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871" w:name="_Toc194476887"/>
      <w:bookmarkStart w:id="2872" w:name="_Toc227760178"/>
      <w:bookmarkStart w:id="2873" w:name="_Toc227825325"/>
      <w:r w:rsidRPr="004853EB">
        <w:rPr>
          <w:rFonts w:eastAsia="Times New Roman" w:cstheme="minorHAnsi"/>
          <w:b/>
          <w:caps/>
          <w:kern w:val="28"/>
          <w:sz w:val="20"/>
          <w:szCs w:val="20"/>
          <w:lang w:eastAsia="pl-PL"/>
        </w:rPr>
        <w:t>8. Odbiór robót</w:t>
      </w:r>
      <w:bookmarkEnd w:id="2867"/>
      <w:bookmarkEnd w:id="2871"/>
      <w:bookmarkEnd w:id="2872"/>
      <w:bookmarkEnd w:id="2873"/>
    </w:p>
    <w:p w14:paraId="23CBB020" w14:textId="16B12E92"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bookmarkStart w:id="2874" w:name="_Toc344981401"/>
      <w:r w:rsidRPr="004853EB">
        <w:rPr>
          <w:rFonts w:eastAsia="Times New Roman" w:cstheme="minorHAnsi"/>
          <w:sz w:val="20"/>
          <w:szCs w:val="20"/>
          <w:lang w:eastAsia="pl-PL"/>
        </w:rPr>
        <w:tab/>
        <w:t xml:space="preserve">Ogólne zasady odbioru robót podano w </w:t>
      </w:r>
      <w:r w:rsidR="00B67D8D" w:rsidRPr="004853EB">
        <w:rPr>
          <w:rFonts w:eastAsia="Times New Roman" w:cstheme="minorHAnsi"/>
          <w:sz w:val="20"/>
          <w:szCs w:val="20"/>
          <w:lang w:eastAsia="pl-PL"/>
        </w:rPr>
        <w:t>SST D</w:t>
      </w:r>
      <w:r w:rsidRPr="004853EB">
        <w:rPr>
          <w:rFonts w:eastAsia="Times New Roman" w:cstheme="minorHAnsi"/>
          <w:sz w:val="20"/>
          <w:szCs w:val="20"/>
          <w:lang w:eastAsia="pl-PL"/>
        </w:rPr>
        <w:t>-00.00.00 „Wymagania ogólne” [1] pkt 8.</w:t>
      </w:r>
    </w:p>
    <w:p w14:paraId="58308F2B" w14:textId="500972D9"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Roboty uznaje się za wykonane zgodnie z dokumentacją projektową, ST i wymaganiami Inżyniera, jeżeli wszystkie pomiary i badania z zachowaniem tolerancji według </w:t>
      </w:r>
      <w:proofErr w:type="spellStart"/>
      <w:r w:rsidRPr="004853EB">
        <w:rPr>
          <w:rFonts w:eastAsia="Times New Roman" w:cstheme="minorHAnsi"/>
          <w:sz w:val="20"/>
          <w:szCs w:val="20"/>
          <w:lang w:eastAsia="pl-PL"/>
        </w:rPr>
        <w:t>pktu</w:t>
      </w:r>
      <w:proofErr w:type="spellEnd"/>
      <w:r w:rsidRPr="004853EB">
        <w:rPr>
          <w:rFonts w:eastAsia="Times New Roman" w:cstheme="minorHAnsi"/>
          <w:sz w:val="20"/>
          <w:szCs w:val="20"/>
          <w:lang w:eastAsia="pl-PL"/>
        </w:rPr>
        <w:t xml:space="preserve"> 6 dały wyniki pozytywne.</w:t>
      </w:r>
    </w:p>
    <w:p w14:paraId="59F152C4"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875" w:name="_Toc194476888"/>
      <w:bookmarkStart w:id="2876" w:name="_Toc227760179"/>
      <w:bookmarkStart w:id="2877" w:name="_Toc227825326"/>
      <w:r w:rsidRPr="004853EB">
        <w:rPr>
          <w:rFonts w:eastAsia="Times New Roman" w:cstheme="minorHAnsi"/>
          <w:b/>
          <w:caps/>
          <w:kern w:val="28"/>
          <w:sz w:val="20"/>
          <w:szCs w:val="20"/>
          <w:lang w:eastAsia="pl-PL"/>
        </w:rPr>
        <w:t>9. Podstawa płatności</w:t>
      </w:r>
      <w:bookmarkEnd w:id="2874"/>
      <w:bookmarkEnd w:id="2875"/>
      <w:bookmarkEnd w:id="2876"/>
      <w:bookmarkEnd w:id="2877"/>
    </w:p>
    <w:p w14:paraId="1A01037F"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78" w:name="_Toc194476889"/>
      <w:bookmarkStart w:id="2879" w:name="_Toc227760180"/>
      <w:bookmarkStart w:id="2880" w:name="_Toc227825327"/>
      <w:bookmarkStart w:id="2881" w:name="_Toc344981402"/>
      <w:r w:rsidRPr="004853EB">
        <w:rPr>
          <w:rFonts w:eastAsia="Times New Roman" w:cstheme="minorHAnsi"/>
          <w:b/>
          <w:sz w:val="20"/>
          <w:szCs w:val="20"/>
          <w:lang w:eastAsia="pl-PL"/>
        </w:rPr>
        <w:t>9.1. Ogólne ustalenia dotyczące podstawy płatności</w:t>
      </w:r>
      <w:bookmarkEnd w:id="2878"/>
      <w:bookmarkEnd w:id="2879"/>
      <w:bookmarkEnd w:id="2880"/>
    </w:p>
    <w:p w14:paraId="33EFCDE5" w14:textId="77777777"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ustalenia dotyczące podstawy płatności podano w SST D-00.00.00 „Wymagania ogólne” [1] pkt 9.</w:t>
      </w:r>
    </w:p>
    <w:p w14:paraId="11BA8ADC"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82" w:name="_Toc194476890"/>
      <w:bookmarkStart w:id="2883" w:name="_Toc227760181"/>
      <w:bookmarkStart w:id="2884" w:name="_Toc227825328"/>
      <w:r w:rsidRPr="004853EB">
        <w:rPr>
          <w:rFonts w:eastAsia="Times New Roman" w:cstheme="minorHAnsi"/>
          <w:b/>
          <w:sz w:val="20"/>
          <w:szCs w:val="20"/>
          <w:lang w:eastAsia="pl-PL"/>
        </w:rPr>
        <w:t>9.2. Cena jednostki obmiarowej</w:t>
      </w:r>
      <w:bookmarkEnd w:id="2882"/>
      <w:bookmarkEnd w:id="2883"/>
      <w:bookmarkEnd w:id="2884"/>
    </w:p>
    <w:p w14:paraId="3C6DC408" w14:textId="0CE9228A"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Cena </w:t>
      </w:r>
      <w:r w:rsidR="00B67D8D" w:rsidRPr="004853EB">
        <w:rPr>
          <w:rFonts w:eastAsia="Times New Roman" w:cstheme="minorHAnsi"/>
          <w:sz w:val="20"/>
          <w:szCs w:val="20"/>
          <w:lang w:eastAsia="pl-PL"/>
        </w:rPr>
        <w:t>wykonania jednostki</w:t>
      </w:r>
      <w:r w:rsidRPr="004853EB">
        <w:rPr>
          <w:rFonts w:eastAsia="Times New Roman" w:cstheme="minorHAnsi"/>
          <w:sz w:val="20"/>
          <w:szCs w:val="20"/>
          <w:lang w:eastAsia="pl-PL"/>
        </w:rPr>
        <w:t xml:space="preserve"> obmiarowej (1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obejmuje:</w:t>
      </w:r>
    </w:p>
    <w:p w14:paraId="5A0643E4"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prace pomiarowe i roboty przygotowawcze,</w:t>
      </w:r>
    </w:p>
    <w:p w14:paraId="3D676BA1"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oznakowanie robót,</w:t>
      </w:r>
    </w:p>
    <w:p w14:paraId="4398C53F"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dostarczenie materiałów i sprzętu,</w:t>
      </w:r>
    </w:p>
    <w:p w14:paraId="56D3DFD9"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oczyszczenie warstw konstrukcyjnych nawierzchni,</w:t>
      </w:r>
    </w:p>
    <w:p w14:paraId="193F5922"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skropienie emulsją warstw konstrukcyjnych nawierzchni,</w:t>
      </w:r>
    </w:p>
    <w:p w14:paraId="2E4B23E7"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przeprowadzenie wymaganych pomiarów i badań,</w:t>
      </w:r>
    </w:p>
    <w:p w14:paraId="13AD1163"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uporządkowanie terenu robót i jego otoczenia,</w:t>
      </w:r>
    </w:p>
    <w:p w14:paraId="7180CCD7"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wykończeniowe,</w:t>
      </w:r>
    </w:p>
    <w:p w14:paraId="753F580D"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b/>
          <w:sz w:val="20"/>
          <w:szCs w:val="20"/>
          <w:lang w:eastAsia="pl-PL"/>
        </w:rPr>
      </w:pPr>
      <w:r w:rsidRPr="004853EB">
        <w:rPr>
          <w:rFonts w:eastAsia="Times New Roman" w:cstheme="minorHAnsi"/>
          <w:sz w:val="20"/>
          <w:szCs w:val="20"/>
          <w:lang w:eastAsia="pl-PL"/>
        </w:rPr>
        <w:t>odwiezienie sprzętu.</w:t>
      </w:r>
    </w:p>
    <w:p w14:paraId="1A21E5FB"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Wszystkie roboty powinny być wykonane według wymagań dokumentacji projektowej, ST, specyfikacji technicznej i postanowień Inżyniera.</w:t>
      </w:r>
    </w:p>
    <w:p w14:paraId="2180A062"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85" w:name="_Toc194476891"/>
      <w:bookmarkStart w:id="2886" w:name="_Toc227760182"/>
      <w:bookmarkStart w:id="2887" w:name="_Toc227825329"/>
      <w:r w:rsidRPr="004853EB">
        <w:rPr>
          <w:rFonts w:eastAsia="Times New Roman" w:cstheme="minorHAnsi"/>
          <w:b/>
          <w:sz w:val="20"/>
          <w:szCs w:val="20"/>
          <w:lang w:eastAsia="pl-PL"/>
        </w:rPr>
        <w:t>9.3. Sposób rozliczenia robót tymczasowych i prac towarzyszących</w:t>
      </w:r>
      <w:bookmarkEnd w:id="2885"/>
      <w:bookmarkEnd w:id="2886"/>
      <w:bookmarkEnd w:id="2887"/>
    </w:p>
    <w:p w14:paraId="5E958D0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Cena wykonania robót określonych niniejszą SST obejmuje:</w:t>
      </w:r>
    </w:p>
    <w:p w14:paraId="2A50B6BD"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tymczasowe, które są potrzebne do wykonania robót podstawowych, ale nie są przekazywane Zamawiającemu i są usuwane po wykonaniu robót podstawowych,</w:t>
      </w:r>
    </w:p>
    <w:p w14:paraId="757F3F08"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prace towarzyszące, które są niezbędne do wykonania robót podstawowych, niezaliczane do robót tymczasowych, jak geodezyjne wytyczenie robót itd.</w:t>
      </w:r>
    </w:p>
    <w:p w14:paraId="2DA215F6"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888" w:name="_Toc194476892"/>
      <w:bookmarkStart w:id="2889" w:name="_Toc227760183"/>
      <w:bookmarkStart w:id="2890" w:name="_Toc227825330"/>
      <w:r w:rsidRPr="004853EB">
        <w:rPr>
          <w:rFonts w:eastAsia="Times New Roman" w:cstheme="minorHAnsi"/>
          <w:b/>
          <w:caps/>
          <w:kern w:val="28"/>
          <w:sz w:val="20"/>
          <w:szCs w:val="20"/>
          <w:lang w:eastAsia="pl-PL"/>
        </w:rPr>
        <w:t>10. Przepisy związane</w:t>
      </w:r>
      <w:bookmarkEnd w:id="2881"/>
      <w:bookmarkEnd w:id="2888"/>
      <w:bookmarkEnd w:id="2889"/>
      <w:bookmarkEnd w:id="2890"/>
    </w:p>
    <w:p w14:paraId="3E31422D"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91" w:name="_Toc194476893"/>
      <w:bookmarkStart w:id="2892" w:name="_Toc227760184"/>
      <w:bookmarkStart w:id="2893" w:name="_Toc227825331"/>
      <w:r w:rsidRPr="004853EB">
        <w:rPr>
          <w:rFonts w:eastAsia="Times New Roman" w:cstheme="minorHAnsi"/>
          <w:b/>
          <w:sz w:val="20"/>
          <w:szCs w:val="20"/>
          <w:lang w:eastAsia="pl-PL"/>
        </w:rPr>
        <w:t>10.1. Ogólne specyfikacje techniczne (SST)</w:t>
      </w:r>
      <w:bookmarkEnd w:id="2891"/>
      <w:bookmarkEnd w:id="2892"/>
      <w:bookmarkEnd w:id="2893"/>
    </w:p>
    <w:tbl>
      <w:tblPr>
        <w:tblW w:w="0" w:type="auto"/>
        <w:tblLayout w:type="fixed"/>
        <w:tblCellMar>
          <w:left w:w="70" w:type="dxa"/>
          <w:right w:w="70" w:type="dxa"/>
        </w:tblCellMar>
        <w:tblLook w:val="0000" w:firstRow="0" w:lastRow="0" w:firstColumn="0" w:lastColumn="0" w:noHBand="0" w:noVBand="0"/>
      </w:tblPr>
      <w:tblGrid>
        <w:gridCol w:w="637"/>
        <w:gridCol w:w="1833"/>
        <w:gridCol w:w="6360"/>
      </w:tblGrid>
      <w:tr w:rsidR="00CC1EF4" w:rsidRPr="004853EB" w14:paraId="3D83657C" w14:textId="77777777" w:rsidTr="00E95D02">
        <w:tc>
          <w:tcPr>
            <w:tcW w:w="637" w:type="dxa"/>
          </w:tcPr>
          <w:p w14:paraId="02C4A0F4"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1833" w:type="dxa"/>
          </w:tcPr>
          <w:p w14:paraId="4C5F53A2"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 D-00.00.00</w:t>
            </w:r>
          </w:p>
        </w:tc>
        <w:tc>
          <w:tcPr>
            <w:tcW w:w="6360" w:type="dxa"/>
          </w:tcPr>
          <w:p w14:paraId="0018410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Wymagania ogólne</w:t>
            </w:r>
          </w:p>
        </w:tc>
      </w:tr>
      <w:tr w:rsidR="00CC1EF4" w:rsidRPr="004853EB" w14:paraId="212E9B94" w14:textId="77777777" w:rsidTr="00E95D02">
        <w:tc>
          <w:tcPr>
            <w:tcW w:w="637" w:type="dxa"/>
          </w:tcPr>
          <w:p w14:paraId="74D92BDF"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tc>
        <w:tc>
          <w:tcPr>
            <w:tcW w:w="1833" w:type="dxa"/>
          </w:tcPr>
          <w:p w14:paraId="4A75121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highlight w:val="yellow"/>
                <w:lang w:eastAsia="pl-PL"/>
              </w:rPr>
            </w:pPr>
          </w:p>
        </w:tc>
        <w:tc>
          <w:tcPr>
            <w:tcW w:w="6360" w:type="dxa"/>
          </w:tcPr>
          <w:p w14:paraId="0843841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r>
      <w:tr w:rsidR="00CC1EF4" w:rsidRPr="004853EB" w14:paraId="27A387D6" w14:textId="77777777" w:rsidTr="00E95D02">
        <w:tc>
          <w:tcPr>
            <w:tcW w:w="637" w:type="dxa"/>
          </w:tcPr>
          <w:p w14:paraId="14134BF8"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tc>
        <w:tc>
          <w:tcPr>
            <w:tcW w:w="1833" w:type="dxa"/>
          </w:tcPr>
          <w:p w14:paraId="43561C5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c>
          <w:tcPr>
            <w:tcW w:w="6360" w:type="dxa"/>
          </w:tcPr>
          <w:p w14:paraId="598A3F1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r>
    </w:tbl>
    <w:p w14:paraId="479EE9D8"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94" w:name="_Toc194476894"/>
      <w:bookmarkStart w:id="2895" w:name="_Toc227760185"/>
      <w:bookmarkStart w:id="2896" w:name="_Toc227825332"/>
      <w:r w:rsidRPr="004853EB">
        <w:rPr>
          <w:rFonts w:eastAsia="Times New Roman" w:cstheme="minorHAnsi"/>
          <w:b/>
          <w:sz w:val="20"/>
          <w:szCs w:val="20"/>
          <w:lang w:eastAsia="pl-PL"/>
        </w:rPr>
        <w:t>10.2. Normy</w:t>
      </w:r>
      <w:bookmarkEnd w:id="2894"/>
      <w:bookmarkEnd w:id="2895"/>
      <w:bookmarkEnd w:id="2896"/>
    </w:p>
    <w:tbl>
      <w:tblPr>
        <w:tblW w:w="0" w:type="auto"/>
        <w:tblLook w:val="01E0" w:firstRow="1" w:lastRow="1" w:firstColumn="1" w:lastColumn="1" w:noHBand="0" w:noVBand="0"/>
      </w:tblPr>
      <w:tblGrid>
        <w:gridCol w:w="675"/>
        <w:gridCol w:w="1833"/>
        <w:gridCol w:w="6360"/>
      </w:tblGrid>
      <w:tr w:rsidR="00CC1EF4" w:rsidRPr="004853EB" w14:paraId="3CA28C9D" w14:textId="77777777" w:rsidTr="00E95D02">
        <w:tc>
          <w:tcPr>
            <w:tcW w:w="675" w:type="dxa"/>
          </w:tcPr>
          <w:p w14:paraId="367DD9C9"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1833" w:type="dxa"/>
          </w:tcPr>
          <w:p w14:paraId="1518D77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PN-EN 1426   </w:t>
            </w:r>
          </w:p>
        </w:tc>
        <w:tc>
          <w:tcPr>
            <w:tcW w:w="6360" w:type="dxa"/>
          </w:tcPr>
          <w:p w14:paraId="750E320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Asfalty i produkty asfaltowe – Oznaczanie penetracji igłą</w:t>
            </w:r>
          </w:p>
        </w:tc>
      </w:tr>
      <w:tr w:rsidR="00CC1EF4" w:rsidRPr="004853EB" w14:paraId="337A46C7" w14:textId="77777777" w:rsidTr="00E95D02">
        <w:tc>
          <w:tcPr>
            <w:tcW w:w="675" w:type="dxa"/>
          </w:tcPr>
          <w:p w14:paraId="42F93AED"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c>
          <w:tcPr>
            <w:tcW w:w="1833" w:type="dxa"/>
          </w:tcPr>
          <w:p w14:paraId="6E56726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1427</w:t>
            </w:r>
          </w:p>
        </w:tc>
        <w:tc>
          <w:tcPr>
            <w:tcW w:w="6360" w:type="dxa"/>
          </w:tcPr>
          <w:p w14:paraId="056FF79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Asfalty i produkty asfaltowe – Oznaczanie temperatury mięknienia – Metoda Pierścień i Kula</w:t>
            </w:r>
          </w:p>
        </w:tc>
      </w:tr>
      <w:tr w:rsidR="00CC1EF4" w:rsidRPr="004853EB" w14:paraId="79377304" w14:textId="77777777" w:rsidTr="00E95D02">
        <w:tc>
          <w:tcPr>
            <w:tcW w:w="675" w:type="dxa"/>
          </w:tcPr>
          <w:p w14:paraId="74FA21D9"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tc>
        <w:tc>
          <w:tcPr>
            <w:tcW w:w="1833" w:type="dxa"/>
          </w:tcPr>
          <w:p w14:paraId="3AF16EB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1428</w:t>
            </w:r>
          </w:p>
        </w:tc>
        <w:tc>
          <w:tcPr>
            <w:tcW w:w="6360" w:type="dxa"/>
          </w:tcPr>
          <w:p w14:paraId="5B30C662"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Asfalty i lepiszcza asfaltowe – Oznaczanie zawartości wody w emulsjach asfaltowych – Metoda destylacji azeotropowej</w:t>
            </w:r>
          </w:p>
        </w:tc>
      </w:tr>
      <w:tr w:rsidR="00CC1EF4" w:rsidRPr="004853EB" w14:paraId="0D801013" w14:textId="77777777" w:rsidTr="00E95D02">
        <w:tc>
          <w:tcPr>
            <w:tcW w:w="675" w:type="dxa"/>
          </w:tcPr>
          <w:p w14:paraId="5F44635A"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w:t>
            </w:r>
          </w:p>
        </w:tc>
        <w:tc>
          <w:tcPr>
            <w:tcW w:w="1833" w:type="dxa"/>
          </w:tcPr>
          <w:p w14:paraId="5DA45A1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1429</w:t>
            </w:r>
          </w:p>
        </w:tc>
        <w:tc>
          <w:tcPr>
            <w:tcW w:w="6360" w:type="dxa"/>
          </w:tcPr>
          <w:p w14:paraId="05223CB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Asfalty i lepiszcza asfaltowe – Oznaczanie pozostałości na sicie emulsji asfaltowych oraz trwałości podczas magazynowania metodą pozostałości na sicie</w:t>
            </w:r>
          </w:p>
        </w:tc>
      </w:tr>
      <w:tr w:rsidR="00CC1EF4" w:rsidRPr="004853EB" w14:paraId="09A90494" w14:textId="77777777" w:rsidTr="00E95D02">
        <w:tc>
          <w:tcPr>
            <w:tcW w:w="675" w:type="dxa"/>
          </w:tcPr>
          <w:p w14:paraId="04F56958"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8.</w:t>
            </w:r>
          </w:p>
        </w:tc>
        <w:tc>
          <w:tcPr>
            <w:tcW w:w="1833" w:type="dxa"/>
          </w:tcPr>
          <w:p w14:paraId="55D7108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1430</w:t>
            </w:r>
          </w:p>
        </w:tc>
        <w:tc>
          <w:tcPr>
            <w:tcW w:w="6360" w:type="dxa"/>
          </w:tcPr>
          <w:p w14:paraId="36A2411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Asfalty i produkty asfaltowe – Oznaczanie polarności cząstek w emulsjach asfaltowych</w:t>
            </w:r>
          </w:p>
        </w:tc>
      </w:tr>
    </w:tbl>
    <w:p w14:paraId="34214BB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bl>
      <w:tblPr>
        <w:tblW w:w="0" w:type="auto"/>
        <w:tblLook w:val="01E0" w:firstRow="1" w:lastRow="1" w:firstColumn="1" w:lastColumn="1" w:noHBand="0" w:noVBand="0"/>
      </w:tblPr>
      <w:tblGrid>
        <w:gridCol w:w="675"/>
        <w:gridCol w:w="1833"/>
        <w:gridCol w:w="6360"/>
      </w:tblGrid>
      <w:tr w:rsidR="00CC1EF4" w:rsidRPr="004853EB" w14:paraId="65D1C044" w14:textId="77777777" w:rsidTr="00E95D02">
        <w:tc>
          <w:tcPr>
            <w:tcW w:w="675" w:type="dxa"/>
          </w:tcPr>
          <w:p w14:paraId="7C62ED9E"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9.</w:t>
            </w:r>
          </w:p>
        </w:tc>
        <w:tc>
          <w:tcPr>
            <w:tcW w:w="1833" w:type="dxa"/>
          </w:tcPr>
          <w:p w14:paraId="7A42B87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1431</w:t>
            </w:r>
          </w:p>
        </w:tc>
        <w:tc>
          <w:tcPr>
            <w:tcW w:w="6360" w:type="dxa"/>
          </w:tcPr>
          <w:p w14:paraId="6CAA8C3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Asfalty i lepiszcza asfaltowe – Oznaczanie zawartości asfaltu i olejów destylacyjnych w emulsjach asfaltowych metodą destylacji</w:t>
            </w:r>
          </w:p>
        </w:tc>
      </w:tr>
      <w:tr w:rsidR="00CC1EF4" w:rsidRPr="004853EB" w14:paraId="001F5D8E" w14:textId="77777777" w:rsidTr="00E95D02">
        <w:tc>
          <w:tcPr>
            <w:tcW w:w="675" w:type="dxa"/>
          </w:tcPr>
          <w:p w14:paraId="3AC9EA0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10.</w:t>
            </w:r>
          </w:p>
        </w:tc>
        <w:tc>
          <w:tcPr>
            <w:tcW w:w="1833" w:type="dxa"/>
          </w:tcPr>
          <w:p w14:paraId="6F2351D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12272-1</w:t>
            </w:r>
          </w:p>
        </w:tc>
        <w:tc>
          <w:tcPr>
            <w:tcW w:w="6360" w:type="dxa"/>
          </w:tcPr>
          <w:p w14:paraId="3907ED17" w14:textId="66DEC14D"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Powierzchniowe utrwalanie – Metody badań – Część 1: Dozowanie </w:t>
            </w:r>
            <w:r w:rsidR="00B67D8D">
              <w:rPr>
                <w:rFonts w:eastAsia="Times New Roman" w:cstheme="minorHAnsi"/>
                <w:sz w:val="20"/>
                <w:szCs w:val="20"/>
                <w:lang w:eastAsia="pl-PL"/>
              </w:rPr>
              <w:br/>
            </w:r>
            <w:r w:rsidRPr="004853EB">
              <w:rPr>
                <w:rFonts w:eastAsia="Times New Roman" w:cstheme="minorHAnsi"/>
                <w:sz w:val="20"/>
                <w:szCs w:val="20"/>
                <w:lang w:eastAsia="pl-PL"/>
              </w:rPr>
              <w:t>i poprzeczny rozkład lepiszcza i kruszywa</w:t>
            </w:r>
          </w:p>
        </w:tc>
      </w:tr>
      <w:tr w:rsidR="00CC1EF4" w:rsidRPr="004853EB" w14:paraId="28FF220D" w14:textId="77777777" w:rsidTr="00E95D02">
        <w:tc>
          <w:tcPr>
            <w:tcW w:w="675" w:type="dxa"/>
          </w:tcPr>
          <w:p w14:paraId="4E54CE07"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11.</w:t>
            </w:r>
          </w:p>
        </w:tc>
        <w:tc>
          <w:tcPr>
            <w:tcW w:w="1833" w:type="dxa"/>
          </w:tcPr>
          <w:p w14:paraId="2670BA4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12591</w:t>
            </w:r>
          </w:p>
        </w:tc>
        <w:tc>
          <w:tcPr>
            <w:tcW w:w="6360" w:type="dxa"/>
          </w:tcPr>
          <w:p w14:paraId="4DA75F4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Asfalty i lepiszcza asfaltowe – Wymagania dla asfaltów drogowych</w:t>
            </w:r>
          </w:p>
        </w:tc>
      </w:tr>
      <w:tr w:rsidR="00CC1EF4" w:rsidRPr="004853EB" w14:paraId="533C3787" w14:textId="77777777" w:rsidTr="00E95D02">
        <w:tc>
          <w:tcPr>
            <w:tcW w:w="675" w:type="dxa"/>
          </w:tcPr>
          <w:p w14:paraId="5ECA1ED8"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12.</w:t>
            </w:r>
          </w:p>
        </w:tc>
        <w:tc>
          <w:tcPr>
            <w:tcW w:w="1833" w:type="dxa"/>
          </w:tcPr>
          <w:p w14:paraId="0B0E214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12846-1</w:t>
            </w:r>
          </w:p>
        </w:tc>
        <w:tc>
          <w:tcPr>
            <w:tcW w:w="6360" w:type="dxa"/>
          </w:tcPr>
          <w:p w14:paraId="3820893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Asfalty i lepiszcza asfaltowe – Oznaczanie czasu wypływu lepkościomierzem wypływowym. Część 1: Emulsje asfaltowe</w:t>
            </w:r>
          </w:p>
        </w:tc>
      </w:tr>
      <w:tr w:rsidR="00CC1EF4" w:rsidRPr="004853EB" w14:paraId="271D3424" w14:textId="77777777" w:rsidTr="00E95D02">
        <w:tc>
          <w:tcPr>
            <w:tcW w:w="675" w:type="dxa"/>
          </w:tcPr>
          <w:p w14:paraId="482B1341"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13</w:t>
            </w:r>
          </w:p>
        </w:tc>
        <w:tc>
          <w:tcPr>
            <w:tcW w:w="1833" w:type="dxa"/>
          </w:tcPr>
          <w:p w14:paraId="378E7CF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12850</w:t>
            </w:r>
          </w:p>
        </w:tc>
        <w:tc>
          <w:tcPr>
            <w:tcW w:w="6360" w:type="dxa"/>
          </w:tcPr>
          <w:p w14:paraId="705C7C6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Asfalty i lepiszcza asfaltowe – Oznaczanie wartości </w:t>
            </w:r>
            <w:proofErr w:type="spellStart"/>
            <w:r w:rsidRPr="004853EB">
              <w:rPr>
                <w:rFonts w:eastAsia="Times New Roman" w:cstheme="minorHAnsi"/>
                <w:sz w:val="20"/>
                <w:szCs w:val="20"/>
                <w:lang w:eastAsia="pl-PL"/>
              </w:rPr>
              <w:t>pH</w:t>
            </w:r>
            <w:proofErr w:type="spellEnd"/>
            <w:r w:rsidRPr="004853EB">
              <w:rPr>
                <w:rFonts w:eastAsia="Times New Roman" w:cstheme="minorHAnsi"/>
                <w:sz w:val="20"/>
                <w:szCs w:val="20"/>
                <w:lang w:eastAsia="pl-PL"/>
              </w:rPr>
              <w:t xml:space="preserve"> emulsji asfaltowych</w:t>
            </w:r>
          </w:p>
        </w:tc>
      </w:tr>
      <w:tr w:rsidR="00CC1EF4" w:rsidRPr="004853EB" w14:paraId="676CEEAF" w14:textId="77777777" w:rsidTr="00E95D02">
        <w:tc>
          <w:tcPr>
            <w:tcW w:w="675" w:type="dxa"/>
          </w:tcPr>
          <w:p w14:paraId="26660FE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14.</w:t>
            </w:r>
          </w:p>
        </w:tc>
        <w:tc>
          <w:tcPr>
            <w:tcW w:w="1833" w:type="dxa"/>
          </w:tcPr>
          <w:p w14:paraId="347C43E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13074-1</w:t>
            </w:r>
          </w:p>
        </w:tc>
        <w:tc>
          <w:tcPr>
            <w:tcW w:w="6360" w:type="dxa"/>
          </w:tcPr>
          <w:p w14:paraId="1E45662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Asfalty i lepiszcza asfaltowe -- Odzyskiwanie lepiszcza z emulsji asfaltowych lub asfaltów upłynnionych lub fluksowanych -- Część 1: Odzyskiwanie metodą odparowania</w:t>
            </w:r>
          </w:p>
        </w:tc>
      </w:tr>
      <w:tr w:rsidR="00CC1EF4" w:rsidRPr="004853EB" w14:paraId="2409FD4B" w14:textId="77777777" w:rsidTr="00E95D02">
        <w:tc>
          <w:tcPr>
            <w:tcW w:w="675" w:type="dxa"/>
          </w:tcPr>
          <w:p w14:paraId="590DADD4"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15.</w:t>
            </w:r>
          </w:p>
        </w:tc>
        <w:tc>
          <w:tcPr>
            <w:tcW w:w="1833" w:type="dxa"/>
          </w:tcPr>
          <w:p w14:paraId="7CD27A5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13074-2</w:t>
            </w:r>
          </w:p>
        </w:tc>
        <w:tc>
          <w:tcPr>
            <w:tcW w:w="6360" w:type="dxa"/>
          </w:tcPr>
          <w:p w14:paraId="31ABB9F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Asfalty i lepiszcza asfaltowe -- Odzyskiwanie lepiszcza z emulsji asfaltowych lub asfaltów upłynnionych lub fluksowanych -- Część 2: Stabilizacja po odzyskaniu metodą odparowania</w:t>
            </w:r>
          </w:p>
        </w:tc>
      </w:tr>
      <w:tr w:rsidR="00CC1EF4" w:rsidRPr="004853EB" w14:paraId="0AD7491A" w14:textId="77777777" w:rsidTr="00E95D02">
        <w:tc>
          <w:tcPr>
            <w:tcW w:w="675" w:type="dxa"/>
          </w:tcPr>
          <w:p w14:paraId="2E46E171"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16.</w:t>
            </w:r>
          </w:p>
        </w:tc>
        <w:tc>
          <w:tcPr>
            <w:tcW w:w="1833" w:type="dxa"/>
          </w:tcPr>
          <w:p w14:paraId="7043728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13075-1</w:t>
            </w:r>
          </w:p>
        </w:tc>
        <w:tc>
          <w:tcPr>
            <w:tcW w:w="6360" w:type="dxa"/>
          </w:tcPr>
          <w:p w14:paraId="668EAED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Asfalty i lepiszcza asfaltowe – Badanie rozpadu – Część 1: Oznaczanie indeksu rozpadu kationowych emulsji asfaltowych, metoda z wypełniaczem mineralnym</w:t>
            </w:r>
          </w:p>
        </w:tc>
      </w:tr>
      <w:tr w:rsidR="00CC1EF4" w:rsidRPr="004853EB" w14:paraId="33BEC20C" w14:textId="77777777" w:rsidTr="00E95D02">
        <w:tc>
          <w:tcPr>
            <w:tcW w:w="675" w:type="dxa"/>
          </w:tcPr>
          <w:p w14:paraId="001C24BE"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17.</w:t>
            </w:r>
          </w:p>
        </w:tc>
        <w:tc>
          <w:tcPr>
            <w:tcW w:w="1833" w:type="dxa"/>
          </w:tcPr>
          <w:p w14:paraId="52BA4CA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13398</w:t>
            </w:r>
          </w:p>
        </w:tc>
        <w:tc>
          <w:tcPr>
            <w:tcW w:w="6360" w:type="dxa"/>
          </w:tcPr>
          <w:p w14:paraId="501AEB3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Asfalty i lepiszcza asfaltowe – Oznaczanie nawrotu sprężystego asfaltów modyfikowanych</w:t>
            </w:r>
          </w:p>
        </w:tc>
      </w:tr>
      <w:tr w:rsidR="00CC1EF4" w:rsidRPr="004853EB" w14:paraId="72AE749D" w14:textId="77777777" w:rsidTr="00E95D02">
        <w:tc>
          <w:tcPr>
            <w:tcW w:w="675" w:type="dxa"/>
          </w:tcPr>
          <w:p w14:paraId="3827261E"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18.</w:t>
            </w:r>
          </w:p>
        </w:tc>
        <w:tc>
          <w:tcPr>
            <w:tcW w:w="1833" w:type="dxa"/>
          </w:tcPr>
          <w:p w14:paraId="50EE2BF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13589</w:t>
            </w:r>
          </w:p>
        </w:tc>
        <w:tc>
          <w:tcPr>
            <w:tcW w:w="6360" w:type="dxa"/>
          </w:tcPr>
          <w:p w14:paraId="5C1A294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Asfalty i lepiszcza asfaltowe -- Oznaczanie siły rozciągania asfaltów modyfikowanych, metoda z </w:t>
            </w:r>
            <w:proofErr w:type="spellStart"/>
            <w:r w:rsidRPr="004853EB">
              <w:rPr>
                <w:rFonts w:eastAsia="Times New Roman" w:cstheme="minorHAnsi"/>
                <w:sz w:val="20"/>
                <w:szCs w:val="20"/>
                <w:lang w:eastAsia="pl-PL"/>
              </w:rPr>
              <w:t>duktylometrem</w:t>
            </w:r>
            <w:proofErr w:type="spellEnd"/>
          </w:p>
        </w:tc>
      </w:tr>
      <w:tr w:rsidR="00CC1EF4" w:rsidRPr="004853EB" w14:paraId="52F8BF4C" w14:textId="77777777" w:rsidTr="00E95D02">
        <w:tc>
          <w:tcPr>
            <w:tcW w:w="675" w:type="dxa"/>
          </w:tcPr>
          <w:p w14:paraId="29BC937D"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19.</w:t>
            </w:r>
          </w:p>
        </w:tc>
        <w:tc>
          <w:tcPr>
            <w:tcW w:w="1833" w:type="dxa"/>
          </w:tcPr>
          <w:p w14:paraId="4272DDF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13614</w:t>
            </w:r>
          </w:p>
        </w:tc>
        <w:tc>
          <w:tcPr>
            <w:tcW w:w="6360" w:type="dxa"/>
          </w:tcPr>
          <w:p w14:paraId="4BBAA92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Asfalty i lepiszcza asfaltowe – Oznaczanie przyczepności emulsji asfaltowych przez zanurzenie w wodzie</w:t>
            </w:r>
          </w:p>
        </w:tc>
      </w:tr>
      <w:tr w:rsidR="00CC1EF4" w:rsidRPr="004853EB" w14:paraId="66826C18" w14:textId="77777777" w:rsidTr="00E95D02">
        <w:tc>
          <w:tcPr>
            <w:tcW w:w="675" w:type="dxa"/>
          </w:tcPr>
          <w:p w14:paraId="2BCF96EF"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20.</w:t>
            </w:r>
          </w:p>
        </w:tc>
        <w:tc>
          <w:tcPr>
            <w:tcW w:w="1833" w:type="dxa"/>
          </w:tcPr>
          <w:p w14:paraId="55DE1DD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13703</w:t>
            </w:r>
          </w:p>
        </w:tc>
        <w:tc>
          <w:tcPr>
            <w:tcW w:w="6360" w:type="dxa"/>
          </w:tcPr>
          <w:p w14:paraId="452CE60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Asfalty i lepiszcza asfaltowe -- Oznaczanie energii odkształcenia</w:t>
            </w:r>
          </w:p>
        </w:tc>
      </w:tr>
      <w:tr w:rsidR="00CC1EF4" w:rsidRPr="004853EB" w14:paraId="6C350A9A" w14:textId="77777777" w:rsidTr="00E95D02">
        <w:tc>
          <w:tcPr>
            <w:tcW w:w="675" w:type="dxa"/>
          </w:tcPr>
          <w:p w14:paraId="3479B9B9"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21.</w:t>
            </w:r>
          </w:p>
        </w:tc>
        <w:tc>
          <w:tcPr>
            <w:tcW w:w="1833" w:type="dxa"/>
          </w:tcPr>
          <w:p w14:paraId="3CD6C25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13808</w:t>
            </w:r>
          </w:p>
        </w:tc>
        <w:tc>
          <w:tcPr>
            <w:tcW w:w="6360" w:type="dxa"/>
          </w:tcPr>
          <w:p w14:paraId="15EACFD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Asfalty i lepiszcza asfaltowe – Zasady klasyfikacji kationowych emulsji asfaltowych</w:t>
            </w:r>
          </w:p>
        </w:tc>
      </w:tr>
      <w:tr w:rsidR="00CC1EF4" w:rsidRPr="004853EB" w14:paraId="136945AF" w14:textId="77777777" w:rsidTr="00E95D02">
        <w:tc>
          <w:tcPr>
            <w:tcW w:w="675" w:type="dxa"/>
          </w:tcPr>
          <w:p w14:paraId="49E4B46D"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22.</w:t>
            </w:r>
          </w:p>
        </w:tc>
        <w:tc>
          <w:tcPr>
            <w:tcW w:w="1833" w:type="dxa"/>
          </w:tcPr>
          <w:p w14:paraId="65EA8473" w14:textId="77777777" w:rsidR="00CC1EF4" w:rsidRPr="004853EB" w:rsidRDefault="00CC1EF4" w:rsidP="00CC1EF4">
            <w:p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PN-EN 13808:2013-10/Ap1:2014-07</w:t>
            </w:r>
          </w:p>
        </w:tc>
        <w:tc>
          <w:tcPr>
            <w:tcW w:w="6360" w:type="dxa"/>
          </w:tcPr>
          <w:p w14:paraId="70E81B3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Asfalty i lepiszcza asfaltowe – Zasady specyfikacji kationowych emulsji asfaltowych. Załącznik krajowy NA</w:t>
            </w:r>
          </w:p>
        </w:tc>
      </w:tr>
      <w:tr w:rsidR="00CC1EF4" w:rsidRPr="004853EB" w14:paraId="6BCC9F7E" w14:textId="77777777" w:rsidTr="00E95D02">
        <w:tc>
          <w:tcPr>
            <w:tcW w:w="675" w:type="dxa"/>
          </w:tcPr>
          <w:p w14:paraId="48A2F44F"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23.</w:t>
            </w:r>
          </w:p>
        </w:tc>
        <w:tc>
          <w:tcPr>
            <w:tcW w:w="1833" w:type="dxa"/>
          </w:tcPr>
          <w:p w14:paraId="2E835B3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14023</w:t>
            </w:r>
          </w:p>
        </w:tc>
        <w:tc>
          <w:tcPr>
            <w:tcW w:w="6360" w:type="dxa"/>
          </w:tcPr>
          <w:p w14:paraId="004ED84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Asfalty i lepiszcza asfaltowe – Zasady specyfikacji asfaltów modyfikowanych polimerami</w:t>
            </w:r>
          </w:p>
        </w:tc>
      </w:tr>
    </w:tbl>
    <w:p w14:paraId="240F9458"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897" w:name="_Toc194476895"/>
      <w:bookmarkStart w:id="2898" w:name="_Toc227760186"/>
      <w:bookmarkStart w:id="2899" w:name="_Toc227825333"/>
      <w:r w:rsidRPr="004853EB">
        <w:rPr>
          <w:rFonts w:eastAsia="Times New Roman" w:cstheme="minorHAnsi"/>
          <w:b/>
          <w:sz w:val="20"/>
          <w:szCs w:val="20"/>
          <w:lang w:eastAsia="pl-PL"/>
        </w:rPr>
        <w:t>10.3. Inne dokumenty</w:t>
      </w:r>
      <w:bookmarkEnd w:id="2897"/>
      <w:bookmarkEnd w:id="2898"/>
      <w:bookmarkEnd w:id="2899"/>
    </w:p>
    <w:p w14:paraId="04BAC7AB" w14:textId="77777777" w:rsidR="00CC1EF4" w:rsidRPr="004853EB" w:rsidRDefault="00CC1EF4">
      <w:pPr>
        <w:numPr>
          <w:ilvl w:val="0"/>
          <w:numId w:val="52"/>
        </w:numPr>
        <w:tabs>
          <w:tab w:val="left" w:pos="426"/>
        </w:tabs>
        <w:overflowPunct w:val="0"/>
        <w:autoSpaceDE w:val="0"/>
        <w:autoSpaceDN w:val="0"/>
        <w:adjustRightInd w:val="0"/>
        <w:spacing w:after="0" w:line="240" w:lineRule="auto"/>
        <w:ind w:left="426"/>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Katalog typowych konstrukcji nawierzchni podatnych i półsztywnych. Załącznik do Zarządzenia nr 31 Generalnego Dyrektora Dróg Krajowych i Autostrad z dnia 16 czerwca 2014 r. </w:t>
      </w:r>
    </w:p>
    <w:p w14:paraId="0C8A9A7B" w14:textId="77777777" w:rsidR="00CC1EF4" w:rsidRPr="004853EB" w:rsidRDefault="00CC1EF4">
      <w:pPr>
        <w:numPr>
          <w:ilvl w:val="0"/>
          <w:numId w:val="52"/>
        </w:numPr>
        <w:tabs>
          <w:tab w:val="left" w:pos="426"/>
        </w:tabs>
        <w:overflowPunct w:val="0"/>
        <w:autoSpaceDE w:val="0"/>
        <w:autoSpaceDN w:val="0"/>
        <w:adjustRightInd w:val="0"/>
        <w:spacing w:after="0" w:line="240" w:lineRule="auto"/>
        <w:ind w:left="426"/>
        <w:jc w:val="both"/>
        <w:textAlignment w:val="baseline"/>
        <w:rPr>
          <w:rFonts w:eastAsia="Times New Roman" w:cstheme="minorHAnsi"/>
          <w:sz w:val="20"/>
          <w:szCs w:val="20"/>
          <w:lang w:eastAsia="pl-PL"/>
        </w:rPr>
      </w:pPr>
      <w:bookmarkStart w:id="2900" w:name="_Toc344981403"/>
      <w:r w:rsidRPr="004853EB">
        <w:rPr>
          <w:rFonts w:eastAsia="Times New Roman" w:cstheme="minorHAnsi"/>
          <w:sz w:val="20"/>
          <w:szCs w:val="20"/>
          <w:lang w:eastAsia="pl-PL"/>
        </w:rPr>
        <w:lastRenderedPageBreak/>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14:paraId="3C550C5E" w14:textId="77777777" w:rsidR="00CC1EF4" w:rsidRPr="004853EB" w:rsidRDefault="00CC1EF4">
      <w:pPr>
        <w:numPr>
          <w:ilvl w:val="0"/>
          <w:numId w:val="52"/>
        </w:numPr>
        <w:tabs>
          <w:tab w:val="left" w:pos="426"/>
        </w:tabs>
        <w:overflowPunct w:val="0"/>
        <w:autoSpaceDE w:val="0"/>
        <w:autoSpaceDN w:val="0"/>
        <w:adjustRightInd w:val="0"/>
        <w:spacing w:after="0" w:line="240" w:lineRule="auto"/>
        <w:ind w:left="426"/>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14:paraId="25C84805" w14:textId="77777777" w:rsidR="00CC1EF4" w:rsidRPr="004853EB" w:rsidRDefault="00CC1EF4">
      <w:pPr>
        <w:numPr>
          <w:ilvl w:val="0"/>
          <w:numId w:val="52"/>
        </w:numPr>
        <w:overflowPunct w:val="0"/>
        <w:autoSpaceDE w:val="0"/>
        <w:autoSpaceDN w:val="0"/>
        <w:adjustRightInd w:val="0"/>
        <w:spacing w:after="0" w:line="240" w:lineRule="auto"/>
        <w:ind w:left="426"/>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Instrukcja laboratoryjnego badania sczepności międzywarstwowej warstw asfaltowych wg metody </w:t>
      </w:r>
      <w:proofErr w:type="spellStart"/>
      <w:r w:rsidRPr="004853EB">
        <w:rPr>
          <w:rFonts w:eastAsia="Times New Roman" w:cstheme="minorHAnsi"/>
          <w:sz w:val="20"/>
          <w:szCs w:val="20"/>
          <w:lang w:eastAsia="pl-PL"/>
        </w:rPr>
        <w:t>Leutnera</w:t>
      </w:r>
      <w:proofErr w:type="spellEnd"/>
      <w:r w:rsidRPr="004853EB">
        <w:rPr>
          <w:rFonts w:eastAsia="Times New Roman" w:cstheme="minorHAnsi"/>
          <w:sz w:val="20"/>
          <w:szCs w:val="20"/>
          <w:lang w:eastAsia="pl-PL"/>
        </w:rPr>
        <w:t xml:space="preserve"> i wymagania techniczne sczepności”, GDDKiA, Gdańsk, 2014, [Internet, dostęp 4.08.2015] </w:t>
      </w:r>
      <w:r w:rsidRPr="004853EB">
        <w:rPr>
          <w:rFonts w:eastAsia="Times New Roman" w:cstheme="minorHAnsi"/>
          <w:sz w:val="20"/>
          <w:szCs w:val="20"/>
          <w:lang w:eastAsia="pl-PL"/>
        </w:rPr>
        <w:br/>
        <w:t>https://www.gddkia.gov.pl/userfiles/articles/d/dokumenty-techniczne_8162/INSTRUKCJA%20LABORATORYJNEGO%20BADANIA%20SCZEPNOSCI%20MIEDZYWARSTWOWEJ%2031.08.2014.pdf</w:t>
      </w:r>
    </w:p>
    <w:p w14:paraId="0F7FA171"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p>
    <w:p w14:paraId="2E611351" w14:textId="77777777" w:rsidR="00CC1EF4" w:rsidRPr="004853EB" w:rsidRDefault="00CC1EF4" w:rsidP="00CC1EF4">
      <w:pPr>
        <w:keepNext/>
        <w:keepLines/>
        <w:suppressAutoHyphens/>
        <w:overflowPunct w:val="0"/>
        <w:autoSpaceDE w:val="0"/>
        <w:autoSpaceDN w:val="0"/>
        <w:adjustRightInd w:val="0"/>
        <w:spacing w:before="240" w:after="120" w:line="240" w:lineRule="auto"/>
        <w:jc w:val="center"/>
        <w:textAlignment w:val="baseline"/>
        <w:outlineLvl w:val="0"/>
        <w:rPr>
          <w:rFonts w:eastAsia="Times New Roman" w:cstheme="minorHAnsi"/>
          <w:b/>
          <w:caps/>
          <w:kern w:val="28"/>
          <w:sz w:val="20"/>
          <w:szCs w:val="20"/>
          <w:lang w:eastAsia="pl-PL"/>
        </w:rPr>
      </w:pPr>
      <w:bookmarkStart w:id="2901" w:name="_Toc194476896"/>
      <w:bookmarkStart w:id="2902" w:name="_Toc227760187"/>
      <w:bookmarkStart w:id="2903" w:name="_Toc227825334"/>
      <w:r w:rsidRPr="004853EB">
        <w:rPr>
          <w:rFonts w:eastAsia="Times New Roman" w:cstheme="minorHAnsi"/>
          <w:b/>
          <w:caps/>
          <w:kern w:val="28"/>
          <w:sz w:val="20"/>
          <w:szCs w:val="20"/>
          <w:lang w:eastAsia="pl-PL"/>
        </w:rPr>
        <w:t>11. Załącznik</w:t>
      </w:r>
      <w:bookmarkEnd w:id="2900"/>
      <w:r w:rsidRPr="004853EB">
        <w:rPr>
          <w:rFonts w:eastAsia="Times New Roman" w:cstheme="minorHAnsi"/>
          <w:b/>
          <w:caps/>
          <w:kern w:val="28"/>
          <w:sz w:val="20"/>
          <w:szCs w:val="20"/>
          <w:lang w:eastAsia="pl-PL"/>
        </w:rPr>
        <w:t>i</w:t>
      </w:r>
      <w:bookmarkEnd w:id="2901"/>
      <w:bookmarkEnd w:id="2902"/>
      <w:bookmarkEnd w:id="2903"/>
    </w:p>
    <w:p w14:paraId="5D2EC4CB" w14:textId="77777777" w:rsidR="00CC1EF4" w:rsidRPr="004853EB" w:rsidRDefault="00CC1EF4" w:rsidP="00CC1EF4">
      <w:pPr>
        <w:keepNext/>
        <w:overflowPunct w:val="0"/>
        <w:autoSpaceDE w:val="0"/>
        <w:autoSpaceDN w:val="0"/>
        <w:adjustRightInd w:val="0"/>
        <w:spacing w:before="120" w:after="120" w:line="240" w:lineRule="auto"/>
        <w:jc w:val="center"/>
        <w:textAlignment w:val="baseline"/>
        <w:outlineLvl w:val="1"/>
        <w:rPr>
          <w:rFonts w:eastAsia="Times New Roman" w:cstheme="minorHAnsi"/>
          <w:b/>
          <w:sz w:val="20"/>
          <w:szCs w:val="20"/>
          <w:lang w:eastAsia="pl-PL"/>
        </w:rPr>
      </w:pPr>
      <w:bookmarkStart w:id="2904" w:name="_Toc194476897"/>
      <w:bookmarkStart w:id="2905" w:name="_Toc227760188"/>
      <w:bookmarkStart w:id="2906" w:name="_Toc227825335"/>
      <w:r w:rsidRPr="004853EB">
        <w:rPr>
          <w:rFonts w:eastAsia="Times New Roman" w:cstheme="minorHAnsi"/>
          <w:b/>
          <w:sz w:val="20"/>
          <w:szCs w:val="20"/>
          <w:lang w:eastAsia="pl-PL"/>
        </w:rPr>
        <w:t>ZAŁĄCZNIK 1</w:t>
      </w:r>
      <w:bookmarkEnd w:id="2904"/>
      <w:bookmarkEnd w:id="2905"/>
      <w:bookmarkEnd w:id="2906"/>
    </w:p>
    <w:p w14:paraId="66408CB1" w14:textId="49BA1151"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r w:rsidRPr="004853EB">
        <w:rPr>
          <w:rFonts w:eastAsia="Times New Roman" w:cstheme="minorHAnsi"/>
          <w:b/>
          <w:sz w:val="20"/>
          <w:szCs w:val="20"/>
          <w:lang w:eastAsia="pl-PL"/>
        </w:rPr>
        <w:t xml:space="preserve">POŁĄCZENIA MIĘDZYWARSTWOWE – CELE, </w:t>
      </w:r>
      <w:r w:rsidR="00B67D8D" w:rsidRPr="004853EB">
        <w:rPr>
          <w:rFonts w:eastAsia="Times New Roman" w:cstheme="minorHAnsi"/>
          <w:b/>
          <w:sz w:val="20"/>
          <w:szCs w:val="20"/>
          <w:lang w:eastAsia="pl-PL"/>
        </w:rPr>
        <w:t>ZADANIA I WYKONANIE</w:t>
      </w:r>
    </w:p>
    <w:p w14:paraId="5562402F"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(wg K. </w:t>
      </w:r>
      <w:proofErr w:type="spellStart"/>
      <w:r w:rsidRPr="004853EB">
        <w:rPr>
          <w:rFonts w:eastAsia="Times New Roman" w:cstheme="minorHAnsi"/>
          <w:sz w:val="20"/>
          <w:szCs w:val="20"/>
          <w:lang w:eastAsia="pl-PL"/>
        </w:rPr>
        <w:t>Błażejowski</w:t>
      </w:r>
      <w:proofErr w:type="spellEnd"/>
      <w:r w:rsidRPr="004853EB">
        <w:rPr>
          <w:rFonts w:eastAsia="Times New Roman" w:cstheme="minorHAnsi"/>
          <w:sz w:val="20"/>
          <w:szCs w:val="20"/>
          <w:lang w:eastAsia="pl-PL"/>
        </w:rPr>
        <w:t>, S. Styk: Technologia warstw asfaltowych, Wydawnictwa Komunikacji i Łączności, Warszawa 2004)</w:t>
      </w:r>
    </w:p>
    <w:p w14:paraId="35453BC4"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u w:val="single"/>
          <w:lang w:eastAsia="pl-PL"/>
        </w:rPr>
      </w:pPr>
      <w:r w:rsidRPr="004853EB">
        <w:rPr>
          <w:rFonts w:eastAsia="Times New Roman" w:cstheme="minorHAnsi"/>
          <w:sz w:val="20"/>
          <w:szCs w:val="20"/>
          <w:u w:val="single"/>
          <w:lang w:eastAsia="pl-PL"/>
        </w:rPr>
        <w:t>Definicja</w:t>
      </w:r>
    </w:p>
    <w:p w14:paraId="3C12AF3C"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Połączenie międzywarstwowe jest zabiegiem wykonanym na placu budowy, mającym na celu trwałe zespolenie warstw nawierzchni drogowej. Zabieg połączenia międzywarstwowego polega na skropieniu warstwy dolnej emulsją asfaltową lub innym lepiszczem (np. asfaltem upłynnionym, który praktycznie znikł z rynku krajowego).</w:t>
      </w:r>
    </w:p>
    <w:p w14:paraId="33D97341" w14:textId="77777777" w:rsidR="00CC1EF4" w:rsidRPr="004853EB" w:rsidRDefault="00CC1EF4" w:rsidP="00CC1EF4">
      <w:pPr>
        <w:keepNext/>
        <w:overflowPunct w:val="0"/>
        <w:autoSpaceDE w:val="0"/>
        <w:autoSpaceDN w:val="0"/>
        <w:adjustRightInd w:val="0"/>
        <w:spacing w:before="120" w:after="120" w:line="240" w:lineRule="auto"/>
        <w:jc w:val="both"/>
        <w:textAlignment w:val="baseline"/>
        <w:rPr>
          <w:rFonts w:eastAsia="Times New Roman" w:cstheme="minorHAnsi"/>
          <w:sz w:val="20"/>
          <w:szCs w:val="20"/>
          <w:u w:val="single"/>
          <w:lang w:eastAsia="pl-PL"/>
        </w:rPr>
      </w:pPr>
      <w:r w:rsidRPr="004853EB">
        <w:rPr>
          <w:rFonts w:eastAsia="Times New Roman" w:cstheme="minorHAnsi"/>
          <w:sz w:val="20"/>
          <w:szCs w:val="20"/>
          <w:u w:val="single"/>
          <w:lang w:eastAsia="pl-PL"/>
        </w:rPr>
        <w:t>Funkcje</w:t>
      </w:r>
    </w:p>
    <w:p w14:paraId="38275204"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Połączenie międzywarstwowe warstw powierzchni spełnia następujące funkcje:</w:t>
      </w:r>
    </w:p>
    <w:p w14:paraId="57822F48" w14:textId="77777777" w:rsidR="00CC1EF4" w:rsidRPr="004853EB" w:rsidRDefault="00CC1EF4">
      <w:pPr>
        <w:numPr>
          <w:ilvl w:val="0"/>
          <w:numId w:val="4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zwiększa wytrzymałość zespołu warstw asfaltowych nawierzchni,</w:t>
      </w:r>
    </w:p>
    <w:p w14:paraId="385CB01A" w14:textId="77777777" w:rsidR="00CC1EF4" w:rsidRPr="004853EB" w:rsidRDefault="00CC1EF4">
      <w:pPr>
        <w:numPr>
          <w:ilvl w:val="0"/>
          <w:numId w:val="4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uniemożliwia penetrację wody między warstwami,</w:t>
      </w:r>
    </w:p>
    <w:p w14:paraId="56DCB23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więc w konsekwencji zwiększa trwałość całej nawierzchni.</w:t>
      </w:r>
    </w:p>
    <w:p w14:paraId="6BAD702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Skuteczne połączenie warstw nawierzchni uzyskuje się przez:</w:t>
      </w:r>
    </w:p>
    <w:p w14:paraId="77B433EC" w14:textId="02372639" w:rsidR="00CC1EF4" w:rsidRPr="004853EB" w:rsidRDefault="00CC1EF4">
      <w:pPr>
        <w:numPr>
          <w:ilvl w:val="0"/>
          <w:numId w:val="4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zazębienie, kiedy ziarna kruszywa z górnej warstwy wchodzą w zagłębienia dolnej warstwy i klinują się </w:t>
      </w:r>
      <w:r w:rsidR="00B67D8D">
        <w:rPr>
          <w:rFonts w:eastAsia="Times New Roman" w:cstheme="minorHAnsi"/>
          <w:sz w:val="20"/>
          <w:szCs w:val="20"/>
          <w:lang w:eastAsia="pl-PL"/>
        </w:rPr>
        <w:br/>
      </w:r>
      <w:r w:rsidRPr="004853EB">
        <w:rPr>
          <w:rFonts w:eastAsia="Times New Roman" w:cstheme="minorHAnsi"/>
          <w:sz w:val="20"/>
          <w:szCs w:val="20"/>
          <w:lang w:eastAsia="pl-PL"/>
        </w:rPr>
        <w:t>w nich,</w:t>
      </w:r>
    </w:p>
    <w:p w14:paraId="5738E7EF" w14:textId="77777777" w:rsidR="00CC1EF4" w:rsidRPr="004853EB" w:rsidRDefault="00CC1EF4">
      <w:pPr>
        <w:numPr>
          <w:ilvl w:val="0"/>
          <w:numId w:val="4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sklejenie, kiedy warstwa lepiszcza przenosi naprężenia pionowe (odrywające) i udział sklejenia jest dominujący przy przenoszeniu sił rozciągających (odspajających).</w:t>
      </w:r>
    </w:p>
    <w:p w14:paraId="3D2697C3"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u w:val="single"/>
          <w:lang w:eastAsia="pl-PL"/>
        </w:rPr>
      </w:pPr>
      <w:r w:rsidRPr="004853EB">
        <w:rPr>
          <w:rFonts w:eastAsia="Times New Roman" w:cstheme="minorHAnsi"/>
          <w:sz w:val="20"/>
          <w:szCs w:val="20"/>
          <w:u w:val="single"/>
          <w:lang w:eastAsia="pl-PL"/>
        </w:rPr>
        <w:t>Emulsje</w:t>
      </w:r>
    </w:p>
    <w:p w14:paraId="0C98E8D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Praktycznie na rynku do skrapiania pozostały jedynie emulsje wodno-asfaltowe. Jeszcze do niedawna stosowano do tego celu emulsje bez specjalnego określenia, że mają to być materiały do połączeń międzywarstwowych. Od pewnego czasu produkuje się już emulsje przeznaczone właśnie do związań międzywarstwowych, według normy PN-EN 13808 oznaczone „ZM”.</w:t>
      </w:r>
    </w:p>
    <w:p w14:paraId="6128264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Dostępne emulsje umożliwiają ich użycie do złączania warstw wykonanych z asfaltów niemodyfikowanych oraz warstw z asfaltów modyfikowanych polimerami, a także do złączania warstw asfaltowych z podbudowami z kruszywa niezwiązanego oraz związanego spoiwem hydraulicznym.</w:t>
      </w:r>
    </w:p>
    <w:p w14:paraId="5C51BD99" w14:textId="77777777" w:rsidR="00CC1EF4" w:rsidRPr="004853EB" w:rsidRDefault="00CC1EF4" w:rsidP="00CC1EF4">
      <w:pPr>
        <w:keepNext/>
        <w:overflowPunct w:val="0"/>
        <w:autoSpaceDE w:val="0"/>
        <w:autoSpaceDN w:val="0"/>
        <w:adjustRightInd w:val="0"/>
        <w:spacing w:before="120" w:after="120" w:line="240" w:lineRule="auto"/>
        <w:jc w:val="both"/>
        <w:textAlignment w:val="baseline"/>
        <w:rPr>
          <w:rFonts w:eastAsia="Times New Roman" w:cstheme="minorHAnsi"/>
          <w:sz w:val="20"/>
          <w:szCs w:val="20"/>
          <w:u w:val="single"/>
          <w:lang w:eastAsia="pl-PL"/>
        </w:rPr>
      </w:pPr>
      <w:r w:rsidRPr="004853EB">
        <w:rPr>
          <w:rFonts w:eastAsia="Times New Roman" w:cstheme="minorHAnsi"/>
          <w:sz w:val="20"/>
          <w:szCs w:val="20"/>
          <w:u w:val="single"/>
          <w:lang w:eastAsia="pl-PL"/>
        </w:rPr>
        <w:t>Poprawność wykonania</w:t>
      </w:r>
    </w:p>
    <w:p w14:paraId="46E372D2"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Poprawne wykonanie połączenia międzywarstwowego nadaje nawierzchni pełną wytrzymałość. Należy zdawać sobie sprawę, że źle wykonane połączenie międzywarstwowe (np. z niewłaściwym lepiszczem lub jego niedomiarem względnie nadmiarem) może czasami więcej zaszkodzić niż pomóc.</w:t>
      </w:r>
    </w:p>
    <w:p w14:paraId="1EB8ACC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Na skutek błędnego wykonania połączeń międzywarstwowych mogą wystąpić następujące problemy:</w:t>
      </w:r>
    </w:p>
    <w:p w14:paraId="2DC8CA2C" w14:textId="77777777" w:rsidR="00CC1EF4" w:rsidRPr="004853EB" w:rsidRDefault="00CC1EF4">
      <w:pPr>
        <w:numPr>
          <w:ilvl w:val="0"/>
          <w:numId w:val="45"/>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całkowity brak związania warstw, powodujący możliwość przesuwania się warstw,</w:t>
      </w:r>
    </w:p>
    <w:p w14:paraId="0B00D434" w14:textId="18C20B5C" w:rsidR="00CC1EF4" w:rsidRPr="004853EB" w:rsidRDefault="00CC1EF4">
      <w:pPr>
        <w:numPr>
          <w:ilvl w:val="0"/>
          <w:numId w:val="45"/>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 xml:space="preserve">lepiszcze w związaniu jest zbyt miękkie i warstwa górna przesuwa się po dolnej, co powoduje pękanie </w:t>
      </w:r>
      <w:r w:rsidR="00B67D8D">
        <w:rPr>
          <w:rFonts w:eastAsia="Times New Roman" w:cstheme="minorHAnsi"/>
          <w:sz w:val="20"/>
          <w:szCs w:val="20"/>
          <w:lang w:eastAsia="pl-PL"/>
        </w:rPr>
        <w:br/>
      </w:r>
      <w:r w:rsidRPr="004853EB">
        <w:rPr>
          <w:rFonts w:eastAsia="Times New Roman" w:cstheme="minorHAnsi"/>
          <w:sz w:val="20"/>
          <w:szCs w:val="20"/>
          <w:lang w:eastAsia="pl-PL"/>
        </w:rPr>
        <w:t>i odkształcanie się górnej warstwy,</w:t>
      </w:r>
    </w:p>
    <w:p w14:paraId="39D976AE" w14:textId="77777777" w:rsidR="00CC1EF4" w:rsidRPr="004853EB" w:rsidRDefault="00CC1EF4">
      <w:pPr>
        <w:numPr>
          <w:ilvl w:val="0"/>
          <w:numId w:val="45"/>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zbyt dużo jest lepiszcza w związaniu i oprócz poślizgu górnej warstwy, lepiszcze „wypacane” jest na wierzch górnej warstwy,</w:t>
      </w:r>
    </w:p>
    <w:p w14:paraId="66AAB5FE" w14:textId="77777777" w:rsidR="00CC1EF4" w:rsidRPr="004853EB" w:rsidRDefault="00CC1EF4">
      <w:pPr>
        <w:numPr>
          <w:ilvl w:val="0"/>
          <w:numId w:val="45"/>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 mieszankach o grubym uziarnieniu (głównie w podbudowach), jest zbyt mało zaprawy w mieszance, co skutkuje powstaniem powierzchni kontaktowych tylko między grysami dolnej i górnej warstwy – sklejenie występuje na mniejszej powierzchni; przypadek ten może wystąpić także, jeśli mieszanka jest rozsegregowana (najczęściej w mieszankach o uziarnieniu powyżej 20 mm).</w:t>
      </w:r>
    </w:p>
    <w:p w14:paraId="3E14C7BC"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Na skutek niewłaściwego związania zwiększają się naprężenia w dolnej strefie warstw asfaltowych.</w:t>
      </w:r>
    </w:p>
    <w:p w14:paraId="3E3F57CE"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 punktu widzenia żywotności zmęczeniowej całej konstrukcji nawierzchni, większe znaczenie ma dobre związanie między dolnymi warstwami (podbudowa i warstwa wiążąca), niż między wyżej leżącymi warstwami (wiążącą i ścieralną), których związanie ma znaczenie raczej dla zapobieżenia odkształceniom powierzchniowym (sfalowaniom i koleinom).</w:t>
      </w:r>
    </w:p>
    <w:p w14:paraId="1F1851E1" w14:textId="77777777" w:rsidR="00CC1EF4" w:rsidRPr="004853EB" w:rsidRDefault="00CC1EF4" w:rsidP="00CC1EF4">
      <w:pPr>
        <w:keepNext/>
        <w:overflowPunct w:val="0"/>
        <w:autoSpaceDE w:val="0"/>
        <w:autoSpaceDN w:val="0"/>
        <w:adjustRightInd w:val="0"/>
        <w:spacing w:before="120" w:after="120" w:line="240" w:lineRule="auto"/>
        <w:jc w:val="both"/>
        <w:textAlignment w:val="baseline"/>
        <w:rPr>
          <w:rFonts w:eastAsia="Times New Roman" w:cstheme="minorHAnsi"/>
          <w:sz w:val="20"/>
          <w:szCs w:val="20"/>
          <w:u w:val="single"/>
          <w:lang w:eastAsia="pl-PL"/>
        </w:rPr>
      </w:pPr>
      <w:r w:rsidRPr="004853EB">
        <w:rPr>
          <w:rFonts w:eastAsia="Times New Roman" w:cstheme="minorHAnsi"/>
          <w:sz w:val="20"/>
          <w:szCs w:val="20"/>
          <w:u w:val="single"/>
          <w:lang w:eastAsia="pl-PL"/>
        </w:rPr>
        <w:t>Zalecenia wykonawcze</w:t>
      </w:r>
    </w:p>
    <w:p w14:paraId="0309E8A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Związanie warstw asfaltowych wykonywane w miesiącach o niskiej temperaturze powietrza jest zwykle mniej skuteczne niż wykonywane podczas dobrej pogody. Znaczenie ma niska temperatura warstwy dolnej i szybkie wychładzanie układanej gorącej warstwy, co zmniejsza szanse na dobre zazębienie warstw. Niekorzystnym czynnikiem atmosferycznym może być duża wilgotność powietrza (np. jesienią), co wpływa na wilgotność powierzchni dolnej warstwy i utrudnione odparowanie wody z emulsji asfaltowej.</w:t>
      </w:r>
    </w:p>
    <w:p w14:paraId="2E2E0B5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Przy skrapianiu należy przyjmować właściwy rodzaj emulsji, odpowiednią ilość lepiszcza i zastosować równomierność skropienia.</w:t>
      </w:r>
    </w:p>
    <w:p w14:paraId="3775811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Przy używaniu do skropienia emulsji modyfikowanej zaleca się po rozpadzie emulsji zastosować posypkę z grysu 2/5 mm dla ochrony warstwy lepiszcza przed ruchem technologicznym, gdyż po rozpadzie emulsji warstwa asfaltu modyfikowanego przykleja się do opon pojazdów, co niszczy skropienie i zanieczyszcza pojazdy.</w:t>
      </w:r>
    </w:p>
    <w:p w14:paraId="31E72016" w14:textId="673A9A2B"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Przed skropieniem betonu cementowego emulsją asfaltową warto „zrosić” jego powierzchnię wodą, gdyż zawsze wchłania on trochę wody i prewencyjne zroszenie zapobiegnie sztucznemu odciągnięciu wody </w:t>
      </w:r>
      <w:r w:rsidR="00B67D8D">
        <w:rPr>
          <w:rFonts w:eastAsia="Times New Roman" w:cstheme="minorHAnsi"/>
          <w:sz w:val="20"/>
          <w:szCs w:val="20"/>
          <w:lang w:eastAsia="pl-PL"/>
        </w:rPr>
        <w:br/>
      </w:r>
      <w:r w:rsidRPr="004853EB">
        <w:rPr>
          <w:rFonts w:eastAsia="Times New Roman" w:cstheme="minorHAnsi"/>
          <w:sz w:val="20"/>
          <w:szCs w:val="20"/>
          <w:lang w:eastAsia="pl-PL"/>
        </w:rPr>
        <w:t>z emulsji. Takie zroszenie wodą powinno odbyć się co najmniej kilka godzin przed skropieniem emulsją.</w:t>
      </w:r>
    </w:p>
    <w:p w14:paraId="0AC6AAB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Najlepsze efekty pod względem jednorodności skrapiania i dokładności dozowania dają typowe skrapiarki do emulsji stosowane zwykle do powierzchniowych utrwaleń.</w:t>
      </w:r>
    </w:p>
    <w:p w14:paraId="028FBCD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Jeśli w ciągu 24 godzin od skropienia podbudowy nieasfaltowej lub podłoża na powierzchni znajduje się jeszcze nadmiar lepiszcza, to należy je „zneutralizować” przez rozsypanie piasku, który je wchłonie.</w:t>
      </w:r>
    </w:p>
    <w:p w14:paraId="5F4D65B1" w14:textId="77777777" w:rsidR="00CC1EF4" w:rsidRPr="004853EB" w:rsidRDefault="00CC1EF4">
      <w:pPr>
        <w:rPr>
          <w:rFonts w:cstheme="minorHAnsi"/>
        </w:rPr>
      </w:pPr>
    </w:p>
    <w:p w14:paraId="3743175D" w14:textId="77777777" w:rsidR="00CC1EF4" w:rsidRPr="004853EB" w:rsidRDefault="00CC1EF4">
      <w:pPr>
        <w:rPr>
          <w:rFonts w:cstheme="minorHAnsi"/>
        </w:rPr>
      </w:pPr>
    </w:p>
    <w:p w14:paraId="23E41005" w14:textId="77777777" w:rsidR="00CC1EF4" w:rsidRPr="004853EB" w:rsidRDefault="00CC1EF4">
      <w:pPr>
        <w:rPr>
          <w:rFonts w:cstheme="minorHAnsi"/>
        </w:rPr>
      </w:pPr>
    </w:p>
    <w:p w14:paraId="7F47635C"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70BBAE90"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6B24CB1D"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7D90FAA9"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3DED3196"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4F941BA3"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7FF51560"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784209EB"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18837AED"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070FA800"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7EACA990"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40F207E7"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2025F5DF"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6B563464"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6524CC00"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4FB2F696"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1FAAC97D"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76007096"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141B0F92" w14:textId="061FC9BE" w:rsidR="00CC1EF4" w:rsidRPr="004853EB" w:rsidRDefault="00CC1EF4" w:rsidP="003A11E0">
      <w:pPr>
        <w:pStyle w:val="Nagwek1"/>
        <w:rPr>
          <w:rFonts w:asciiTheme="minorHAnsi" w:hAnsiTheme="minorHAnsi" w:cstheme="minorHAnsi"/>
          <w:sz w:val="22"/>
          <w:szCs w:val="22"/>
        </w:rPr>
      </w:pPr>
      <w:bookmarkStart w:id="2907" w:name="_Toc227825336"/>
      <w:r w:rsidRPr="004853EB">
        <w:rPr>
          <w:rFonts w:asciiTheme="minorHAnsi" w:hAnsiTheme="minorHAnsi" w:cstheme="minorHAnsi"/>
          <w:sz w:val="22"/>
          <w:szCs w:val="22"/>
        </w:rPr>
        <w:lastRenderedPageBreak/>
        <w:t xml:space="preserve">D </w:t>
      </w:r>
      <w:r w:rsidR="003A11E0" w:rsidRPr="004853EB">
        <w:rPr>
          <w:rFonts w:asciiTheme="minorHAnsi" w:hAnsiTheme="minorHAnsi" w:cstheme="minorHAnsi"/>
          <w:sz w:val="22"/>
          <w:szCs w:val="22"/>
        </w:rPr>
        <w:t>-</w:t>
      </w:r>
      <w:r w:rsidRPr="004853EB">
        <w:rPr>
          <w:rFonts w:asciiTheme="minorHAnsi" w:hAnsiTheme="minorHAnsi" w:cstheme="minorHAnsi"/>
          <w:sz w:val="22"/>
          <w:szCs w:val="22"/>
        </w:rPr>
        <w:t xml:space="preserve"> </w:t>
      </w:r>
      <w:r w:rsidR="00386337" w:rsidRPr="004853EB">
        <w:rPr>
          <w:rFonts w:asciiTheme="minorHAnsi" w:hAnsiTheme="minorHAnsi" w:cstheme="minorHAnsi"/>
          <w:sz w:val="22"/>
          <w:szCs w:val="22"/>
        </w:rPr>
        <w:t>04.04.02 PODBUDOWA</w:t>
      </w:r>
      <w:r w:rsidRPr="004853EB">
        <w:rPr>
          <w:rFonts w:asciiTheme="minorHAnsi" w:hAnsiTheme="minorHAnsi" w:cstheme="minorHAnsi"/>
          <w:sz w:val="22"/>
          <w:szCs w:val="22"/>
        </w:rPr>
        <w:t xml:space="preserve"> ZASADNICZA Z MIESZANKI KRUSZYWA NIEZWIĄZANEGO</w:t>
      </w:r>
      <w:bookmarkEnd w:id="2907"/>
    </w:p>
    <w:p w14:paraId="6D3112AD"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908" w:name="_Toc194476899"/>
      <w:bookmarkStart w:id="2909" w:name="_Toc227760190"/>
      <w:bookmarkStart w:id="2910" w:name="_Toc227825337"/>
      <w:r w:rsidRPr="004853EB">
        <w:rPr>
          <w:rFonts w:eastAsia="Times New Roman" w:cstheme="minorHAnsi"/>
          <w:b/>
          <w:caps/>
          <w:kern w:val="28"/>
          <w:sz w:val="20"/>
          <w:szCs w:val="20"/>
          <w:lang w:eastAsia="pl-PL"/>
        </w:rPr>
        <w:t>1. Wstęp</w:t>
      </w:r>
      <w:bookmarkEnd w:id="2908"/>
      <w:bookmarkEnd w:id="2909"/>
      <w:bookmarkEnd w:id="2910"/>
    </w:p>
    <w:p w14:paraId="0EA6715C"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11" w:name="_Toc194476900"/>
      <w:bookmarkStart w:id="2912" w:name="_Toc227760191"/>
      <w:bookmarkStart w:id="2913" w:name="_Toc227825338"/>
      <w:r w:rsidRPr="004853EB">
        <w:rPr>
          <w:rFonts w:eastAsia="Times New Roman" w:cstheme="minorHAnsi"/>
          <w:b/>
          <w:sz w:val="20"/>
          <w:szCs w:val="20"/>
          <w:lang w:eastAsia="pl-PL"/>
        </w:rPr>
        <w:t>1.1. Przedmiot SST</w:t>
      </w:r>
      <w:bookmarkEnd w:id="2911"/>
      <w:bookmarkEnd w:id="2912"/>
      <w:bookmarkEnd w:id="2913"/>
    </w:p>
    <w:p w14:paraId="2257894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Przedmiotem niniejszej szczegółowej specyfikacji technicznej (SST) są wymagania dotyczące wykonania i odbioru robót związanych z wykonaniem podbudowy zasadniczej z mieszanki kruszywa niezwiązanego.</w:t>
      </w:r>
    </w:p>
    <w:p w14:paraId="133B0F4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BC55155"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14" w:name="_Toc194476901"/>
      <w:bookmarkStart w:id="2915" w:name="_Toc227760192"/>
      <w:bookmarkStart w:id="2916" w:name="_Toc227825339"/>
      <w:r w:rsidRPr="004853EB">
        <w:rPr>
          <w:rFonts w:eastAsia="Times New Roman" w:cstheme="minorHAnsi"/>
          <w:b/>
          <w:sz w:val="20"/>
          <w:szCs w:val="20"/>
          <w:lang w:eastAsia="pl-PL"/>
        </w:rPr>
        <w:t>1.2. Zakres stosowania SST</w:t>
      </w:r>
      <w:bookmarkEnd w:id="2914"/>
      <w:bookmarkEnd w:id="2915"/>
      <w:bookmarkEnd w:id="2916"/>
    </w:p>
    <w:p w14:paraId="3BCE1B7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Specyfikacja techniczna jest stosowana jako dokument przetargowy i kontraktowy przy zlecaniu i realizacji robót wymienionych w pkt 1.1.</w:t>
      </w:r>
    </w:p>
    <w:p w14:paraId="6D00B284"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17" w:name="_Toc194476902"/>
      <w:bookmarkStart w:id="2918" w:name="_Toc227760193"/>
      <w:bookmarkStart w:id="2919" w:name="_Toc227825340"/>
      <w:r w:rsidRPr="004853EB">
        <w:rPr>
          <w:rFonts w:eastAsia="Times New Roman" w:cstheme="minorHAnsi"/>
          <w:b/>
          <w:sz w:val="20"/>
          <w:szCs w:val="20"/>
          <w:lang w:eastAsia="pl-PL"/>
        </w:rPr>
        <w:t>1.3. Zakres robót objętych SST</w:t>
      </w:r>
      <w:bookmarkEnd w:id="2917"/>
      <w:bookmarkEnd w:id="2918"/>
      <w:bookmarkEnd w:id="2919"/>
    </w:p>
    <w:p w14:paraId="4ECD6FAF" w14:textId="348DAD41"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Ustalenia zawarte w niniejszej specyfikacji związane z </w:t>
      </w:r>
      <w:r w:rsidRPr="004853EB">
        <w:rPr>
          <w:rFonts w:eastAsia="Times New Roman" w:cstheme="minorHAnsi"/>
          <w:b/>
          <w:sz w:val="20"/>
          <w:szCs w:val="20"/>
          <w:lang w:eastAsia="pl-PL"/>
        </w:rPr>
        <w:t xml:space="preserve">Przebudową </w:t>
      </w:r>
      <w:r w:rsidR="004F465D" w:rsidRPr="004853EB">
        <w:rPr>
          <w:rFonts w:eastAsia="Times New Roman" w:cstheme="minorHAnsi"/>
          <w:b/>
          <w:sz w:val="20"/>
          <w:szCs w:val="20"/>
          <w:lang w:eastAsia="pl-PL"/>
        </w:rPr>
        <w:t>drogi powiatowej</w:t>
      </w:r>
      <w:r w:rsidRPr="004853EB">
        <w:rPr>
          <w:rFonts w:eastAsia="Times New Roman" w:cstheme="minorHAnsi"/>
          <w:b/>
          <w:sz w:val="20"/>
          <w:szCs w:val="20"/>
          <w:lang w:eastAsia="pl-PL"/>
        </w:rPr>
        <w:t xml:space="preserve"> nr </w:t>
      </w:r>
      <w:r w:rsidR="00386337" w:rsidRPr="00386337">
        <w:rPr>
          <w:rFonts w:eastAsia="Times New Roman" w:cstheme="minorHAnsi"/>
          <w:b/>
          <w:bCs/>
          <w:sz w:val="20"/>
          <w:szCs w:val="20"/>
          <w:lang w:eastAsia="pl-PL"/>
        </w:rPr>
        <w:t>4506W Zwoleń – Sarnów w miejscowości Łuczynów</w:t>
      </w:r>
      <w:r w:rsidRPr="004853EB">
        <w:rPr>
          <w:rFonts w:eastAsia="Times New Roman" w:cstheme="minorHAnsi"/>
          <w:b/>
          <w:sz w:val="24"/>
          <w:szCs w:val="20"/>
          <w:lang w:eastAsia="pl-PL"/>
        </w:rPr>
        <w:t xml:space="preserve"> </w:t>
      </w:r>
      <w:r w:rsidRPr="004853EB">
        <w:rPr>
          <w:rFonts w:eastAsia="Times New Roman" w:cstheme="minorHAnsi"/>
          <w:sz w:val="20"/>
          <w:szCs w:val="20"/>
          <w:lang w:eastAsia="pl-PL"/>
        </w:rPr>
        <w:t>i obejmują roboty związane z wykonaniem i odbiorem podbudowy zasadniczej z mieszanki kruszywa niezwiązanego dla górnych warstw konstrukcji nawierzchni podatnych, zjazdów, tj. ziarnistego materiału o określonym składzie, w procesie technologicznym, polegającym na odpowiednim zagęszczeniu przy optymalnej wilgotności mieszanki.</w:t>
      </w:r>
    </w:p>
    <w:p w14:paraId="3A425E9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Mieszanka niezwiązana może być wytworzona z kruszyw naturalnych.</w:t>
      </w:r>
    </w:p>
    <w:p w14:paraId="1F34CFA2"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Podbudowa zasadnicza, stanowiąca górną część podbudowy w nawierzchni drogowej, zapewnia przenoszenie obciążeń z warstw wyżej leżących na warstwę podbudowy pomocniczej i podłoże.</w:t>
      </w:r>
    </w:p>
    <w:p w14:paraId="480E3379"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20" w:name="_Toc194476903"/>
      <w:bookmarkStart w:id="2921" w:name="_Toc227760194"/>
      <w:bookmarkStart w:id="2922" w:name="_Toc227825341"/>
      <w:r w:rsidRPr="004853EB">
        <w:rPr>
          <w:rFonts w:eastAsia="Times New Roman" w:cstheme="minorHAnsi"/>
          <w:b/>
          <w:sz w:val="20"/>
          <w:szCs w:val="20"/>
          <w:lang w:eastAsia="pl-PL"/>
        </w:rPr>
        <w:t>1.4. Określenia podstawowe</w:t>
      </w:r>
      <w:bookmarkEnd w:id="2920"/>
      <w:bookmarkEnd w:id="2921"/>
      <w:bookmarkEnd w:id="2922"/>
    </w:p>
    <w:p w14:paraId="63D97695"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b/>
          <w:sz w:val="20"/>
          <w:szCs w:val="20"/>
        </w:rPr>
        <w:t>1.4.1.</w:t>
      </w:r>
      <w:r w:rsidRPr="004853EB">
        <w:rPr>
          <w:rFonts w:eastAsia="Calibri" w:cstheme="minorHAnsi"/>
          <w:sz w:val="20"/>
          <w:szCs w:val="20"/>
        </w:rPr>
        <w:t xml:space="preserve"> Mieszanka niezwiązana – ziarnisty materiał, zazwyczaj o określonym składzie ziarnowym (od d=0 do D), który jest stosowany do wykonania ulepszonego podłoża gruntowego oraz warstw konstrukcji nawierzchni dróg. Mieszanka niezwiązana może być wytworzona z kruszyw naturalnych, sztucznych, z recyklingu lub mieszaniny tych kruszyw w określonych proporcjach.</w:t>
      </w:r>
    </w:p>
    <w:p w14:paraId="28A712DD" w14:textId="77777777" w:rsidR="00CC1EF4" w:rsidRPr="004853EB" w:rsidRDefault="00CC1EF4" w:rsidP="00CC1EF4">
      <w:pPr>
        <w:spacing w:before="120" w:after="0" w:line="240" w:lineRule="auto"/>
        <w:jc w:val="both"/>
        <w:rPr>
          <w:rFonts w:eastAsia="Calibri" w:cstheme="minorHAnsi"/>
          <w:sz w:val="20"/>
          <w:szCs w:val="20"/>
        </w:rPr>
      </w:pPr>
      <w:r w:rsidRPr="004853EB">
        <w:rPr>
          <w:rFonts w:eastAsia="Calibri" w:cstheme="minorHAnsi"/>
          <w:b/>
          <w:sz w:val="20"/>
          <w:szCs w:val="20"/>
        </w:rPr>
        <w:t>1.4.2.</w:t>
      </w:r>
      <w:r w:rsidRPr="004853EB">
        <w:rPr>
          <w:rFonts w:eastAsia="Calibri" w:cstheme="minorHAnsi"/>
          <w:sz w:val="20"/>
          <w:szCs w:val="20"/>
        </w:rPr>
        <w:t xml:space="preserve"> Kategoria – charakterystyczny poziom właściwości kruszywa lub mieszanki niezwiązanej, wyrażony, jako przedział wartości lub wartość graniczna. Nie ma zależności pomiędzy kategoriami różnych właściwości.</w:t>
      </w:r>
    </w:p>
    <w:p w14:paraId="2C8B6EDE" w14:textId="3A3C73E6" w:rsidR="00CC1EF4" w:rsidRPr="004853EB" w:rsidRDefault="00CC1EF4" w:rsidP="00CC1EF4">
      <w:pPr>
        <w:spacing w:before="120" w:after="0" w:line="240" w:lineRule="auto"/>
        <w:jc w:val="both"/>
        <w:rPr>
          <w:rFonts w:eastAsia="Calibri" w:cstheme="minorHAnsi"/>
          <w:sz w:val="20"/>
          <w:szCs w:val="20"/>
        </w:rPr>
      </w:pPr>
      <w:r w:rsidRPr="004853EB">
        <w:rPr>
          <w:rFonts w:eastAsia="Calibri" w:cstheme="minorHAnsi"/>
          <w:b/>
          <w:sz w:val="20"/>
          <w:szCs w:val="20"/>
        </w:rPr>
        <w:t>1.4.3.</w:t>
      </w:r>
      <w:r w:rsidRPr="004853EB">
        <w:rPr>
          <w:rFonts w:eastAsia="Calibri" w:cstheme="minorHAnsi"/>
          <w:sz w:val="20"/>
          <w:szCs w:val="20"/>
        </w:rPr>
        <w:t xml:space="preserve"> Kruszywo – materiał ziarnisty stosowany w budownictwie, który może być naturalny, sztuczny lub </w:t>
      </w:r>
      <w:r w:rsidR="004F465D">
        <w:rPr>
          <w:rFonts w:eastAsia="Calibri" w:cstheme="minorHAnsi"/>
          <w:sz w:val="20"/>
          <w:szCs w:val="20"/>
        </w:rPr>
        <w:br/>
      </w:r>
      <w:r w:rsidRPr="004853EB">
        <w:rPr>
          <w:rFonts w:eastAsia="Calibri" w:cstheme="minorHAnsi"/>
          <w:sz w:val="20"/>
          <w:szCs w:val="20"/>
        </w:rPr>
        <w:t>z recyklingu.</w:t>
      </w:r>
    </w:p>
    <w:p w14:paraId="7C291888" w14:textId="77777777" w:rsidR="00CC1EF4" w:rsidRPr="004853EB" w:rsidRDefault="00CC1EF4" w:rsidP="00CC1EF4">
      <w:pPr>
        <w:spacing w:before="120" w:after="0" w:line="240" w:lineRule="auto"/>
        <w:jc w:val="both"/>
        <w:rPr>
          <w:rFonts w:eastAsia="Calibri" w:cstheme="minorHAnsi"/>
          <w:sz w:val="20"/>
          <w:szCs w:val="20"/>
        </w:rPr>
      </w:pPr>
      <w:r w:rsidRPr="004853EB">
        <w:rPr>
          <w:rFonts w:eastAsia="Calibri" w:cstheme="minorHAnsi"/>
          <w:b/>
          <w:sz w:val="20"/>
          <w:szCs w:val="20"/>
        </w:rPr>
        <w:t>1.4.4.</w:t>
      </w:r>
      <w:r w:rsidRPr="004853EB">
        <w:rPr>
          <w:rFonts w:eastAsia="Calibri" w:cstheme="minorHAnsi"/>
          <w:sz w:val="20"/>
          <w:szCs w:val="20"/>
        </w:rPr>
        <w:t xml:space="preserve"> 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14:paraId="4F9F0A19" w14:textId="77777777" w:rsidR="00CC1EF4" w:rsidRPr="004853EB" w:rsidRDefault="00CC1EF4" w:rsidP="00CC1EF4">
      <w:pPr>
        <w:spacing w:before="120" w:after="0" w:line="240" w:lineRule="auto"/>
        <w:jc w:val="both"/>
        <w:rPr>
          <w:rFonts w:eastAsia="Calibri" w:cstheme="minorHAnsi"/>
          <w:sz w:val="20"/>
          <w:szCs w:val="20"/>
        </w:rPr>
      </w:pPr>
      <w:r w:rsidRPr="004853EB">
        <w:rPr>
          <w:rFonts w:eastAsia="Calibri" w:cstheme="minorHAnsi"/>
          <w:b/>
          <w:sz w:val="20"/>
          <w:szCs w:val="20"/>
        </w:rPr>
        <w:t>1.4.5.</w:t>
      </w:r>
      <w:r w:rsidRPr="004853EB">
        <w:rPr>
          <w:rFonts w:eastAsia="Calibri" w:cstheme="minorHAnsi"/>
          <w:sz w:val="20"/>
          <w:szCs w:val="20"/>
        </w:rPr>
        <w:t xml:space="preserve"> Kruszywo kamienne – kruszywo z mineralnych surowców jak żwir kruszony, mechanicznie rozdrobnione skały, nadziarno żwirowe.</w:t>
      </w:r>
    </w:p>
    <w:p w14:paraId="2353421E" w14:textId="77777777" w:rsidR="00CC1EF4" w:rsidRPr="004853EB" w:rsidRDefault="00CC1EF4" w:rsidP="00CC1EF4">
      <w:pPr>
        <w:spacing w:before="120" w:after="0" w:line="240" w:lineRule="auto"/>
        <w:jc w:val="both"/>
        <w:rPr>
          <w:rFonts w:eastAsia="Calibri" w:cstheme="minorHAnsi"/>
          <w:sz w:val="20"/>
          <w:szCs w:val="20"/>
        </w:rPr>
      </w:pPr>
      <w:r w:rsidRPr="004853EB">
        <w:rPr>
          <w:rFonts w:eastAsia="Calibri" w:cstheme="minorHAnsi"/>
          <w:b/>
          <w:sz w:val="20"/>
          <w:szCs w:val="20"/>
        </w:rPr>
        <w:t>1.4.6.</w:t>
      </w:r>
      <w:r w:rsidRPr="004853EB">
        <w:rPr>
          <w:rFonts w:eastAsia="Calibri" w:cstheme="minorHAnsi"/>
          <w:sz w:val="20"/>
          <w:szCs w:val="20"/>
        </w:rPr>
        <w:t xml:space="preserve"> Kategoria ruchu (KR1÷KR6) – obciążenie drogi ruchem samochodowym, wyrażone w osiach obliczeniowych (100 </w:t>
      </w:r>
      <w:proofErr w:type="spellStart"/>
      <w:r w:rsidRPr="004853EB">
        <w:rPr>
          <w:rFonts w:eastAsia="Calibri" w:cstheme="minorHAnsi"/>
          <w:sz w:val="20"/>
          <w:szCs w:val="20"/>
        </w:rPr>
        <w:t>kN</w:t>
      </w:r>
      <w:proofErr w:type="spellEnd"/>
      <w:r w:rsidRPr="004853EB">
        <w:rPr>
          <w:rFonts w:eastAsia="Calibri" w:cstheme="minorHAnsi"/>
          <w:sz w:val="20"/>
          <w:szCs w:val="20"/>
        </w:rPr>
        <w:t>) według „Katalogu typowych konstrukcji nawierzchni podatnych i półsztywnych”. Generalna Dyrekcja Dróg Publicznych – Instytut Badawczy Dróg i Mostów, Warszawa 1997 [22].</w:t>
      </w:r>
    </w:p>
    <w:p w14:paraId="4C1C34FE" w14:textId="77777777" w:rsidR="00CC1EF4" w:rsidRPr="004853EB" w:rsidRDefault="00CC1EF4" w:rsidP="00CC1EF4">
      <w:pPr>
        <w:spacing w:before="120" w:after="0" w:line="240" w:lineRule="auto"/>
        <w:jc w:val="both"/>
        <w:rPr>
          <w:rFonts w:eastAsia="Calibri" w:cstheme="minorHAnsi"/>
          <w:sz w:val="20"/>
          <w:szCs w:val="20"/>
        </w:rPr>
      </w:pPr>
      <w:r w:rsidRPr="004853EB">
        <w:rPr>
          <w:rFonts w:eastAsia="Calibri" w:cstheme="minorHAnsi"/>
          <w:b/>
          <w:sz w:val="20"/>
          <w:szCs w:val="20"/>
        </w:rPr>
        <w:t>1.4.7</w:t>
      </w:r>
      <w:r w:rsidRPr="004853EB">
        <w:rPr>
          <w:rFonts w:eastAsia="Calibri" w:cstheme="minorHAnsi"/>
          <w:sz w:val="20"/>
          <w:szCs w:val="20"/>
        </w:rPr>
        <w:t xml:space="preserve">. Kruszywo grube (wg PN-EN 13242) – oznaczenie kruszywa o wymiarach ziaren </w:t>
      </w:r>
      <w:r w:rsidRPr="004853EB">
        <w:rPr>
          <w:rFonts w:eastAsia="Calibri" w:cstheme="minorHAnsi"/>
          <w:i/>
          <w:sz w:val="20"/>
          <w:szCs w:val="20"/>
        </w:rPr>
        <w:t xml:space="preserve">d </w:t>
      </w:r>
      <w:r w:rsidRPr="004853EB">
        <w:rPr>
          <w:rFonts w:eastAsia="Calibri" w:cstheme="minorHAnsi"/>
          <w:sz w:val="20"/>
          <w:szCs w:val="20"/>
        </w:rPr>
        <w:t xml:space="preserve">(dolnego) równym lub większym niż 1 mm oraz </w:t>
      </w:r>
      <w:r w:rsidRPr="004853EB">
        <w:rPr>
          <w:rFonts w:eastAsia="Calibri" w:cstheme="minorHAnsi"/>
          <w:i/>
          <w:sz w:val="20"/>
          <w:szCs w:val="20"/>
        </w:rPr>
        <w:t xml:space="preserve">D </w:t>
      </w:r>
      <w:r w:rsidRPr="004853EB">
        <w:rPr>
          <w:rFonts w:eastAsia="Calibri" w:cstheme="minorHAnsi"/>
          <w:sz w:val="20"/>
          <w:szCs w:val="20"/>
        </w:rPr>
        <w:t>(górnego) większym niż 2 mm.</w:t>
      </w:r>
    </w:p>
    <w:p w14:paraId="7129C1AC" w14:textId="77777777" w:rsidR="00CC1EF4" w:rsidRPr="004853EB" w:rsidRDefault="00CC1EF4" w:rsidP="00CC1EF4">
      <w:pPr>
        <w:spacing w:before="120" w:after="0" w:line="240" w:lineRule="auto"/>
        <w:jc w:val="both"/>
        <w:rPr>
          <w:rFonts w:eastAsia="Calibri" w:cstheme="minorHAnsi"/>
          <w:sz w:val="20"/>
          <w:szCs w:val="20"/>
        </w:rPr>
      </w:pPr>
      <w:r w:rsidRPr="004853EB">
        <w:rPr>
          <w:rFonts w:eastAsia="Calibri" w:cstheme="minorHAnsi"/>
          <w:b/>
          <w:sz w:val="20"/>
          <w:szCs w:val="20"/>
        </w:rPr>
        <w:t>1.4.8.</w:t>
      </w:r>
      <w:r w:rsidRPr="004853EB">
        <w:rPr>
          <w:rFonts w:eastAsia="Calibri" w:cstheme="minorHAnsi"/>
          <w:sz w:val="20"/>
          <w:szCs w:val="20"/>
        </w:rPr>
        <w:t xml:space="preserve"> Kruszywo drobne (wg PN-EN 13242) – oznaczenie kruszywa o wymiarach ziaren </w:t>
      </w:r>
      <w:r w:rsidRPr="004853EB">
        <w:rPr>
          <w:rFonts w:eastAsia="Calibri" w:cstheme="minorHAnsi"/>
          <w:i/>
          <w:sz w:val="20"/>
          <w:szCs w:val="20"/>
        </w:rPr>
        <w:t>d</w:t>
      </w:r>
      <w:r w:rsidRPr="004853EB">
        <w:rPr>
          <w:rFonts w:eastAsia="Calibri" w:cstheme="minorHAnsi"/>
          <w:sz w:val="20"/>
          <w:szCs w:val="20"/>
        </w:rPr>
        <w:t xml:space="preserve"> równym 0 oraz </w:t>
      </w:r>
      <w:r w:rsidRPr="004853EB">
        <w:rPr>
          <w:rFonts w:eastAsia="Calibri" w:cstheme="minorHAnsi"/>
          <w:i/>
          <w:sz w:val="20"/>
          <w:szCs w:val="20"/>
        </w:rPr>
        <w:t>D</w:t>
      </w:r>
      <w:r w:rsidRPr="004853EB">
        <w:rPr>
          <w:rFonts w:eastAsia="Calibri" w:cstheme="minorHAnsi"/>
          <w:sz w:val="20"/>
          <w:szCs w:val="20"/>
        </w:rPr>
        <w:t xml:space="preserve"> równym 6,3 mm lub mniejszym. </w:t>
      </w:r>
    </w:p>
    <w:p w14:paraId="69F7D5AC" w14:textId="3C371DDD" w:rsidR="00CC1EF4" w:rsidRPr="004853EB" w:rsidRDefault="00CC1EF4" w:rsidP="00CC1EF4">
      <w:pPr>
        <w:spacing w:before="120" w:after="0" w:line="240" w:lineRule="auto"/>
        <w:jc w:val="both"/>
        <w:rPr>
          <w:rFonts w:eastAsia="Calibri" w:cstheme="minorHAnsi"/>
          <w:sz w:val="20"/>
          <w:szCs w:val="20"/>
        </w:rPr>
      </w:pPr>
      <w:r w:rsidRPr="004853EB">
        <w:rPr>
          <w:rFonts w:eastAsia="Calibri" w:cstheme="minorHAnsi"/>
          <w:b/>
          <w:sz w:val="20"/>
          <w:szCs w:val="20"/>
        </w:rPr>
        <w:t>1.4.9.</w:t>
      </w:r>
      <w:r w:rsidRPr="004853EB">
        <w:rPr>
          <w:rFonts w:eastAsia="Calibri" w:cstheme="minorHAnsi"/>
          <w:sz w:val="20"/>
          <w:szCs w:val="20"/>
        </w:rPr>
        <w:t xml:space="preserve"> Kruszywo o ciągłym uziarnieniu (wg PN-EN 13242) – kruszywo stanowiące mieszankę kruszyw grubych </w:t>
      </w:r>
      <w:r w:rsidR="004F465D">
        <w:rPr>
          <w:rFonts w:eastAsia="Calibri" w:cstheme="minorHAnsi"/>
          <w:sz w:val="20"/>
          <w:szCs w:val="20"/>
        </w:rPr>
        <w:br/>
      </w:r>
      <w:r w:rsidRPr="004853EB">
        <w:rPr>
          <w:rFonts w:eastAsia="Calibri" w:cstheme="minorHAnsi"/>
          <w:sz w:val="20"/>
          <w:szCs w:val="20"/>
        </w:rPr>
        <w:t xml:space="preserve">i drobnych, w której </w:t>
      </w:r>
      <w:r w:rsidRPr="004853EB">
        <w:rPr>
          <w:rFonts w:eastAsia="Calibri" w:cstheme="minorHAnsi"/>
          <w:i/>
          <w:sz w:val="20"/>
          <w:szCs w:val="20"/>
        </w:rPr>
        <w:t>D</w:t>
      </w:r>
      <w:r w:rsidRPr="004853EB">
        <w:rPr>
          <w:rFonts w:eastAsia="Calibri" w:cstheme="minorHAnsi"/>
          <w:sz w:val="20"/>
          <w:szCs w:val="20"/>
        </w:rPr>
        <w:t xml:space="preserve"> jest większe niż 6,3 mm.</w:t>
      </w:r>
    </w:p>
    <w:p w14:paraId="63CD20CB" w14:textId="298182ED" w:rsidR="00CC1EF4" w:rsidRPr="004853EB" w:rsidRDefault="00CC1EF4" w:rsidP="00CC1EF4">
      <w:pPr>
        <w:spacing w:before="120" w:after="0" w:line="240" w:lineRule="auto"/>
        <w:jc w:val="both"/>
        <w:rPr>
          <w:rFonts w:eastAsia="Calibri" w:cstheme="minorHAnsi"/>
          <w:sz w:val="20"/>
          <w:szCs w:val="20"/>
        </w:rPr>
      </w:pPr>
      <w:r w:rsidRPr="004853EB">
        <w:rPr>
          <w:rFonts w:eastAsia="Calibri" w:cstheme="minorHAnsi"/>
          <w:b/>
          <w:sz w:val="20"/>
          <w:szCs w:val="20"/>
        </w:rPr>
        <w:t>1.4.10.</w:t>
      </w:r>
      <w:r w:rsidRPr="004853EB">
        <w:rPr>
          <w:rFonts w:eastAsia="Calibri" w:cstheme="minorHAnsi"/>
          <w:sz w:val="20"/>
          <w:szCs w:val="20"/>
        </w:rPr>
        <w:t xml:space="preserve"> Kruszywo słabe – kruszywo przewidziane do zastosowania w mieszance przeznaczonej do wykonywania warstw nawierzchni drogowej lub podłoża ulepszonego, które charakteryzuje się różnicami w uziarnieniu przed </w:t>
      </w:r>
      <w:r w:rsidR="004F465D">
        <w:rPr>
          <w:rFonts w:eastAsia="Calibri" w:cstheme="minorHAnsi"/>
          <w:sz w:val="20"/>
          <w:szCs w:val="20"/>
        </w:rPr>
        <w:br/>
      </w:r>
      <w:r w:rsidRPr="004853EB">
        <w:rPr>
          <w:rFonts w:eastAsia="Calibri" w:cstheme="minorHAnsi"/>
          <w:sz w:val="20"/>
          <w:szCs w:val="20"/>
        </w:rPr>
        <w:t xml:space="preserve">i po 5-krotnym zagęszczeniu metodą Proctora, przekraczającymi ± 8%. Uziarnienie kruszywa należy sprawdzać na sitach przewidzianych do kontroli uziarnienia wg PN-EN 13285 i niniejszej SST. O zakwalifikowaniu kruszywa do kruszyw słabych decyduje największa różnica wartości przesiewów na jednym z sit kontrolnych. </w:t>
      </w:r>
    </w:p>
    <w:p w14:paraId="4F6FE882" w14:textId="4CA14B9E" w:rsidR="00CC1EF4" w:rsidRPr="004853EB" w:rsidRDefault="00CC1EF4" w:rsidP="00CC1EF4">
      <w:pPr>
        <w:spacing w:before="120" w:after="0" w:line="240" w:lineRule="auto"/>
        <w:jc w:val="both"/>
        <w:rPr>
          <w:rFonts w:eastAsia="Calibri" w:cstheme="minorHAnsi"/>
          <w:sz w:val="20"/>
          <w:szCs w:val="20"/>
        </w:rPr>
      </w:pPr>
      <w:r w:rsidRPr="004853EB">
        <w:rPr>
          <w:rFonts w:eastAsia="Calibri" w:cstheme="minorHAnsi"/>
          <w:b/>
          <w:sz w:val="20"/>
          <w:szCs w:val="20"/>
        </w:rPr>
        <w:lastRenderedPageBreak/>
        <w:t>1.4.11.</w:t>
      </w:r>
      <w:r w:rsidRPr="004853EB">
        <w:rPr>
          <w:rFonts w:eastAsia="Calibri" w:cstheme="minorHAnsi"/>
          <w:sz w:val="20"/>
          <w:szCs w:val="20"/>
        </w:rPr>
        <w:t xml:space="preserve"> Podbudowa – dolna część konstrukcji nawierzchni drogi, służąca do przenoszenia obciążeń z ruchu na podłoże. Podbudowa może składać się z podbudowy zasadniczej i pomocniczej, które mogą być wykonywane </w:t>
      </w:r>
      <w:r w:rsidR="004F465D">
        <w:rPr>
          <w:rFonts w:eastAsia="Calibri" w:cstheme="minorHAnsi"/>
          <w:sz w:val="20"/>
          <w:szCs w:val="20"/>
        </w:rPr>
        <w:br/>
      </w:r>
      <w:r w:rsidRPr="004853EB">
        <w:rPr>
          <w:rFonts w:eastAsia="Calibri" w:cstheme="minorHAnsi"/>
          <w:sz w:val="20"/>
          <w:szCs w:val="20"/>
        </w:rPr>
        <w:t>w kilku warstwach technologicznych.</w:t>
      </w:r>
    </w:p>
    <w:p w14:paraId="13379820" w14:textId="77777777" w:rsidR="00CC1EF4" w:rsidRPr="004853EB" w:rsidRDefault="00CC1EF4" w:rsidP="00CC1EF4">
      <w:pPr>
        <w:spacing w:before="120" w:after="0" w:line="240" w:lineRule="auto"/>
        <w:jc w:val="both"/>
        <w:rPr>
          <w:rFonts w:eastAsia="Calibri" w:cstheme="minorHAnsi"/>
          <w:sz w:val="20"/>
          <w:szCs w:val="20"/>
        </w:rPr>
      </w:pPr>
      <w:r w:rsidRPr="004853EB">
        <w:rPr>
          <w:rFonts w:eastAsia="Calibri" w:cstheme="minorHAnsi"/>
          <w:b/>
          <w:sz w:val="20"/>
          <w:szCs w:val="20"/>
        </w:rPr>
        <w:t>1.4.12.</w:t>
      </w:r>
      <w:r w:rsidRPr="004853EB">
        <w:rPr>
          <w:rFonts w:eastAsia="Calibri" w:cstheme="minorHAnsi"/>
          <w:sz w:val="20"/>
          <w:szCs w:val="20"/>
        </w:rPr>
        <w:t xml:space="preserve"> Podbudowa zasadnicza – warstwa zapewniająca przenoszenie obciążeń z warstw wyżej leżących na warstwę podbudowy pomocniczej lub podłoże. </w:t>
      </w:r>
    </w:p>
    <w:p w14:paraId="56D3AF62" w14:textId="77777777" w:rsidR="00CC1EF4" w:rsidRPr="004853EB" w:rsidRDefault="00CC1EF4" w:rsidP="00CC1EF4">
      <w:pPr>
        <w:spacing w:before="120" w:after="120" w:line="240" w:lineRule="auto"/>
        <w:jc w:val="both"/>
        <w:rPr>
          <w:rFonts w:eastAsia="Calibri" w:cstheme="minorHAnsi"/>
          <w:sz w:val="20"/>
          <w:szCs w:val="20"/>
        </w:rPr>
      </w:pPr>
      <w:r w:rsidRPr="004853EB">
        <w:rPr>
          <w:rFonts w:eastAsia="Calibri" w:cstheme="minorHAnsi"/>
          <w:b/>
          <w:sz w:val="20"/>
          <w:szCs w:val="20"/>
        </w:rPr>
        <w:t>1.4.13.</w:t>
      </w:r>
      <w:r w:rsidRPr="004853EB">
        <w:rPr>
          <w:rFonts w:eastAsia="Calibri" w:cstheme="minorHAnsi"/>
          <w:sz w:val="20"/>
          <w:szCs w:val="20"/>
        </w:rPr>
        <w:t xml:space="preserve"> Symbole i skróty dodatkowe</w:t>
      </w:r>
    </w:p>
    <w:p w14:paraId="11FC1F71"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m/m   procent masy,</w:t>
      </w:r>
    </w:p>
    <w:p w14:paraId="104EE78E"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NR         brak konieczności badania danej cechy,</w:t>
      </w:r>
    </w:p>
    <w:p w14:paraId="3E15DA39"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CRB       kalifornijski wskaźnik nośności, %</w:t>
      </w:r>
    </w:p>
    <w:p w14:paraId="676199EA" w14:textId="3168529B" w:rsidR="00CC1EF4" w:rsidRPr="004853EB" w:rsidRDefault="00CC1EF4" w:rsidP="00CC1EF4">
      <w:pPr>
        <w:spacing w:after="0" w:line="240" w:lineRule="auto"/>
        <w:ind w:left="840" w:hanging="840"/>
        <w:jc w:val="both"/>
        <w:rPr>
          <w:rFonts w:eastAsia="Calibri" w:cstheme="minorHAnsi"/>
          <w:sz w:val="20"/>
          <w:szCs w:val="20"/>
        </w:rPr>
      </w:pPr>
      <w:r w:rsidRPr="004853EB">
        <w:rPr>
          <w:rFonts w:eastAsia="Calibri" w:cstheme="minorHAnsi"/>
          <w:sz w:val="20"/>
          <w:szCs w:val="20"/>
        </w:rPr>
        <w:t xml:space="preserve">SDV   </w:t>
      </w:r>
      <w:r w:rsidR="004F465D" w:rsidRPr="004853EB">
        <w:rPr>
          <w:rFonts w:eastAsia="Calibri" w:cstheme="minorHAnsi"/>
          <w:sz w:val="20"/>
          <w:szCs w:val="20"/>
        </w:rPr>
        <w:t>obszar uziarnienia, w którym powinna się</w:t>
      </w:r>
      <w:r w:rsidRPr="004853EB">
        <w:rPr>
          <w:rFonts w:eastAsia="Calibri" w:cstheme="minorHAnsi"/>
          <w:sz w:val="20"/>
          <w:szCs w:val="20"/>
        </w:rPr>
        <w:t xml:space="preserve"> </w:t>
      </w:r>
      <w:r w:rsidR="004F465D" w:rsidRPr="004853EB">
        <w:rPr>
          <w:rFonts w:eastAsia="Calibri" w:cstheme="minorHAnsi"/>
          <w:sz w:val="20"/>
          <w:szCs w:val="20"/>
        </w:rPr>
        <w:t>mieścić krzywa uziarnienia</w:t>
      </w:r>
      <w:r w:rsidRPr="004853EB">
        <w:rPr>
          <w:rFonts w:eastAsia="Calibri" w:cstheme="minorHAnsi"/>
          <w:sz w:val="20"/>
          <w:szCs w:val="20"/>
        </w:rPr>
        <w:t xml:space="preserve"> mieszanki (</w:t>
      </w:r>
      <w:r w:rsidR="004F465D" w:rsidRPr="004853EB">
        <w:rPr>
          <w:rFonts w:eastAsia="Calibri" w:cstheme="minorHAnsi"/>
          <w:sz w:val="20"/>
          <w:szCs w:val="20"/>
        </w:rPr>
        <w:t>S) deklarowana</w:t>
      </w:r>
      <w:r w:rsidRPr="004853EB">
        <w:rPr>
          <w:rFonts w:eastAsia="Calibri" w:cstheme="minorHAnsi"/>
          <w:sz w:val="20"/>
          <w:szCs w:val="20"/>
        </w:rPr>
        <w:t xml:space="preserve"> przez dostawcę/producenta,</w:t>
      </w:r>
    </w:p>
    <w:p w14:paraId="265AA4B7" w14:textId="77777777" w:rsidR="00CC1EF4" w:rsidRPr="004853EB" w:rsidRDefault="00CC1EF4" w:rsidP="00CC1EF4">
      <w:pPr>
        <w:spacing w:after="0" w:line="240" w:lineRule="auto"/>
        <w:ind w:left="840" w:hanging="840"/>
        <w:jc w:val="both"/>
        <w:rPr>
          <w:rFonts w:eastAsia="Calibri" w:cstheme="minorHAnsi"/>
          <w:sz w:val="20"/>
          <w:szCs w:val="20"/>
        </w:rPr>
      </w:pPr>
      <w:r w:rsidRPr="004853EB">
        <w:rPr>
          <w:rFonts w:eastAsia="Calibri" w:cstheme="minorHAnsi"/>
          <w:sz w:val="20"/>
          <w:szCs w:val="20"/>
        </w:rPr>
        <w:t>ZKP</w:t>
      </w:r>
      <w:r w:rsidRPr="004853EB">
        <w:rPr>
          <w:rFonts w:eastAsia="Calibri" w:cstheme="minorHAnsi"/>
          <w:sz w:val="20"/>
          <w:szCs w:val="20"/>
        </w:rPr>
        <w:tab/>
        <w:t>zakładowa kontrola produkcji.</w:t>
      </w:r>
    </w:p>
    <w:p w14:paraId="7E6DB9DF" w14:textId="0A35CA5F"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1.4.14. </w:t>
      </w:r>
      <w:r w:rsidRPr="004853EB">
        <w:rPr>
          <w:rFonts w:eastAsia="Times New Roman" w:cstheme="minorHAnsi"/>
          <w:sz w:val="20"/>
          <w:szCs w:val="20"/>
          <w:lang w:eastAsia="pl-PL"/>
        </w:rPr>
        <w:t xml:space="preserve">Pozostałe określenia podstawowe są zgodne z obowiązującymi, odpowiednimi polskimi normami </w:t>
      </w:r>
      <w:r w:rsidR="004F465D">
        <w:rPr>
          <w:rFonts w:eastAsia="Times New Roman" w:cstheme="minorHAnsi"/>
          <w:sz w:val="20"/>
          <w:szCs w:val="20"/>
          <w:lang w:eastAsia="pl-PL"/>
        </w:rPr>
        <w:br/>
      </w:r>
      <w:r w:rsidRPr="004853EB">
        <w:rPr>
          <w:rFonts w:eastAsia="Times New Roman" w:cstheme="minorHAnsi"/>
          <w:sz w:val="20"/>
          <w:szCs w:val="20"/>
          <w:lang w:eastAsia="pl-PL"/>
        </w:rPr>
        <w:t>i z definicjami podanymi w SST D-00.00.00 „Wymagania ogólne” [1], pkt 1.4.</w:t>
      </w:r>
    </w:p>
    <w:p w14:paraId="5280A575"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23" w:name="_Toc194476904"/>
      <w:bookmarkStart w:id="2924" w:name="_Toc227760195"/>
      <w:bookmarkStart w:id="2925" w:name="_Toc227825342"/>
      <w:r w:rsidRPr="004853EB">
        <w:rPr>
          <w:rFonts w:eastAsia="Times New Roman" w:cstheme="minorHAnsi"/>
          <w:b/>
          <w:sz w:val="20"/>
          <w:szCs w:val="20"/>
          <w:lang w:eastAsia="pl-PL"/>
        </w:rPr>
        <w:t>1.5. Ogólne wymagania dotyczące robót</w:t>
      </w:r>
      <w:bookmarkEnd w:id="2923"/>
      <w:bookmarkEnd w:id="2924"/>
      <w:bookmarkEnd w:id="2925"/>
    </w:p>
    <w:p w14:paraId="2C5866A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Ogólne wymagania dotyczące robót podano w SST D-00.00.00 „Wymagania ogólne” [1], pkt 1.5.</w:t>
      </w:r>
    </w:p>
    <w:p w14:paraId="5667C746"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926" w:name="_Toc194476905"/>
      <w:bookmarkStart w:id="2927" w:name="_Toc227760196"/>
      <w:bookmarkStart w:id="2928" w:name="_Toc227825343"/>
      <w:r w:rsidRPr="004853EB">
        <w:rPr>
          <w:rFonts w:eastAsia="Times New Roman" w:cstheme="minorHAnsi"/>
          <w:b/>
          <w:caps/>
          <w:kern w:val="28"/>
          <w:sz w:val="20"/>
          <w:szCs w:val="20"/>
          <w:lang w:eastAsia="pl-PL"/>
        </w:rPr>
        <w:t>2. Materiały</w:t>
      </w:r>
      <w:bookmarkEnd w:id="2926"/>
      <w:bookmarkEnd w:id="2927"/>
      <w:bookmarkEnd w:id="2928"/>
    </w:p>
    <w:p w14:paraId="6654ACC2"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29" w:name="_Toc194476906"/>
      <w:bookmarkStart w:id="2930" w:name="_Toc227760197"/>
      <w:bookmarkStart w:id="2931" w:name="_Toc227825344"/>
      <w:r w:rsidRPr="004853EB">
        <w:rPr>
          <w:rFonts w:eastAsia="Times New Roman" w:cstheme="minorHAnsi"/>
          <w:b/>
          <w:sz w:val="20"/>
          <w:szCs w:val="20"/>
          <w:lang w:eastAsia="pl-PL"/>
        </w:rPr>
        <w:t>2.1. Ogólne wymagania dotyczące materiałów</w:t>
      </w:r>
      <w:bookmarkEnd w:id="2929"/>
      <w:bookmarkEnd w:id="2930"/>
      <w:bookmarkEnd w:id="2931"/>
    </w:p>
    <w:p w14:paraId="597470A2"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Ogólne wymagania dotyczące materiałów, ich pozyskiwania i składowania, podano w SST D-00.00.00 „Wymagania ogólne” [1], pkt 2.</w:t>
      </w:r>
    </w:p>
    <w:p w14:paraId="6311CEBE"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32" w:name="_Toc194476907"/>
      <w:bookmarkStart w:id="2933" w:name="_Toc227760198"/>
      <w:bookmarkStart w:id="2934" w:name="_Toc227825345"/>
      <w:r w:rsidRPr="004853EB">
        <w:rPr>
          <w:rFonts w:eastAsia="Times New Roman" w:cstheme="minorHAnsi"/>
          <w:b/>
          <w:sz w:val="20"/>
          <w:szCs w:val="20"/>
          <w:lang w:eastAsia="pl-PL"/>
        </w:rPr>
        <w:t>2.2. Materiały do wykonania robót</w:t>
      </w:r>
      <w:bookmarkEnd w:id="2932"/>
      <w:bookmarkEnd w:id="2933"/>
      <w:bookmarkEnd w:id="2934"/>
    </w:p>
    <w:p w14:paraId="3D352B56" w14:textId="77777777" w:rsidR="00CC1EF4" w:rsidRPr="004853EB" w:rsidRDefault="00CC1EF4" w:rsidP="00CC1EF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2.2.1. </w:t>
      </w:r>
      <w:r w:rsidRPr="004853EB">
        <w:rPr>
          <w:rFonts w:eastAsia="Times New Roman" w:cstheme="minorHAnsi"/>
          <w:sz w:val="20"/>
          <w:szCs w:val="20"/>
          <w:lang w:eastAsia="pl-PL"/>
        </w:rPr>
        <w:t xml:space="preserve"> Zgodność materiałów z dokumentacją projektową </w:t>
      </w:r>
    </w:p>
    <w:p w14:paraId="3BCC53B1" w14:textId="77777777" w:rsidR="00CC1EF4" w:rsidRPr="004853EB" w:rsidRDefault="00CC1EF4" w:rsidP="00CC1EF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Materiały do wykonania robót powinny być zgodne z ustaleniami dokumentacji projektowej lub ST.</w:t>
      </w:r>
    </w:p>
    <w:p w14:paraId="28B371C9" w14:textId="77777777" w:rsidR="00CC1EF4" w:rsidRPr="004853EB" w:rsidRDefault="00CC1EF4" w:rsidP="00CC1EF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2.2.2. </w:t>
      </w:r>
      <w:r w:rsidRPr="004853EB">
        <w:rPr>
          <w:rFonts w:eastAsia="Times New Roman" w:cstheme="minorHAnsi"/>
          <w:sz w:val="20"/>
          <w:szCs w:val="20"/>
          <w:lang w:eastAsia="pl-PL"/>
        </w:rPr>
        <w:t>Materiały wchodzące w skład mieszanki</w:t>
      </w:r>
    </w:p>
    <w:p w14:paraId="0721069D"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ab/>
        <w:t>Materiałami stosowanymi do wytwarzania mieszanek z kruszywa niezwiązanego są:</w:t>
      </w:r>
    </w:p>
    <w:p w14:paraId="1907594E" w14:textId="77777777" w:rsidR="00CC1EF4" w:rsidRPr="004853EB" w:rsidRDefault="00CC1EF4">
      <w:pPr>
        <w:numPr>
          <w:ilvl w:val="0"/>
          <w:numId w:val="53"/>
        </w:numPr>
        <w:overflowPunct w:val="0"/>
        <w:autoSpaceDE w:val="0"/>
        <w:autoSpaceDN w:val="0"/>
        <w:adjustRightInd w:val="0"/>
        <w:spacing w:after="0" w:line="240" w:lineRule="auto"/>
        <w:jc w:val="both"/>
        <w:textAlignment w:val="baseline"/>
        <w:rPr>
          <w:rFonts w:eastAsia="Calibri" w:cstheme="minorHAnsi"/>
          <w:sz w:val="20"/>
          <w:szCs w:val="20"/>
        </w:rPr>
      </w:pPr>
      <w:r w:rsidRPr="004853EB">
        <w:rPr>
          <w:rFonts w:eastAsia="Calibri" w:cstheme="minorHAnsi"/>
          <w:sz w:val="20"/>
          <w:szCs w:val="20"/>
        </w:rPr>
        <w:t>kruszywo,</w:t>
      </w:r>
    </w:p>
    <w:p w14:paraId="49F9B584" w14:textId="77777777" w:rsidR="00CC1EF4" w:rsidRPr="004853EB" w:rsidRDefault="00CC1EF4">
      <w:pPr>
        <w:numPr>
          <w:ilvl w:val="0"/>
          <w:numId w:val="53"/>
        </w:numPr>
        <w:overflowPunct w:val="0"/>
        <w:autoSpaceDE w:val="0"/>
        <w:autoSpaceDN w:val="0"/>
        <w:adjustRightInd w:val="0"/>
        <w:spacing w:after="0" w:line="240" w:lineRule="auto"/>
        <w:jc w:val="both"/>
        <w:textAlignment w:val="baseline"/>
        <w:rPr>
          <w:rFonts w:eastAsia="Calibri" w:cstheme="minorHAnsi"/>
          <w:sz w:val="20"/>
          <w:szCs w:val="20"/>
        </w:rPr>
      </w:pPr>
      <w:r w:rsidRPr="004853EB">
        <w:rPr>
          <w:rFonts w:eastAsia="Calibri" w:cstheme="minorHAnsi"/>
          <w:sz w:val="20"/>
          <w:szCs w:val="20"/>
        </w:rPr>
        <w:t>woda do zraszania kruszywa.</w:t>
      </w:r>
    </w:p>
    <w:p w14:paraId="0BB55AEE" w14:textId="77777777" w:rsidR="00CC1EF4" w:rsidRPr="004853EB" w:rsidRDefault="00CC1EF4" w:rsidP="00CC1EF4">
      <w:pPr>
        <w:spacing w:before="120" w:after="120" w:line="240" w:lineRule="auto"/>
        <w:jc w:val="both"/>
        <w:rPr>
          <w:rFonts w:eastAsia="Calibri" w:cstheme="minorHAnsi"/>
          <w:sz w:val="20"/>
          <w:szCs w:val="20"/>
        </w:rPr>
      </w:pPr>
      <w:r w:rsidRPr="004853EB">
        <w:rPr>
          <w:rFonts w:eastAsia="Calibri" w:cstheme="minorHAnsi"/>
          <w:b/>
          <w:sz w:val="20"/>
          <w:szCs w:val="20"/>
        </w:rPr>
        <w:t>2.2.3</w:t>
      </w:r>
      <w:r w:rsidRPr="004853EB">
        <w:rPr>
          <w:rFonts w:eastAsia="Calibri" w:cstheme="minorHAnsi"/>
          <w:sz w:val="20"/>
          <w:szCs w:val="20"/>
        </w:rPr>
        <w:t>. Kruszywa</w:t>
      </w:r>
    </w:p>
    <w:p w14:paraId="476E04FF" w14:textId="77777777" w:rsidR="00CC1EF4" w:rsidRPr="004853EB" w:rsidRDefault="00CC1EF4" w:rsidP="00CC1EF4">
      <w:pPr>
        <w:tabs>
          <w:tab w:val="left" w:pos="60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 mieszanek można stosować następujące rodzaje kruszyw:</w:t>
      </w:r>
    </w:p>
    <w:p w14:paraId="62C28EBD" w14:textId="77777777" w:rsidR="00CC1EF4" w:rsidRPr="004853EB" w:rsidRDefault="00CC1EF4">
      <w:pPr>
        <w:numPr>
          <w:ilvl w:val="0"/>
          <w:numId w:val="5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kruszywo naturalne lub sztuczne,</w:t>
      </w:r>
    </w:p>
    <w:p w14:paraId="5CEADC46" w14:textId="77777777" w:rsidR="00CC1EF4" w:rsidRPr="004853EB" w:rsidRDefault="00CC1EF4">
      <w:pPr>
        <w:numPr>
          <w:ilvl w:val="0"/>
          <w:numId w:val="5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kruszywo z recyklingu,</w:t>
      </w:r>
    </w:p>
    <w:p w14:paraId="39114DAF" w14:textId="77777777" w:rsidR="00CC1EF4" w:rsidRPr="004853EB" w:rsidRDefault="00CC1EF4">
      <w:pPr>
        <w:numPr>
          <w:ilvl w:val="0"/>
          <w:numId w:val="5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połączenie kruszyw wymienionych w punktach a) i b) z określeniem proporcji kruszyw z a) i b) z dokładnością ± 5% m/m.</w:t>
      </w:r>
    </w:p>
    <w:p w14:paraId="67DE0DC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         Wymagania wobec kruszywa do warstwy podbudowy zasadniczej przedstawia tablica 1.</w:t>
      </w:r>
    </w:p>
    <w:p w14:paraId="4CC2CDDA" w14:textId="70CC9C16" w:rsidR="00CC1EF4" w:rsidRPr="004853EB" w:rsidRDefault="00CC1EF4" w:rsidP="00CC1EF4">
      <w:pPr>
        <w:overflowPunct w:val="0"/>
        <w:autoSpaceDE w:val="0"/>
        <w:autoSpaceDN w:val="0"/>
        <w:adjustRightInd w:val="0"/>
        <w:spacing w:after="0" w:line="240" w:lineRule="auto"/>
        <w:ind w:firstLine="600"/>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Mieszanki o górnym wymiarze ziaren (D) większym niż 80 mm nie są objęte normą PN-EN 13285 [17] </w:t>
      </w:r>
      <w:r w:rsidR="004F465D">
        <w:rPr>
          <w:rFonts w:eastAsia="Times New Roman" w:cstheme="minorHAnsi"/>
          <w:sz w:val="20"/>
          <w:szCs w:val="20"/>
          <w:lang w:eastAsia="pl-PL"/>
        </w:rPr>
        <w:br/>
      </w:r>
      <w:r w:rsidRPr="004853EB">
        <w:rPr>
          <w:rFonts w:eastAsia="Times New Roman" w:cstheme="minorHAnsi"/>
          <w:sz w:val="20"/>
          <w:szCs w:val="20"/>
          <w:lang w:eastAsia="pl-PL"/>
        </w:rPr>
        <w:t>i niniejszą SST.</w:t>
      </w:r>
    </w:p>
    <w:p w14:paraId="6860002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45F1ED52" w14:textId="748CDC3E" w:rsidR="00CC1EF4" w:rsidRPr="004853EB" w:rsidRDefault="00CC1EF4" w:rsidP="00CC1EF4">
      <w:pPr>
        <w:tabs>
          <w:tab w:val="left" w:pos="1134"/>
        </w:tabs>
        <w:spacing w:after="0" w:line="240" w:lineRule="auto"/>
        <w:ind w:left="1200" w:hanging="1200"/>
        <w:jc w:val="both"/>
        <w:rPr>
          <w:rFonts w:eastAsia="Calibri" w:cstheme="minorHAnsi"/>
          <w:sz w:val="20"/>
          <w:szCs w:val="20"/>
        </w:rPr>
      </w:pPr>
      <w:r w:rsidRPr="004853EB">
        <w:rPr>
          <w:rFonts w:eastAsia="Calibri" w:cstheme="minorHAnsi"/>
          <w:sz w:val="20"/>
          <w:szCs w:val="20"/>
        </w:rPr>
        <w:t>Tablica 1.</w:t>
      </w:r>
      <w:r w:rsidRPr="004853EB">
        <w:rPr>
          <w:rFonts w:eastAsia="Calibri" w:cstheme="minorHAnsi"/>
          <w:sz w:val="20"/>
          <w:szCs w:val="20"/>
        </w:rPr>
        <w:tab/>
        <w:t xml:space="preserve">Wymagania według WT-4 [20] i PN-EN 13242 [16] wobec kruszyw do mieszanek niezwiązanych </w:t>
      </w:r>
      <w:r w:rsidR="004F465D">
        <w:rPr>
          <w:rFonts w:eastAsia="Calibri" w:cstheme="minorHAnsi"/>
          <w:sz w:val="20"/>
          <w:szCs w:val="20"/>
        </w:rPr>
        <w:br/>
      </w:r>
      <w:r w:rsidRPr="004853EB">
        <w:rPr>
          <w:rFonts w:eastAsia="Calibri" w:cstheme="minorHAnsi"/>
          <w:sz w:val="20"/>
          <w:szCs w:val="20"/>
        </w:rPr>
        <w:t xml:space="preserve">w warstwie podbudowy zasadniczej </w:t>
      </w:r>
    </w:p>
    <w:p w14:paraId="6D2A3BE0" w14:textId="667BCCBB" w:rsidR="00CC1EF4" w:rsidRDefault="00CC1EF4" w:rsidP="00CC1EF4">
      <w:pPr>
        <w:spacing w:before="120" w:after="120" w:line="240" w:lineRule="auto"/>
        <w:ind w:left="2280" w:hanging="2280"/>
        <w:jc w:val="both"/>
        <w:rPr>
          <w:rFonts w:eastAsia="Calibri" w:cstheme="minorHAnsi"/>
          <w:sz w:val="20"/>
          <w:szCs w:val="20"/>
        </w:rPr>
      </w:pPr>
      <w:r w:rsidRPr="004853EB">
        <w:rPr>
          <w:rFonts w:eastAsia="Calibri" w:cstheme="minorHAnsi"/>
          <w:sz w:val="20"/>
          <w:szCs w:val="20"/>
        </w:rPr>
        <w:t xml:space="preserve">Skróty użyte w tablicy: Kat. – kategoria </w:t>
      </w:r>
      <w:r w:rsidR="004F465D" w:rsidRPr="004853EB">
        <w:rPr>
          <w:rFonts w:eastAsia="Calibri" w:cstheme="minorHAnsi"/>
          <w:sz w:val="20"/>
          <w:szCs w:val="20"/>
        </w:rPr>
        <w:t xml:space="preserve">właściwości, </w:t>
      </w:r>
      <w:proofErr w:type="spellStart"/>
      <w:r w:rsidR="004F465D" w:rsidRPr="004853EB">
        <w:rPr>
          <w:rFonts w:eastAsia="Calibri" w:cstheme="minorHAnsi"/>
          <w:sz w:val="20"/>
          <w:szCs w:val="20"/>
        </w:rPr>
        <w:t>Dekl</w:t>
      </w:r>
      <w:proofErr w:type="spellEnd"/>
      <w:r w:rsidRPr="004853EB">
        <w:rPr>
          <w:rFonts w:eastAsia="Calibri" w:cstheme="minorHAnsi"/>
          <w:sz w:val="20"/>
          <w:szCs w:val="20"/>
        </w:rPr>
        <w:t xml:space="preserve"> – deklarowana, </w:t>
      </w:r>
      <w:proofErr w:type="spellStart"/>
      <w:r w:rsidRPr="004853EB">
        <w:rPr>
          <w:rFonts w:eastAsia="Calibri" w:cstheme="minorHAnsi"/>
          <w:sz w:val="20"/>
          <w:szCs w:val="20"/>
        </w:rPr>
        <w:t>wsk</w:t>
      </w:r>
      <w:proofErr w:type="spellEnd"/>
      <w:r w:rsidRPr="004853EB">
        <w:rPr>
          <w:rFonts w:eastAsia="Calibri" w:cstheme="minorHAnsi"/>
          <w:sz w:val="20"/>
          <w:szCs w:val="20"/>
        </w:rPr>
        <w:t xml:space="preserve">. – wskaźnik, </w:t>
      </w:r>
      <w:proofErr w:type="spellStart"/>
      <w:r w:rsidRPr="004853EB">
        <w:rPr>
          <w:rFonts w:eastAsia="Calibri" w:cstheme="minorHAnsi"/>
          <w:sz w:val="20"/>
          <w:szCs w:val="20"/>
        </w:rPr>
        <w:t>wsp</w:t>
      </w:r>
      <w:proofErr w:type="spellEnd"/>
      <w:r w:rsidRPr="004853EB">
        <w:rPr>
          <w:rFonts w:eastAsia="Calibri" w:cstheme="minorHAnsi"/>
          <w:sz w:val="20"/>
          <w:szCs w:val="20"/>
        </w:rPr>
        <w:t xml:space="preserve">. – współczynnik, </w:t>
      </w:r>
      <w:proofErr w:type="spellStart"/>
      <w:r w:rsidRPr="004853EB">
        <w:rPr>
          <w:rFonts w:eastAsia="Calibri" w:cstheme="minorHAnsi"/>
          <w:sz w:val="20"/>
          <w:szCs w:val="20"/>
        </w:rPr>
        <w:t>roz</w:t>
      </w:r>
      <w:proofErr w:type="spellEnd"/>
      <w:r w:rsidRPr="004853EB">
        <w:rPr>
          <w:rFonts w:eastAsia="Calibri" w:cstheme="minorHAnsi"/>
          <w:sz w:val="20"/>
          <w:szCs w:val="20"/>
        </w:rPr>
        <w:t>. -rozdział</w:t>
      </w:r>
    </w:p>
    <w:p w14:paraId="73BA4777" w14:textId="77777777" w:rsidR="00CF69C0" w:rsidRDefault="00CF69C0" w:rsidP="00CC1EF4">
      <w:pPr>
        <w:spacing w:before="120" w:after="120" w:line="240" w:lineRule="auto"/>
        <w:ind w:left="2280" w:hanging="2280"/>
        <w:jc w:val="both"/>
        <w:rPr>
          <w:rFonts w:eastAsia="Calibri" w:cstheme="minorHAnsi"/>
          <w:sz w:val="20"/>
          <w:szCs w:val="20"/>
        </w:rPr>
      </w:pPr>
    </w:p>
    <w:p w14:paraId="1C373DD3" w14:textId="77777777" w:rsidR="00CF69C0" w:rsidRDefault="00CF69C0" w:rsidP="00CC1EF4">
      <w:pPr>
        <w:spacing w:before="120" w:after="120" w:line="240" w:lineRule="auto"/>
        <w:ind w:left="2280" w:hanging="2280"/>
        <w:jc w:val="both"/>
        <w:rPr>
          <w:rFonts w:eastAsia="Calibri" w:cstheme="minorHAnsi"/>
          <w:sz w:val="20"/>
          <w:szCs w:val="20"/>
        </w:rPr>
      </w:pPr>
    </w:p>
    <w:p w14:paraId="03A8082C" w14:textId="77777777" w:rsidR="00CF69C0" w:rsidRDefault="00CF69C0" w:rsidP="00CC1EF4">
      <w:pPr>
        <w:spacing w:before="120" w:after="120" w:line="240" w:lineRule="auto"/>
        <w:ind w:left="2280" w:hanging="2280"/>
        <w:jc w:val="both"/>
        <w:rPr>
          <w:rFonts w:eastAsia="Calibri" w:cstheme="minorHAnsi"/>
          <w:sz w:val="20"/>
          <w:szCs w:val="20"/>
        </w:rPr>
      </w:pPr>
    </w:p>
    <w:p w14:paraId="32B18C32" w14:textId="77777777" w:rsidR="00CF69C0" w:rsidRPr="004853EB" w:rsidRDefault="00CF69C0" w:rsidP="00CC1EF4">
      <w:pPr>
        <w:spacing w:before="120" w:after="120" w:line="240" w:lineRule="auto"/>
        <w:ind w:left="2280" w:hanging="2280"/>
        <w:jc w:val="both"/>
        <w:rPr>
          <w:rFonts w:eastAsia="Calibri" w:cstheme="minorHAnsi"/>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929"/>
        <w:gridCol w:w="4061"/>
      </w:tblGrid>
      <w:tr w:rsidR="00CC1EF4" w:rsidRPr="004853EB" w14:paraId="02001463" w14:textId="77777777" w:rsidTr="004F465D">
        <w:tc>
          <w:tcPr>
            <w:tcW w:w="3085" w:type="dxa"/>
            <w:vMerge w:val="restart"/>
            <w:vAlign w:val="center"/>
          </w:tcPr>
          <w:p w14:paraId="0847FF75"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lastRenderedPageBreak/>
              <w:t>Właściwość</w:t>
            </w:r>
          </w:p>
          <w:p w14:paraId="4D1FE160"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kruszywa</w:t>
            </w:r>
          </w:p>
        </w:tc>
        <w:tc>
          <w:tcPr>
            <w:tcW w:w="1134" w:type="dxa"/>
            <w:vMerge w:val="restart"/>
            <w:vAlign w:val="center"/>
          </w:tcPr>
          <w:p w14:paraId="5B1610B7"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Metoda</w:t>
            </w:r>
          </w:p>
          <w:p w14:paraId="788C2B72"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badania</w:t>
            </w:r>
          </w:p>
          <w:p w14:paraId="346BB4FE"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wg</w:t>
            </w:r>
          </w:p>
        </w:tc>
        <w:tc>
          <w:tcPr>
            <w:tcW w:w="4990" w:type="dxa"/>
            <w:gridSpan w:val="2"/>
          </w:tcPr>
          <w:p w14:paraId="230B426D" w14:textId="1B0C4B2E"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 xml:space="preserve">Wymagania wobec kruszywa do mieszanek niezwiązanych, przeznaczonych do zastosowania w warstwie podbudowy zasadniczej pod nawierzchnią drogi obciążonej </w:t>
            </w:r>
            <w:r w:rsidR="004F465D" w:rsidRPr="004853EB">
              <w:rPr>
                <w:rFonts w:eastAsia="Calibri" w:cstheme="minorHAnsi"/>
                <w:sz w:val="20"/>
                <w:szCs w:val="20"/>
              </w:rPr>
              <w:t>ruchem kategorii</w:t>
            </w:r>
            <w:r w:rsidRPr="004853EB">
              <w:rPr>
                <w:rFonts w:eastAsia="Calibri" w:cstheme="minorHAnsi"/>
                <w:sz w:val="20"/>
                <w:szCs w:val="20"/>
              </w:rPr>
              <w:t xml:space="preserve"> KR1 ÷ KR6</w:t>
            </w:r>
          </w:p>
        </w:tc>
      </w:tr>
      <w:tr w:rsidR="00CC1EF4" w:rsidRPr="004853EB" w14:paraId="5FB552F3" w14:textId="77777777" w:rsidTr="004F465D">
        <w:trPr>
          <w:trHeight w:val="476"/>
        </w:trPr>
        <w:tc>
          <w:tcPr>
            <w:tcW w:w="3085" w:type="dxa"/>
            <w:vMerge/>
          </w:tcPr>
          <w:p w14:paraId="581AC3B3" w14:textId="77777777" w:rsidR="00CC1EF4" w:rsidRPr="004853EB" w:rsidRDefault="00CC1EF4" w:rsidP="00CC1EF4">
            <w:pPr>
              <w:spacing w:after="0" w:line="240" w:lineRule="auto"/>
              <w:jc w:val="both"/>
              <w:rPr>
                <w:rFonts w:eastAsia="Calibri" w:cstheme="minorHAnsi"/>
                <w:sz w:val="20"/>
                <w:szCs w:val="20"/>
              </w:rPr>
            </w:pPr>
          </w:p>
        </w:tc>
        <w:tc>
          <w:tcPr>
            <w:tcW w:w="1134" w:type="dxa"/>
            <w:vMerge/>
          </w:tcPr>
          <w:p w14:paraId="15D28A8A" w14:textId="77777777" w:rsidR="00CC1EF4" w:rsidRPr="004853EB" w:rsidRDefault="00CC1EF4" w:rsidP="00CC1EF4">
            <w:pPr>
              <w:spacing w:after="0" w:line="240" w:lineRule="auto"/>
              <w:jc w:val="both"/>
              <w:rPr>
                <w:rFonts w:eastAsia="Calibri" w:cstheme="minorHAnsi"/>
                <w:sz w:val="20"/>
                <w:szCs w:val="20"/>
              </w:rPr>
            </w:pPr>
          </w:p>
        </w:tc>
        <w:tc>
          <w:tcPr>
            <w:tcW w:w="929" w:type="dxa"/>
            <w:vAlign w:val="center"/>
          </w:tcPr>
          <w:p w14:paraId="491998D0"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Punkt</w:t>
            </w:r>
          </w:p>
          <w:p w14:paraId="760844BE"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PN-EN</w:t>
            </w:r>
          </w:p>
          <w:p w14:paraId="36421D6B"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13242</w:t>
            </w:r>
          </w:p>
        </w:tc>
        <w:tc>
          <w:tcPr>
            <w:tcW w:w="4061" w:type="dxa"/>
            <w:vAlign w:val="center"/>
          </w:tcPr>
          <w:p w14:paraId="216F5708"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Wymagania</w:t>
            </w:r>
          </w:p>
          <w:p w14:paraId="476A9A7C" w14:textId="77777777" w:rsidR="00CC1EF4" w:rsidRPr="004853EB" w:rsidRDefault="00CC1EF4" w:rsidP="00CC1EF4">
            <w:pPr>
              <w:spacing w:after="0" w:line="240" w:lineRule="auto"/>
              <w:jc w:val="center"/>
              <w:rPr>
                <w:rFonts w:eastAsia="Calibri" w:cstheme="minorHAnsi"/>
                <w:sz w:val="20"/>
                <w:szCs w:val="20"/>
              </w:rPr>
            </w:pPr>
          </w:p>
        </w:tc>
      </w:tr>
      <w:tr w:rsidR="00CC1EF4" w:rsidRPr="004853EB" w14:paraId="0CAA3C79" w14:textId="77777777" w:rsidTr="004F465D">
        <w:tc>
          <w:tcPr>
            <w:tcW w:w="3085" w:type="dxa"/>
          </w:tcPr>
          <w:p w14:paraId="4A3C0E31"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Zestaw sit #</w:t>
            </w:r>
          </w:p>
        </w:tc>
        <w:tc>
          <w:tcPr>
            <w:tcW w:w="1134" w:type="dxa"/>
          </w:tcPr>
          <w:p w14:paraId="7CF94670"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w:t>
            </w:r>
          </w:p>
        </w:tc>
        <w:tc>
          <w:tcPr>
            <w:tcW w:w="929" w:type="dxa"/>
          </w:tcPr>
          <w:p w14:paraId="02103253"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4.1-4.2</w:t>
            </w:r>
          </w:p>
        </w:tc>
        <w:tc>
          <w:tcPr>
            <w:tcW w:w="4061" w:type="dxa"/>
          </w:tcPr>
          <w:p w14:paraId="4267428A"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xml:space="preserve">0,063; 0,5; 1; 2; 4; 5,6; 8; 11,2; 16; 22,4; 31,5; 45; 63 i 90 mm (zestaw podstawowy plus zestaw 1) </w:t>
            </w:r>
          </w:p>
          <w:p w14:paraId="0E707E4E"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xml:space="preserve"> Wszystkie frakcje dozwolone</w:t>
            </w:r>
          </w:p>
        </w:tc>
      </w:tr>
      <w:tr w:rsidR="00CC1EF4" w:rsidRPr="004853EB" w14:paraId="022E3995" w14:textId="77777777" w:rsidTr="004F465D">
        <w:tc>
          <w:tcPr>
            <w:tcW w:w="3085" w:type="dxa"/>
          </w:tcPr>
          <w:p w14:paraId="79DEA207"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Uziarnienie</w:t>
            </w:r>
          </w:p>
        </w:tc>
        <w:tc>
          <w:tcPr>
            <w:tcW w:w="1134" w:type="dxa"/>
          </w:tcPr>
          <w:p w14:paraId="6CFAEFF6"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PN-EN</w:t>
            </w:r>
          </w:p>
          <w:p w14:paraId="71D48F4C"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933-1[5]</w:t>
            </w:r>
          </w:p>
          <w:p w14:paraId="028A5C36" w14:textId="77777777" w:rsidR="00CC1EF4" w:rsidRPr="004853EB" w:rsidRDefault="00CC1EF4" w:rsidP="00CC1EF4">
            <w:pPr>
              <w:spacing w:after="0" w:line="240" w:lineRule="auto"/>
              <w:jc w:val="both"/>
              <w:rPr>
                <w:rFonts w:eastAsia="Calibri" w:cstheme="minorHAnsi"/>
                <w:sz w:val="20"/>
                <w:szCs w:val="20"/>
              </w:rPr>
            </w:pPr>
          </w:p>
        </w:tc>
        <w:tc>
          <w:tcPr>
            <w:tcW w:w="929" w:type="dxa"/>
          </w:tcPr>
          <w:p w14:paraId="11003200"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4.3.1</w:t>
            </w:r>
          </w:p>
        </w:tc>
        <w:tc>
          <w:tcPr>
            <w:tcW w:w="4061" w:type="dxa"/>
          </w:tcPr>
          <w:p w14:paraId="4F8AEE30" w14:textId="0F3D17BD"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Kruszywo grube: kat. G</w:t>
            </w:r>
            <w:r w:rsidRPr="004853EB">
              <w:rPr>
                <w:rFonts w:eastAsia="Calibri" w:cstheme="minorHAnsi"/>
                <w:sz w:val="20"/>
                <w:szCs w:val="20"/>
                <w:vertAlign w:val="subscript"/>
              </w:rPr>
              <w:t>C</w:t>
            </w:r>
            <w:r w:rsidRPr="004853EB">
              <w:rPr>
                <w:rFonts w:eastAsia="Calibri" w:cstheme="minorHAnsi"/>
                <w:sz w:val="20"/>
                <w:szCs w:val="20"/>
              </w:rPr>
              <w:t>80/</w:t>
            </w:r>
            <w:r w:rsidR="004F465D" w:rsidRPr="004853EB">
              <w:rPr>
                <w:rFonts w:eastAsia="Calibri" w:cstheme="minorHAnsi"/>
                <w:sz w:val="20"/>
                <w:szCs w:val="20"/>
              </w:rPr>
              <w:t>20, kruszywo</w:t>
            </w:r>
            <w:r w:rsidRPr="004853EB">
              <w:rPr>
                <w:rFonts w:eastAsia="Calibri" w:cstheme="minorHAnsi"/>
                <w:sz w:val="20"/>
                <w:szCs w:val="20"/>
              </w:rPr>
              <w:t xml:space="preserve"> drobne: kat. G</w:t>
            </w:r>
            <w:r w:rsidRPr="004853EB">
              <w:rPr>
                <w:rFonts w:eastAsia="Calibri" w:cstheme="minorHAnsi"/>
                <w:sz w:val="20"/>
                <w:szCs w:val="20"/>
                <w:vertAlign w:val="subscript"/>
              </w:rPr>
              <w:t>F</w:t>
            </w:r>
            <w:r w:rsidR="004F465D" w:rsidRPr="004853EB">
              <w:rPr>
                <w:rFonts w:eastAsia="Calibri" w:cstheme="minorHAnsi"/>
                <w:sz w:val="20"/>
                <w:szCs w:val="20"/>
              </w:rPr>
              <w:t>80, kruszywo</w:t>
            </w:r>
            <w:r w:rsidRPr="004853EB">
              <w:rPr>
                <w:rFonts w:eastAsia="Calibri" w:cstheme="minorHAnsi"/>
                <w:sz w:val="20"/>
                <w:szCs w:val="20"/>
              </w:rPr>
              <w:t xml:space="preserve"> o ciągłym uziarnieniu: kat. G</w:t>
            </w:r>
            <w:r w:rsidRPr="004853EB">
              <w:rPr>
                <w:rFonts w:eastAsia="Calibri" w:cstheme="minorHAnsi"/>
                <w:sz w:val="20"/>
                <w:szCs w:val="20"/>
                <w:vertAlign w:val="subscript"/>
              </w:rPr>
              <w:t>A</w:t>
            </w:r>
            <w:r w:rsidRPr="004853EB">
              <w:rPr>
                <w:rFonts w:eastAsia="Calibri" w:cstheme="minorHAnsi"/>
                <w:sz w:val="20"/>
                <w:szCs w:val="20"/>
              </w:rPr>
              <w:t xml:space="preserve">75.   </w:t>
            </w:r>
          </w:p>
          <w:p w14:paraId="1FE07D28"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Uziarnienie mieszanek kruszywa wg rysunków 1÷3</w:t>
            </w:r>
          </w:p>
        </w:tc>
      </w:tr>
      <w:tr w:rsidR="00CC1EF4" w:rsidRPr="004853EB" w14:paraId="3AA6E6E8" w14:textId="77777777" w:rsidTr="004F465D">
        <w:trPr>
          <w:trHeight w:val="433"/>
        </w:trPr>
        <w:tc>
          <w:tcPr>
            <w:tcW w:w="3085" w:type="dxa"/>
          </w:tcPr>
          <w:p w14:paraId="4263B8A2"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Ogólne granice i tolerancje uziarnienia kruszywa grubego na sitach pośrednich</w:t>
            </w:r>
          </w:p>
          <w:p w14:paraId="06AEFED7" w14:textId="77777777" w:rsidR="00CC1EF4" w:rsidRPr="004853EB" w:rsidRDefault="00CC1EF4" w:rsidP="00CC1EF4">
            <w:pPr>
              <w:spacing w:after="0" w:line="240" w:lineRule="auto"/>
              <w:rPr>
                <w:rFonts w:eastAsia="Calibri" w:cstheme="minorHAnsi"/>
                <w:sz w:val="20"/>
                <w:szCs w:val="20"/>
              </w:rPr>
            </w:pPr>
          </w:p>
        </w:tc>
        <w:tc>
          <w:tcPr>
            <w:tcW w:w="1134" w:type="dxa"/>
          </w:tcPr>
          <w:p w14:paraId="02733C60"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PN-EN</w:t>
            </w:r>
          </w:p>
          <w:p w14:paraId="19DFE02E"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933-1 [5]</w:t>
            </w:r>
          </w:p>
          <w:p w14:paraId="3CA80C1F" w14:textId="77777777" w:rsidR="00CC1EF4" w:rsidRPr="004853EB" w:rsidRDefault="00CC1EF4" w:rsidP="00CC1EF4">
            <w:pPr>
              <w:spacing w:after="0" w:line="240" w:lineRule="auto"/>
              <w:jc w:val="both"/>
              <w:rPr>
                <w:rFonts w:eastAsia="Calibri" w:cstheme="minorHAnsi"/>
                <w:sz w:val="20"/>
                <w:szCs w:val="20"/>
              </w:rPr>
            </w:pPr>
          </w:p>
        </w:tc>
        <w:tc>
          <w:tcPr>
            <w:tcW w:w="929" w:type="dxa"/>
          </w:tcPr>
          <w:p w14:paraId="15E5CFB7"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4.3.2</w:t>
            </w:r>
          </w:p>
        </w:tc>
        <w:tc>
          <w:tcPr>
            <w:tcW w:w="4061" w:type="dxa"/>
          </w:tcPr>
          <w:p w14:paraId="2C5E59C7"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Kat. GT</w:t>
            </w:r>
            <w:r w:rsidRPr="004853EB">
              <w:rPr>
                <w:rFonts w:eastAsia="Calibri" w:cstheme="minorHAnsi"/>
                <w:sz w:val="20"/>
                <w:szCs w:val="20"/>
                <w:vertAlign w:val="subscript"/>
              </w:rPr>
              <w:t>C</w:t>
            </w:r>
            <w:r w:rsidRPr="004853EB">
              <w:rPr>
                <w:rFonts w:eastAsia="Calibri" w:cstheme="minorHAnsi"/>
                <w:sz w:val="20"/>
                <w:szCs w:val="20"/>
              </w:rPr>
              <w:t>20/15 (tj. dla stosunku D/d ≥2 i sita o pośrednich wymiarach D/1,4 ogólne granice wynoszą 20-70% przechodzącej masy i graniczne odchylenia od typowego uziarnienia deklarowanego przez producenta wynoszą ±15%)</w:t>
            </w:r>
          </w:p>
        </w:tc>
      </w:tr>
      <w:tr w:rsidR="00CC1EF4" w:rsidRPr="004853EB" w14:paraId="0B6D6269" w14:textId="77777777" w:rsidTr="004F465D">
        <w:tc>
          <w:tcPr>
            <w:tcW w:w="3085" w:type="dxa"/>
          </w:tcPr>
          <w:p w14:paraId="2FF5344A"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 xml:space="preserve">Tolerancje typowego uziarnienia </w:t>
            </w:r>
            <w:proofErr w:type="spellStart"/>
            <w:r w:rsidRPr="004853EB">
              <w:rPr>
                <w:rFonts w:eastAsia="Calibri" w:cstheme="minorHAnsi"/>
                <w:sz w:val="20"/>
                <w:szCs w:val="20"/>
              </w:rPr>
              <w:t>kru</w:t>
            </w:r>
            <w:proofErr w:type="spellEnd"/>
            <w:r w:rsidRPr="004853EB">
              <w:rPr>
                <w:rFonts w:eastAsia="Calibri" w:cstheme="minorHAnsi"/>
                <w:sz w:val="20"/>
                <w:szCs w:val="20"/>
              </w:rPr>
              <w:t>-</w:t>
            </w:r>
            <w:r w:rsidRPr="004853EB">
              <w:rPr>
                <w:rFonts w:eastAsia="Calibri" w:cstheme="minorHAnsi"/>
                <w:sz w:val="20"/>
                <w:szCs w:val="20"/>
              </w:rPr>
              <w:br/>
            </w:r>
            <w:proofErr w:type="spellStart"/>
            <w:r w:rsidRPr="004853EB">
              <w:rPr>
                <w:rFonts w:eastAsia="Calibri" w:cstheme="minorHAnsi"/>
                <w:sz w:val="20"/>
                <w:szCs w:val="20"/>
              </w:rPr>
              <w:t>szywa</w:t>
            </w:r>
            <w:proofErr w:type="spellEnd"/>
            <w:r w:rsidRPr="004853EB">
              <w:rPr>
                <w:rFonts w:eastAsia="Calibri" w:cstheme="minorHAnsi"/>
                <w:sz w:val="20"/>
                <w:szCs w:val="20"/>
              </w:rPr>
              <w:t xml:space="preserve"> drobnego i kruszywa o ciągłym uziarnieniu</w:t>
            </w:r>
            <w:r w:rsidRPr="004853EB">
              <w:rPr>
                <w:rFonts w:eastAsia="Calibri" w:cstheme="minorHAnsi"/>
                <w:sz w:val="20"/>
                <w:szCs w:val="20"/>
              </w:rPr>
              <w:br/>
            </w:r>
          </w:p>
        </w:tc>
        <w:tc>
          <w:tcPr>
            <w:tcW w:w="1134" w:type="dxa"/>
          </w:tcPr>
          <w:p w14:paraId="6CE3C4D6"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PN-EN</w:t>
            </w:r>
          </w:p>
          <w:p w14:paraId="79032A4B"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933-1 [5]</w:t>
            </w:r>
          </w:p>
          <w:p w14:paraId="097A7676" w14:textId="77777777" w:rsidR="00CC1EF4" w:rsidRPr="004853EB" w:rsidRDefault="00CC1EF4" w:rsidP="00CC1EF4">
            <w:pPr>
              <w:spacing w:after="0" w:line="240" w:lineRule="auto"/>
              <w:jc w:val="both"/>
              <w:rPr>
                <w:rFonts w:eastAsia="Calibri" w:cstheme="minorHAnsi"/>
                <w:sz w:val="20"/>
                <w:szCs w:val="20"/>
              </w:rPr>
            </w:pPr>
          </w:p>
        </w:tc>
        <w:tc>
          <w:tcPr>
            <w:tcW w:w="929" w:type="dxa"/>
          </w:tcPr>
          <w:p w14:paraId="3A1F400B"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4.3.3</w:t>
            </w:r>
          </w:p>
        </w:tc>
        <w:tc>
          <w:tcPr>
            <w:tcW w:w="4061" w:type="dxa"/>
          </w:tcPr>
          <w:p w14:paraId="5BE8C228" w14:textId="4E1AB3F4"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Kruszywo drobne: kat. GT</w:t>
            </w:r>
            <w:r w:rsidRPr="004853EB">
              <w:rPr>
                <w:rFonts w:eastAsia="Calibri" w:cstheme="minorHAnsi"/>
                <w:sz w:val="20"/>
                <w:szCs w:val="20"/>
                <w:vertAlign w:val="subscript"/>
              </w:rPr>
              <w:t>F</w:t>
            </w:r>
            <w:r w:rsidRPr="004853EB">
              <w:rPr>
                <w:rFonts w:eastAsia="Calibri" w:cstheme="minorHAnsi"/>
                <w:sz w:val="20"/>
                <w:szCs w:val="20"/>
              </w:rPr>
              <w:t>10 (tj. procent masy przechodzącej przez sito górne D: ±5%, sito D/2: ±10%, sito 0,063 mm: ±3%</w:t>
            </w:r>
            <w:r w:rsidR="004F465D" w:rsidRPr="004853EB">
              <w:rPr>
                <w:rFonts w:eastAsia="Calibri" w:cstheme="minorHAnsi"/>
                <w:sz w:val="20"/>
                <w:szCs w:val="20"/>
              </w:rPr>
              <w:t>). Kruszywo</w:t>
            </w:r>
            <w:r w:rsidRPr="004853EB">
              <w:rPr>
                <w:rFonts w:eastAsia="Calibri" w:cstheme="minorHAnsi"/>
                <w:sz w:val="20"/>
                <w:szCs w:val="20"/>
              </w:rPr>
              <w:t xml:space="preserve"> o ciągłym uziarnieniu: kat. GT</w:t>
            </w:r>
            <w:r w:rsidRPr="004853EB">
              <w:rPr>
                <w:rFonts w:eastAsia="Calibri" w:cstheme="minorHAnsi"/>
                <w:sz w:val="20"/>
                <w:szCs w:val="20"/>
                <w:vertAlign w:val="subscript"/>
              </w:rPr>
              <w:t>A</w:t>
            </w:r>
            <w:r w:rsidRPr="004853EB">
              <w:rPr>
                <w:rFonts w:eastAsia="Calibri" w:cstheme="minorHAnsi"/>
                <w:sz w:val="20"/>
                <w:szCs w:val="20"/>
              </w:rPr>
              <w:t>20 (tj. procent masy przechodzącej przez sito górne D: ±5%, sito D/2: ±20%, sito 0,063 mm: ±4%)</w:t>
            </w:r>
          </w:p>
        </w:tc>
      </w:tr>
      <w:tr w:rsidR="00CC1EF4" w:rsidRPr="004853EB" w14:paraId="05DFAD15" w14:textId="77777777" w:rsidTr="004F465D">
        <w:trPr>
          <w:trHeight w:val="671"/>
        </w:trPr>
        <w:tc>
          <w:tcPr>
            <w:tcW w:w="3085" w:type="dxa"/>
          </w:tcPr>
          <w:p w14:paraId="7E64FC81"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Kształt kruszywa grubego – maksymalne wartości wskaź</w:t>
            </w:r>
            <w:r w:rsidRPr="004853EB">
              <w:rPr>
                <w:rFonts w:eastAsia="Calibri" w:cstheme="minorHAnsi"/>
                <w:sz w:val="20"/>
                <w:szCs w:val="20"/>
              </w:rPr>
              <w:softHyphen/>
              <w:t>nika płaskości</w:t>
            </w:r>
          </w:p>
        </w:tc>
        <w:tc>
          <w:tcPr>
            <w:tcW w:w="1134" w:type="dxa"/>
          </w:tcPr>
          <w:p w14:paraId="0337E112"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PN-EN</w:t>
            </w:r>
          </w:p>
          <w:p w14:paraId="11C21AED" w14:textId="68DAE29F" w:rsidR="00CC1EF4" w:rsidRPr="004853EB" w:rsidRDefault="00CC1EF4" w:rsidP="00CC1EF4">
            <w:pPr>
              <w:spacing w:after="0" w:line="240" w:lineRule="auto"/>
              <w:jc w:val="both"/>
              <w:rPr>
                <w:rFonts w:eastAsia="Calibri" w:cstheme="minorHAnsi"/>
                <w:sz w:val="20"/>
                <w:szCs w:val="20"/>
                <w:vertAlign w:val="superscript"/>
              </w:rPr>
            </w:pPr>
            <w:r w:rsidRPr="004853EB">
              <w:rPr>
                <w:rFonts w:eastAsia="Calibri" w:cstheme="minorHAnsi"/>
                <w:sz w:val="20"/>
                <w:szCs w:val="20"/>
              </w:rPr>
              <w:t>933-</w:t>
            </w:r>
            <w:r w:rsidR="004F465D" w:rsidRPr="004853EB">
              <w:rPr>
                <w:rFonts w:eastAsia="Calibri" w:cstheme="minorHAnsi"/>
                <w:sz w:val="20"/>
                <w:szCs w:val="20"/>
              </w:rPr>
              <w:t>3 [</w:t>
            </w:r>
            <w:r w:rsidRPr="004853EB">
              <w:rPr>
                <w:rFonts w:eastAsia="Calibri" w:cstheme="minorHAnsi"/>
                <w:sz w:val="20"/>
                <w:szCs w:val="20"/>
              </w:rPr>
              <w:t>6]</w:t>
            </w:r>
          </w:p>
        </w:tc>
        <w:tc>
          <w:tcPr>
            <w:tcW w:w="929" w:type="dxa"/>
          </w:tcPr>
          <w:p w14:paraId="5E8FB018"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4.4</w:t>
            </w:r>
          </w:p>
        </w:tc>
        <w:tc>
          <w:tcPr>
            <w:tcW w:w="4061" w:type="dxa"/>
          </w:tcPr>
          <w:p w14:paraId="496369D3"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Kat. FI</w:t>
            </w:r>
            <w:r w:rsidRPr="004853EB">
              <w:rPr>
                <w:rFonts w:eastAsia="Calibri" w:cstheme="minorHAnsi"/>
                <w:sz w:val="20"/>
                <w:szCs w:val="20"/>
                <w:vertAlign w:val="subscript"/>
              </w:rPr>
              <w:t xml:space="preserve">50 </w:t>
            </w:r>
            <w:r w:rsidRPr="004853EB">
              <w:rPr>
                <w:rFonts w:eastAsia="Calibri" w:cstheme="minorHAnsi"/>
                <w:sz w:val="20"/>
                <w:szCs w:val="20"/>
              </w:rPr>
              <w:t xml:space="preserve">(tj. maksymalna wartość wskaźnika płaskości wynosi ≤ 50) </w:t>
            </w:r>
          </w:p>
        </w:tc>
      </w:tr>
      <w:tr w:rsidR="00CC1EF4" w:rsidRPr="004853EB" w14:paraId="2D3E39E2" w14:textId="77777777" w:rsidTr="004F465D">
        <w:tc>
          <w:tcPr>
            <w:tcW w:w="3085" w:type="dxa"/>
          </w:tcPr>
          <w:p w14:paraId="70FFA18B"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Kształt kruszywa grubego – maksymalne wartości wskaźnika kształtu</w:t>
            </w:r>
          </w:p>
        </w:tc>
        <w:tc>
          <w:tcPr>
            <w:tcW w:w="1134" w:type="dxa"/>
          </w:tcPr>
          <w:p w14:paraId="19E54410"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PN-EN</w:t>
            </w:r>
          </w:p>
          <w:p w14:paraId="0B70E951" w14:textId="74476BB3"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933-</w:t>
            </w:r>
            <w:r w:rsidR="004F465D" w:rsidRPr="004853EB">
              <w:rPr>
                <w:rFonts w:eastAsia="Calibri" w:cstheme="minorHAnsi"/>
                <w:sz w:val="20"/>
                <w:szCs w:val="20"/>
              </w:rPr>
              <w:t>4 [</w:t>
            </w:r>
            <w:r w:rsidRPr="004853EB">
              <w:rPr>
                <w:rFonts w:eastAsia="Calibri" w:cstheme="minorHAnsi"/>
                <w:sz w:val="20"/>
                <w:szCs w:val="20"/>
              </w:rPr>
              <w:t>7]</w:t>
            </w:r>
          </w:p>
        </w:tc>
        <w:tc>
          <w:tcPr>
            <w:tcW w:w="929" w:type="dxa"/>
          </w:tcPr>
          <w:p w14:paraId="05B37131"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4.4</w:t>
            </w:r>
          </w:p>
        </w:tc>
        <w:tc>
          <w:tcPr>
            <w:tcW w:w="4061" w:type="dxa"/>
          </w:tcPr>
          <w:p w14:paraId="500A1115"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Kat. SI</w:t>
            </w:r>
            <w:r w:rsidRPr="004853EB">
              <w:rPr>
                <w:rFonts w:eastAsia="Calibri" w:cstheme="minorHAnsi"/>
                <w:sz w:val="20"/>
                <w:szCs w:val="20"/>
                <w:vertAlign w:val="subscript"/>
              </w:rPr>
              <w:t xml:space="preserve">55 </w:t>
            </w:r>
            <w:r w:rsidRPr="004853EB">
              <w:rPr>
                <w:rFonts w:eastAsia="Calibri" w:cstheme="minorHAnsi"/>
                <w:sz w:val="20"/>
                <w:szCs w:val="20"/>
              </w:rPr>
              <w:t>(tj. maksymalna wartość wskaźnika kształtu wynosi ≤ 55)</w:t>
            </w:r>
          </w:p>
        </w:tc>
      </w:tr>
      <w:tr w:rsidR="00CC1EF4" w:rsidRPr="004853EB" w14:paraId="64E13B9C" w14:textId="77777777" w:rsidTr="004F465D">
        <w:tc>
          <w:tcPr>
            <w:tcW w:w="3085" w:type="dxa"/>
          </w:tcPr>
          <w:p w14:paraId="473F521E"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Kategorie procentowych zawartości ziaren o powierzchni przekruszonej lub łamanych oraz ziaren całkowicie za</w:t>
            </w:r>
            <w:r w:rsidRPr="004853EB">
              <w:rPr>
                <w:rFonts w:eastAsia="Calibri" w:cstheme="minorHAnsi"/>
                <w:sz w:val="20"/>
                <w:szCs w:val="20"/>
              </w:rPr>
              <w:softHyphen/>
              <w:t>okrąglonych w kruszywie grubym</w:t>
            </w:r>
          </w:p>
        </w:tc>
        <w:tc>
          <w:tcPr>
            <w:tcW w:w="1134" w:type="dxa"/>
          </w:tcPr>
          <w:p w14:paraId="633E1985"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PN-EN</w:t>
            </w:r>
          </w:p>
          <w:p w14:paraId="6065EE3D"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933-5 [8]</w:t>
            </w:r>
          </w:p>
        </w:tc>
        <w:tc>
          <w:tcPr>
            <w:tcW w:w="929" w:type="dxa"/>
          </w:tcPr>
          <w:p w14:paraId="41717BB8"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4.5</w:t>
            </w:r>
          </w:p>
        </w:tc>
        <w:tc>
          <w:tcPr>
            <w:tcW w:w="4061" w:type="dxa"/>
          </w:tcPr>
          <w:p w14:paraId="39A4085A"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Kat. C</w:t>
            </w:r>
            <w:r w:rsidRPr="004853EB">
              <w:rPr>
                <w:rFonts w:eastAsia="Calibri" w:cstheme="minorHAnsi"/>
                <w:sz w:val="20"/>
                <w:szCs w:val="20"/>
                <w:vertAlign w:val="subscript"/>
              </w:rPr>
              <w:t>90/3</w:t>
            </w:r>
            <w:r w:rsidRPr="004853EB">
              <w:rPr>
                <w:rFonts w:eastAsia="Calibri" w:cstheme="minorHAnsi"/>
                <w:sz w:val="20"/>
                <w:szCs w:val="20"/>
              </w:rPr>
              <w:t xml:space="preserve"> (tj. masa ziarn przekruszonych lub łamanych wynosi 90 do 100 %, a masa ziarn całkowicie zaokrąglonych wynosi 0 do 3 %)</w:t>
            </w:r>
          </w:p>
        </w:tc>
      </w:tr>
      <w:tr w:rsidR="00CC1EF4" w:rsidRPr="004853EB" w14:paraId="71A52D99" w14:textId="77777777" w:rsidTr="004F465D">
        <w:tc>
          <w:tcPr>
            <w:tcW w:w="3085" w:type="dxa"/>
          </w:tcPr>
          <w:p w14:paraId="2FB8C47D" w14:textId="77777777" w:rsidR="00CC1EF4" w:rsidRPr="004853EB" w:rsidRDefault="00CC1EF4" w:rsidP="00CC1EF4">
            <w:pPr>
              <w:spacing w:after="0" w:line="240" w:lineRule="auto"/>
              <w:rPr>
                <w:rFonts w:eastAsia="Calibri" w:cstheme="minorHAnsi"/>
                <w:sz w:val="20"/>
                <w:szCs w:val="20"/>
                <w:vertAlign w:val="superscript"/>
              </w:rPr>
            </w:pPr>
            <w:r w:rsidRPr="004853EB">
              <w:rPr>
                <w:rFonts w:eastAsia="Calibri" w:cstheme="minorHAnsi"/>
                <w:sz w:val="20"/>
                <w:szCs w:val="20"/>
              </w:rPr>
              <w:t>Zawartość pyłów w kruszywie grubym</w:t>
            </w:r>
            <w:r w:rsidRPr="004853EB">
              <w:rPr>
                <w:rFonts w:eastAsia="Calibri" w:cstheme="minorHAnsi"/>
                <w:sz w:val="20"/>
                <w:szCs w:val="20"/>
                <w:vertAlign w:val="superscript"/>
              </w:rPr>
              <w:t>*)</w:t>
            </w:r>
          </w:p>
        </w:tc>
        <w:tc>
          <w:tcPr>
            <w:tcW w:w="1134" w:type="dxa"/>
          </w:tcPr>
          <w:p w14:paraId="5E56A9B4"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PN-EN</w:t>
            </w:r>
          </w:p>
          <w:p w14:paraId="3DB9445E"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933-1 [5]</w:t>
            </w:r>
          </w:p>
        </w:tc>
        <w:tc>
          <w:tcPr>
            <w:tcW w:w="929" w:type="dxa"/>
          </w:tcPr>
          <w:p w14:paraId="0780AC29"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4.6</w:t>
            </w:r>
          </w:p>
        </w:tc>
        <w:tc>
          <w:tcPr>
            <w:tcW w:w="4061" w:type="dxa"/>
          </w:tcPr>
          <w:p w14:paraId="6E59447C" w14:textId="3D1DE5B0"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xml:space="preserve">Kat. </w:t>
            </w:r>
            <w:proofErr w:type="spellStart"/>
            <w:r w:rsidR="004F465D" w:rsidRPr="004853EB">
              <w:rPr>
                <w:rFonts w:eastAsia="Calibri" w:cstheme="minorHAnsi"/>
                <w:sz w:val="20"/>
                <w:szCs w:val="20"/>
              </w:rPr>
              <w:t>f</w:t>
            </w:r>
            <w:r w:rsidR="004F465D" w:rsidRPr="004853EB">
              <w:rPr>
                <w:rFonts w:eastAsia="Calibri" w:cstheme="minorHAnsi"/>
                <w:sz w:val="20"/>
                <w:szCs w:val="20"/>
                <w:vertAlign w:val="subscript"/>
              </w:rPr>
              <w:t>Dekl</w:t>
            </w:r>
            <w:proofErr w:type="spellEnd"/>
            <w:r w:rsidR="004F465D" w:rsidRPr="004853EB">
              <w:rPr>
                <w:rFonts w:eastAsia="Calibri" w:cstheme="minorHAnsi"/>
                <w:sz w:val="20"/>
                <w:szCs w:val="20"/>
              </w:rPr>
              <w:t xml:space="preserve"> (</w:t>
            </w:r>
            <w:r w:rsidRPr="004853EB">
              <w:rPr>
                <w:rFonts w:eastAsia="Calibri" w:cstheme="minorHAnsi"/>
                <w:sz w:val="20"/>
                <w:szCs w:val="20"/>
              </w:rPr>
              <w:t>tj. masa frakcji przechodzącej przez sito 0,063 mm jest &gt; 4)</w:t>
            </w:r>
          </w:p>
        </w:tc>
      </w:tr>
      <w:tr w:rsidR="00CC1EF4" w:rsidRPr="004853EB" w14:paraId="4D3F93AF" w14:textId="77777777" w:rsidTr="004F465D">
        <w:tc>
          <w:tcPr>
            <w:tcW w:w="3085" w:type="dxa"/>
          </w:tcPr>
          <w:p w14:paraId="68D33DCA" w14:textId="3C675963" w:rsidR="00CC1EF4" w:rsidRPr="004853EB" w:rsidRDefault="00CC1EF4" w:rsidP="00CC1EF4">
            <w:pPr>
              <w:spacing w:after="0" w:line="240" w:lineRule="auto"/>
              <w:rPr>
                <w:rFonts w:eastAsia="Calibri" w:cstheme="minorHAnsi"/>
                <w:sz w:val="20"/>
                <w:szCs w:val="20"/>
                <w:vertAlign w:val="superscript"/>
              </w:rPr>
            </w:pPr>
            <w:r w:rsidRPr="004853EB">
              <w:rPr>
                <w:rFonts w:eastAsia="Calibri" w:cstheme="minorHAnsi"/>
                <w:sz w:val="20"/>
                <w:szCs w:val="20"/>
              </w:rPr>
              <w:t>Zawartość pyłów</w:t>
            </w:r>
            <w:r w:rsidRPr="004853EB">
              <w:rPr>
                <w:rFonts w:eastAsia="Calibri" w:cstheme="minorHAnsi"/>
                <w:sz w:val="20"/>
                <w:szCs w:val="20"/>
                <w:vertAlign w:val="superscript"/>
              </w:rPr>
              <w:t xml:space="preserve">  </w:t>
            </w:r>
            <w:r w:rsidRPr="004853EB">
              <w:rPr>
                <w:rFonts w:eastAsia="Calibri" w:cstheme="minorHAnsi"/>
                <w:sz w:val="20"/>
                <w:szCs w:val="20"/>
              </w:rPr>
              <w:t xml:space="preserve"> </w:t>
            </w:r>
            <w:r w:rsidR="004F465D" w:rsidRPr="004853EB">
              <w:rPr>
                <w:rFonts w:eastAsia="Calibri" w:cstheme="minorHAnsi"/>
                <w:sz w:val="20"/>
                <w:szCs w:val="20"/>
              </w:rPr>
              <w:t>w kruszywie</w:t>
            </w:r>
            <w:r w:rsidRPr="004853EB">
              <w:rPr>
                <w:rFonts w:eastAsia="Calibri" w:cstheme="minorHAnsi"/>
                <w:sz w:val="20"/>
                <w:szCs w:val="20"/>
              </w:rPr>
              <w:t xml:space="preserve"> drob</w:t>
            </w:r>
            <w:r w:rsidRPr="004853EB">
              <w:rPr>
                <w:rFonts w:eastAsia="Calibri" w:cstheme="minorHAnsi"/>
                <w:sz w:val="20"/>
                <w:szCs w:val="20"/>
              </w:rPr>
              <w:softHyphen/>
              <w:t>nym</w:t>
            </w:r>
            <w:r w:rsidRPr="004853EB">
              <w:rPr>
                <w:rFonts w:eastAsia="Calibri" w:cstheme="minorHAnsi"/>
                <w:sz w:val="20"/>
                <w:szCs w:val="20"/>
                <w:vertAlign w:val="superscript"/>
              </w:rPr>
              <w:t>*)</w:t>
            </w:r>
          </w:p>
        </w:tc>
        <w:tc>
          <w:tcPr>
            <w:tcW w:w="1134" w:type="dxa"/>
          </w:tcPr>
          <w:p w14:paraId="0AF66E4A"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xml:space="preserve">PN-EN   </w:t>
            </w:r>
          </w:p>
          <w:p w14:paraId="2AF1C2AF"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xml:space="preserve">933-1 [5] </w:t>
            </w:r>
          </w:p>
        </w:tc>
        <w:tc>
          <w:tcPr>
            <w:tcW w:w="929" w:type="dxa"/>
          </w:tcPr>
          <w:p w14:paraId="17C67716"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4.6</w:t>
            </w:r>
          </w:p>
        </w:tc>
        <w:tc>
          <w:tcPr>
            <w:tcW w:w="4061" w:type="dxa"/>
          </w:tcPr>
          <w:p w14:paraId="33D353B8" w14:textId="66D69F62"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xml:space="preserve">Kat. </w:t>
            </w:r>
            <w:proofErr w:type="spellStart"/>
            <w:r w:rsidR="004F465D" w:rsidRPr="004853EB">
              <w:rPr>
                <w:rFonts w:eastAsia="Calibri" w:cstheme="minorHAnsi"/>
                <w:sz w:val="20"/>
                <w:szCs w:val="20"/>
              </w:rPr>
              <w:t>f</w:t>
            </w:r>
            <w:r w:rsidR="004F465D" w:rsidRPr="004853EB">
              <w:rPr>
                <w:rFonts w:eastAsia="Calibri" w:cstheme="minorHAnsi"/>
                <w:sz w:val="20"/>
                <w:szCs w:val="20"/>
                <w:vertAlign w:val="subscript"/>
              </w:rPr>
              <w:t>Dekl</w:t>
            </w:r>
            <w:proofErr w:type="spellEnd"/>
            <w:r w:rsidR="004F465D" w:rsidRPr="004853EB">
              <w:rPr>
                <w:rFonts w:eastAsia="Calibri" w:cstheme="minorHAnsi"/>
                <w:sz w:val="20"/>
                <w:szCs w:val="20"/>
              </w:rPr>
              <w:t xml:space="preserve"> (</w:t>
            </w:r>
            <w:r w:rsidRPr="004853EB">
              <w:rPr>
                <w:rFonts w:eastAsia="Calibri" w:cstheme="minorHAnsi"/>
                <w:sz w:val="20"/>
                <w:szCs w:val="20"/>
              </w:rPr>
              <w:t>tj. masa frakcji przechodzącej przez sito 0,063 mm jest &gt; 22)</w:t>
            </w:r>
          </w:p>
        </w:tc>
      </w:tr>
      <w:tr w:rsidR="00CC1EF4" w:rsidRPr="004853EB" w14:paraId="619E3217" w14:textId="77777777" w:rsidTr="004F465D">
        <w:tc>
          <w:tcPr>
            <w:tcW w:w="3085" w:type="dxa"/>
          </w:tcPr>
          <w:p w14:paraId="1B117240"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Jakość pyłów</w:t>
            </w:r>
          </w:p>
        </w:tc>
        <w:tc>
          <w:tcPr>
            <w:tcW w:w="1134" w:type="dxa"/>
          </w:tcPr>
          <w:p w14:paraId="0758B448"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w:t>
            </w:r>
          </w:p>
        </w:tc>
        <w:tc>
          <w:tcPr>
            <w:tcW w:w="929" w:type="dxa"/>
          </w:tcPr>
          <w:p w14:paraId="7108D604"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4.7</w:t>
            </w:r>
          </w:p>
        </w:tc>
        <w:tc>
          <w:tcPr>
            <w:tcW w:w="4061" w:type="dxa"/>
          </w:tcPr>
          <w:p w14:paraId="7B074991"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Właściwość niebadana na pojedynczych frakcjach, a tylko w mieszankach wg wymagań dla mieszanek</w:t>
            </w:r>
          </w:p>
        </w:tc>
      </w:tr>
      <w:tr w:rsidR="00CC1EF4" w:rsidRPr="004853EB" w14:paraId="158F3BB5" w14:textId="77777777" w:rsidTr="004F465D">
        <w:tc>
          <w:tcPr>
            <w:tcW w:w="3085" w:type="dxa"/>
          </w:tcPr>
          <w:p w14:paraId="0CF48449"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Odporność na rozdrabnianie kruszywa grubego</w:t>
            </w:r>
          </w:p>
        </w:tc>
        <w:tc>
          <w:tcPr>
            <w:tcW w:w="1134" w:type="dxa"/>
          </w:tcPr>
          <w:p w14:paraId="1B839586"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xml:space="preserve">PN-EN </w:t>
            </w:r>
          </w:p>
          <w:p w14:paraId="220C0794"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xml:space="preserve">1097-2 [10] </w:t>
            </w:r>
          </w:p>
        </w:tc>
        <w:tc>
          <w:tcPr>
            <w:tcW w:w="929" w:type="dxa"/>
          </w:tcPr>
          <w:p w14:paraId="428B80B2"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5.2</w:t>
            </w:r>
          </w:p>
        </w:tc>
        <w:tc>
          <w:tcPr>
            <w:tcW w:w="4061" w:type="dxa"/>
          </w:tcPr>
          <w:p w14:paraId="7CD514E3"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Kat. LA</w:t>
            </w:r>
            <w:r w:rsidRPr="004853EB">
              <w:rPr>
                <w:rFonts w:eastAsia="Calibri" w:cstheme="minorHAnsi"/>
                <w:sz w:val="20"/>
                <w:szCs w:val="20"/>
                <w:vertAlign w:val="subscript"/>
              </w:rPr>
              <w:t>40</w:t>
            </w:r>
            <w:r w:rsidRPr="004853EB">
              <w:rPr>
                <w:rFonts w:eastAsia="Calibri" w:cstheme="minorHAnsi"/>
                <w:sz w:val="20"/>
                <w:szCs w:val="20"/>
              </w:rPr>
              <w:t xml:space="preserve"> (tj. maksymalna wartość współczynnika Los Angeles ≤ 40 </w:t>
            </w:r>
            <w:r w:rsidRPr="004853EB">
              <w:rPr>
                <w:rFonts w:eastAsia="Calibri" w:cstheme="minorHAnsi"/>
                <w:sz w:val="20"/>
                <w:szCs w:val="20"/>
                <w:vertAlign w:val="superscript"/>
              </w:rPr>
              <w:t>**)</w:t>
            </w:r>
            <w:r w:rsidRPr="004853EB">
              <w:rPr>
                <w:rFonts w:eastAsia="Calibri" w:cstheme="minorHAnsi"/>
                <w:sz w:val="20"/>
                <w:szCs w:val="20"/>
              </w:rPr>
              <w:t>)</w:t>
            </w:r>
          </w:p>
        </w:tc>
      </w:tr>
      <w:tr w:rsidR="00CC1EF4" w:rsidRPr="004853EB" w14:paraId="1A79BC0A" w14:textId="77777777" w:rsidTr="004F465D">
        <w:tc>
          <w:tcPr>
            <w:tcW w:w="3085" w:type="dxa"/>
          </w:tcPr>
          <w:p w14:paraId="32F25051"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Odporność na ścieranie kruszywa grubego</w:t>
            </w:r>
          </w:p>
        </w:tc>
        <w:tc>
          <w:tcPr>
            <w:tcW w:w="1134" w:type="dxa"/>
          </w:tcPr>
          <w:p w14:paraId="15000ACC"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xml:space="preserve">PN-EN  </w:t>
            </w:r>
          </w:p>
          <w:p w14:paraId="3DAADFA5"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xml:space="preserve">1097-1 [9] </w:t>
            </w:r>
          </w:p>
        </w:tc>
        <w:tc>
          <w:tcPr>
            <w:tcW w:w="929" w:type="dxa"/>
          </w:tcPr>
          <w:p w14:paraId="5F5284DF"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5.3</w:t>
            </w:r>
          </w:p>
        </w:tc>
        <w:tc>
          <w:tcPr>
            <w:tcW w:w="4061" w:type="dxa"/>
          </w:tcPr>
          <w:p w14:paraId="7BC0473C"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xml:space="preserve">Kat. </w:t>
            </w:r>
            <w:proofErr w:type="spellStart"/>
            <w:r w:rsidRPr="004853EB">
              <w:rPr>
                <w:rFonts w:eastAsia="Calibri" w:cstheme="minorHAnsi"/>
                <w:sz w:val="20"/>
                <w:szCs w:val="20"/>
              </w:rPr>
              <w:t>M</w:t>
            </w:r>
            <w:r w:rsidRPr="004853EB">
              <w:rPr>
                <w:rFonts w:eastAsia="Calibri" w:cstheme="minorHAnsi"/>
                <w:sz w:val="20"/>
                <w:szCs w:val="20"/>
                <w:vertAlign w:val="subscript"/>
              </w:rPr>
              <w:t>DE</w:t>
            </w:r>
            <w:r w:rsidRPr="004853EB">
              <w:rPr>
                <w:rFonts w:eastAsia="Calibri" w:cstheme="minorHAnsi"/>
                <w:sz w:val="20"/>
                <w:szCs w:val="20"/>
              </w:rPr>
              <w:t>Deklarowana</w:t>
            </w:r>
            <w:proofErr w:type="spellEnd"/>
            <w:r w:rsidRPr="004853EB">
              <w:rPr>
                <w:rFonts w:eastAsia="Calibri" w:cstheme="minorHAnsi"/>
                <w:sz w:val="20"/>
                <w:szCs w:val="20"/>
              </w:rPr>
              <w:t xml:space="preserve"> (tj. współczynnik mikro-</w:t>
            </w:r>
            <w:proofErr w:type="spellStart"/>
            <w:r w:rsidRPr="004853EB">
              <w:rPr>
                <w:rFonts w:eastAsia="Calibri" w:cstheme="minorHAnsi"/>
                <w:sz w:val="20"/>
                <w:szCs w:val="20"/>
              </w:rPr>
              <w:t>Devala</w:t>
            </w:r>
            <w:proofErr w:type="spellEnd"/>
            <w:r w:rsidRPr="004853EB">
              <w:rPr>
                <w:rFonts w:eastAsia="Calibri" w:cstheme="minorHAnsi"/>
                <w:sz w:val="20"/>
                <w:szCs w:val="20"/>
              </w:rPr>
              <w:t xml:space="preserve"> &gt;50))</w:t>
            </w:r>
          </w:p>
        </w:tc>
      </w:tr>
      <w:tr w:rsidR="00CC1EF4" w:rsidRPr="004853EB" w14:paraId="0DE061CD" w14:textId="77777777" w:rsidTr="004F465D">
        <w:tc>
          <w:tcPr>
            <w:tcW w:w="3085" w:type="dxa"/>
          </w:tcPr>
          <w:p w14:paraId="4B2F8D32"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Gęstość ziaren</w:t>
            </w:r>
          </w:p>
        </w:tc>
        <w:tc>
          <w:tcPr>
            <w:tcW w:w="1134" w:type="dxa"/>
          </w:tcPr>
          <w:p w14:paraId="7A488E87" w14:textId="492EDA98"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 xml:space="preserve">PN-EN 1097-6, </w:t>
            </w:r>
            <w:proofErr w:type="spellStart"/>
            <w:r w:rsidRPr="004853EB">
              <w:rPr>
                <w:rFonts w:eastAsia="Calibri" w:cstheme="minorHAnsi"/>
                <w:sz w:val="20"/>
                <w:szCs w:val="20"/>
              </w:rPr>
              <w:t>roz</w:t>
            </w:r>
            <w:proofErr w:type="spellEnd"/>
            <w:r w:rsidRPr="004853EB">
              <w:rPr>
                <w:rFonts w:eastAsia="Calibri" w:cstheme="minorHAnsi"/>
                <w:sz w:val="20"/>
                <w:szCs w:val="20"/>
              </w:rPr>
              <w:t>. 7, 8 i 9</w:t>
            </w:r>
            <w:r w:rsidR="004F465D">
              <w:rPr>
                <w:rFonts w:eastAsia="Calibri" w:cstheme="minorHAnsi"/>
                <w:sz w:val="20"/>
                <w:szCs w:val="20"/>
              </w:rPr>
              <w:t xml:space="preserve"> </w:t>
            </w:r>
            <w:r w:rsidRPr="004853EB">
              <w:rPr>
                <w:rFonts w:eastAsia="Calibri" w:cstheme="minorHAnsi"/>
                <w:sz w:val="20"/>
                <w:szCs w:val="20"/>
              </w:rPr>
              <w:t>[11]</w:t>
            </w:r>
          </w:p>
        </w:tc>
        <w:tc>
          <w:tcPr>
            <w:tcW w:w="929" w:type="dxa"/>
          </w:tcPr>
          <w:p w14:paraId="4C90C94D"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5.4</w:t>
            </w:r>
          </w:p>
        </w:tc>
        <w:tc>
          <w:tcPr>
            <w:tcW w:w="4061" w:type="dxa"/>
          </w:tcPr>
          <w:p w14:paraId="69877D57"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Deklarowana</w:t>
            </w:r>
          </w:p>
        </w:tc>
      </w:tr>
      <w:tr w:rsidR="00CC1EF4" w:rsidRPr="004853EB" w14:paraId="4DA2D294" w14:textId="77777777" w:rsidTr="004F465D">
        <w:tc>
          <w:tcPr>
            <w:tcW w:w="3085" w:type="dxa"/>
          </w:tcPr>
          <w:p w14:paraId="7414BE3A"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lastRenderedPageBreak/>
              <w:t>Nasiąkliwość</w:t>
            </w:r>
          </w:p>
        </w:tc>
        <w:tc>
          <w:tcPr>
            <w:tcW w:w="1134" w:type="dxa"/>
          </w:tcPr>
          <w:p w14:paraId="5AD29F38"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 xml:space="preserve">PN-EN 1097-6, </w:t>
            </w:r>
            <w:proofErr w:type="spellStart"/>
            <w:r w:rsidRPr="004853EB">
              <w:rPr>
                <w:rFonts w:eastAsia="Calibri" w:cstheme="minorHAnsi"/>
                <w:sz w:val="20"/>
                <w:szCs w:val="20"/>
              </w:rPr>
              <w:t>roz</w:t>
            </w:r>
            <w:proofErr w:type="spellEnd"/>
            <w:r w:rsidRPr="004853EB">
              <w:rPr>
                <w:rFonts w:eastAsia="Calibri" w:cstheme="minorHAnsi"/>
                <w:sz w:val="20"/>
                <w:szCs w:val="20"/>
              </w:rPr>
              <w:t xml:space="preserve">. 7, 8 i 9 [11] </w:t>
            </w:r>
          </w:p>
        </w:tc>
        <w:tc>
          <w:tcPr>
            <w:tcW w:w="929" w:type="dxa"/>
          </w:tcPr>
          <w:p w14:paraId="5D3313C3"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5.5 i</w:t>
            </w:r>
          </w:p>
          <w:p w14:paraId="0B8A19AD"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7.3.2</w:t>
            </w:r>
          </w:p>
        </w:tc>
        <w:tc>
          <w:tcPr>
            <w:tcW w:w="4061" w:type="dxa"/>
          </w:tcPr>
          <w:p w14:paraId="4C07C2A9"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xml:space="preserve">Kat. </w:t>
            </w:r>
            <w:proofErr w:type="spellStart"/>
            <w:r w:rsidRPr="004853EB">
              <w:rPr>
                <w:rFonts w:eastAsia="Calibri" w:cstheme="minorHAnsi"/>
                <w:sz w:val="20"/>
                <w:szCs w:val="20"/>
              </w:rPr>
              <w:t>W</w:t>
            </w:r>
            <w:r w:rsidRPr="004853EB">
              <w:rPr>
                <w:rFonts w:eastAsia="Calibri" w:cstheme="minorHAnsi"/>
                <w:sz w:val="20"/>
                <w:szCs w:val="20"/>
                <w:vertAlign w:val="subscript"/>
              </w:rPr>
              <w:t>cm</w:t>
            </w:r>
            <w:r w:rsidRPr="004853EB">
              <w:rPr>
                <w:rFonts w:eastAsia="Calibri" w:cstheme="minorHAnsi"/>
                <w:sz w:val="20"/>
                <w:szCs w:val="20"/>
              </w:rPr>
              <w:t>NR</w:t>
            </w:r>
            <w:proofErr w:type="spellEnd"/>
            <w:r w:rsidRPr="004853EB">
              <w:rPr>
                <w:rFonts w:eastAsia="Calibri" w:cstheme="minorHAnsi"/>
                <w:sz w:val="20"/>
                <w:szCs w:val="20"/>
              </w:rPr>
              <w:t xml:space="preserve"> (tj. brak wymagania)</w:t>
            </w:r>
          </w:p>
          <w:p w14:paraId="60C3ABCD" w14:textId="3F66C5BE"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kat. WA</w:t>
            </w:r>
            <w:r w:rsidRPr="004853EB">
              <w:rPr>
                <w:rFonts w:eastAsia="Calibri" w:cstheme="minorHAnsi"/>
                <w:sz w:val="20"/>
                <w:szCs w:val="20"/>
                <w:vertAlign w:val="subscript"/>
              </w:rPr>
              <w:t>24</w:t>
            </w:r>
            <w:r w:rsidRPr="004853EB">
              <w:rPr>
                <w:rFonts w:eastAsia="Calibri" w:cstheme="minorHAnsi"/>
                <w:sz w:val="20"/>
                <w:szCs w:val="20"/>
              </w:rPr>
              <w:t>2</w:t>
            </w:r>
            <w:r w:rsidRPr="004853EB">
              <w:rPr>
                <w:rFonts w:eastAsia="Calibri" w:cstheme="minorHAnsi"/>
                <w:sz w:val="20"/>
                <w:szCs w:val="20"/>
                <w:vertAlign w:val="superscript"/>
              </w:rPr>
              <w:t>***</w:t>
            </w:r>
            <w:r w:rsidR="004F465D" w:rsidRPr="004853EB">
              <w:rPr>
                <w:rFonts w:eastAsia="Calibri" w:cstheme="minorHAnsi"/>
                <w:sz w:val="20"/>
                <w:szCs w:val="20"/>
                <w:vertAlign w:val="superscript"/>
              </w:rPr>
              <w:t xml:space="preserve">) </w:t>
            </w:r>
            <w:r w:rsidR="004F465D" w:rsidRPr="004853EB">
              <w:rPr>
                <w:rFonts w:eastAsia="Calibri" w:cstheme="minorHAnsi"/>
                <w:sz w:val="20"/>
                <w:szCs w:val="20"/>
              </w:rPr>
              <w:t>(</w:t>
            </w:r>
            <w:r w:rsidRPr="004853EB">
              <w:rPr>
                <w:rFonts w:eastAsia="Calibri" w:cstheme="minorHAnsi"/>
                <w:sz w:val="20"/>
                <w:szCs w:val="20"/>
              </w:rPr>
              <w:t xml:space="preserve">tj. maksymalna wartość </w:t>
            </w:r>
            <w:r w:rsidR="004F465D" w:rsidRPr="004853EB">
              <w:rPr>
                <w:rFonts w:eastAsia="Calibri" w:cstheme="minorHAnsi"/>
                <w:sz w:val="20"/>
                <w:szCs w:val="20"/>
              </w:rPr>
              <w:t>nasiąkliwości ≤</w:t>
            </w:r>
            <w:r w:rsidRPr="004853EB">
              <w:rPr>
                <w:rFonts w:eastAsia="Calibri" w:cstheme="minorHAnsi"/>
                <w:sz w:val="20"/>
                <w:szCs w:val="20"/>
              </w:rPr>
              <w:t>2% masy)</w:t>
            </w:r>
          </w:p>
        </w:tc>
      </w:tr>
      <w:tr w:rsidR="00CC1EF4" w:rsidRPr="004853EB" w14:paraId="1AD12A33" w14:textId="77777777" w:rsidTr="004F465D">
        <w:tc>
          <w:tcPr>
            <w:tcW w:w="3085" w:type="dxa"/>
          </w:tcPr>
          <w:p w14:paraId="7A75624F"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Siarczany rozpuszczalne w kwasie</w:t>
            </w:r>
          </w:p>
        </w:tc>
        <w:tc>
          <w:tcPr>
            <w:tcW w:w="1134" w:type="dxa"/>
          </w:tcPr>
          <w:p w14:paraId="04497C25"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PN-EN</w:t>
            </w:r>
          </w:p>
          <w:p w14:paraId="122C4C45"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 xml:space="preserve">1744-1[14] </w:t>
            </w:r>
          </w:p>
        </w:tc>
        <w:tc>
          <w:tcPr>
            <w:tcW w:w="929" w:type="dxa"/>
          </w:tcPr>
          <w:p w14:paraId="4876A8B7"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6.2</w:t>
            </w:r>
          </w:p>
        </w:tc>
        <w:tc>
          <w:tcPr>
            <w:tcW w:w="4061" w:type="dxa"/>
          </w:tcPr>
          <w:p w14:paraId="0B33506C" w14:textId="54C6E560"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Kat. AS</w:t>
            </w:r>
            <w:r w:rsidRPr="004853EB">
              <w:rPr>
                <w:rFonts w:eastAsia="Calibri" w:cstheme="minorHAnsi"/>
                <w:sz w:val="20"/>
                <w:szCs w:val="20"/>
                <w:vertAlign w:val="subscript"/>
              </w:rPr>
              <w:t>NR</w:t>
            </w:r>
            <w:r w:rsidR="004F465D" w:rsidRPr="004853EB">
              <w:rPr>
                <w:rFonts w:eastAsia="Calibri" w:cstheme="minorHAnsi"/>
                <w:sz w:val="20"/>
                <w:szCs w:val="20"/>
                <w:vertAlign w:val="subscript"/>
              </w:rPr>
              <w:t xml:space="preserve"> (</w:t>
            </w:r>
            <w:r w:rsidRPr="004853EB">
              <w:rPr>
                <w:rFonts w:eastAsia="Calibri" w:cstheme="minorHAnsi"/>
                <w:sz w:val="20"/>
                <w:szCs w:val="20"/>
              </w:rPr>
              <w:t>tj. brak wymagania)</w:t>
            </w:r>
          </w:p>
          <w:p w14:paraId="4AA0EDD7" w14:textId="77777777" w:rsidR="00CC1EF4" w:rsidRPr="004853EB" w:rsidRDefault="00CC1EF4" w:rsidP="00CC1EF4">
            <w:pPr>
              <w:spacing w:after="0" w:line="240" w:lineRule="auto"/>
              <w:jc w:val="both"/>
              <w:rPr>
                <w:rFonts w:eastAsia="Calibri" w:cstheme="minorHAnsi"/>
                <w:sz w:val="20"/>
                <w:szCs w:val="20"/>
              </w:rPr>
            </w:pPr>
          </w:p>
        </w:tc>
      </w:tr>
      <w:tr w:rsidR="00CC1EF4" w:rsidRPr="004853EB" w14:paraId="160F5856" w14:textId="77777777" w:rsidTr="004F465D">
        <w:tc>
          <w:tcPr>
            <w:tcW w:w="3085" w:type="dxa"/>
          </w:tcPr>
          <w:p w14:paraId="654C98E1"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Całkowita zawartość siarki</w:t>
            </w:r>
          </w:p>
        </w:tc>
        <w:tc>
          <w:tcPr>
            <w:tcW w:w="1134" w:type="dxa"/>
          </w:tcPr>
          <w:p w14:paraId="4691CBFA"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 xml:space="preserve">PN-EN </w:t>
            </w:r>
          </w:p>
          <w:p w14:paraId="624B004C"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 xml:space="preserve">1744-1[14] </w:t>
            </w:r>
          </w:p>
        </w:tc>
        <w:tc>
          <w:tcPr>
            <w:tcW w:w="929" w:type="dxa"/>
          </w:tcPr>
          <w:p w14:paraId="72575293"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6.3</w:t>
            </w:r>
          </w:p>
        </w:tc>
        <w:tc>
          <w:tcPr>
            <w:tcW w:w="4061" w:type="dxa"/>
          </w:tcPr>
          <w:p w14:paraId="1B07D1FB"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Kat. S</w:t>
            </w:r>
            <w:r w:rsidRPr="004853EB">
              <w:rPr>
                <w:rFonts w:eastAsia="Calibri" w:cstheme="minorHAnsi"/>
                <w:sz w:val="20"/>
                <w:szCs w:val="20"/>
                <w:vertAlign w:val="subscript"/>
              </w:rPr>
              <w:t>NR</w:t>
            </w:r>
            <w:r w:rsidRPr="004853EB">
              <w:rPr>
                <w:rFonts w:eastAsia="Calibri" w:cstheme="minorHAnsi"/>
                <w:sz w:val="20"/>
                <w:szCs w:val="20"/>
              </w:rPr>
              <w:t xml:space="preserve"> (tj. brak wymagania)</w:t>
            </w:r>
          </w:p>
        </w:tc>
      </w:tr>
      <w:tr w:rsidR="00CC1EF4" w:rsidRPr="004853EB" w14:paraId="7AD33127" w14:textId="77777777" w:rsidTr="004F465D">
        <w:tc>
          <w:tcPr>
            <w:tcW w:w="3085" w:type="dxa"/>
          </w:tcPr>
          <w:p w14:paraId="65BCA006"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Składniki rozpuszczalne w wodzie</w:t>
            </w:r>
          </w:p>
        </w:tc>
        <w:tc>
          <w:tcPr>
            <w:tcW w:w="1134" w:type="dxa"/>
          </w:tcPr>
          <w:p w14:paraId="1053FCA5"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PN-EN 1744-3 [15]</w:t>
            </w:r>
          </w:p>
        </w:tc>
        <w:tc>
          <w:tcPr>
            <w:tcW w:w="929" w:type="dxa"/>
          </w:tcPr>
          <w:p w14:paraId="01100017"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6.4.3</w:t>
            </w:r>
          </w:p>
        </w:tc>
        <w:tc>
          <w:tcPr>
            <w:tcW w:w="4061" w:type="dxa"/>
          </w:tcPr>
          <w:p w14:paraId="5DE02408"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Brak substancji szkodliwych w stosunku do środowiska wg odrębnych przepisów</w:t>
            </w:r>
          </w:p>
        </w:tc>
      </w:tr>
      <w:tr w:rsidR="00CC1EF4" w:rsidRPr="004853EB" w14:paraId="4BE41E33" w14:textId="77777777" w:rsidTr="004F465D">
        <w:tc>
          <w:tcPr>
            <w:tcW w:w="3085" w:type="dxa"/>
          </w:tcPr>
          <w:p w14:paraId="1311A034"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Zanieczyszczenia</w:t>
            </w:r>
          </w:p>
        </w:tc>
        <w:tc>
          <w:tcPr>
            <w:tcW w:w="1134" w:type="dxa"/>
          </w:tcPr>
          <w:p w14:paraId="263BA842"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w:t>
            </w:r>
          </w:p>
        </w:tc>
        <w:tc>
          <w:tcPr>
            <w:tcW w:w="929" w:type="dxa"/>
          </w:tcPr>
          <w:p w14:paraId="59B2BCBF"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6.4.4</w:t>
            </w:r>
          </w:p>
        </w:tc>
        <w:tc>
          <w:tcPr>
            <w:tcW w:w="4061" w:type="dxa"/>
          </w:tcPr>
          <w:p w14:paraId="38FFE43F"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Brak ciał obcych takich jak drewno, szkło i plastik, mogących pogorszyć wyrób końcowy</w:t>
            </w:r>
          </w:p>
        </w:tc>
      </w:tr>
      <w:tr w:rsidR="00CC1EF4" w:rsidRPr="004853EB" w14:paraId="47BD2ADB" w14:textId="77777777" w:rsidTr="004F465D">
        <w:tc>
          <w:tcPr>
            <w:tcW w:w="3085" w:type="dxa"/>
          </w:tcPr>
          <w:p w14:paraId="09677827"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Zgorzel słoneczna bazaltu</w:t>
            </w:r>
          </w:p>
        </w:tc>
        <w:tc>
          <w:tcPr>
            <w:tcW w:w="1134" w:type="dxa"/>
          </w:tcPr>
          <w:p w14:paraId="617919AD"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PN-EN 1367-3[13] i PN-EN 1097-2 [10]</w:t>
            </w:r>
          </w:p>
        </w:tc>
        <w:tc>
          <w:tcPr>
            <w:tcW w:w="929" w:type="dxa"/>
          </w:tcPr>
          <w:p w14:paraId="7DDAF3CF"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7.2</w:t>
            </w:r>
          </w:p>
        </w:tc>
        <w:tc>
          <w:tcPr>
            <w:tcW w:w="4061" w:type="dxa"/>
          </w:tcPr>
          <w:p w14:paraId="53C856F7"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Kat. SB</w:t>
            </w:r>
            <w:r w:rsidRPr="004853EB">
              <w:rPr>
                <w:rFonts w:eastAsia="Calibri" w:cstheme="minorHAnsi"/>
                <w:sz w:val="20"/>
                <w:szCs w:val="20"/>
                <w:vertAlign w:val="subscript"/>
              </w:rPr>
              <w:t>LA Deklarowana</w:t>
            </w:r>
            <w:r w:rsidRPr="004853EB">
              <w:rPr>
                <w:rFonts w:eastAsia="Calibri" w:cstheme="minorHAnsi"/>
                <w:sz w:val="20"/>
                <w:szCs w:val="20"/>
              </w:rPr>
              <w:t xml:space="preserve"> (tj. wzrost współczynnika Los Angeles po gotowaniu &gt; 8%)</w:t>
            </w:r>
          </w:p>
        </w:tc>
      </w:tr>
      <w:tr w:rsidR="00CC1EF4" w:rsidRPr="004853EB" w14:paraId="28670416" w14:textId="77777777" w:rsidTr="004F465D">
        <w:tc>
          <w:tcPr>
            <w:tcW w:w="3085" w:type="dxa"/>
          </w:tcPr>
          <w:p w14:paraId="3F21E754"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Mrozoodporność na frakcji kruszy-</w:t>
            </w:r>
            <w:r w:rsidRPr="004853EB">
              <w:rPr>
                <w:rFonts w:eastAsia="Calibri" w:cstheme="minorHAnsi"/>
                <w:sz w:val="20"/>
                <w:szCs w:val="20"/>
              </w:rPr>
              <w:br/>
            </w:r>
            <w:proofErr w:type="spellStart"/>
            <w:r w:rsidRPr="004853EB">
              <w:rPr>
                <w:rFonts w:eastAsia="Calibri" w:cstheme="minorHAnsi"/>
                <w:sz w:val="20"/>
                <w:szCs w:val="20"/>
              </w:rPr>
              <w:t>wa</w:t>
            </w:r>
            <w:proofErr w:type="spellEnd"/>
            <w:r w:rsidRPr="004853EB">
              <w:rPr>
                <w:rFonts w:eastAsia="Calibri" w:cstheme="minorHAnsi"/>
                <w:sz w:val="20"/>
                <w:szCs w:val="20"/>
              </w:rPr>
              <w:t xml:space="preserve">  8/16 mm  </w:t>
            </w:r>
          </w:p>
        </w:tc>
        <w:tc>
          <w:tcPr>
            <w:tcW w:w="1134" w:type="dxa"/>
          </w:tcPr>
          <w:p w14:paraId="12B45E34"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PN-EN 1367-1 [12]</w:t>
            </w:r>
          </w:p>
        </w:tc>
        <w:tc>
          <w:tcPr>
            <w:tcW w:w="929" w:type="dxa"/>
          </w:tcPr>
          <w:p w14:paraId="2C8EBED1"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7.3.3</w:t>
            </w:r>
          </w:p>
        </w:tc>
        <w:tc>
          <w:tcPr>
            <w:tcW w:w="4061" w:type="dxa"/>
          </w:tcPr>
          <w:p w14:paraId="7B3B2E2A"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Skały magmowe i przeobrażone: kat. F</w:t>
            </w:r>
            <w:r w:rsidRPr="004853EB">
              <w:rPr>
                <w:rFonts w:eastAsia="Calibri" w:cstheme="minorHAnsi"/>
                <w:sz w:val="20"/>
                <w:szCs w:val="20"/>
                <w:vertAlign w:val="subscript"/>
              </w:rPr>
              <w:t>4</w:t>
            </w:r>
            <w:r w:rsidRPr="004853EB">
              <w:rPr>
                <w:rFonts w:eastAsia="Calibri" w:cstheme="minorHAnsi"/>
                <w:sz w:val="20"/>
                <w:szCs w:val="20"/>
              </w:rPr>
              <w:t xml:space="preserve"> (tj. zamrażanie-rozmrażanie ≤ 4% masy), skały osadowe: kat. F</w:t>
            </w:r>
            <w:r w:rsidRPr="004853EB">
              <w:rPr>
                <w:rFonts w:eastAsia="Calibri" w:cstheme="minorHAnsi"/>
                <w:sz w:val="20"/>
                <w:szCs w:val="20"/>
                <w:vertAlign w:val="subscript"/>
              </w:rPr>
              <w:t>10</w:t>
            </w:r>
            <w:r w:rsidRPr="004853EB">
              <w:rPr>
                <w:rFonts w:eastAsia="Calibri" w:cstheme="minorHAnsi"/>
                <w:sz w:val="20"/>
                <w:szCs w:val="20"/>
              </w:rPr>
              <w:t>, kruszywa z recyklingu: kat. F</w:t>
            </w:r>
            <w:r w:rsidRPr="004853EB">
              <w:rPr>
                <w:rFonts w:eastAsia="Calibri" w:cstheme="minorHAnsi"/>
                <w:sz w:val="20"/>
                <w:szCs w:val="20"/>
                <w:vertAlign w:val="subscript"/>
              </w:rPr>
              <w:t>10</w:t>
            </w:r>
            <w:r w:rsidRPr="004853EB">
              <w:rPr>
                <w:rFonts w:eastAsia="Calibri" w:cstheme="minorHAnsi"/>
                <w:sz w:val="20"/>
                <w:szCs w:val="20"/>
              </w:rPr>
              <w:t xml:space="preserve"> (F</w:t>
            </w:r>
            <w:r w:rsidRPr="004853EB">
              <w:rPr>
                <w:rFonts w:eastAsia="Calibri" w:cstheme="minorHAnsi"/>
                <w:sz w:val="20"/>
                <w:szCs w:val="20"/>
                <w:vertAlign w:val="subscript"/>
              </w:rPr>
              <w:t>25</w:t>
            </w:r>
            <w:r w:rsidRPr="004853EB">
              <w:rPr>
                <w:rFonts w:eastAsia="Calibri" w:cstheme="minorHAnsi"/>
                <w:sz w:val="20"/>
                <w:szCs w:val="20"/>
              </w:rPr>
              <w:t>****)</w:t>
            </w:r>
          </w:p>
        </w:tc>
      </w:tr>
      <w:tr w:rsidR="00CC1EF4" w:rsidRPr="004853EB" w14:paraId="7E02D80F" w14:textId="77777777" w:rsidTr="004F465D">
        <w:tc>
          <w:tcPr>
            <w:tcW w:w="3085" w:type="dxa"/>
          </w:tcPr>
          <w:p w14:paraId="1314792A"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Skład materiałowy</w:t>
            </w:r>
          </w:p>
        </w:tc>
        <w:tc>
          <w:tcPr>
            <w:tcW w:w="1134" w:type="dxa"/>
          </w:tcPr>
          <w:p w14:paraId="13790A71"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w:t>
            </w:r>
          </w:p>
        </w:tc>
        <w:tc>
          <w:tcPr>
            <w:tcW w:w="929" w:type="dxa"/>
          </w:tcPr>
          <w:p w14:paraId="25923DC9"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Zał. C</w:t>
            </w:r>
          </w:p>
          <w:p w14:paraId="76590C5A" w14:textId="77777777" w:rsidR="00CC1EF4" w:rsidRPr="004853EB" w:rsidRDefault="00CC1EF4" w:rsidP="00CC1EF4">
            <w:pPr>
              <w:spacing w:after="0" w:line="240" w:lineRule="auto"/>
              <w:jc w:val="both"/>
              <w:rPr>
                <w:rFonts w:eastAsia="Calibri" w:cstheme="minorHAnsi"/>
                <w:sz w:val="20"/>
                <w:szCs w:val="20"/>
              </w:rPr>
            </w:pPr>
          </w:p>
        </w:tc>
        <w:tc>
          <w:tcPr>
            <w:tcW w:w="4061" w:type="dxa"/>
          </w:tcPr>
          <w:p w14:paraId="513BCBB6"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Deklarowany</w:t>
            </w:r>
          </w:p>
        </w:tc>
      </w:tr>
      <w:tr w:rsidR="00CC1EF4" w:rsidRPr="004853EB" w14:paraId="61A47364" w14:textId="77777777" w:rsidTr="004F465D">
        <w:tc>
          <w:tcPr>
            <w:tcW w:w="3085" w:type="dxa"/>
          </w:tcPr>
          <w:p w14:paraId="4E27BA93"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Istotne cechy środowiskowe</w:t>
            </w:r>
          </w:p>
        </w:tc>
        <w:tc>
          <w:tcPr>
            <w:tcW w:w="1134" w:type="dxa"/>
          </w:tcPr>
          <w:p w14:paraId="652D6E72"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w:t>
            </w:r>
          </w:p>
        </w:tc>
        <w:tc>
          <w:tcPr>
            <w:tcW w:w="929" w:type="dxa"/>
          </w:tcPr>
          <w:p w14:paraId="1AF2EB7A"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Zał. C</w:t>
            </w:r>
          </w:p>
          <w:p w14:paraId="7440558C"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pkt</w:t>
            </w:r>
          </w:p>
          <w:p w14:paraId="631EDED5"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C.3.4</w:t>
            </w:r>
          </w:p>
        </w:tc>
        <w:tc>
          <w:tcPr>
            <w:tcW w:w="4061" w:type="dxa"/>
          </w:tcPr>
          <w:p w14:paraId="32577EB3"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r w:rsidR="00CC1EF4" w:rsidRPr="004853EB" w14:paraId="33644AE6" w14:textId="77777777" w:rsidTr="004F465D">
        <w:tc>
          <w:tcPr>
            <w:tcW w:w="9209" w:type="dxa"/>
            <w:gridSpan w:val="4"/>
          </w:tcPr>
          <w:p w14:paraId="7CEB9F69"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Łączna zawartość pyłów w mieszance powinna się mieścić w wybranych krzywych granicznych</w:t>
            </w:r>
          </w:p>
          <w:p w14:paraId="764F8869" w14:textId="5562A283"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xml:space="preserve">**)     Do </w:t>
            </w:r>
            <w:r w:rsidR="004F465D" w:rsidRPr="004853EB">
              <w:rPr>
                <w:rFonts w:eastAsia="Calibri" w:cstheme="minorHAnsi"/>
                <w:sz w:val="20"/>
                <w:szCs w:val="20"/>
              </w:rPr>
              <w:t>warstw podbudów</w:t>
            </w:r>
            <w:r w:rsidRPr="004853EB">
              <w:rPr>
                <w:rFonts w:eastAsia="Calibri" w:cstheme="minorHAnsi"/>
                <w:sz w:val="20"/>
                <w:szCs w:val="20"/>
              </w:rPr>
              <w:t xml:space="preserve"> zasadniczych na drogach obciążonych ruchem KR5-KR</w:t>
            </w:r>
            <w:r w:rsidR="004F465D" w:rsidRPr="004853EB">
              <w:rPr>
                <w:rFonts w:eastAsia="Calibri" w:cstheme="minorHAnsi"/>
                <w:sz w:val="20"/>
                <w:szCs w:val="20"/>
              </w:rPr>
              <w:t>6 dopuszcza się</w:t>
            </w:r>
            <w:r w:rsidRPr="004853EB">
              <w:rPr>
                <w:rFonts w:eastAsia="Calibri" w:cstheme="minorHAnsi"/>
                <w:sz w:val="20"/>
                <w:szCs w:val="20"/>
              </w:rPr>
              <w:t xml:space="preserve"> jedynie kruszywa</w:t>
            </w:r>
          </w:p>
          <w:p w14:paraId="64311B5B"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xml:space="preserve">           charakteryzujące się odpornością na rozdrabnianie LA≤35   </w:t>
            </w:r>
          </w:p>
          <w:p w14:paraId="4AF34B99"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W przypadku, gdy wymaganie nie jest spełnione, należy sprawdzić mrozoodporność</w:t>
            </w:r>
          </w:p>
          <w:p w14:paraId="72A808BE" w14:textId="757CBDBE"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w:t>
            </w:r>
            <w:r w:rsidR="004F465D" w:rsidRPr="004853EB">
              <w:rPr>
                <w:rFonts w:eastAsia="Calibri" w:cstheme="minorHAnsi"/>
                <w:sz w:val="20"/>
                <w:szCs w:val="20"/>
              </w:rPr>
              <w:t>) Pod</w:t>
            </w:r>
            <w:r w:rsidRPr="004853EB">
              <w:rPr>
                <w:rFonts w:eastAsia="Calibri" w:cstheme="minorHAnsi"/>
                <w:sz w:val="20"/>
                <w:szCs w:val="20"/>
              </w:rPr>
              <w:t xml:space="preserve"> warunkiem, gdy zawartość w mieszance nie przekracza 50% m/m</w:t>
            </w:r>
          </w:p>
        </w:tc>
      </w:tr>
    </w:tbl>
    <w:p w14:paraId="299A265C" w14:textId="77777777" w:rsidR="00CC1EF4" w:rsidRPr="004853EB" w:rsidRDefault="00CC1EF4" w:rsidP="00CC1EF4">
      <w:pPr>
        <w:spacing w:before="120" w:after="120" w:line="240" w:lineRule="auto"/>
        <w:jc w:val="both"/>
        <w:rPr>
          <w:rFonts w:eastAsia="Calibri" w:cstheme="minorHAnsi"/>
          <w:sz w:val="20"/>
          <w:szCs w:val="20"/>
        </w:rPr>
      </w:pPr>
      <w:r w:rsidRPr="004853EB">
        <w:rPr>
          <w:rFonts w:eastAsia="Calibri" w:cstheme="minorHAnsi"/>
          <w:b/>
          <w:sz w:val="20"/>
          <w:szCs w:val="20"/>
        </w:rPr>
        <w:t xml:space="preserve">2.2.4. </w:t>
      </w:r>
      <w:r w:rsidRPr="004853EB">
        <w:rPr>
          <w:rFonts w:eastAsia="Calibri" w:cstheme="minorHAnsi"/>
          <w:sz w:val="20"/>
          <w:szCs w:val="20"/>
        </w:rPr>
        <w:t>Woda do zraszania kruszywa</w:t>
      </w:r>
    </w:p>
    <w:p w14:paraId="19BE51DE"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ab/>
        <w:t>Do zraszania kruszywa należy stosować wodę nie zawierającą składników wpływających szkodliwie na mieszankę kruszywa, ale umożliwiającą właściwe zagęszczenie mieszanki niezwiązanej.</w:t>
      </w:r>
    </w:p>
    <w:p w14:paraId="35577F33"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935" w:name="_Toc194476908"/>
      <w:bookmarkStart w:id="2936" w:name="_Toc227760199"/>
      <w:bookmarkStart w:id="2937" w:name="_Toc227825346"/>
      <w:r w:rsidRPr="004853EB">
        <w:rPr>
          <w:rFonts w:eastAsia="Times New Roman" w:cstheme="minorHAnsi"/>
          <w:b/>
          <w:caps/>
          <w:kern w:val="28"/>
          <w:sz w:val="20"/>
          <w:szCs w:val="20"/>
          <w:lang w:eastAsia="pl-PL"/>
        </w:rPr>
        <w:t>3. Sprzęt</w:t>
      </w:r>
      <w:bookmarkEnd w:id="2935"/>
      <w:bookmarkEnd w:id="2936"/>
      <w:bookmarkEnd w:id="2937"/>
    </w:p>
    <w:p w14:paraId="78B7A14A"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38" w:name="_Toc194476909"/>
      <w:bookmarkStart w:id="2939" w:name="_Toc227760200"/>
      <w:bookmarkStart w:id="2940" w:name="_Toc227825347"/>
      <w:r w:rsidRPr="004853EB">
        <w:rPr>
          <w:rFonts w:eastAsia="Times New Roman" w:cstheme="minorHAnsi"/>
          <w:b/>
          <w:sz w:val="20"/>
          <w:szCs w:val="20"/>
          <w:lang w:eastAsia="pl-PL"/>
        </w:rPr>
        <w:t>3.1. Ogólne wymagania dotyczące sprzętu</w:t>
      </w:r>
      <w:bookmarkEnd w:id="2938"/>
      <w:bookmarkEnd w:id="2939"/>
      <w:bookmarkEnd w:id="2940"/>
    </w:p>
    <w:p w14:paraId="37B384F3" w14:textId="79D82559"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Ogólne wymagania dotyczące sprzętu podano w </w:t>
      </w:r>
      <w:r w:rsidR="004F465D" w:rsidRPr="004853EB">
        <w:rPr>
          <w:rFonts w:eastAsia="Times New Roman" w:cstheme="minorHAnsi"/>
          <w:sz w:val="20"/>
          <w:szCs w:val="20"/>
          <w:lang w:eastAsia="pl-PL"/>
        </w:rPr>
        <w:t>SST D</w:t>
      </w:r>
      <w:r w:rsidRPr="004853EB">
        <w:rPr>
          <w:rFonts w:eastAsia="Times New Roman" w:cstheme="minorHAnsi"/>
          <w:sz w:val="20"/>
          <w:szCs w:val="20"/>
          <w:lang w:eastAsia="pl-PL"/>
        </w:rPr>
        <w:t>-00.00.00 „Wymagania ogólne” [1], pkt 3.</w:t>
      </w:r>
    </w:p>
    <w:p w14:paraId="7D003BDC"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41" w:name="_Toc194476910"/>
      <w:bookmarkStart w:id="2942" w:name="_Toc227760201"/>
      <w:bookmarkStart w:id="2943" w:name="_Toc227825348"/>
      <w:r w:rsidRPr="004853EB">
        <w:rPr>
          <w:rFonts w:eastAsia="Times New Roman" w:cstheme="minorHAnsi"/>
          <w:b/>
          <w:sz w:val="20"/>
          <w:szCs w:val="20"/>
          <w:lang w:eastAsia="pl-PL"/>
        </w:rPr>
        <w:t>3.2. Sprzęt stosowany do wykonania robót</w:t>
      </w:r>
      <w:bookmarkEnd w:id="2941"/>
      <w:bookmarkEnd w:id="2942"/>
      <w:bookmarkEnd w:id="2943"/>
    </w:p>
    <w:p w14:paraId="0D05621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Przy wykonywaniu robót Wykonawca w zależności od potrzeb, powinien wykazać się możliwością korzystania ze sprzętu dostosowanego do przyjętej metody robót, jak:</w:t>
      </w:r>
    </w:p>
    <w:p w14:paraId="229170F7" w14:textId="77777777" w:rsidR="00CC1EF4" w:rsidRPr="004853EB" w:rsidRDefault="00CC1EF4">
      <w:pPr>
        <w:numPr>
          <w:ilvl w:val="0"/>
          <w:numId w:val="55"/>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mieszarki do wytwarzania mieszanki kruszywa, wyposażone w urządzenia dozujące wodę, które powinny zapewnić wytworzenie jednorodnej mieszanki o wilgotności optymalnej,</w:t>
      </w:r>
    </w:p>
    <w:p w14:paraId="40A76E53" w14:textId="77777777" w:rsidR="00CC1EF4" w:rsidRPr="004853EB" w:rsidRDefault="00CC1EF4">
      <w:pPr>
        <w:numPr>
          <w:ilvl w:val="0"/>
          <w:numId w:val="55"/>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układarki lub równiarki do rozkładania mieszanki kruszywa niezwiązanego,</w:t>
      </w:r>
    </w:p>
    <w:p w14:paraId="724041A3" w14:textId="77777777" w:rsidR="00CC1EF4" w:rsidRPr="004853EB" w:rsidRDefault="00CC1EF4">
      <w:pPr>
        <w:numPr>
          <w:ilvl w:val="0"/>
          <w:numId w:val="55"/>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walce ogumione i stalowe wibracyjne lub statyczne do zagęszczania mieszanki,</w:t>
      </w:r>
    </w:p>
    <w:p w14:paraId="2623021A" w14:textId="77777777" w:rsidR="00CC1EF4" w:rsidRPr="004853EB" w:rsidRDefault="00CC1EF4">
      <w:pPr>
        <w:numPr>
          <w:ilvl w:val="0"/>
          <w:numId w:val="55"/>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zagęszczarki płytowe, ubijaki mechaniczne lub małe walce wibracyjne, do stosowania w miejscach trudno dostępnych.</w:t>
      </w:r>
    </w:p>
    <w:p w14:paraId="28146AE6"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Sprzęt powinien odpowiadać wymaganiom określonym w dokumentacji projektowej, ST, instrukcjach producentów lub propozycji Wykonawcy i powinien być zaakceptowany przez Inżyniera.</w:t>
      </w:r>
    </w:p>
    <w:p w14:paraId="3255D006"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944" w:name="_Toc194476911"/>
      <w:bookmarkStart w:id="2945" w:name="_Toc227760202"/>
      <w:bookmarkStart w:id="2946" w:name="_Toc227825349"/>
      <w:r w:rsidRPr="004853EB">
        <w:rPr>
          <w:rFonts w:eastAsia="Times New Roman" w:cstheme="minorHAnsi"/>
          <w:b/>
          <w:caps/>
          <w:kern w:val="28"/>
          <w:sz w:val="20"/>
          <w:szCs w:val="20"/>
          <w:lang w:eastAsia="pl-PL"/>
        </w:rPr>
        <w:t>4. Transport</w:t>
      </w:r>
      <w:bookmarkEnd w:id="2944"/>
      <w:bookmarkEnd w:id="2945"/>
      <w:bookmarkEnd w:id="2946"/>
    </w:p>
    <w:p w14:paraId="211A412F"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47" w:name="_Toc194476912"/>
      <w:bookmarkStart w:id="2948" w:name="_Toc227760203"/>
      <w:bookmarkStart w:id="2949" w:name="_Toc227825350"/>
      <w:r w:rsidRPr="004853EB">
        <w:rPr>
          <w:rFonts w:eastAsia="Times New Roman" w:cstheme="minorHAnsi"/>
          <w:b/>
          <w:sz w:val="20"/>
          <w:szCs w:val="20"/>
          <w:lang w:eastAsia="pl-PL"/>
        </w:rPr>
        <w:t>4.1. Ogólne wymagania dotyczące transportu</w:t>
      </w:r>
      <w:bookmarkEnd w:id="2947"/>
      <w:bookmarkEnd w:id="2948"/>
      <w:bookmarkEnd w:id="2949"/>
      <w:r w:rsidRPr="004853EB">
        <w:rPr>
          <w:rFonts w:eastAsia="Times New Roman" w:cstheme="minorHAnsi"/>
          <w:b/>
          <w:sz w:val="20"/>
          <w:szCs w:val="20"/>
          <w:lang w:eastAsia="pl-PL"/>
        </w:rPr>
        <w:t xml:space="preserve"> </w:t>
      </w:r>
    </w:p>
    <w:p w14:paraId="07437B19" w14:textId="03736069" w:rsidR="00CC1EF4" w:rsidRPr="004853EB" w:rsidRDefault="00CC1EF4" w:rsidP="00CC1EF4">
      <w:pPr>
        <w:tabs>
          <w:tab w:val="left" w:pos="284"/>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     Ogólne wymagania dotyczące transportu podano w SST D-00.00.00 „Wymagania ogólne” [1</w:t>
      </w:r>
      <w:r w:rsidR="004F465D" w:rsidRPr="004853EB">
        <w:rPr>
          <w:rFonts w:eastAsia="Times New Roman" w:cstheme="minorHAnsi"/>
          <w:sz w:val="20"/>
          <w:szCs w:val="20"/>
          <w:lang w:eastAsia="pl-PL"/>
        </w:rPr>
        <w:t>], pkt</w:t>
      </w:r>
      <w:r w:rsidRPr="004853EB">
        <w:rPr>
          <w:rFonts w:eastAsia="Times New Roman" w:cstheme="minorHAnsi"/>
          <w:sz w:val="20"/>
          <w:szCs w:val="20"/>
          <w:lang w:eastAsia="pl-PL"/>
        </w:rPr>
        <w:t xml:space="preserve"> 4.</w:t>
      </w:r>
    </w:p>
    <w:p w14:paraId="42D62B73"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50" w:name="_Toc194476913"/>
      <w:bookmarkStart w:id="2951" w:name="_Toc227760204"/>
      <w:bookmarkStart w:id="2952" w:name="_Toc227825351"/>
      <w:r w:rsidRPr="004853EB">
        <w:rPr>
          <w:rFonts w:eastAsia="Times New Roman" w:cstheme="minorHAnsi"/>
          <w:b/>
          <w:sz w:val="20"/>
          <w:szCs w:val="20"/>
          <w:lang w:eastAsia="pl-PL"/>
        </w:rPr>
        <w:t>4.2. Transport materiałów</w:t>
      </w:r>
      <w:bookmarkEnd w:id="2950"/>
      <w:bookmarkEnd w:id="2951"/>
      <w:bookmarkEnd w:id="2952"/>
    </w:p>
    <w:p w14:paraId="2D4DAB8D" w14:textId="31664D0E"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Materiały sypkie (kruszywa) można przewozić dowolnymi środkami transportu, w warunkach zabezpieczających je </w:t>
      </w:r>
      <w:r w:rsidR="004F465D" w:rsidRPr="004853EB">
        <w:rPr>
          <w:rFonts w:eastAsia="Times New Roman" w:cstheme="minorHAnsi"/>
          <w:sz w:val="20"/>
          <w:szCs w:val="20"/>
          <w:lang w:eastAsia="pl-PL"/>
        </w:rPr>
        <w:t>przed zanieczyszczeniem</w:t>
      </w:r>
      <w:r w:rsidRPr="004853EB">
        <w:rPr>
          <w:rFonts w:eastAsia="Times New Roman" w:cstheme="minorHAnsi"/>
          <w:sz w:val="20"/>
          <w:szCs w:val="20"/>
          <w:lang w:eastAsia="pl-PL"/>
        </w:rPr>
        <w:t>, zmieszaniem z innymi materiałami i nadmiernym zawilgoceniem.</w:t>
      </w:r>
    </w:p>
    <w:p w14:paraId="17BB12B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Woda może być dostarczana wodociągiem lub przewoźnymi zbiornikami wody.</w:t>
      </w:r>
    </w:p>
    <w:p w14:paraId="7EC9F628"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953" w:name="_Toc194476914"/>
      <w:bookmarkStart w:id="2954" w:name="_Toc227760205"/>
      <w:bookmarkStart w:id="2955" w:name="_Toc227825352"/>
      <w:r w:rsidRPr="004853EB">
        <w:rPr>
          <w:rFonts w:eastAsia="Times New Roman" w:cstheme="minorHAnsi"/>
          <w:b/>
          <w:caps/>
          <w:kern w:val="28"/>
          <w:sz w:val="20"/>
          <w:szCs w:val="20"/>
          <w:lang w:eastAsia="pl-PL"/>
        </w:rPr>
        <w:t>5. Wykonanie robót</w:t>
      </w:r>
      <w:bookmarkEnd w:id="2953"/>
      <w:bookmarkEnd w:id="2954"/>
      <w:bookmarkEnd w:id="2955"/>
    </w:p>
    <w:p w14:paraId="24F54A27"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56" w:name="_Toc194476915"/>
      <w:bookmarkStart w:id="2957" w:name="_Toc227760206"/>
      <w:bookmarkStart w:id="2958" w:name="_Toc227825353"/>
      <w:r w:rsidRPr="004853EB">
        <w:rPr>
          <w:rFonts w:eastAsia="Times New Roman" w:cstheme="minorHAnsi"/>
          <w:b/>
          <w:sz w:val="20"/>
          <w:szCs w:val="20"/>
          <w:lang w:eastAsia="pl-PL"/>
        </w:rPr>
        <w:t>5.1. Ogólne zasady wykonania robót</w:t>
      </w:r>
      <w:bookmarkEnd w:id="2956"/>
      <w:bookmarkEnd w:id="2957"/>
      <w:bookmarkEnd w:id="2958"/>
    </w:p>
    <w:p w14:paraId="712A8A1D" w14:textId="77777777" w:rsidR="00CC1EF4" w:rsidRPr="004853EB" w:rsidRDefault="00CC1EF4" w:rsidP="00CC1EF4">
      <w:pPr>
        <w:tabs>
          <w:tab w:val="left" w:pos="0"/>
          <w:tab w:val="left" w:pos="567"/>
          <w:tab w:val="left" w:pos="851"/>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     Ogólne zasady wykonania robót podano w SST D-00.00.00 „Wymagania ogólne” [1], pkt 5.</w:t>
      </w:r>
    </w:p>
    <w:p w14:paraId="08017379"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59" w:name="_Toc194476916"/>
      <w:bookmarkStart w:id="2960" w:name="_Toc227760207"/>
      <w:bookmarkStart w:id="2961" w:name="_Toc227825354"/>
      <w:r w:rsidRPr="004853EB">
        <w:rPr>
          <w:rFonts w:eastAsia="Times New Roman" w:cstheme="minorHAnsi"/>
          <w:b/>
          <w:sz w:val="20"/>
          <w:szCs w:val="20"/>
          <w:lang w:eastAsia="pl-PL"/>
        </w:rPr>
        <w:t>5.2. Zasady wykonywania robót</w:t>
      </w:r>
      <w:bookmarkEnd w:id="2959"/>
      <w:bookmarkEnd w:id="2960"/>
      <w:bookmarkEnd w:id="2961"/>
    </w:p>
    <w:p w14:paraId="3AB7A307"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Sposób wykonania robót powinien być zgodny z dokumentacją projektową i ST. W przypadku braku wystarczających danych można korzystać z ustaleń podanych w niniejszej specyfikacji oraz z informacji podanych w załącznikach.</w:t>
      </w:r>
    </w:p>
    <w:p w14:paraId="31F6149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Podstawowe czynności przy wykonaniu robót obejmują:</w:t>
      </w:r>
    </w:p>
    <w:p w14:paraId="4881B968" w14:textId="77777777" w:rsidR="00CC1EF4" w:rsidRPr="004853EB" w:rsidRDefault="00CC1EF4" w:rsidP="00CC1EF4">
      <w:pPr>
        <w:numPr>
          <w:ilvl w:val="0"/>
          <w:numId w:val="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roboty przygotowawcze, </w:t>
      </w:r>
    </w:p>
    <w:p w14:paraId="33B2939D" w14:textId="77777777" w:rsidR="00CC1EF4" w:rsidRPr="004853EB" w:rsidRDefault="00CC1EF4" w:rsidP="00CC1EF4">
      <w:pPr>
        <w:numPr>
          <w:ilvl w:val="0"/>
          <w:numId w:val="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projektowanie mieszanki,</w:t>
      </w:r>
    </w:p>
    <w:p w14:paraId="64D5B6CA" w14:textId="77777777" w:rsidR="00CC1EF4" w:rsidRPr="004853EB" w:rsidRDefault="00CC1EF4" w:rsidP="00CC1EF4">
      <w:pPr>
        <w:numPr>
          <w:ilvl w:val="0"/>
          <w:numId w:val="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wbudowanie mieszanki,</w:t>
      </w:r>
    </w:p>
    <w:p w14:paraId="75D24B88" w14:textId="77777777" w:rsidR="00CC1EF4" w:rsidRPr="004853EB" w:rsidRDefault="00CC1EF4" w:rsidP="00CC1EF4">
      <w:pPr>
        <w:numPr>
          <w:ilvl w:val="0"/>
          <w:numId w:val="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wykończeniowe.</w:t>
      </w:r>
    </w:p>
    <w:p w14:paraId="1FA88CAE"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62" w:name="_Toc194476917"/>
      <w:bookmarkStart w:id="2963" w:name="_Toc227760208"/>
      <w:bookmarkStart w:id="2964" w:name="_Toc227825355"/>
      <w:r w:rsidRPr="004853EB">
        <w:rPr>
          <w:rFonts w:eastAsia="Times New Roman" w:cstheme="minorHAnsi"/>
          <w:b/>
          <w:sz w:val="20"/>
          <w:szCs w:val="20"/>
          <w:lang w:eastAsia="pl-PL"/>
        </w:rPr>
        <w:t>5.3. Roboty przygotowawcze</w:t>
      </w:r>
      <w:bookmarkEnd w:id="2962"/>
      <w:bookmarkEnd w:id="2963"/>
      <w:bookmarkEnd w:id="2964"/>
    </w:p>
    <w:p w14:paraId="2029B4D2" w14:textId="7EA57A21"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Przed przystąpieniem do robót należy, na podstawie dokumentacji </w:t>
      </w:r>
      <w:r w:rsidR="004F465D" w:rsidRPr="004853EB">
        <w:rPr>
          <w:rFonts w:eastAsia="Times New Roman" w:cstheme="minorHAnsi"/>
          <w:sz w:val="20"/>
          <w:szCs w:val="20"/>
          <w:lang w:eastAsia="pl-PL"/>
        </w:rPr>
        <w:t>projektowej, ST</w:t>
      </w:r>
      <w:r w:rsidRPr="004853EB">
        <w:rPr>
          <w:rFonts w:eastAsia="Times New Roman" w:cstheme="minorHAnsi"/>
          <w:sz w:val="20"/>
          <w:szCs w:val="20"/>
          <w:lang w:eastAsia="pl-PL"/>
        </w:rPr>
        <w:t xml:space="preserve"> lub wskazań Inżyniera:</w:t>
      </w:r>
    </w:p>
    <w:p w14:paraId="7B0AAC4F" w14:textId="77777777" w:rsidR="00CC1EF4" w:rsidRPr="004853EB" w:rsidRDefault="00CC1EF4">
      <w:pPr>
        <w:numPr>
          <w:ilvl w:val="0"/>
          <w:numId w:val="56"/>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ustalić lokalizację robót,</w:t>
      </w:r>
    </w:p>
    <w:p w14:paraId="6381529A" w14:textId="77777777" w:rsidR="00CC1EF4" w:rsidRPr="004853EB" w:rsidRDefault="00CC1EF4">
      <w:pPr>
        <w:numPr>
          <w:ilvl w:val="0"/>
          <w:numId w:val="56"/>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przeprowadzić obliczenia i pomiary niezbędne do szczegółowego wytyczenia robót oraz ustalenia danych wysokościowych,</w:t>
      </w:r>
    </w:p>
    <w:p w14:paraId="734ABA2E" w14:textId="77777777" w:rsidR="00CC1EF4" w:rsidRPr="004853EB" w:rsidRDefault="00CC1EF4">
      <w:pPr>
        <w:numPr>
          <w:ilvl w:val="0"/>
          <w:numId w:val="56"/>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usunąć przeszkody utrudniające wykonanie robót,</w:t>
      </w:r>
    </w:p>
    <w:p w14:paraId="14D5678E" w14:textId="77777777" w:rsidR="00CC1EF4" w:rsidRPr="004853EB" w:rsidRDefault="00CC1EF4">
      <w:pPr>
        <w:numPr>
          <w:ilvl w:val="0"/>
          <w:numId w:val="56"/>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wprowadzić oznakowanie drogi na okres robót,</w:t>
      </w:r>
    </w:p>
    <w:p w14:paraId="59F27B57" w14:textId="77777777" w:rsidR="00CC1EF4" w:rsidRPr="004853EB" w:rsidRDefault="00CC1EF4">
      <w:pPr>
        <w:numPr>
          <w:ilvl w:val="0"/>
          <w:numId w:val="56"/>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zgromadzić materiały i sprzęt potrzebne do rozpoczęcia robót.</w:t>
      </w:r>
    </w:p>
    <w:p w14:paraId="4672A0C1"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Można dodatkowo korzystać z SST D-01.00.00 [2] przy robotach przygotowawczych oraz z SST D-02.00.00 [3] przy występowaniu robót ziemnych. </w:t>
      </w:r>
    </w:p>
    <w:p w14:paraId="368DF863"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65" w:name="_Toc194476918"/>
      <w:bookmarkStart w:id="2966" w:name="_Toc227760209"/>
      <w:bookmarkStart w:id="2967" w:name="_Toc227825356"/>
      <w:r w:rsidRPr="004853EB">
        <w:rPr>
          <w:rFonts w:eastAsia="Times New Roman" w:cstheme="minorHAnsi"/>
          <w:b/>
          <w:sz w:val="20"/>
          <w:szCs w:val="20"/>
          <w:lang w:eastAsia="pl-PL"/>
        </w:rPr>
        <w:t>5.4. Projektowanie mieszanki kruszywa niezwiązanego</w:t>
      </w:r>
      <w:bookmarkEnd w:id="2965"/>
      <w:bookmarkEnd w:id="2966"/>
      <w:bookmarkEnd w:id="2967"/>
    </w:p>
    <w:p w14:paraId="7F7EB37F" w14:textId="77777777" w:rsidR="00CC1EF4" w:rsidRPr="004853EB" w:rsidRDefault="00CC1EF4" w:rsidP="00CC1EF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5.4.1. </w:t>
      </w:r>
      <w:r w:rsidRPr="004853EB">
        <w:rPr>
          <w:rFonts w:eastAsia="Times New Roman" w:cstheme="minorHAnsi"/>
          <w:sz w:val="20"/>
          <w:szCs w:val="20"/>
          <w:lang w:eastAsia="pl-PL"/>
        </w:rPr>
        <w:t xml:space="preserve">Postanowienia ogólne </w:t>
      </w:r>
    </w:p>
    <w:p w14:paraId="3AB8FE8E"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Przed przystąpieniem do robót, w terminie uzgodnionym z Inżynierem, Wykonawca dostarczy Inżynierowi do akceptacji projekt składu mieszanki kruszywa niezwiązanego oraz wyniki badań laboratoryjnych poszczególnych składników i próbki materiałów pobrane w obecności Inżyniera do wykonania badań kontrolnych przez Inżyniera.</w:t>
      </w:r>
    </w:p>
    <w:p w14:paraId="660A6B52"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Projektowanie mieszanki polega na doborze kruszywa do mieszanki oraz ilości wody. Procedura projektowa powinna być oparta na próbach laboratoryjnych i/lub polowych przeprowadzonych na tych samych składnikach, z tych samych źródeł i o takich samych właściwościach, jak te które będą stosowane do wykonania podbudowy zasadniczej.</w:t>
      </w:r>
    </w:p>
    <w:p w14:paraId="38C40B8C" w14:textId="2D4B34E8"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Skład mieszanki projektuje się zgodnie z wymaganiami wobec mieszanek niezwiązanych do podbudowy zasadniczej, określonych w tablicy 4. Wartości graniczne i tolerancje zawierają rozrzut wynikający z pobierania </w:t>
      </w:r>
      <w:r w:rsidR="004F465D">
        <w:rPr>
          <w:rFonts w:eastAsia="Times New Roman" w:cstheme="minorHAnsi"/>
          <w:sz w:val="20"/>
          <w:szCs w:val="20"/>
          <w:lang w:eastAsia="pl-PL"/>
        </w:rPr>
        <w:br/>
      </w:r>
      <w:r w:rsidRPr="004853EB">
        <w:rPr>
          <w:rFonts w:eastAsia="Times New Roman" w:cstheme="minorHAnsi"/>
          <w:sz w:val="20"/>
          <w:szCs w:val="20"/>
          <w:lang w:eastAsia="pl-PL"/>
        </w:rPr>
        <w:t>i dzielenia próbki, przedział ufności (precyzja w porównywalnych warunkach) oraz nierównomierności warunków wykonawczych.</w:t>
      </w:r>
    </w:p>
    <w:p w14:paraId="53FBBCC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t>Mieszanki kruszyw powinny być tak produkowane i składowane, aby wykazywały zachowanie jednakowych właściwości, spełniając wymagania z tablicy 4. Mieszanki kruszyw powinny być jednorodnie wymieszane i powinny charakteryzować się równomierną wilgotnością. Kruszywa powinny odpowiadać wymaganiom tablicy 1, przy czym w mieszankach wyprodukowanych z różnych kruszyw, każdy ze składników musi spełniać wymagania tablicy 1.</w:t>
      </w:r>
    </w:p>
    <w:p w14:paraId="7B85B345" w14:textId="6CBAC285"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Przy projektowaniu mieszanek kruszyw z recyklingu można ustalać </w:t>
      </w:r>
      <w:r w:rsidR="004F465D" w:rsidRPr="004853EB">
        <w:rPr>
          <w:rFonts w:eastAsia="Times New Roman" w:cstheme="minorHAnsi"/>
          <w:sz w:val="20"/>
          <w:szCs w:val="20"/>
          <w:lang w:eastAsia="pl-PL"/>
        </w:rPr>
        <w:t>skład mieszanek</w:t>
      </w:r>
      <w:r w:rsidRPr="004853EB">
        <w:rPr>
          <w:rFonts w:eastAsia="Times New Roman" w:cstheme="minorHAnsi"/>
          <w:sz w:val="20"/>
          <w:szCs w:val="20"/>
          <w:lang w:eastAsia="pl-PL"/>
        </w:rPr>
        <w:t>, wzorując się na przykładach podanych w załączniku 1.</w:t>
      </w:r>
    </w:p>
    <w:p w14:paraId="533B58DF"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5.4.2. </w:t>
      </w:r>
      <w:r w:rsidRPr="004853EB">
        <w:rPr>
          <w:rFonts w:eastAsia="Times New Roman" w:cstheme="minorHAnsi"/>
          <w:sz w:val="20"/>
          <w:szCs w:val="20"/>
          <w:lang w:eastAsia="pl-PL"/>
        </w:rPr>
        <w:t>Wymagania wobec mieszanek</w:t>
      </w:r>
    </w:p>
    <w:p w14:paraId="26CD582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warstwach podbudowy zasadniczej można stosować następujące mieszanki kruszyw:</w:t>
      </w:r>
    </w:p>
    <w:p w14:paraId="2EBA99CB" w14:textId="77777777" w:rsidR="00CC1EF4" w:rsidRPr="004853EB" w:rsidRDefault="00CC1EF4">
      <w:pPr>
        <w:numPr>
          <w:ilvl w:val="0"/>
          <w:numId w:val="57"/>
        </w:numPr>
        <w:overflowPunct w:val="0"/>
        <w:autoSpaceDE w:val="0"/>
        <w:autoSpaceDN w:val="0"/>
        <w:adjustRightInd w:val="0"/>
        <w:spacing w:after="0" w:line="240" w:lineRule="auto"/>
        <w:ind w:left="480" w:hanging="480"/>
        <w:jc w:val="both"/>
        <w:textAlignment w:val="baseline"/>
        <w:rPr>
          <w:rFonts w:eastAsia="Calibri" w:cstheme="minorHAnsi"/>
          <w:sz w:val="20"/>
          <w:szCs w:val="20"/>
        </w:rPr>
      </w:pPr>
      <w:r w:rsidRPr="004853EB">
        <w:rPr>
          <w:rFonts w:eastAsia="Calibri" w:cstheme="minorHAnsi"/>
          <w:sz w:val="20"/>
          <w:szCs w:val="20"/>
        </w:rPr>
        <w:t>0/31,5 mm,</w:t>
      </w:r>
    </w:p>
    <w:p w14:paraId="47AAD63D" w14:textId="77777777" w:rsidR="00CC1EF4" w:rsidRPr="004853EB" w:rsidRDefault="00CC1EF4" w:rsidP="00CC1EF4">
      <w:pPr>
        <w:tabs>
          <w:tab w:val="num" w:pos="480"/>
        </w:tabs>
        <w:spacing w:after="0" w:line="240" w:lineRule="auto"/>
        <w:jc w:val="both"/>
        <w:rPr>
          <w:rFonts w:eastAsia="Calibri" w:cstheme="minorHAnsi"/>
          <w:sz w:val="20"/>
          <w:szCs w:val="20"/>
        </w:rPr>
      </w:pPr>
      <w:r w:rsidRPr="004853EB">
        <w:rPr>
          <w:rFonts w:eastAsia="Calibri" w:cstheme="minorHAnsi"/>
          <w:sz w:val="20"/>
          <w:szCs w:val="20"/>
        </w:rPr>
        <w:tab/>
      </w:r>
      <w:r w:rsidRPr="004853EB">
        <w:rPr>
          <w:rFonts w:eastAsia="Calibri" w:cstheme="minorHAnsi"/>
          <w:sz w:val="20"/>
          <w:szCs w:val="20"/>
        </w:rPr>
        <w:tab/>
        <w:t>Wymagania wobec mieszanek przeznaczonych do podbudowy zasadniczej, podane w tablicy 4, odnośnie wrażliwości na mróz mieszanek kruszyw, dotyczą badania materiału po pięciokrotnym zagęszczeniu w aparacie Proctora według PN-EN 13286-2 [18].</w:t>
      </w:r>
    </w:p>
    <w:p w14:paraId="7FE9C5A9" w14:textId="77777777" w:rsidR="00CC1EF4" w:rsidRPr="004853EB" w:rsidRDefault="00CC1EF4" w:rsidP="00CC1EF4">
      <w:pPr>
        <w:spacing w:after="0" w:line="240" w:lineRule="auto"/>
        <w:ind w:firstLine="709"/>
        <w:jc w:val="both"/>
        <w:rPr>
          <w:rFonts w:eastAsia="Calibri" w:cstheme="minorHAnsi"/>
          <w:sz w:val="20"/>
          <w:szCs w:val="20"/>
        </w:rPr>
      </w:pPr>
      <w:r w:rsidRPr="004853EB">
        <w:rPr>
          <w:rFonts w:eastAsia="Calibri" w:cstheme="minorHAnsi"/>
          <w:sz w:val="20"/>
          <w:szCs w:val="20"/>
        </w:rPr>
        <w:t>Zawartość pyłów w mieszankach kruszyw do warstwy podbudowy zasadniczej, określana wg PN-EN 933-1 [5], powinna być zgodna z wymaganiami tablicy 4. W przypadku słabych kruszyw, zawartość pyłów w mieszance kruszyw należy również badać i deklarować, po pięciokrotnym zagęszczeniu metodą Proctora. Zawartość pyłów w takiej mieszance po pięciokrotnym zagęszczeniu metodą Proctora powinna również spełniać wymagania podane w tablicy 4. Nie określa się wymagania wobec minimalnej zawartości pyłów &lt; 0,063 mm w mieszankach kruszyw do warstwy podbudowy zasadniczej.</w:t>
      </w:r>
    </w:p>
    <w:p w14:paraId="4650ECFD" w14:textId="77777777" w:rsidR="00CC1EF4" w:rsidRPr="004853EB" w:rsidRDefault="00CC1EF4" w:rsidP="00CC1EF4">
      <w:pPr>
        <w:spacing w:after="0" w:line="240" w:lineRule="auto"/>
        <w:ind w:firstLine="709"/>
        <w:jc w:val="both"/>
        <w:rPr>
          <w:rFonts w:eastAsia="Calibri" w:cstheme="minorHAnsi"/>
          <w:sz w:val="20"/>
          <w:szCs w:val="20"/>
        </w:rPr>
      </w:pPr>
      <w:r w:rsidRPr="004853EB">
        <w:rPr>
          <w:rFonts w:eastAsia="Calibri" w:cstheme="minorHAnsi"/>
          <w:sz w:val="20"/>
          <w:szCs w:val="20"/>
        </w:rPr>
        <w:t>Zawartość nadziarna w mieszankach kruszyw, określana według PN-EN 933-1 [5] powinna spełniać wymagania podane w tablicy 4. W przypadku słabych kruszyw decyduje zawartość nadziarna w mieszance kruszyw po pięciokrotnym zagęszczeniu metodą Proctora.</w:t>
      </w:r>
    </w:p>
    <w:p w14:paraId="29A084D9" w14:textId="77777777" w:rsidR="00CC1EF4" w:rsidRPr="004853EB" w:rsidRDefault="00CC1EF4" w:rsidP="00CC1EF4">
      <w:pPr>
        <w:spacing w:after="0" w:line="240" w:lineRule="auto"/>
        <w:ind w:firstLine="709"/>
        <w:jc w:val="both"/>
        <w:rPr>
          <w:rFonts w:eastAsia="Calibri" w:cstheme="minorHAnsi"/>
          <w:sz w:val="20"/>
          <w:szCs w:val="20"/>
        </w:rPr>
      </w:pPr>
      <w:r w:rsidRPr="004853EB">
        <w:rPr>
          <w:rFonts w:eastAsia="Calibri" w:cstheme="minorHAnsi"/>
          <w:sz w:val="20"/>
          <w:szCs w:val="20"/>
        </w:rPr>
        <w:t xml:space="preserve">Uziarnienie mieszanek kruszyw o wymiarach ziaren D od 0 do 63 mm należy określić według PN-EN 933-1 [5]. Krzywe uziarnienia mieszanki kruszyw powinny zawierać się w obszarze między krzywymi granicznymi uziarnienia przedstawionymi na rysunku 1, odpowiednio dla każdego rodzaju mieszanki. Na rysunku 1 pokazano również liniami przerywanymi obszar uziarnienia SDV, w którym powinna się mieścić krzywa uziarnienia mieszanki „S” deklarowana przez dostawcę/producenta. </w:t>
      </w:r>
    </w:p>
    <w:p w14:paraId="0E1531A2" w14:textId="77777777" w:rsidR="00CC1EF4" w:rsidRPr="004853EB" w:rsidRDefault="00CC1EF4" w:rsidP="00CC1EF4">
      <w:pPr>
        <w:spacing w:after="0" w:line="240" w:lineRule="auto"/>
        <w:ind w:firstLine="709"/>
        <w:jc w:val="both"/>
        <w:rPr>
          <w:rFonts w:eastAsia="Calibri" w:cstheme="minorHAnsi"/>
          <w:sz w:val="20"/>
          <w:szCs w:val="20"/>
        </w:rPr>
      </w:pPr>
      <w:r w:rsidRPr="004853EB">
        <w:rPr>
          <w:rFonts w:eastAsia="Calibri" w:cstheme="minorHAnsi"/>
          <w:sz w:val="20"/>
          <w:szCs w:val="20"/>
        </w:rPr>
        <w:t xml:space="preserve">W przypadku słabych kruszyw uziarnienie mieszanki kruszyw należy również badać i deklarować po pięciokrotnym zagęszczeniu metodą Proctora. Kryterium przydatności takiej mieszanki, pod względem uziarnienia, jest spełnione, jeżeli uziarnienie mieszanki po pięciokrotnym zagęszczeniu metodą Proctora mieści się w krzywych granicznych podanych na rysunku 1.  </w:t>
      </w:r>
    </w:p>
    <w:p w14:paraId="5E1DBB30" w14:textId="77777777" w:rsidR="00CC1EF4" w:rsidRPr="004853EB" w:rsidRDefault="00CC1EF4" w:rsidP="00CC1EF4">
      <w:pPr>
        <w:spacing w:after="0" w:line="240" w:lineRule="auto"/>
        <w:ind w:firstLine="709"/>
        <w:jc w:val="both"/>
        <w:rPr>
          <w:rFonts w:eastAsia="Calibri" w:cstheme="minorHAnsi"/>
          <w:sz w:val="20"/>
          <w:szCs w:val="20"/>
        </w:rPr>
      </w:pPr>
    </w:p>
    <w:p w14:paraId="35A30824"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noProof/>
          <w:sz w:val="20"/>
          <w:szCs w:val="20"/>
          <w:lang w:eastAsia="pl-PL"/>
        </w:rPr>
        <w:drawing>
          <wp:inline distT="0" distB="0" distL="0" distR="0" wp14:anchorId="186BCD20" wp14:editId="7AA8F327">
            <wp:extent cx="5514975" cy="2619375"/>
            <wp:effectExtent l="0" t="0" r="9525" b="9525"/>
            <wp:docPr id="17" name="Obraz 17" descr="d040402b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d040402br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14975" cy="2619375"/>
                    </a:xfrm>
                    <a:prstGeom prst="rect">
                      <a:avLst/>
                    </a:prstGeom>
                    <a:noFill/>
                    <a:ln>
                      <a:noFill/>
                    </a:ln>
                  </pic:spPr>
                </pic:pic>
              </a:graphicData>
            </a:graphic>
          </wp:inline>
        </w:drawing>
      </w:r>
    </w:p>
    <w:p w14:paraId="4A7C0F8A" w14:textId="55539599" w:rsidR="00CC1EF4" w:rsidRPr="004853EB" w:rsidRDefault="00CC1EF4" w:rsidP="00CC1EF4">
      <w:pPr>
        <w:tabs>
          <w:tab w:val="left" w:pos="851"/>
        </w:tabs>
        <w:spacing w:before="120" w:after="120" w:line="240" w:lineRule="auto"/>
        <w:ind w:left="839" w:hanging="839"/>
        <w:jc w:val="both"/>
        <w:rPr>
          <w:rFonts w:eastAsia="Calibri" w:cstheme="minorHAnsi"/>
          <w:sz w:val="20"/>
          <w:szCs w:val="20"/>
        </w:rPr>
      </w:pPr>
      <w:r w:rsidRPr="004853EB">
        <w:rPr>
          <w:rFonts w:eastAsia="Calibri" w:cstheme="minorHAnsi"/>
          <w:sz w:val="20"/>
          <w:szCs w:val="20"/>
        </w:rPr>
        <w:t>Rys. 1.</w:t>
      </w:r>
      <w:r w:rsidRPr="004853EB">
        <w:rPr>
          <w:rFonts w:eastAsia="Calibri" w:cstheme="minorHAnsi"/>
          <w:sz w:val="20"/>
          <w:szCs w:val="20"/>
        </w:rPr>
        <w:tab/>
        <w:t>Krzywe graniczne uziarnienia mieszanki kruszywa niezwiązanego 0/31,5 mm</w:t>
      </w:r>
      <w:r w:rsidR="004F465D">
        <w:rPr>
          <w:rFonts w:eastAsia="Calibri" w:cstheme="minorHAnsi"/>
          <w:sz w:val="20"/>
          <w:szCs w:val="20"/>
        </w:rPr>
        <w:t xml:space="preserve"> </w:t>
      </w:r>
      <w:r w:rsidRPr="004853EB">
        <w:rPr>
          <w:rFonts w:eastAsia="Calibri" w:cstheme="minorHAnsi"/>
          <w:sz w:val="20"/>
          <w:szCs w:val="20"/>
        </w:rPr>
        <w:t>do warstw podbudowy zasadniczej</w:t>
      </w:r>
    </w:p>
    <w:p w14:paraId="146CFF65" w14:textId="751B39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Oprócz wymagań podanych na rysunku 1, wymaga </w:t>
      </w:r>
      <w:r w:rsidR="004F465D" w:rsidRPr="004853EB">
        <w:rPr>
          <w:rFonts w:eastAsia="Times New Roman" w:cstheme="minorHAnsi"/>
          <w:sz w:val="20"/>
          <w:szCs w:val="20"/>
          <w:lang w:eastAsia="pl-PL"/>
        </w:rPr>
        <w:t>się,</w:t>
      </w:r>
      <w:r w:rsidRPr="004853EB">
        <w:rPr>
          <w:rFonts w:eastAsia="Times New Roman" w:cstheme="minorHAnsi"/>
          <w:sz w:val="20"/>
          <w:szCs w:val="20"/>
          <w:lang w:eastAsia="pl-PL"/>
        </w:rPr>
        <w:t xml:space="preserve"> aby 90% uziarnień mieszanek zbadanych </w:t>
      </w:r>
      <w:r w:rsidR="004F465D">
        <w:rPr>
          <w:rFonts w:eastAsia="Times New Roman" w:cstheme="minorHAnsi"/>
          <w:sz w:val="20"/>
          <w:szCs w:val="20"/>
          <w:lang w:eastAsia="pl-PL"/>
        </w:rPr>
        <w:br/>
      </w:r>
      <w:r w:rsidRPr="004853EB">
        <w:rPr>
          <w:rFonts w:eastAsia="Times New Roman" w:cstheme="minorHAnsi"/>
          <w:sz w:val="20"/>
          <w:szCs w:val="20"/>
          <w:lang w:eastAsia="pl-PL"/>
        </w:rPr>
        <w:t>w ramach ZKP w okresie 6 miesięcy spełniało wymagania kategorii podanych w tablicach 2 i 3, aby zapewnić jednorodność i ciągłość uziarnienia mieszanek.</w:t>
      </w:r>
    </w:p>
    <w:p w14:paraId="348E8C80" w14:textId="77777777" w:rsidR="00CC1EF4"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Tablica 2. Wymagania wobec jednorodności uziarnienia na sitach kontrolnych – porównanie z deklarowaną przez producenta wartością (S). Wymagania dotyczą produkowanej i dostarczanej mieszanki. Jeśli mieszanka zawiera nadmierną zawartość ziaren słabych, wymaganie dotyczy deklarowanego przez producenta uziarnienia mieszanki po pięciokrotnym zagęszczeniu metodą Proctora</w:t>
      </w:r>
    </w:p>
    <w:p w14:paraId="1A9D3F12" w14:textId="77777777" w:rsidR="004F465D" w:rsidRPr="004853EB" w:rsidRDefault="004F465D"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754"/>
        <w:gridCol w:w="754"/>
        <w:gridCol w:w="754"/>
        <w:gridCol w:w="754"/>
        <w:gridCol w:w="754"/>
        <w:gridCol w:w="754"/>
        <w:gridCol w:w="754"/>
        <w:gridCol w:w="754"/>
        <w:gridCol w:w="754"/>
        <w:gridCol w:w="754"/>
      </w:tblGrid>
      <w:tr w:rsidR="00CC1EF4" w:rsidRPr="004853EB" w14:paraId="4C5E9501" w14:textId="77777777" w:rsidTr="00E95D02">
        <w:tc>
          <w:tcPr>
            <w:tcW w:w="1463" w:type="dxa"/>
            <w:vMerge w:val="restart"/>
            <w:tcBorders>
              <w:bottom w:val="double" w:sz="4" w:space="0" w:color="auto"/>
            </w:tcBorders>
          </w:tcPr>
          <w:p w14:paraId="5BB0D6ED"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Mieszanka niezwiązana, mm</w:t>
            </w:r>
          </w:p>
        </w:tc>
        <w:tc>
          <w:tcPr>
            <w:tcW w:w="7540" w:type="dxa"/>
            <w:gridSpan w:val="10"/>
            <w:tcBorders>
              <w:bottom w:val="single" w:sz="4" w:space="0" w:color="auto"/>
            </w:tcBorders>
          </w:tcPr>
          <w:p w14:paraId="2A32266E"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Porównanie z deklarowaną przez producenta wartością (S)</w:t>
            </w:r>
          </w:p>
          <w:p w14:paraId="60F905C1"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Tolerancje przesiewu przez sito (mm), % (m/m)</w:t>
            </w:r>
          </w:p>
        </w:tc>
      </w:tr>
      <w:tr w:rsidR="00CC1EF4" w:rsidRPr="004853EB" w14:paraId="3E1DF756" w14:textId="77777777" w:rsidTr="00E95D02">
        <w:tc>
          <w:tcPr>
            <w:tcW w:w="1463" w:type="dxa"/>
            <w:vMerge/>
            <w:tcBorders>
              <w:bottom w:val="double" w:sz="4" w:space="0" w:color="auto"/>
            </w:tcBorders>
          </w:tcPr>
          <w:p w14:paraId="638723AC"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tc>
        <w:tc>
          <w:tcPr>
            <w:tcW w:w="754" w:type="dxa"/>
            <w:tcBorders>
              <w:bottom w:val="double" w:sz="4" w:space="0" w:color="auto"/>
            </w:tcBorders>
          </w:tcPr>
          <w:p w14:paraId="5270754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0,5</w:t>
            </w:r>
          </w:p>
        </w:tc>
        <w:tc>
          <w:tcPr>
            <w:tcW w:w="754" w:type="dxa"/>
            <w:tcBorders>
              <w:bottom w:val="double" w:sz="4" w:space="0" w:color="auto"/>
            </w:tcBorders>
          </w:tcPr>
          <w:p w14:paraId="3F50A918"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754" w:type="dxa"/>
            <w:tcBorders>
              <w:bottom w:val="double" w:sz="4" w:space="0" w:color="auto"/>
            </w:tcBorders>
          </w:tcPr>
          <w:p w14:paraId="1473D84F"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754" w:type="dxa"/>
            <w:tcBorders>
              <w:bottom w:val="double" w:sz="4" w:space="0" w:color="auto"/>
            </w:tcBorders>
          </w:tcPr>
          <w:p w14:paraId="3B3E1954"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754" w:type="dxa"/>
            <w:tcBorders>
              <w:bottom w:val="double" w:sz="4" w:space="0" w:color="auto"/>
            </w:tcBorders>
          </w:tcPr>
          <w:p w14:paraId="585E820F"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5,6</w:t>
            </w:r>
          </w:p>
        </w:tc>
        <w:tc>
          <w:tcPr>
            <w:tcW w:w="754" w:type="dxa"/>
            <w:tcBorders>
              <w:bottom w:val="double" w:sz="4" w:space="0" w:color="auto"/>
            </w:tcBorders>
          </w:tcPr>
          <w:p w14:paraId="3CB04B6C"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8</w:t>
            </w:r>
          </w:p>
        </w:tc>
        <w:tc>
          <w:tcPr>
            <w:tcW w:w="754" w:type="dxa"/>
            <w:tcBorders>
              <w:bottom w:val="double" w:sz="4" w:space="0" w:color="auto"/>
            </w:tcBorders>
          </w:tcPr>
          <w:p w14:paraId="524A3D22"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11,2</w:t>
            </w:r>
          </w:p>
        </w:tc>
        <w:tc>
          <w:tcPr>
            <w:tcW w:w="754" w:type="dxa"/>
            <w:tcBorders>
              <w:bottom w:val="double" w:sz="4" w:space="0" w:color="auto"/>
            </w:tcBorders>
          </w:tcPr>
          <w:p w14:paraId="05182576"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16</w:t>
            </w:r>
          </w:p>
        </w:tc>
        <w:tc>
          <w:tcPr>
            <w:tcW w:w="754" w:type="dxa"/>
            <w:tcBorders>
              <w:bottom w:val="double" w:sz="4" w:space="0" w:color="auto"/>
            </w:tcBorders>
          </w:tcPr>
          <w:p w14:paraId="0A61C6C2"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22,4</w:t>
            </w:r>
          </w:p>
        </w:tc>
        <w:tc>
          <w:tcPr>
            <w:tcW w:w="754" w:type="dxa"/>
            <w:tcBorders>
              <w:bottom w:val="double" w:sz="4" w:space="0" w:color="auto"/>
            </w:tcBorders>
          </w:tcPr>
          <w:p w14:paraId="6412BE5E"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31,5</w:t>
            </w:r>
          </w:p>
        </w:tc>
      </w:tr>
      <w:tr w:rsidR="00CC1EF4" w:rsidRPr="004853EB" w14:paraId="6F2F59EF" w14:textId="77777777" w:rsidTr="00E95D02">
        <w:tc>
          <w:tcPr>
            <w:tcW w:w="1463" w:type="dxa"/>
            <w:tcBorders>
              <w:top w:val="double" w:sz="4" w:space="0" w:color="auto"/>
            </w:tcBorders>
          </w:tcPr>
          <w:p w14:paraId="1EA67A42"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0/31,5</w:t>
            </w:r>
          </w:p>
        </w:tc>
        <w:tc>
          <w:tcPr>
            <w:tcW w:w="754" w:type="dxa"/>
            <w:tcBorders>
              <w:top w:val="double" w:sz="4" w:space="0" w:color="auto"/>
            </w:tcBorders>
          </w:tcPr>
          <w:p w14:paraId="73ACEB8C"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5</w:t>
            </w:r>
          </w:p>
        </w:tc>
        <w:tc>
          <w:tcPr>
            <w:tcW w:w="754" w:type="dxa"/>
            <w:tcBorders>
              <w:top w:val="double" w:sz="4" w:space="0" w:color="auto"/>
            </w:tcBorders>
          </w:tcPr>
          <w:p w14:paraId="4BD55531"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5</w:t>
            </w:r>
          </w:p>
        </w:tc>
        <w:tc>
          <w:tcPr>
            <w:tcW w:w="754" w:type="dxa"/>
            <w:tcBorders>
              <w:top w:val="double" w:sz="4" w:space="0" w:color="auto"/>
            </w:tcBorders>
          </w:tcPr>
          <w:p w14:paraId="5232120A"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7</w:t>
            </w:r>
          </w:p>
        </w:tc>
        <w:tc>
          <w:tcPr>
            <w:tcW w:w="754" w:type="dxa"/>
            <w:tcBorders>
              <w:top w:val="double" w:sz="4" w:space="0" w:color="auto"/>
            </w:tcBorders>
          </w:tcPr>
          <w:p w14:paraId="65EAF048"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8</w:t>
            </w:r>
          </w:p>
        </w:tc>
        <w:tc>
          <w:tcPr>
            <w:tcW w:w="754" w:type="dxa"/>
            <w:tcBorders>
              <w:top w:val="double" w:sz="4" w:space="0" w:color="auto"/>
            </w:tcBorders>
          </w:tcPr>
          <w:p w14:paraId="0110F485"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t>
            </w:r>
          </w:p>
        </w:tc>
        <w:tc>
          <w:tcPr>
            <w:tcW w:w="754" w:type="dxa"/>
            <w:tcBorders>
              <w:top w:val="double" w:sz="4" w:space="0" w:color="auto"/>
            </w:tcBorders>
          </w:tcPr>
          <w:p w14:paraId="0281372F"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8</w:t>
            </w:r>
          </w:p>
        </w:tc>
        <w:tc>
          <w:tcPr>
            <w:tcW w:w="754" w:type="dxa"/>
            <w:tcBorders>
              <w:top w:val="double" w:sz="4" w:space="0" w:color="auto"/>
            </w:tcBorders>
          </w:tcPr>
          <w:p w14:paraId="322EC7A4"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t>
            </w:r>
          </w:p>
        </w:tc>
        <w:tc>
          <w:tcPr>
            <w:tcW w:w="754" w:type="dxa"/>
            <w:tcBorders>
              <w:top w:val="double" w:sz="4" w:space="0" w:color="auto"/>
            </w:tcBorders>
          </w:tcPr>
          <w:p w14:paraId="47AD9B15"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8</w:t>
            </w:r>
          </w:p>
        </w:tc>
        <w:tc>
          <w:tcPr>
            <w:tcW w:w="754" w:type="dxa"/>
            <w:tcBorders>
              <w:top w:val="double" w:sz="4" w:space="0" w:color="auto"/>
            </w:tcBorders>
          </w:tcPr>
          <w:p w14:paraId="6A233E2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tc>
        <w:tc>
          <w:tcPr>
            <w:tcW w:w="754" w:type="dxa"/>
            <w:tcBorders>
              <w:top w:val="double" w:sz="4" w:space="0" w:color="auto"/>
            </w:tcBorders>
          </w:tcPr>
          <w:p w14:paraId="6514EF5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tc>
      </w:tr>
    </w:tbl>
    <w:p w14:paraId="069A2AE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636C83C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Krzywa uziarnienia (S) deklarowana przez producenta mieszanek powinna nie tylko mieścić się w odpowiednich krzywych uziarnienia (rys. 1) ograniczonych przerywanymi liniami (SDV) z uwzględnieniem dopuszczalnych tolerancji podanych w tablicy 2, ale powinna spełniać także wymagania ciągłości uziarnienia zawarte w tablicy 3.</w:t>
      </w:r>
    </w:p>
    <w:p w14:paraId="55097643" w14:textId="77777777" w:rsidR="00CC1EF4" w:rsidRPr="004853EB" w:rsidRDefault="00CC1EF4" w:rsidP="00CC1EF4">
      <w:pPr>
        <w:tabs>
          <w:tab w:val="left" w:pos="1134"/>
        </w:tabs>
        <w:overflowPunct w:val="0"/>
        <w:autoSpaceDE w:val="0"/>
        <w:autoSpaceDN w:val="0"/>
        <w:adjustRightInd w:val="0"/>
        <w:spacing w:before="120" w:after="120" w:line="240" w:lineRule="auto"/>
        <w:ind w:left="1134" w:hanging="113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3.</w:t>
      </w:r>
      <w:r w:rsidRPr="004853EB">
        <w:rPr>
          <w:rFonts w:eastAsia="Times New Roman" w:cstheme="minorHAnsi"/>
          <w:sz w:val="20"/>
          <w:szCs w:val="20"/>
          <w:lang w:eastAsia="pl-PL"/>
        </w:rPr>
        <w:tab/>
        <w:t>Wymagania wobec ciągłości uziarnienia na sitach kontrolnych – różnice w przesiewach podczas badań kontrolnych produkowanych mieszanek</w:t>
      </w:r>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578"/>
        <w:gridCol w:w="559"/>
        <w:gridCol w:w="578"/>
        <w:gridCol w:w="559"/>
        <w:gridCol w:w="578"/>
        <w:gridCol w:w="559"/>
        <w:gridCol w:w="578"/>
        <w:gridCol w:w="559"/>
        <w:gridCol w:w="578"/>
        <w:gridCol w:w="559"/>
        <w:gridCol w:w="578"/>
        <w:gridCol w:w="559"/>
        <w:gridCol w:w="578"/>
        <w:gridCol w:w="559"/>
        <w:gridCol w:w="578"/>
        <w:gridCol w:w="559"/>
      </w:tblGrid>
      <w:tr w:rsidR="00CC1EF4" w:rsidRPr="004853EB" w14:paraId="25AE38F9" w14:textId="77777777" w:rsidTr="00E95D02">
        <w:tc>
          <w:tcPr>
            <w:tcW w:w="722" w:type="dxa"/>
            <w:vMerge w:val="restart"/>
          </w:tcPr>
          <w:p w14:paraId="670ACEEA"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Mie-</w:t>
            </w:r>
            <w:proofErr w:type="spellStart"/>
            <w:r w:rsidRPr="004853EB">
              <w:rPr>
                <w:rFonts w:eastAsia="Times New Roman" w:cstheme="minorHAnsi"/>
                <w:sz w:val="20"/>
                <w:szCs w:val="20"/>
                <w:lang w:eastAsia="pl-PL"/>
              </w:rPr>
              <w:t>szan</w:t>
            </w:r>
            <w:proofErr w:type="spellEnd"/>
            <w:r w:rsidRPr="004853EB">
              <w:rPr>
                <w:rFonts w:eastAsia="Times New Roman" w:cstheme="minorHAnsi"/>
                <w:sz w:val="20"/>
                <w:szCs w:val="20"/>
                <w:lang w:eastAsia="pl-PL"/>
              </w:rPr>
              <w:t>-ka, mm</w:t>
            </w:r>
          </w:p>
        </w:tc>
        <w:tc>
          <w:tcPr>
            <w:tcW w:w="9112" w:type="dxa"/>
            <w:gridSpan w:val="16"/>
          </w:tcPr>
          <w:p w14:paraId="24B0DA66"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Minimalna i maksymalna zawartość frakcji w mieszankach;</w:t>
            </w:r>
          </w:p>
          <w:p w14:paraId="2FB74A68"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[różnice przesiewów w % (m/m) przez sito (mm)]</w:t>
            </w:r>
          </w:p>
        </w:tc>
      </w:tr>
      <w:tr w:rsidR="00CC1EF4" w:rsidRPr="004853EB" w14:paraId="0DA8268E" w14:textId="77777777" w:rsidTr="00E95D02">
        <w:tc>
          <w:tcPr>
            <w:tcW w:w="722" w:type="dxa"/>
            <w:vMerge/>
          </w:tcPr>
          <w:p w14:paraId="27CC5CFC"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tc>
        <w:tc>
          <w:tcPr>
            <w:tcW w:w="1139" w:type="dxa"/>
            <w:gridSpan w:val="2"/>
            <w:tcBorders>
              <w:bottom w:val="single" w:sz="4" w:space="0" w:color="auto"/>
            </w:tcBorders>
          </w:tcPr>
          <w:p w14:paraId="6617EFAF"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1/2</w:t>
            </w:r>
          </w:p>
        </w:tc>
        <w:tc>
          <w:tcPr>
            <w:tcW w:w="1139" w:type="dxa"/>
            <w:gridSpan w:val="2"/>
            <w:tcBorders>
              <w:bottom w:val="single" w:sz="4" w:space="0" w:color="auto"/>
            </w:tcBorders>
          </w:tcPr>
          <w:p w14:paraId="3F52F8FF"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2/4</w:t>
            </w:r>
          </w:p>
        </w:tc>
        <w:tc>
          <w:tcPr>
            <w:tcW w:w="1139" w:type="dxa"/>
            <w:gridSpan w:val="2"/>
            <w:tcBorders>
              <w:bottom w:val="single" w:sz="4" w:space="0" w:color="auto"/>
            </w:tcBorders>
          </w:tcPr>
          <w:p w14:paraId="6D27221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2/5,6</w:t>
            </w:r>
          </w:p>
        </w:tc>
        <w:tc>
          <w:tcPr>
            <w:tcW w:w="1139" w:type="dxa"/>
            <w:gridSpan w:val="2"/>
            <w:tcBorders>
              <w:bottom w:val="single" w:sz="4" w:space="0" w:color="auto"/>
            </w:tcBorders>
          </w:tcPr>
          <w:p w14:paraId="11544CFD"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4/8</w:t>
            </w:r>
          </w:p>
        </w:tc>
        <w:tc>
          <w:tcPr>
            <w:tcW w:w="1139" w:type="dxa"/>
            <w:gridSpan w:val="2"/>
            <w:tcBorders>
              <w:bottom w:val="single" w:sz="4" w:space="0" w:color="auto"/>
            </w:tcBorders>
          </w:tcPr>
          <w:p w14:paraId="6A1A3E07"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5,6/11,2</w:t>
            </w:r>
          </w:p>
        </w:tc>
        <w:tc>
          <w:tcPr>
            <w:tcW w:w="1139" w:type="dxa"/>
            <w:gridSpan w:val="2"/>
            <w:tcBorders>
              <w:bottom w:val="single" w:sz="4" w:space="0" w:color="auto"/>
            </w:tcBorders>
          </w:tcPr>
          <w:p w14:paraId="0BCA949F"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8/16</w:t>
            </w:r>
          </w:p>
        </w:tc>
        <w:tc>
          <w:tcPr>
            <w:tcW w:w="1139" w:type="dxa"/>
            <w:gridSpan w:val="2"/>
            <w:tcBorders>
              <w:bottom w:val="single" w:sz="4" w:space="0" w:color="auto"/>
            </w:tcBorders>
          </w:tcPr>
          <w:p w14:paraId="75B457D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11,2/22,4</w:t>
            </w:r>
          </w:p>
        </w:tc>
        <w:tc>
          <w:tcPr>
            <w:tcW w:w="1139" w:type="dxa"/>
            <w:gridSpan w:val="2"/>
            <w:tcBorders>
              <w:bottom w:val="single" w:sz="4" w:space="0" w:color="auto"/>
            </w:tcBorders>
          </w:tcPr>
          <w:p w14:paraId="229A1F1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16/31,5</w:t>
            </w:r>
          </w:p>
        </w:tc>
      </w:tr>
      <w:tr w:rsidR="00CC1EF4" w:rsidRPr="004853EB" w14:paraId="40818A63" w14:textId="77777777" w:rsidTr="00E95D02">
        <w:tc>
          <w:tcPr>
            <w:tcW w:w="722" w:type="dxa"/>
            <w:vMerge/>
            <w:tcBorders>
              <w:bottom w:val="double" w:sz="4" w:space="0" w:color="auto"/>
            </w:tcBorders>
          </w:tcPr>
          <w:p w14:paraId="06DBBD9A"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tc>
        <w:tc>
          <w:tcPr>
            <w:tcW w:w="578" w:type="dxa"/>
            <w:tcBorders>
              <w:bottom w:val="double" w:sz="4" w:space="0" w:color="auto"/>
            </w:tcBorders>
          </w:tcPr>
          <w:p w14:paraId="37057046"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min.</w:t>
            </w:r>
          </w:p>
        </w:tc>
        <w:tc>
          <w:tcPr>
            <w:tcW w:w="561" w:type="dxa"/>
            <w:tcBorders>
              <w:bottom w:val="double" w:sz="4" w:space="0" w:color="auto"/>
            </w:tcBorders>
          </w:tcPr>
          <w:p w14:paraId="66B0F12A"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max</w:t>
            </w:r>
          </w:p>
        </w:tc>
        <w:tc>
          <w:tcPr>
            <w:tcW w:w="578" w:type="dxa"/>
            <w:tcBorders>
              <w:bottom w:val="double" w:sz="4" w:space="0" w:color="auto"/>
            </w:tcBorders>
          </w:tcPr>
          <w:p w14:paraId="2D20B9E4"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min.</w:t>
            </w:r>
          </w:p>
        </w:tc>
        <w:tc>
          <w:tcPr>
            <w:tcW w:w="561" w:type="dxa"/>
            <w:tcBorders>
              <w:bottom w:val="double" w:sz="4" w:space="0" w:color="auto"/>
            </w:tcBorders>
          </w:tcPr>
          <w:p w14:paraId="5B882D4D"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max</w:t>
            </w:r>
          </w:p>
        </w:tc>
        <w:tc>
          <w:tcPr>
            <w:tcW w:w="578" w:type="dxa"/>
            <w:tcBorders>
              <w:bottom w:val="double" w:sz="4" w:space="0" w:color="auto"/>
            </w:tcBorders>
          </w:tcPr>
          <w:p w14:paraId="123EDC2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min.</w:t>
            </w:r>
          </w:p>
        </w:tc>
        <w:tc>
          <w:tcPr>
            <w:tcW w:w="561" w:type="dxa"/>
            <w:tcBorders>
              <w:bottom w:val="double" w:sz="4" w:space="0" w:color="auto"/>
            </w:tcBorders>
          </w:tcPr>
          <w:p w14:paraId="108FD32E"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max</w:t>
            </w:r>
          </w:p>
        </w:tc>
        <w:tc>
          <w:tcPr>
            <w:tcW w:w="578" w:type="dxa"/>
            <w:tcBorders>
              <w:bottom w:val="double" w:sz="4" w:space="0" w:color="auto"/>
            </w:tcBorders>
          </w:tcPr>
          <w:p w14:paraId="78A5427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min.</w:t>
            </w:r>
          </w:p>
        </w:tc>
        <w:tc>
          <w:tcPr>
            <w:tcW w:w="561" w:type="dxa"/>
            <w:tcBorders>
              <w:bottom w:val="double" w:sz="4" w:space="0" w:color="auto"/>
            </w:tcBorders>
          </w:tcPr>
          <w:p w14:paraId="76F4606A"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max</w:t>
            </w:r>
          </w:p>
        </w:tc>
        <w:tc>
          <w:tcPr>
            <w:tcW w:w="578" w:type="dxa"/>
            <w:tcBorders>
              <w:bottom w:val="double" w:sz="4" w:space="0" w:color="auto"/>
            </w:tcBorders>
          </w:tcPr>
          <w:p w14:paraId="1823CCE7"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min.</w:t>
            </w:r>
          </w:p>
        </w:tc>
        <w:tc>
          <w:tcPr>
            <w:tcW w:w="561" w:type="dxa"/>
            <w:tcBorders>
              <w:bottom w:val="double" w:sz="4" w:space="0" w:color="auto"/>
            </w:tcBorders>
          </w:tcPr>
          <w:p w14:paraId="30788047"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max</w:t>
            </w:r>
          </w:p>
        </w:tc>
        <w:tc>
          <w:tcPr>
            <w:tcW w:w="578" w:type="dxa"/>
            <w:tcBorders>
              <w:bottom w:val="double" w:sz="4" w:space="0" w:color="auto"/>
            </w:tcBorders>
          </w:tcPr>
          <w:p w14:paraId="19DDECC7"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min.</w:t>
            </w:r>
          </w:p>
        </w:tc>
        <w:tc>
          <w:tcPr>
            <w:tcW w:w="561" w:type="dxa"/>
            <w:tcBorders>
              <w:bottom w:val="double" w:sz="4" w:space="0" w:color="auto"/>
            </w:tcBorders>
          </w:tcPr>
          <w:p w14:paraId="71D13E9E"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max</w:t>
            </w:r>
          </w:p>
        </w:tc>
        <w:tc>
          <w:tcPr>
            <w:tcW w:w="578" w:type="dxa"/>
            <w:tcBorders>
              <w:bottom w:val="double" w:sz="4" w:space="0" w:color="auto"/>
            </w:tcBorders>
          </w:tcPr>
          <w:p w14:paraId="035C39AD"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min.</w:t>
            </w:r>
          </w:p>
        </w:tc>
        <w:tc>
          <w:tcPr>
            <w:tcW w:w="561" w:type="dxa"/>
            <w:tcBorders>
              <w:bottom w:val="double" w:sz="4" w:space="0" w:color="auto"/>
            </w:tcBorders>
          </w:tcPr>
          <w:p w14:paraId="041D4225"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max</w:t>
            </w:r>
          </w:p>
        </w:tc>
        <w:tc>
          <w:tcPr>
            <w:tcW w:w="578" w:type="dxa"/>
            <w:tcBorders>
              <w:bottom w:val="double" w:sz="4" w:space="0" w:color="auto"/>
            </w:tcBorders>
          </w:tcPr>
          <w:p w14:paraId="717F43EE"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min.</w:t>
            </w:r>
          </w:p>
        </w:tc>
        <w:tc>
          <w:tcPr>
            <w:tcW w:w="561" w:type="dxa"/>
            <w:tcBorders>
              <w:bottom w:val="double" w:sz="4" w:space="0" w:color="auto"/>
            </w:tcBorders>
          </w:tcPr>
          <w:p w14:paraId="3A5DEE08"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max</w:t>
            </w:r>
          </w:p>
        </w:tc>
      </w:tr>
      <w:tr w:rsidR="00CC1EF4" w:rsidRPr="004853EB" w14:paraId="0B1672EA" w14:textId="77777777" w:rsidTr="00E95D02">
        <w:tc>
          <w:tcPr>
            <w:tcW w:w="722" w:type="dxa"/>
            <w:tcBorders>
              <w:top w:val="double" w:sz="4" w:space="0" w:color="auto"/>
            </w:tcBorders>
          </w:tcPr>
          <w:p w14:paraId="44A6DDDE"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0/31,5</w:t>
            </w:r>
          </w:p>
        </w:tc>
        <w:tc>
          <w:tcPr>
            <w:tcW w:w="578" w:type="dxa"/>
            <w:tcBorders>
              <w:top w:val="double" w:sz="4" w:space="0" w:color="auto"/>
            </w:tcBorders>
          </w:tcPr>
          <w:p w14:paraId="509A68B0"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561" w:type="dxa"/>
            <w:tcBorders>
              <w:top w:val="double" w:sz="4" w:space="0" w:color="auto"/>
            </w:tcBorders>
          </w:tcPr>
          <w:p w14:paraId="4EAEF60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15</w:t>
            </w:r>
          </w:p>
        </w:tc>
        <w:tc>
          <w:tcPr>
            <w:tcW w:w="578" w:type="dxa"/>
            <w:tcBorders>
              <w:top w:val="double" w:sz="4" w:space="0" w:color="auto"/>
            </w:tcBorders>
          </w:tcPr>
          <w:p w14:paraId="2920B545"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w:t>
            </w:r>
          </w:p>
        </w:tc>
        <w:tc>
          <w:tcPr>
            <w:tcW w:w="561" w:type="dxa"/>
            <w:tcBorders>
              <w:top w:val="double" w:sz="4" w:space="0" w:color="auto"/>
            </w:tcBorders>
          </w:tcPr>
          <w:p w14:paraId="66D6EC49"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20</w:t>
            </w:r>
          </w:p>
        </w:tc>
        <w:tc>
          <w:tcPr>
            <w:tcW w:w="578" w:type="dxa"/>
            <w:tcBorders>
              <w:top w:val="double" w:sz="4" w:space="0" w:color="auto"/>
            </w:tcBorders>
          </w:tcPr>
          <w:p w14:paraId="5E338CA7"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t>
            </w:r>
          </w:p>
        </w:tc>
        <w:tc>
          <w:tcPr>
            <w:tcW w:w="561" w:type="dxa"/>
            <w:tcBorders>
              <w:top w:val="double" w:sz="4" w:space="0" w:color="auto"/>
            </w:tcBorders>
          </w:tcPr>
          <w:p w14:paraId="7AA7BE3A"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t>
            </w:r>
          </w:p>
        </w:tc>
        <w:tc>
          <w:tcPr>
            <w:tcW w:w="578" w:type="dxa"/>
            <w:tcBorders>
              <w:top w:val="double" w:sz="4" w:space="0" w:color="auto"/>
            </w:tcBorders>
          </w:tcPr>
          <w:p w14:paraId="1039B5ED"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10</w:t>
            </w:r>
          </w:p>
        </w:tc>
        <w:tc>
          <w:tcPr>
            <w:tcW w:w="561" w:type="dxa"/>
            <w:tcBorders>
              <w:top w:val="double" w:sz="4" w:space="0" w:color="auto"/>
            </w:tcBorders>
          </w:tcPr>
          <w:p w14:paraId="11050C82"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25</w:t>
            </w:r>
          </w:p>
        </w:tc>
        <w:tc>
          <w:tcPr>
            <w:tcW w:w="578" w:type="dxa"/>
            <w:tcBorders>
              <w:top w:val="double" w:sz="4" w:space="0" w:color="auto"/>
            </w:tcBorders>
          </w:tcPr>
          <w:p w14:paraId="09BD8EAD"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t>
            </w:r>
          </w:p>
        </w:tc>
        <w:tc>
          <w:tcPr>
            <w:tcW w:w="561" w:type="dxa"/>
            <w:tcBorders>
              <w:top w:val="double" w:sz="4" w:space="0" w:color="auto"/>
            </w:tcBorders>
          </w:tcPr>
          <w:p w14:paraId="48174635"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t>
            </w:r>
          </w:p>
        </w:tc>
        <w:tc>
          <w:tcPr>
            <w:tcW w:w="578" w:type="dxa"/>
            <w:tcBorders>
              <w:top w:val="double" w:sz="4" w:space="0" w:color="auto"/>
            </w:tcBorders>
          </w:tcPr>
          <w:p w14:paraId="3FED4468"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10</w:t>
            </w:r>
          </w:p>
        </w:tc>
        <w:tc>
          <w:tcPr>
            <w:tcW w:w="561" w:type="dxa"/>
            <w:tcBorders>
              <w:top w:val="double" w:sz="4" w:space="0" w:color="auto"/>
            </w:tcBorders>
          </w:tcPr>
          <w:p w14:paraId="0C662BDE"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25</w:t>
            </w:r>
          </w:p>
        </w:tc>
        <w:tc>
          <w:tcPr>
            <w:tcW w:w="578" w:type="dxa"/>
            <w:tcBorders>
              <w:top w:val="double" w:sz="4" w:space="0" w:color="auto"/>
            </w:tcBorders>
          </w:tcPr>
          <w:p w14:paraId="46AD8E35"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t>
            </w:r>
          </w:p>
        </w:tc>
        <w:tc>
          <w:tcPr>
            <w:tcW w:w="561" w:type="dxa"/>
            <w:tcBorders>
              <w:top w:val="double" w:sz="4" w:space="0" w:color="auto"/>
            </w:tcBorders>
          </w:tcPr>
          <w:p w14:paraId="0B3567B1"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t>
            </w:r>
          </w:p>
        </w:tc>
        <w:tc>
          <w:tcPr>
            <w:tcW w:w="578" w:type="dxa"/>
            <w:tcBorders>
              <w:top w:val="double" w:sz="4" w:space="0" w:color="auto"/>
            </w:tcBorders>
          </w:tcPr>
          <w:p w14:paraId="1AD79C0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t>
            </w:r>
          </w:p>
        </w:tc>
        <w:tc>
          <w:tcPr>
            <w:tcW w:w="561" w:type="dxa"/>
            <w:tcBorders>
              <w:top w:val="double" w:sz="4" w:space="0" w:color="auto"/>
            </w:tcBorders>
          </w:tcPr>
          <w:p w14:paraId="5C88E718"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t>
            </w:r>
          </w:p>
        </w:tc>
      </w:tr>
    </w:tbl>
    <w:p w14:paraId="774343C3" w14:textId="77777777" w:rsidR="00CC1EF4" w:rsidRPr="004853EB" w:rsidRDefault="00CC1EF4" w:rsidP="00CC1EF4">
      <w:pPr>
        <w:overflowPunct w:val="0"/>
        <w:autoSpaceDE w:val="0"/>
        <w:autoSpaceDN w:val="0"/>
        <w:adjustRightInd w:val="0"/>
        <w:spacing w:after="0" w:line="240" w:lineRule="auto"/>
        <w:ind w:left="840" w:hanging="840"/>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r>
    </w:p>
    <w:p w14:paraId="6A8B77F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Mieszanki kruszyw stosowane do warstw podbudów zasadniczych powinny spełniać wymagania wg tablicy 4. Wymagania wobec mieszanek przeznaczonych do warstw podbudowy zasadniczej odnośnie wrażliwości na mróz (wskaźnik SE), dotyczą badania materiału po pięciokrotnym zagęszczeniu metoda Proctora według PN-EN 13286-2 [18]. Nie stawia się wymagań wobec wodoprzepuszczalności zagęszczonej mieszanki niezwiązanej do podbudowy zasadniczej, o ile szczegółowe rozwiązania nie przewidują tego.</w:t>
      </w:r>
    </w:p>
    <w:p w14:paraId="03871156" w14:textId="1BF2783E"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Zawartość wody w mieszankach kruszyw powinna odpowiadać wymaganej zawartości wody w trakcie wbudowywania i zagęszczania określonej metodą </w:t>
      </w:r>
      <w:r w:rsidR="004F465D" w:rsidRPr="004853EB">
        <w:rPr>
          <w:rFonts w:eastAsia="Times New Roman" w:cstheme="minorHAnsi"/>
          <w:sz w:val="20"/>
          <w:szCs w:val="20"/>
          <w:lang w:eastAsia="pl-PL"/>
        </w:rPr>
        <w:t>Proctora według PN</w:t>
      </w:r>
      <w:r w:rsidRPr="004853EB">
        <w:rPr>
          <w:rFonts w:eastAsia="Times New Roman" w:cstheme="minorHAnsi"/>
          <w:sz w:val="20"/>
          <w:szCs w:val="20"/>
          <w:lang w:eastAsia="pl-PL"/>
        </w:rPr>
        <w:t>-EN 13286-2 [18], w granicach podanych w tablicy 4.</w:t>
      </w:r>
    </w:p>
    <w:p w14:paraId="6FB0BD59" w14:textId="3553E608"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Badanie CBR mieszanek do podbudowy zasadniczej należy wykonać na mieszance zagęszczonej metodą </w:t>
      </w:r>
      <w:r w:rsidR="004F465D" w:rsidRPr="004853EB">
        <w:rPr>
          <w:rFonts w:eastAsia="Times New Roman" w:cstheme="minorHAnsi"/>
          <w:sz w:val="20"/>
          <w:szCs w:val="20"/>
          <w:lang w:eastAsia="pl-PL"/>
        </w:rPr>
        <w:t>Proctora do</w:t>
      </w:r>
      <w:r w:rsidRPr="004853EB">
        <w:rPr>
          <w:rFonts w:eastAsia="Times New Roman" w:cstheme="minorHAnsi"/>
          <w:sz w:val="20"/>
          <w:szCs w:val="20"/>
          <w:lang w:eastAsia="pl-PL"/>
        </w:rPr>
        <w:t xml:space="preserve"> wskaźnika zagęszczenia </w:t>
      </w:r>
      <w:proofErr w:type="spellStart"/>
      <w:r w:rsidRPr="004853EB">
        <w:rPr>
          <w:rFonts w:eastAsia="Times New Roman" w:cstheme="minorHAnsi"/>
          <w:sz w:val="20"/>
          <w:szCs w:val="20"/>
          <w:lang w:eastAsia="pl-PL"/>
        </w:rPr>
        <w:t>Is</w:t>
      </w:r>
      <w:proofErr w:type="spellEnd"/>
      <w:r w:rsidRPr="004853EB">
        <w:rPr>
          <w:rFonts w:eastAsia="Times New Roman" w:cstheme="minorHAnsi"/>
          <w:sz w:val="20"/>
          <w:szCs w:val="20"/>
          <w:lang w:eastAsia="pl-PL"/>
        </w:rPr>
        <w:t xml:space="preserve"> = 1,0 i po 96 godzinach przechowywania jej w wodzie. CBR należy oznaczyć wg PN-EN 13286-47 [19], a wymaganie przyjąć wg tablicy 4.</w:t>
      </w:r>
    </w:p>
    <w:p w14:paraId="6A5CE682"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68" w:name="_Toc194476919"/>
      <w:bookmarkStart w:id="2969" w:name="_Toc227760210"/>
      <w:bookmarkStart w:id="2970" w:name="_Toc227825357"/>
      <w:r w:rsidRPr="004853EB">
        <w:rPr>
          <w:rFonts w:eastAsia="Times New Roman" w:cstheme="minorHAnsi"/>
          <w:b/>
          <w:sz w:val="20"/>
          <w:szCs w:val="20"/>
          <w:lang w:eastAsia="pl-PL"/>
        </w:rPr>
        <w:t>Istotne cechy środowiskowe</w:t>
      </w:r>
      <w:bookmarkEnd w:id="2968"/>
      <w:bookmarkEnd w:id="2969"/>
      <w:bookmarkEnd w:id="2970"/>
      <w:r w:rsidRPr="004853EB">
        <w:rPr>
          <w:rFonts w:eastAsia="Times New Roman" w:cstheme="minorHAnsi"/>
          <w:b/>
          <w:sz w:val="20"/>
          <w:szCs w:val="20"/>
          <w:lang w:eastAsia="pl-PL"/>
        </w:rPr>
        <w:t xml:space="preserve"> </w:t>
      </w:r>
    </w:p>
    <w:p w14:paraId="0903E7B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Zgodnie z dotychczasowymi doświadczeniami, dotyczącymi stosowania w drogownictwie mieszanek z kruszyw naturalnych oraz gruntów, można je zaliczyć do wyrobów budowlanych, które nie oddziaływają szkodliwie na środowisko. Większość substancji niebezpiecznych określonych w dyrektywie Rady 76/769/EWG zazwyczaj nie występuje w takich mieszankach. </w:t>
      </w:r>
    </w:p>
    <w:p w14:paraId="75DD0CD4"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Wymagania wobec mieszanek</w:t>
      </w:r>
    </w:p>
    <w:p w14:paraId="3C42077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tablicy 4 przedstawia się zbiorcze zestawienie wymagań wobec mieszanek kruszywa niezwiązanego w warstwie podbudowy zasadniczej.</w:t>
      </w:r>
    </w:p>
    <w:p w14:paraId="4C245F9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2A738F54" w14:textId="6B440AE3" w:rsidR="00CC1EF4" w:rsidRPr="004853EB" w:rsidRDefault="00CC1EF4" w:rsidP="00CC1EF4">
      <w:pPr>
        <w:tabs>
          <w:tab w:val="left" w:pos="1134"/>
        </w:tabs>
        <w:spacing w:after="0" w:line="240" w:lineRule="auto"/>
        <w:ind w:left="1134" w:hanging="1134"/>
        <w:jc w:val="both"/>
        <w:rPr>
          <w:rFonts w:eastAsia="Calibri" w:cstheme="minorHAnsi"/>
          <w:sz w:val="20"/>
          <w:szCs w:val="20"/>
        </w:rPr>
      </w:pPr>
      <w:r w:rsidRPr="004853EB">
        <w:rPr>
          <w:rFonts w:eastAsia="Calibri" w:cstheme="minorHAnsi"/>
          <w:sz w:val="20"/>
          <w:szCs w:val="20"/>
        </w:rPr>
        <w:t>Tablica 4.</w:t>
      </w:r>
      <w:r w:rsidRPr="004853EB">
        <w:rPr>
          <w:rFonts w:eastAsia="Calibri" w:cstheme="minorHAnsi"/>
          <w:sz w:val="20"/>
          <w:szCs w:val="20"/>
        </w:rPr>
        <w:tab/>
        <w:t xml:space="preserve">Wymagania </w:t>
      </w:r>
      <w:r w:rsidR="004F465D" w:rsidRPr="004853EB">
        <w:rPr>
          <w:rFonts w:eastAsia="Calibri" w:cstheme="minorHAnsi"/>
          <w:sz w:val="20"/>
          <w:szCs w:val="20"/>
        </w:rPr>
        <w:t>wobec mieszanek</w:t>
      </w:r>
      <w:r w:rsidRPr="004853EB">
        <w:rPr>
          <w:rFonts w:eastAsia="Calibri" w:cstheme="minorHAnsi"/>
          <w:sz w:val="20"/>
          <w:szCs w:val="20"/>
        </w:rPr>
        <w:t xml:space="preserve"> kruszywa niezwiązanego w warstwie podbudowy zasadniczej</w:t>
      </w:r>
    </w:p>
    <w:p w14:paraId="2E4E45D6" w14:textId="4D3B2457" w:rsidR="00CC1EF4" w:rsidRPr="004853EB" w:rsidRDefault="00CC1EF4" w:rsidP="00CC1EF4">
      <w:pPr>
        <w:spacing w:before="120" w:after="0" w:line="240" w:lineRule="auto"/>
        <w:jc w:val="both"/>
        <w:rPr>
          <w:rFonts w:eastAsia="Calibri" w:cstheme="minorHAnsi"/>
          <w:sz w:val="20"/>
          <w:szCs w:val="20"/>
        </w:rPr>
      </w:pPr>
      <w:r w:rsidRPr="004853EB">
        <w:rPr>
          <w:rFonts w:eastAsia="Calibri" w:cstheme="minorHAnsi"/>
          <w:sz w:val="20"/>
          <w:szCs w:val="20"/>
        </w:rPr>
        <w:t xml:space="preserve">Skróty użyte w tablicy: Kat. – kategoria </w:t>
      </w:r>
      <w:r w:rsidR="004F465D" w:rsidRPr="004853EB">
        <w:rPr>
          <w:rFonts w:eastAsia="Calibri" w:cstheme="minorHAnsi"/>
          <w:sz w:val="20"/>
          <w:szCs w:val="20"/>
        </w:rPr>
        <w:t xml:space="preserve">właściwości, </w:t>
      </w:r>
      <w:proofErr w:type="spellStart"/>
      <w:r w:rsidR="004F465D" w:rsidRPr="004853EB">
        <w:rPr>
          <w:rFonts w:eastAsia="Calibri" w:cstheme="minorHAnsi"/>
          <w:sz w:val="20"/>
          <w:szCs w:val="20"/>
        </w:rPr>
        <w:t>wsk</w:t>
      </w:r>
      <w:proofErr w:type="spellEnd"/>
      <w:r w:rsidR="004F465D" w:rsidRPr="004853EB">
        <w:rPr>
          <w:rFonts w:eastAsia="Calibri" w:cstheme="minorHAnsi"/>
          <w:sz w:val="20"/>
          <w:szCs w:val="20"/>
        </w:rPr>
        <w:t>.</w:t>
      </w:r>
      <w:r w:rsidRPr="004853EB">
        <w:rPr>
          <w:rFonts w:eastAsia="Calibri" w:cstheme="minorHAnsi"/>
          <w:sz w:val="20"/>
          <w:szCs w:val="20"/>
        </w:rPr>
        <w:t xml:space="preserve"> – wskaźnik, </w:t>
      </w:r>
      <w:proofErr w:type="spellStart"/>
      <w:r w:rsidRPr="004853EB">
        <w:rPr>
          <w:rFonts w:eastAsia="Calibri" w:cstheme="minorHAnsi"/>
          <w:sz w:val="20"/>
          <w:szCs w:val="20"/>
        </w:rPr>
        <w:t>wsp</w:t>
      </w:r>
      <w:proofErr w:type="spellEnd"/>
      <w:r w:rsidRPr="004853EB">
        <w:rPr>
          <w:rFonts w:eastAsia="Calibri" w:cstheme="minorHAnsi"/>
          <w:sz w:val="20"/>
          <w:szCs w:val="20"/>
        </w:rPr>
        <w:t>. – współczynnik</w:t>
      </w:r>
    </w:p>
    <w:p w14:paraId="0BD9DEB0" w14:textId="77777777" w:rsidR="00CC1EF4" w:rsidRDefault="00CC1EF4" w:rsidP="00CC1EF4">
      <w:pPr>
        <w:spacing w:after="0" w:line="240" w:lineRule="auto"/>
        <w:ind w:firstLine="697"/>
        <w:jc w:val="both"/>
        <w:rPr>
          <w:rFonts w:eastAsia="Calibri" w:cstheme="minorHAnsi"/>
          <w:sz w:val="20"/>
          <w:szCs w:val="20"/>
        </w:rPr>
      </w:pPr>
    </w:p>
    <w:p w14:paraId="4B6F259B" w14:textId="77777777" w:rsidR="00CF69C0" w:rsidRDefault="00CF69C0" w:rsidP="00CC1EF4">
      <w:pPr>
        <w:spacing w:after="0" w:line="240" w:lineRule="auto"/>
        <w:ind w:firstLine="697"/>
        <w:jc w:val="both"/>
        <w:rPr>
          <w:rFonts w:eastAsia="Calibri" w:cstheme="minorHAnsi"/>
          <w:sz w:val="20"/>
          <w:szCs w:val="20"/>
        </w:rPr>
      </w:pPr>
    </w:p>
    <w:p w14:paraId="355ED89E" w14:textId="77777777" w:rsidR="00CF69C0" w:rsidRDefault="00CF69C0" w:rsidP="00CC1EF4">
      <w:pPr>
        <w:spacing w:after="0" w:line="240" w:lineRule="auto"/>
        <w:ind w:firstLine="697"/>
        <w:jc w:val="both"/>
        <w:rPr>
          <w:rFonts w:eastAsia="Calibri" w:cstheme="minorHAnsi"/>
          <w:sz w:val="20"/>
          <w:szCs w:val="20"/>
        </w:rPr>
      </w:pPr>
    </w:p>
    <w:p w14:paraId="750795DB" w14:textId="77777777" w:rsidR="00CF69C0" w:rsidRDefault="00CF69C0" w:rsidP="00CC1EF4">
      <w:pPr>
        <w:spacing w:after="0" w:line="240" w:lineRule="auto"/>
        <w:ind w:firstLine="697"/>
        <w:jc w:val="both"/>
        <w:rPr>
          <w:rFonts w:eastAsia="Calibri" w:cstheme="minorHAnsi"/>
          <w:sz w:val="20"/>
          <w:szCs w:val="20"/>
        </w:rPr>
      </w:pPr>
    </w:p>
    <w:p w14:paraId="6AF5C0C2" w14:textId="77777777" w:rsidR="00CF69C0" w:rsidRDefault="00CF69C0" w:rsidP="00CC1EF4">
      <w:pPr>
        <w:spacing w:after="0" w:line="240" w:lineRule="auto"/>
        <w:ind w:firstLine="697"/>
        <w:jc w:val="both"/>
        <w:rPr>
          <w:rFonts w:eastAsia="Calibri" w:cstheme="minorHAnsi"/>
          <w:sz w:val="20"/>
          <w:szCs w:val="20"/>
        </w:rPr>
      </w:pPr>
    </w:p>
    <w:p w14:paraId="61B55032" w14:textId="77777777" w:rsidR="00CF69C0" w:rsidRPr="004853EB" w:rsidRDefault="00CF69C0" w:rsidP="00CC1EF4">
      <w:pPr>
        <w:spacing w:after="0" w:line="240" w:lineRule="auto"/>
        <w:ind w:firstLine="697"/>
        <w:jc w:val="both"/>
        <w:rPr>
          <w:rFonts w:eastAsia="Calibr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709"/>
        <w:gridCol w:w="5194"/>
      </w:tblGrid>
      <w:tr w:rsidR="00CC1EF4" w:rsidRPr="004853EB" w14:paraId="025BCB1E" w14:textId="77777777" w:rsidTr="00E95D02">
        <w:tc>
          <w:tcPr>
            <w:tcW w:w="3085" w:type="dxa"/>
            <w:vMerge w:val="restart"/>
            <w:vAlign w:val="center"/>
          </w:tcPr>
          <w:p w14:paraId="4040C567"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lastRenderedPageBreak/>
              <w:t>Właściwość</w:t>
            </w:r>
          </w:p>
          <w:p w14:paraId="0FE1D47E"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kruszywa</w:t>
            </w:r>
          </w:p>
        </w:tc>
        <w:tc>
          <w:tcPr>
            <w:tcW w:w="5903" w:type="dxa"/>
            <w:gridSpan w:val="2"/>
          </w:tcPr>
          <w:p w14:paraId="65A1919B" w14:textId="5B602A1E"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 xml:space="preserve">Wymagania </w:t>
            </w:r>
            <w:r w:rsidR="004F465D" w:rsidRPr="004853EB">
              <w:rPr>
                <w:rFonts w:eastAsia="Calibri" w:cstheme="minorHAnsi"/>
                <w:sz w:val="20"/>
                <w:szCs w:val="20"/>
              </w:rPr>
              <w:t>wobec mieszanek</w:t>
            </w:r>
            <w:r w:rsidRPr="004853EB">
              <w:rPr>
                <w:rFonts w:eastAsia="Calibri" w:cstheme="minorHAnsi"/>
                <w:sz w:val="20"/>
                <w:szCs w:val="20"/>
              </w:rPr>
              <w:t xml:space="preserve"> kruszywa niezwiązanego w warstwie podbudowy zasadniczej pod nawierzchnią drogi obciążonej </w:t>
            </w:r>
            <w:r w:rsidR="004F465D" w:rsidRPr="004853EB">
              <w:rPr>
                <w:rFonts w:eastAsia="Calibri" w:cstheme="minorHAnsi"/>
                <w:sz w:val="20"/>
                <w:szCs w:val="20"/>
              </w:rPr>
              <w:t>ruchem kategorii</w:t>
            </w:r>
            <w:r w:rsidRPr="004853EB">
              <w:rPr>
                <w:rFonts w:eastAsia="Calibri" w:cstheme="minorHAnsi"/>
                <w:sz w:val="20"/>
                <w:szCs w:val="20"/>
              </w:rPr>
              <w:t xml:space="preserve"> KR1 </w:t>
            </w:r>
          </w:p>
        </w:tc>
      </w:tr>
      <w:tr w:rsidR="00CC1EF4" w:rsidRPr="004853EB" w14:paraId="7718DC93" w14:textId="77777777" w:rsidTr="00E95D02">
        <w:trPr>
          <w:trHeight w:val="476"/>
        </w:trPr>
        <w:tc>
          <w:tcPr>
            <w:tcW w:w="3085" w:type="dxa"/>
            <w:vMerge/>
          </w:tcPr>
          <w:p w14:paraId="168BEF47" w14:textId="77777777" w:rsidR="00CC1EF4" w:rsidRPr="004853EB" w:rsidRDefault="00CC1EF4" w:rsidP="00CC1EF4">
            <w:pPr>
              <w:spacing w:after="0" w:line="240" w:lineRule="auto"/>
              <w:jc w:val="both"/>
              <w:rPr>
                <w:rFonts w:eastAsia="Calibri" w:cstheme="minorHAnsi"/>
                <w:sz w:val="20"/>
                <w:szCs w:val="20"/>
              </w:rPr>
            </w:pPr>
          </w:p>
        </w:tc>
        <w:tc>
          <w:tcPr>
            <w:tcW w:w="709" w:type="dxa"/>
            <w:vAlign w:val="center"/>
          </w:tcPr>
          <w:p w14:paraId="1167452C"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Punkt</w:t>
            </w:r>
          </w:p>
          <w:p w14:paraId="41D57350"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PN-EN</w:t>
            </w:r>
          </w:p>
          <w:p w14:paraId="34B5A518"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13285</w:t>
            </w:r>
          </w:p>
        </w:tc>
        <w:tc>
          <w:tcPr>
            <w:tcW w:w="5194" w:type="dxa"/>
            <w:vAlign w:val="center"/>
          </w:tcPr>
          <w:p w14:paraId="378B6C2D" w14:textId="77777777" w:rsidR="00CC1EF4" w:rsidRPr="004853EB" w:rsidRDefault="00CC1EF4" w:rsidP="00CC1EF4">
            <w:pPr>
              <w:spacing w:after="0" w:line="240" w:lineRule="auto"/>
              <w:jc w:val="center"/>
              <w:rPr>
                <w:rFonts w:eastAsia="Calibri" w:cstheme="minorHAnsi"/>
                <w:sz w:val="20"/>
                <w:szCs w:val="20"/>
              </w:rPr>
            </w:pPr>
            <w:r w:rsidRPr="004853EB">
              <w:rPr>
                <w:rFonts w:eastAsia="Calibri" w:cstheme="minorHAnsi"/>
                <w:sz w:val="20"/>
                <w:szCs w:val="20"/>
              </w:rPr>
              <w:t>Wymagania</w:t>
            </w:r>
          </w:p>
          <w:p w14:paraId="7AC1C7BF" w14:textId="77777777" w:rsidR="00CC1EF4" w:rsidRPr="004853EB" w:rsidRDefault="00CC1EF4" w:rsidP="00CC1EF4">
            <w:pPr>
              <w:spacing w:after="0" w:line="240" w:lineRule="auto"/>
              <w:jc w:val="center"/>
              <w:rPr>
                <w:rFonts w:eastAsia="Calibri" w:cstheme="minorHAnsi"/>
                <w:sz w:val="20"/>
                <w:szCs w:val="20"/>
              </w:rPr>
            </w:pPr>
          </w:p>
        </w:tc>
      </w:tr>
      <w:tr w:rsidR="00CC1EF4" w:rsidRPr="004853EB" w14:paraId="3F37ACDD" w14:textId="77777777" w:rsidTr="00E95D02">
        <w:tc>
          <w:tcPr>
            <w:tcW w:w="3085" w:type="dxa"/>
          </w:tcPr>
          <w:p w14:paraId="0FD2ECB7"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Uziarnienie mieszanek</w:t>
            </w:r>
          </w:p>
        </w:tc>
        <w:tc>
          <w:tcPr>
            <w:tcW w:w="709" w:type="dxa"/>
          </w:tcPr>
          <w:p w14:paraId="29CFDEF4"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4.3.1</w:t>
            </w:r>
          </w:p>
        </w:tc>
        <w:tc>
          <w:tcPr>
            <w:tcW w:w="5194" w:type="dxa"/>
          </w:tcPr>
          <w:p w14:paraId="26A91281"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xml:space="preserve"> 0/31,5mm</w:t>
            </w:r>
          </w:p>
        </w:tc>
      </w:tr>
      <w:tr w:rsidR="00CC1EF4" w:rsidRPr="004853EB" w14:paraId="5ED0D86D" w14:textId="77777777" w:rsidTr="00E95D02">
        <w:trPr>
          <w:trHeight w:val="433"/>
        </w:trPr>
        <w:tc>
          <w:tcPr>
            <w:tcW w:w="3085" w:type="dxa"/>
          </w:tcPr>
          <w:p w14:paraId="55EF777F"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Maksymalna zawartość pyłów:</w:t>
            </w:r>
          </w:p>
          <w:p w14:paraId="5EC81B7A" w14:textId="77777777" w:rsidR="00CC1EF4" w:rsidRPr="004853EB" w:rsidRDefault="00CC1EF4" w:rsidP="00CC1EF4">
            <w:pPr>
              <w:spacing w:after="0" w:line="240" w:lineRule="auto"/>
              <w:rPr>
                <w:rFonts w:eastAsia="Calibri" w:cstheme="minorHAnsi"/>
                <w:sz w:val="20"/>
                <w:szCs w:val="20"/>
              </w:rPr>
            </w:pPr>
            <w:proofErr w:type="spellStart"/>
            <w:r w:rsidRPr="004853EB">
              <w:rPr>
                <w:rFonts w:eastAsia="Calibri" w:cstheme="minorHAnsi"/>
                <w:sz w:val="20"/>
                <w:szCs w:val="20"/>
              </w:rPr>
              <w:t>Kat.UF</w:t>
            </w:r>
            <w:proofErr w:type="spellEnd"/>
          </w:p>
        </w:tc>
        <w:tc>
          <w:tcPr>
            <w:tcW w:w="709" w:type="dxa"/>
          </w:tcPr>
          <w:p w14:paraId="3DD2F714"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4.3.2</w:t>
            </w:r>
          </w:p>
        </w:tc>
        <w:tc>
          <w:tcPr>
            <w:tcW w:w="5194" w:type="dxa"/>
          </w:tcPr>
          <w:p w14:paraId="615D9959" w14:textId="133CA3A8"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Kat. UF</w:t>
            </w:r>
            <w:r w:rsidRPr="004853EB">
              <w:rPr>
                <w:rFonts w:eastAsia="Calibri" w:cstheme="minorHAnsi"/>
                <w:sz w:val="20"/>
                <w:szCs w:val="20"/>
                <w:vertAlign w:val="subscript"/>
              </w:rPr>
              <w:t>9</w:t>
            </w:r>
            <w:r w:rsidRPr="004853EB">
              <w:rPr>
                <w:rFonts w:eastAsia="Calibri" w:cstheme="minorHAnsi"/>
                <w:sz w:val="20"/>
                <w:szCs w:val="20"/>
              </w:rPr>
              <w:t xml:space="preserve"> (tj. masa frakcji przechodzącej przez sito 0,063 mm powinna być ≤ 9%)</w:t>
            </w:r>
          </w:p>
        </w:tc>
      </w:tr>
      <w:tr w:rsidR="00CC1EF4" w:rsidRPr="004853EB" w14:paraId="53FFF9B2" w14:textId="77777777" w:rsidTr="00E95D02">
        <w:tc>
          <w:tcPr>
            <w:tcW w:w="3085" w:type="dxa"/>
          </w:tcPr>
          <w:p w14:paraId="0D0BB96C"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Minimalna zawartość pyłów:</w:t>
            </w:r>
          </w:p>
          <w:p w14:paraId="15D52653"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 xml:space="preserve">Kat. LF </w:t>
            </w:r>
          </w:p>
        </w:tc>
        <w:tc>
          <w:tcPr>
            <w:tcW w:w="709" w:type="dxa"/>
          </w:tcPr>
          <w:p w14:paraId="2D2BF992"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4.3.2</w:t>
            </w:r>
          </w:p>
        </w:tc>
        <w:tc>
          <w:tcPr>
            <w:tcW w:w="5194" w:type="dxa"/>
          </w:tcPr>
          <w:p w14:paraId="0B123175" w14:textId="185F26F2"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Kat. LF</w:t>
            </w:r>
            <w:r w:rsidRPr="004853EB">
              <w:rPr>
                <w:rFonts w:eastAsia="Calibri" w:cstheme="minorHAnsi"/>
                <w:sz w:val="20"/>
                <w:szCs w:val="20"/>
                <w:vertAlign w:val="subscript"/>
              </w:rPr>
              <w:t xml:space="preserve">NR </w:t>
            </w:r>
            <w:r w:rsidRPr="004853EB">
              <w:rPr>
                <w:rFonts w:eastAsia="Calibri" w:cstheme="minorHAnsi"/>
                <w:sz w:val="20"/>
                <w:szCs w:val="20"/>
              </w:rPr>
              <w:t>(tj. brak wymagań)</w:t>
            </w:r>
          </w:p>
        </w:tc>
      </w:tr>
      <w:tr w:rsidR="00CC1EF4" w:rsidRPr="004853EB" w14:paraId="4C194876" w14:textId="77777777" w:rsidTr="00E95D02">
        <w:trPr>
          <w:trHeight w:val="671"/>
        </w:trPr>
        <w:tc>
          <w:tcPr>
            <w:tcW w:w="3085" w:type="dxa"/>
          </w:tcPr>
          <w:p w14:paraId="1E1AF13E"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Zawartość nadziarna:</w:t>
            </w:r>
          </w:p>
          <w:p w14:paraId="0AA58742" w14:textId="77777777" w:rsidR="00CC1EF4" w:rsidRPr="004853EB" w:rsidRDefault="00CC1EF4" w:rsidP="00CC1EF4">
            <w:pPr>
              <w:spacing w:after="0" w:line="240" w:lineRule="auto"/>
              <w:rPr>
                <w:rFonts w:eastAsia="Calibri" w:cstheme="minorHAnsi"/>
                <w:sz w:val="20"/>
                <w:szCs w:val="20"/>
              </w:rPr>
            </w:pPr>
            <w:proofErr w:type="spellStart"/>
            <w:r w:rsidRPr="004853EB">
              <w:rPr>
                <w:rFonts w:eastAsia="Calibri" w:cstheme="minorHAnsi"/>
                <w:sz w:val="20"/>
                <w:szCs w:val="20"/>
              </w:rPr>
              <w:t>Kat.OC</w:t>
            </w:r>
            <w:proofErr w:type="spellEnd"/>
          </w:p>
        </w:tc>
        <w:tc>
          <w:tcPr>
            <w:tcW w:w="709" w:type="dxa"/>
          </w:tcPr>
          <w:p w14:paraId="0B429724"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4.3.3</w:t>
            </w:r>
          </w:p>
        </w:tc>
        <w:tc>
          <w:tcPr>
            <w:tcW w:w="5194" w:type="dxa"/>
          </w:tcPr>
          <w:p w14:paraId="14AD0158"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Kat. OC</w:t>
            </w:r>
            <w:r w:rsidRPr="004853EB">
              <w:rPr>
                <w:rFonts w:eastAsia="Calibri" w:cstheme="minorHAnsi"/>
                <w:sz w:val="20"/>
                <w:szCs w:val="20"/>
                <w:vertAlign w:val="subscript"/>
              </w:rPr>
              <w:t>90</w:t>
            </w:r>
            <w:r w:rsidRPr="004853EB">
              <w:rPr>
                <w:rFonts w:eastAsia="Calibri" w:cstheme="minorHAnsi"/>
                <w:sz w:val="20"/>
                <w:szCs w:val="20"/>
              </w:rPr>
              <w:t xml:space="preserve"> (tj. procent przechodzącej masy przez sito 1,4D</w:t>
            </w:r>
            <w:r w:rsidRPr="004853EB">
              <w:rPr>
                <w:rFonts w:eastAsia="Calibri" w:cstheme="minorHAnsi"/>
                <w:sz w:val="20"/>
                <w:szCs w:val="20"/>
                <w:vertAlign w:val="superscript"/>
              </w:rPr>
              <w:t>*)</w:t>
            </w:r>
            <w:r w:rsidRPr="004853EB">
              <w:rPr>
                <w:rFonts w:eastAsia="Calibri" w:cstheme="minorHAnsi"/>
                <w:sz w:val="20"/>
                <w:szCs w:val="20"/>
              </w:rPr>
              <w:t xml:space="preserve"> powinien wynosić 100%, a przechodzącej przez sito D</w:t>
            </w:r>
            <w:r w:rsidRPr="004853EB">
              <w:rPr>
                <w:rFonts w:eastAsia="Calibri" w:cstheme="minorHAnsi"/>
                <w:sz w:val="20"/>
                <w:szCs w:val="20"/>
                <w:vertAlign w:val="superscript"/>
              </w:rPr>
              <w:t>**)</w:t>
            </w:r>
            <w:r w:rsidRPr="004853EB">
              <w:rPr>
                <w:rFonts w:eastAsia="Calibri" w:cstheme="minorHAnsi"/>
                <w:sz w:val="20"/>
                <w:szCs w:val="20"/>
              </w:rPr>
              <w:t xml:space="preserve"> powinien wynosić 90-99%)</w:t>
            </w:r>
          </w:p>
        </w:tc>
      </w:tr>
      <w:tr w:rsidR="00CC1EF4" w:rsidRPr="004853EB" w14:paraId="2659D9C1" w14:textId="77777777" w:rsidTr="00E95D02">
        <w:tc>
          <w:tcPr>
            <w:tcW w:w="3085" w:type="dxa"/>
          </w:tcPr>
          <w:p w14:paraId="00FDB941"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Wymagania wobec uziarnienia</w:t>
            </w:r>
          </w:p>
        </w:tc>
        <w:tc>
          <w:tcPr>
            <w:tcW w:w="709" w:type="dxa"/>
          </w:tcPr>
          <w:p w14:paraId="20B892AF"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4.4.1</w:t>
            </w:r>
          </w:p>
        </w:tc>
        <w:tc>
          <w:tcPr>
            <w:tcW w:w="5194" w:type="dxa"/>
          </w:tcPr>
          <w:p w14:paraId="63E01386"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Krzywe graniczne uziarnienia według rys. 1÷3</w:t>
            </w:r>
          </w:p>
        </w:tc>
      </w:tr>
      <w:tr w:rsidR="00CC1EF4" w:rsidRPr="004853EB" w14:paraId="348D8388" w14:textId="77777777" w:rsidTr="00E95D02">
        <w:tc>
          <w:tcPr>
            <w:tcW w:w="3085" w:type="dxa"/>
          </w:tcPr>
          <w:p w14:paraId="600389A4"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Wymagania wobec jednorodności uziarnienia poszczególnych partii – porównanie z deklarowaną przez producenta wartością (S)</w:t>
            </w:r>
          </w:p>
        </w:tc>
        <w:tc>
          <w:tcPr>
            <w:tcW w:w="709" w:type="dxa"/>
          </w:tcPr>
          <w:p w14:paraId="02C45231"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4.4.2</w:t>
            </w:r>
          </w:p>
        </w:tc>
        <w:tc>
          <w:tcPr>
            <w:tcW w:w="5194" w:type="dxa"/>
          </w:tcPr>
          <w:p w14:paraId="4091CDB6"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Wg tab. 2</w:t>
            </w:r>
          </w:p>
        </w:tc>
      </w:tr>
      <w:tr w:rsidR="00CC1EF4" w:rsidRPr="004853EB" w14:paraId="1E6C5470" w14:textId="77777777" w:rsidTr="00E95D02">
        <w:tc>
          <w:tcPr>
            <w:tcW w:w="3085" w:type="dxa"/>
          </w:tcPr>
          <w:p w14:paraId="33FBBCAB"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Wymagania wobec jednorodności uziarnienia na sitach kontrolnych – różnice w przesiewach</w:t>
            </w:r>
          </w:p>
        </w:tc>
        <w:tc>
          <w:tcPr>
            <w:tcW w:w="709" w:type="dxa"/>
          </w:tcPr>
          <w:p w14:paraId="5B81B1CE"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4.4.2</w:t>
            </w:r>
          </w:p>
        </w:tc>
        <w:tc>
          <w:tcPr>
            <w:tcW w:w="5194" w:type="dxa"/>
          </w:tcPr>
          <w:p w14:paraId="198F02D5"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Wg tab. 3</w:t>
            </w:r>
          </w:p>
        </w:tc>
      </w:tr>
      <w:tr w:rsidR="00CC1EF4" w:rsidRPr="004853EB" w14:paraId="185753B9" w14:textId="77777777" w:rsidTr="00E95D02">
        <w:tc>
          <w:tcPr>
            <w:tcW w:w="3085" w:type="dxa"/>
          </w:tcPr>
          <w:p w14:paraId="3CF002DC"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Wrażliwość na mróz; wskaźnik piaskowy SE</w:t>
            </w:r>
            <w:r w:rsidRPr="004853EB">
              <w:rPr>
                <w:rFonts w:eastAsia="Calibri" w:cstheme="minorHAnsi"/>
                <w:sz w:val="20"/>
                <w:szCs w:val="20"/>
                <w:vertAlign w:val="superscript"/>
              </w:rPr>
              <w:t>***)</w:t>
            </w:r>
            <w:r w:rsidRPr="004853EB">
              <w:rPr>
                <w:rFonts w:eastAsia="Calibri" w:cstheme="minorHAnsi"/>
                <w:sz w:val="20"/>
                <w:szCs w:val="20"/>
              </w:rPr>
              <w:t>, co najmniej</w:t>
            </w:r>
          </w:p>
        </w:tc>
        <w:tc>
          <w:tcPr>
            <w:tcW w:w="709" w:type="dxa"/>
          </w:tcPr>
          <w:p w14:paraId="5EAA9846"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4.5</w:t>
            </w:r>
          </w:p>
        </w:tc>
        <w:tc>
          <w:tcPr>
            <w:tcW w:w="5194" w:type="dxa"/>
          </w:tcPr>
          <w:p w14:paraId="51A093EA"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45</w:t>
            </w:r>
          </w:p>
        </w:tc>
      </w:tr>
      <w:tr w:rsidR="00CC1EF4" w:rsidRPr="004853EB" w14:paraId="46E17828" w14:textId="77777777" w:rsidTr="00E95D02">
        <w:tc>
          <w:tcPr>
            <w:tcW w:w="3085" w:type="dxa"/>
          </w:tcPr>
          <w:p w14:paraId="6933A045"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Odporność na rozdrabnianie (dotyczy frakcji 10/14 mm odsianej z mieszanki) wg PN-EN 1097-1 [9], kat. nie wyższa niż</w:t>
            </w:r>
          </w:p>
        </w:tc>
        <w:tc>
          <w:tcPr>
            <w:tcW w:w="709" w:type="dxa"/>
          </w:tcPr>
          <w:p w14:paraId="7C985C84" w14:textId="77777777" w:rsidR="00CC1EF4" w:rsidRPr="004853EB" w:rsidRDefault="00CC1EF4" w:rsidP="00CC1EF4">
            <w:pPr>
              <w:spacing w:after="0" w:line="240" w:lineRule="auto"/>
              <w:jc w:val="both"/>
              <w:rPr>
                <w:rFonts w:eastAsia="Calibri" w:cstheme="minorHAnsi"/>
                <w:sz w:val="20"/>
                <w:szCs w:val="20"/>
              </w:rPr>
            </w:pPr>
          </w:p>
        </w:tc>
        <w:tc>
          <w:tcPr>
            <w:tcW w:w="5194" w:type="dxa"/>
          </w:tcPr>
          <w:p w14:paraId="7C2231E7" w14:textId="1565CD43"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Kat. LA</w:t>
            </w:r>
            <w:r w:rsidRPr="004853EB">
              <w:rPr>
                <w:rFonts w:eastAsia="Calibri" w:cstheme="minorHAnsi"/>
                <w:sz w:val="20"/>
                <w:szCs w:val="20"/>
                <w:vertAlign w:val="subscript"/>
              </w:rPr>
              <w:t>35</w:t>
            </w:r>
            <w:r w:rsidRPr="004853EB">
              <w:rPr>
                <w:rFonts w:eastAsia="Calibri" w:cstheme="minorHAnsi"/>
                <w:sz w:val="20"/>
                <w:szCs w:val="20"/>
              </w:rPr>
              <w:t xml:space="preserve"> (tj. współczynnik Los Angeles ≤ 35)</w:t>
            </w:r>
          </w:p>
        </w:tc>
      </w:tr>
      <w:tr w:rsidR="00CC1EF4" w:rsidRPr="004853EB" w14:paraId="1074EE6B" w14:textId="77777777" w:rsidTr="00E95D02">
        <w:tc>
          <w:tcPr>
            <w:tcW w:w="3085" w:type="dxa"/>
          </w:tcPr>
          <w:p w14:paraId="52CB7F81" w14:textId="77777777" w:rsidR="00CC1EF4" w:rsidRPr="004853EB" w:rsidRDefault="00CC1EF4" w:rsidP="00CC1EF4">
            <w:pPr>
              <w:spacing w:after="0" w:line="240" w:lineRule="auto"/>
              <w:rPr>
                <w:rFonts w:eastAsia="Calibri" w:cstheme="minorHAnsi"/>
                <w:sz w:val="20"/>
                <w:szCs w:val="20"/>
                <w:vertAlign w:val="subscript"/>
              </w:rPr>
            </w:pPr>
            <w:r w:rsidRPr="004853EB">
              <w:rPr>
                <w:rFonts w:eastAsia="Calibri" w:cstheme="minorHAnsi"/>
                <w:sz w:val="20"/>
                <w:szCs w:val="20"/>
              </w:rPr>
              <w:t>Odporność na ścieranie (dotyczy frakcji 10/14 mm odsianej z mieszanki) wg PN-EN 1097-1 [9], kat. M</w:t>
            </w:r>
            <w:r w:rsidRPr="004853EB">
              <w:rPr>
                <w:rFonts w:eastAsia="Calibri" w:cstheme="minorHAnsi"/>
                <w:sz w:val="20"/>
                <w:szCs w:val="20"/>
                <w:vertAlign w:val="subscript"/>
              </w:rPr>
              <w:t>DE</w:t>
            </w:r>
          </w:p>
        </w:tc>
        <w:tc>
          <w:tcPr>
            <w:tcW w:w="709" w:type="dxa"/>
          </w:tcPr>
          <w:p w14:paraId="63E7640F" w14:textId="77777777" w:rsidR="00CC1EF4" w:rsidRPr="004853EB" w:rsidRDefault="00CC1EF4" w:rsidP="00CC1EF4">
            <w:pPr>
              <w:spacing w:after="0" w:line="240" w:lineRule="auto"/>
              <w:jc w:val="both"/>
              <w:rPr>
                <w:rFonts w:eastAsia="Calibri" w:cstheme="minorHAnsi"/>
                <w:sz w:val="20"/>
                <w:szCs w:val="20"/>
              </w:rPr>
            </w:pPr>
          </w:p>
        </w:tc>
        <w:tc>
          <w:tcPr>
            <w:tcW w:w="5194" w:type="dxa"/>
          </w:tcPr>
          <w:p w14:paraId="3EF67861"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Deklarowana</w:t>
            </w:r>
          </w:p>
        </w:tc>
      </w:tr>
      <w:tr w:rsidR="00CC1EF4" w:rsidRPr="004853EB" w14:paraId="0D2C28AB" w14:textId="77777777" w:rsidTr="00E95D02">
        <w:tc>
          <w:tcPr>
            <w:tcW w:w="3085" w:type="dxa"/>
          </w:tcPr>
          <w:p w14:paraId="70EB35CA"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Mrozoodporność (dotyczy frakcji kruszywa 8/16 mm odsianej z mieszanki) wg PN-EN 1367-1 [12]</w:t>
            </w:r>
          </w:p>
        </w:tc>
        <w:tc>
          <w:tcPr>
            <w:tcW w:w="709" w:type="dxa"/>
          </w:tcPr>
          <w:p w14:paraId="0A7B8C0F" w14:textId="77777777" w:rsidR="00CC1EF4" w:rsidRPr="004853EB" w:rsidRDefault="00CC1EF4" w:rsidP="00CC1EF4">
            <w:pPr>
              <w:spacing w:after="0" w:line="240" w:lineRule="auto"/>
              <w:jc w:val="both"/>
              <w:rPr>
                <w:rFonts w:eastAsia="Calibri" w:cstheme="minorHAnsi"/>
                <w:sz w:val="20"/>
                <w:szCs w:val="20"/>
              </w:rPr>
            </w:pPr>
          </w:p>
        </w:tc>
        <w:tc>
          <w:tcPr>
            <w:tcW w:w="5194" w:type="dxa"/>
          </w:tcPr>
          <w:p w14:paraId="40B8D0B9" w14:textId="7D80316B"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Kat. F4 (tj. zamrażanie-rozmrażanie, procent masy ≤ 4)</w:t>
            </w:r>
          </w:p>
        </w:tc>
      </w:tr>
      <w:tr w:rsidR="00CC1EF4" w:rsidRPr="004853EB" w14:paraId="1C15D83F" w14:textId="77777777" w:rsidTr="00E95D02">
        <w:tc>
          <w:tcPr>
            <w:tcW w:w="3085" w:type="dxa"/>
          </w:tcPr>
          <w:p w14:paraId="7220EB54"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Wartość CBR po zagęszczeniu do wskaźnika zagęszczenia I</w:t>
            </w:r>
            <w:r w:rsidRPr="004853EB">
              <w:rPr>
                <w:rFonts w:eastAsia="Calibri" w:cstheme="minorHAnsi"/>
                <w:sz w:val="20"/>
                <w:szCs w:val="20"/>
                <w:vertAlign w:val="subscript"/>
              </w:rPr>
              <w:t>S</w:t>
            </w:r>
            <w:r w:rsidRPr="004853EB">
              <w:rPr>
                <w:rFonts w:eastAsia="Calibri" w:cstheme="minorHAnsi"/>
                <w:sz w:val="20"/>
                <w:szCs w:val="20"/>
              </w:rPr>
              <w:t>=1,0 i moczeniu w wodzie 96 h, co najmniej</w:t>
            </w:r>
          </w:p>
        </w:tc>
        <w:tc>
          <w:tcPr>
            <w:tcW w:w="709" w:type="dxa"/>
          </w:tcPr>
          <w:p w14:paraId="73F0F318" w14:textId="77777777" w:rsidR="00CC1EF4" w:rsidRPr="004853EB" w:rsidRDefault="00CC1EF4" w:rsidP="00CC1EF4">
            <w:pPr>
              <w:spacing w:after="0" w:line="240" w:lineRule="auto"/>
              <w:jc w:val="both"/>
              <w:rPr>
                <w:rFonts w:eastAsia="Calibri" w:cstheme="minorHAnsi"/>
                <w:sz w:val="20"/>
                <w:szCs w:val="20"/>
              </w:rPr>
            </w:pPr>
          </w:p>
        </w:tc>
        <w:tc>
          <w:tcPr>
            <w:tcW w:w="5194" w:type="dxa"/>
          </w:tcPr>
          <w:p w14:paraId="7DAACA0A"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xml:space="preserve"> ≥ 80</w:t>
            </w:r>
          </w:p>
        </w:tc>
      </w:tr>
      <w:tr w:rsidR="00CC1EF4" w:rsidRPr="004853EB" w14:paraId="44AF6961" w14:textId="77777777" w:rsidTr="00E95D02">
        <w:tc>
          <w:tcPr>
            <w:tcW w:w="3085" w:type="dxa"/>
          </w:tcPr>
          <w:p w14:paraId="0D15B10C"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Wodoprzepuszczalność mieszanki w warstwie odsączającej po zagęszczeniu metodą Proctora do wskaźnika zagęszczenia I</w:t>
            </w:r>
            <w:r w:rsidRPr="004853EB">
              <w:rPr>
                <w:rFonts w:eastAsia="Calibri" w:cstheme="minorHAnsi"/>
                <w:sz w:val="20"/>
                <w:szCs w:val="20"/>
                <w:vertAlign w:val="subscript"/>
              </w:rPr>
              <w:t>S</w:t>
            </w:r>
            <w:r w:rsidRPr="004853EB">
              <w:rPr>
                <w:rFonts w:eastAsia="Calibri" w:cstheme="minorHAnsi"/>
                <w:sz w:val="20"/>
                <w:szCs w:val="20"/>
              </w:rPr>
              <w:t xml:space="preserve">=1,0; </w:t>
            </w:r>
            <w:proofErr w:type="spellStart"/>
            <w:r w:rsidRPr="004853EB">
              <w:rPr>
                <w:rFonts w:eastAsia="Calibri" w:cstheme="minorHAnsi"/>
                <w:sz w:val="20"/>
                <w:szCs w:val="20"/>
              </w:rPr>
              <w:t>wsp</w:t>
            </w:r>
            <w:proofErr w:type="spellEnd"/>
            <w:r w:rsidRPr="004853EB">
              <w:rPr>
                <w:rFonts w:eastAsia="Calibri" w:cstheme="minorHAnsi"/>
                <w:sz w:val="20"/>
                <w:szCs w:val="20"/>
              </w:rPr>
              <w:t>. filtracji ”k”, co najmniej cm/s</w:t>
            </w:r>
          </w:p>
        </w:tc>
        <w:tc>
          <w:tcPr>
            <w:tcW w:w="709" w:type="dxa"/>
          </w:tcPr>
          <w:p w14:paraId="1435C9C4"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4.5</w:t>
            </w:r>
          </w:p>
        </w:tc>
        <w:tc>
          <w:tcPr>
            <w:tcW w:w="5194" w:type="dxa"/>
          </w:tcPr>
          <w:p w14:paraId="6E8A24B7"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Brak wymagań</w:t>
            </w:r>
          </w:p>
        </w:tc>
      </w:tr>
      <w:tr w:rsidR="00CC1EF4" w:rsidRPr="004853EB" w14:paraId="185D22D0" w14:textId="77777777" w:rsidTr="00E95D02">
        <w:tc>
          <w:tcPr>
            <w:tcW w:w="3085" w:type="dxa"/>
          </w:tcPr>
          <w:p w14:paraId="186A9378"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Zawartość wody w mieszance zagęszczanej; % (m/m) wilgotności optymalnej wg metody Proctora</w:t>
            </w:r>
          </w:p>
        </w:tc>
        <w:tc>
          <w:tcPr>
            <w:tcW w:w="709" w:type="dxa"/>
          </w:tcPr>
          <w:p w14:paraId="4BA82548" w14:textId="77777777" w:rsidR="00CC1EF4" w:rsidRPr="004853EB" w:rsidRDefault="00CC1EF4" w:rsidP="00CC1EF4">
            <w:pPr>
              <w:spacing w:after="0" w:line="240" w:lineRule="auto"/>
              <w:jc w:val="both"/>
              <w:rPr>
                <w:rFonts w:eastAsia="Calibri" w:cstheme="minorHAnsi"/>
                <w:sz w:val="20"/>
                <w:szCs w:val="20"/>
              </w:rPr>
            </w:pPr>
          </w:p>
        </w:tc>
        <w:tc>
          <w:tcPr>
            <w:tcW w:w="5194" w:type="dxa"/>
          </w:tcPr>
          <w:p w14:paraId="0CAB07F6"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80-100</w:t>
            </w:r>
          </w:p>
        </w:tc>
      </w:tr>
      <w:tr w:rsidR="00CC1EF4" w:rsidRPr="004853EB" w14:paraId="09FA2F5D" w14:textId="77777777" w:rsidTr="00E95D02">
        <w:tc>
          <w:tcPr>
            <w:tcW w:w="3085" w:type="dxa"/>
          </w:tcPr>
          <w:p w14:paraId="480D531D" w14:textId="77777777" w:rsidR="00CC1EF4" w:rsidRPr="004853EB" w:rsidRDefault="00CC1EF4" w:rsidP="00CC1EF4">
            <w:pPr>
              <w:spacing w:after="0" w:line="240" w:lineRule="auto"/>
              <w:rPr>
                <w:rFonts w:eastAsia="Calibri" w:cstheme="minorHAnsi"/>
                <w:sz w:val="20"/>
                <w:szCs w:val="20"/>
              </w:rPr>
            </w:pPr>
            <w:r w:rsidRPr="004853EB">
              <w:rPr>
                <w:rFonts w:eastAsia="Calibri" w:cstheme="minorHAnsi"/>
                <w:sz w:val="20"/>
                <w:szCs w:val="20"/>
              </w:rPr>
              <w:t>Inne cechy środowiskowe</w:t>
            </w:r>
          </w:p>
        </w:tc>
        <w:tc>
          <w:tcPr>
            <w:tcW w:w="709" w:type="dxa"/>
          </w:tcPr>
          <w:p w14:paraId="423A594D" w14:textId="77777777"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4.5</w:t>
            </w:r>
          </w:p>
        </w:tc>
        <w:tc>
          <w:tcPr>
            <w:tcW w:w="5194" w:type="dxa"/>
          </w:tcPr>
          <w:p w14:paraId="5380A9AD" w14:textId="0153C6D4" w:rsidR="00CC1EF4" w:rsidRPr="004853EB" w:rsidRDefault="00CC1EF4" w:rsidP="00CC1EF4">
            <w:pPr>
              <w:spacing w:after="0" w:line="240" w:lineRule="auto"/>
              <w:jc w:val="both"/>
              <w:rPr>
                <w:rFonts w:eastAsia="Calibri" w:cstheme="minorHAnsi"/>
                <w:sz w:val="20"/>
                <w:szCs w:val="20"/>
              </w:rPr>
            </w:pPr>
            <w:r w:rsidRPr="004853EB">
              <w:rPr>
                <w:rFonts w:eastAsia="Calibri" w:cstheme="minorHAnsi"/>
                <w:sz w:val="20"/>
                <w:szCs w:val="20"/>
              </w:rPr>
              <w:t xml:space="preserve">Większość substancji niebezpiecznych określonych </w:t>
            </w:r>
            <w:r w:rsidR="004F465D">
              <w:rPr>
                <w:rFonts w:eastAsia="Calibri" w:cstheme="minorHAnsi"/>
                <w:sz w:val="20"/>
                <w:szCs w:val="20"/>
              </w:rPr>
              <w:br/>
            </w:r>
            <w:r w:rsidRPr="004853EB">
              <w:rPr>
                <w:rFonts w:eastAsia="Calibri" w:cstheme="minorHAnsi"/>
                <w:sz w:val="20"/>
                <w:szCs w:val="20"/>
              </w:rPr>
              <w:t xml:space="preserve">w dyrektywie Rady 76/769/EWG zazwyczaj nie występuje </w:t>
            </w:r>
            <w:r w:rsidR="004F465D">
              <w:rPr>
                <w:rFonts w:eastAsia="Calibri" w:cstheme="minorHAnsi"/>
                <w:sz w:val="20"/>
                <w:szCs w:val="20"/>
              </w:rPr>
              <w:br/>
            </w:r>
            <w:r w:rsidRPr="004853EB">
              <w:rPr>
                <w:rFonts w:eastAsia="Calibri" w:cstheme="minorHAnsi"/>
                <w:sz w:val="20"/>
                <w:szCs w:val="20"/>
              </w:rPr>
              <w:t xml:space="preserve">w źródłach kruszywa pochodzenia mineralnego. Jednak </w:t>
            </w:r>
            <w:r w:rsidR="004F465D">
              <w:rPr>
                <w:rFonts w:eastAsia="Calibri" w:cstheme="minorHAnsi"/>
                <w:sz w:val="20"/>
                <w:szCs w:val="20"/>
              </w:rPr>
              <w:br/>
            </w:r>
            <w:r w:rsidRPr="004853EB">
              <w:rPr>
                <w:rFonts w:eastAsia="Calibri" w:cstheme="minorHAnsi"/>
                <w:sz w:val="20"/>
                <w:szCs w:val="20"/>
              </w:rPr>
              <w:t>w odniesieniu do kruszyw sztucznych i odpadowych należy badać czy zawartość substancji niebezpiecznych nie przekracza wartości dopuszczalnych wg odrębnych przepisów</w:t>
            </w:r>
          </w:p>
        </w:tc>
      </w:tr>
    </w:tbl>
    <w:p w14:paraId="5DF7AA4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vertAlign w:val="superscript"/>
          <w:lang w:eastAsia="pl-PL"/>
        </w:rPr>
        <w:lastRenderedPageBreak/>
        <w:t>*)</w:t>
      </w:r>
      <w:r w:rsidRPr="004853EB">
        <w:rPr>
          <w:rFonts w:eastAsia="Times New Roman" w:cstheme="minorHAnsi"/>
          <w:sz w:val="20"/>
          <w:szCs w:val="20"/>
          <w:lang w:eastAsia="pl-PL"/>
        </w:rPr>
        <w:t xml:space="preserve"> Gdy wartości obliczone z 1,4D oraz d/2 nie są dokładnymi wymiarami sit serii ISO 565/R20, należy przyjąć następny niższy wymiar sita. Jeśli D=90 mm należy przyjąć wymiar sita 125 mm jako wartość nadziarna.</w:t>
      </w:r>
    </w:p>
    <w:p w14:paraId="014C0EB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vertAlign w:val="superscript"/>
          <w:lang w:eastAsia="pl-PL"/>
        </w:rPr>
        <w:t>**)</w:t>
      </w:r>
      <w:r w:rsidRPr="004853EB">
        <w:rPr>
          <w:rFonts w:eastAsia="Times New Roman" w:cstheme="minorHAnsi"/>
          <w:sz w:val="20"/>
          <w:szCs w:val="20"/>
          <w:lang w:eastAsia="pl-PL"/>
        </w:rPr>
        <w:t xml:space="preserve"> Procentowa zawartość ziaren przechodzących przez sito D może być większa niż 99% masy, ale w takich przypadkach dostawca powinien zadeklarować typowe uziarnienie.</w:t>
      </w:r>
    </w:p>
    <w:p w14:paraId="5DDCEFF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vertAlign w:val="superscript"/>
          <w:lang w:eastAsia="pl-PL"/>
        </w:rPr>
        <w:t xml:space="preserve">***) </w:t>
      </w:r>
      <w:r w:rsidRPr="004853EB">
        <w:rPr>
          <w:rFonts w:eastAsia="Times New Roman" w:cstheme="minorHAnsi"/>
          <w:sz w:val="20"/>
          <w:szCs w:val="20"/>
          <w:lang w:eastAsia="pl-PL"/>
        </w:rPr>
        <w:t xml:space="preserve">Badanie wskaźnika piaskowego SE należy wykonać na mieszance po pięciokrotnym zagęszczeniu metodą Proctora </w:t>
      </w:r>
      <w:r w:rsidRPr="004853EB">
        <w:rPr>
          <w:rFonts w:eastAsia="Times New Roman" w:cstheme="minorHAnsi"/>
          <w:sz w:val="20"/>
          <w:szCs w:val="20"/>
          <w:lang w:eastAsia="pl-PL"/>
        </w:rPr>
        <w:br/>
        <w:t>wg PN-EN 13286-2 [18].</w:t>
      </w:r>
    </w:p>
    <w:p w14:paraId="7FEF0277"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71" w:name="_Toc194476920"/>
      <w:bookmarkStart w:id="2972" w:name="_Toc227760211"/>
      <w:bookmarkStart w:id="2973" w:name="_Toc227825358"/>
      <w:r w:rsidRPr="004853EB">
        <w:rPr>
          <w:rFonts w:eastAsia="Times New Roman" w:cstheme="minorHAnsi"/>
          <w:b/>
          <w:sz w:val="20"/>
          <w:szCs w:val="20"/>
          <w:lang w:eastAsia="pl-PL"/>
        </w:rPr>
        <w:t>5.6. Podłoże pod podbudowę zasadniczą</w:t>
      </w:r>
      <w:bookmarkEnd w:id="2971"/>
      <w:bookmarkEnd w:id="2972"/>
      <w:bookmarkEnd w:id="2973"/>
    </w:p>
    <w:p w14:paraId="0F3E80D3" w14:textId="3239BF61"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Podłożem pod podbudowę zasadniczą jest podbudowa pomocnicza z </w:t>
      </w:r>
      <w:r w:rsidR="004F465D" w:rsidRPr="004853EB">
        <w:rPr>
          <w:rFonts w:eastAsia="Times New Roman" w:cstheme="minorHAnsi"/>
          <w:sz w:val="20"/>
          <w:szCs w:val="20"/>
          <w:lang w:eastAsia="pl-PL"/>
        </w:rPr>
        <w:t>mieszanki kruszywa</w:t>
      </w:r>
      <w:r w:rsidRPr="004853EB">
        <w:rPr>
          <w:rFonts w:eastAsia="Times New Roman" w:cstheme="minorHAnsi"/>
          <w:sz w:val="20"/>
          <w:szCs w:val="20"/>
          <w:lang w:eastAsia="pl-PL"/>
        </w:rPr>
        <w:t xml:space="preserve"> niezwiązanego – dla poszerzenia drogi krajowej oraz warstwa odsączająca dla drogi gminnej. Wszystkie niezbędne cechy geometryczne podbudowy pomocniczej powinny umożliwić ułożenie na niej podbudowy zasadniczej.</w:t>
      </w:r>
    </w:p>
    <w:p w14:paraId="6BE0E03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Jeśli podbudowa pomocnicza wykonana jest z mieszanki kruszywa niezwiązanego to powinna być wykonana zgodnie z SST D-04.04.02a „Podbudowa pomocnicza z mieszanki kruszywa niezwiązanego” [4].</w:t>
      </w:r>
    </w:p>
    <w:p w14:paraId="2D067559"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74" w:name="_Toc194476921"/>
      <w:bookmarkStart w:id="2975" w:name="_Toc227760212"/>
      <w:bookmarkStart w:id="2976" w:name="_Toc227825359"/>
      <w:r w:rsidRPr="004853EB">
        <w:rPr>
          <w:rFonts w:eastAsia="Times New Roman" w:cstheme="minorHAnsi"/>
          <w:b/>
          <w:sz w:val="20"/>
          <w:szCs w:val="20"/>
          <w:lang w:eastAsia="pl-PL"/>
        </w:rPr>
        <w:t>5.7. Wytwarzanie mieszanki kruszywa na warstwę podbudowy zasadniczej</w:t>
      </w:r>
      <w:bookmarkEnd w:id="2974"/>
      <w:bookmarkEnd w:id="2975"/>
      <w:bookmarkEnd w:id="2976"/>
    </w:p>
    <w:p w14:paraId="6BD0A960" w14:textId="6C6FB58C"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Mieszankę kruszywa o ściśle określonym uziarnieniu i wilgotności optymalnej należy wytwarzać </w:t>
      </w:r>
      <w:r w:rsidR="004F465D">
        <w:rPr>
          <w:rFonts w:eastAsia="Times New Roman" w:cstheme="minorHAnsi"/>
          <w:sz w:val="20"/>
          <w:szCs w:val="20"/>
          <w:lang w:eastAsia="pl-PL"/>
        </w:rPr>
        <w:br/>
      </w:r>
      <w:r w:rsidRPr="004853EB">
        <w:rPr>
          <w:rFonts w:eastAsia="Times New Roman" w:cstheme="minorHAnsi"/>
          <w:sz w:val="20"/>
          <w:szCs w:val="20"/>
          <w:lang w:eastAsia="pl-PL"/>
        </w:rPr>
        <w:t>w mieszarkach, gwarantujących otrzymanie jednorodnej mieszanki. Mieszarki (wytwórnie mieszanek kruszywa) stacjonarne lub mobilne powinny zapewnić ciągłość produkcji zgodną z receptą laboratoryjną.</w:t>
      </w:r>
    </w:p>
    <w:p w14:paraId="3EFEC41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Ze względu na konieczność zapewnienia mieszance jednorodności nie zaleca się wytwarzania mieszanki przez mieszanie poszczególnych frakcji kruszywa na drodze.</w:t>
      </w:r>
    </w:p>
    <w:p w14:paraId="4EB61FF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Przy produkcji mieszanki kruszywa należy prowadzić zakładową kontrolę produkcji mieszanek niezwiązanych, zgodnie z  WT-4 [20] załącznik C, a przy dostarczaniu mieszanki przez producenta/dostawcę należy stosować się do zasad deklarowania w odniesieniu do zakresu uziarnienia podanych w WT-4 [20] załącznik B.</w:t>
      </w:r>
    </w:p>
    <w:p w14:paraId="3BF43C1D"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77" w:name="_Toc194476922"/>
      <w:bookmarkStart w:id="2978" w:name="_Toc227760213"/>
      <w:bookmarkStart w:id="2979" w:name="_Toc227825360"/>
      <w:r w:rsidRPr="004853EB">
        <w:rPr>
          <w:rFonts w:eastAsia="Times New Roman" w:cstheme="minorHAnsi"/>
          <w:b/>
          <w:sz w:val="20"/>
          <w:szCs w:val="20"/>
          <w:lang w:eastAsia="pl-PL"/>
        </w:rPr>
        <w:t>5.8. Wbudowanie mieszanki kruszywa</w:t>
      </w:r>
      <w:bookmarkEnd w:id="2977"/>
      <w:bookmarkEnd w:id="2978"/>
      <w:bookmarkEnd w:id="2979"/>
      <w:r w:rsidRPr="004853EB">
        <w:rPr>
          <w:rFonts w:eastAsia="Times New Roman" w:cstheme="minorHAnsi"/>
          <w:b/>
          <w:sz w:val="20"/>
          <w:szCs w:val="20"/>
          <w:lang w:eastAsia="pl-PL"/>
        </w:rPr>
        <w:t xml:space="preserve"> </w:t>
      </w:r>
    </w:p>
    <w:p w14:paraId="23B2FD0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Mieszanka kruszywa niezwiązanego po wyprodukowaniu powinna być od razu transportowana na miejsce wbudowania w taki sposób, aby nie uległa rozsegregowaniu i wysychaniu. Zaleca się w tym celu korzystanie z transportu samochodowego z zabezpieczoną (przykrytą) skrzynią ładunkową.</w:t>
      </w:r>
    </w:p>
    <w:p w14:paraId="24A1BCE0" w14:textId="657C1C59"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Mieszanka kruszywa powinna być rozkładana metodą zmechanizowaną przy użyciu zalecanej, elektronicznie sterowanej, rozkładarki, która wstępnie może zagęszczać układaną warstwę kruszywa. Rozkładana warstwa kruszywa powinna być jednakowej grubości, </w:t>
      </w:r>
      <w:r w:rsidR="004F465D" w:rsidRPr="004853EB">
        <w:rPr>
          <w:rFonts w:eastAsia="Times New Roman" w:cstheme="minorHAnsi"/>
          <w:sz w:val="20"/>
          <w:szCs w:val="20"/>
          <w:lang w:eastAsia="pl-PL"/>
        </w:rPr>
        <w:t>takiej,</w:t>
      </w:r>
      <w:r w:rsidRPr="004853EB">
        <w:rPr>
          <w:rFonts w:eastAsia="Times New Roman" w:cstheme="minorHAnsi"/>
          <w:sz w:val="20"/>
          <w:szCs w:val="20"/>
          <w:lang w:eastAsia="pl-PL"/>
        </w:rPr>
        <w:t xml:space="preserve"> aby jej ostateczna grubość po zagęszczeniu była równa grubości projektowanej. Grubość pojedynczo układanej warstwy nie może przekraczać 20 cm po zagęszczeniu. Jeżeli układana konstrukcja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14:paraId="6BD7B43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              W miejscach trudnodostępnych dopuszcza się ręczne rozkładanie mieszanki.</w:t>
      </w:r>
    </w:p>
    <w:p w14:paraId="4D298FD3" w14:textId="6558689B"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Wilgotność mieszanki kruszywa podczas zagęszczania powinna odpowiadać wilgotności optymalnej, określonej według próby Proctora. Mieszanka o większej wilgotności powinna zostać osuszona przez mieszanie </w:t>
      </w:r>
      <w:r w:rsidR="004F465D">
        <w:rPr>
          <w:rFonts w:eastAsia="Times New Roman" w:cstheme="minorHAnsi"/>
          <w:sz w:val="20"/>
          <w:szCs w:val="20"/>
          <w:lang w:eastAsia="pl-PL"/>
        </w:rPr>
        <w:br/>
      </w:r>
      <w:r w:rsidRPr="004853EB">
        <w:rPr>
          <w:rFonts w:eastAsia="Times New Roman" w:cstheme="minorHAnsi"/>
          <w:sz w:val="20"/>
          <w:szCs w:val="20"/>
          <w:lang w:eastAsia="pl-PL"/>
        </w:rPr>
        <w:t>i napowietrzanie, np. przemieszanie jej mieszarką, kilkakrotne przesuwanie mieszanki równiarką.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4E7F769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Rozścieloną mieszankę kruszywa należy sprofilować równiarką lub ciężkim szablonem, do spadków poprzecznych i pochyleń podłużnych ustalonych w dokumentacji projektowej. W czasie profilowania należy wyrównać lokalne wgłębienia.</w:t>
      </w:r>
    </w:p>
    <w:p w14:paraId="0AF4FF4F"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80" w:name="_Toc194476923"/>
      <w:bookmarkStart w:id="2981" w:name="_Toc227760214"/>
      <w:bookmarkStart w:id="2982" w:name="_Toc227825361"/>
      <w:r w:rsidRPr="004853EB">
        <w:rPr>
          <w:rFonts w:eastAsia="Times New Roman" w:cstheme="minorHAnsi"/>
          <w:b/>
          <w:sz w:val="20"/>
          <w:szCs w:val="20"/>
          <w:lang w:eastAsia="pl-PL"/>
        </w:rPr>
        <w:t>5.9. Zagęszczanie mieszanki kruszywa</w:t>
      </w:r>
      <w:bookmarkEnd w:id="2980"/>
      <w:bookmarkEnd w:id="2981"/>
      <w:bookmarkEnd w:id="2982"/>
    </w:p>
    <w:p w14:paraId="73F3309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 wyprofilowaniu mieszanki kruszywa należy rozpocząć jej zagęszczanie, które należy kontynuować aż do osiągnięcia wymaganego w ST wskaźnika zagęszczenia.</w:t>
      </w:r>
    </w:p>
    <w:p w14:paraId="539D2312" w14:textId="46BE1145"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Warstwę kruszywa niezwiązanego należy zagęszczać walcami ogumionymi, walcami wibracyjnymi </w:t>
      </w:r>
      <w:r w:rsidR="004F465D">
        <w:rPr>
          <w:rFonts w:eastAsia="Times New Roman" w:cstheme="minorHAnsi"/>
          <w:sz w:val="20"/>
          <w:szCs w:val="20"/>
          <w:lang w:eastAsia="pl-PL"/>
        </w:rPr>
        <w:br/>
      </w:r>
      <w:r w:rsidRPr="004853EB">
        <w:rPr>
          <w:rFonts w:eastAsia="Times New Roman" w:cstheme="minorHAnsi"/>
          <w:sz w:val="20"/>
          <w:szCs w:val="20"/>
          <w:lang w:eastAsia="pl-PL"/>
        </w:rPr>
        <w:t xml:space="preserve">i gładkimi. Kruszywo o przewadze ziaren grubych zaleca się zagęszczać najpierw walcami ogumionymi, </w:t>
      </w:r>
      <w:r w:rsidR="004F465D">
        <w:rPr>
          <w:rFonts w:eastAsia="Times New Roman" w:cstheme="minorHAnsi"/>
          <w:sz w:val="20"/>
          <w:szCs w:val="20"/>
          <w:lang w:eastAsia="pl-PL"/>
        </w:rPr>
        <w:br/>
      </w:r>
      <w:r w:rsidRPr="004853EB">
        <w:rPr>
          <w:rFonts w:eastAsia="Times New Roman" w:cstheme="minorHAnsi"/>
          <w:sz w:val="20"/>
          <w:szCs w:val="20"/>
          <w:lang w:eastAsia="pl-PL"/>
        </w:rPr>
        <w:t xml:space="preserve">a następnie walcami wibracyjnymi. Kruszywo o przewadze ziaren drobnych zaleca się zagęszczać najpierw walcami ogumionymi, a następnie gładkimi. </w:t>
      </w:r>
    </w:p>
    <w:p w14:paraId="4E57452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              W miejscach trudno dostępnych należy stosować zagęszczarki płytowe, ubijaki mechaniczne itp.</w:t>
      </w:r>
    </w:p>
    <w:p w14:paraId="0505AEC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t>Zagęszczenie powinno być równomierne na całej szerokości warstwy.</w:t>
      </w:r>
    </w:p>
    <w:p w14:paraId="460FFE6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Zaleca się, aby grubość zagęszczanej warstwy nie przekraczała przy walcach statycznych gładkich 15 cm, a przy walcach ogumionych lub wibracyjnych 20 cm.</w:t>
      </w:r>
    </w:p>
    <w:p w14:paraId="6E9FD95C"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83" w:name="_Toc194476924"/>
      <w:bookmarkStart w:id="2984" w:name="_Toc227760215"/>
      <w:bookmarkStart w:id="2985" w:name="_Toc227825362"/>
      <w:r w:rsidRPr="004853EB">
        <w:rPr>
          <w:rFonts w:eastAsia="Times New Roman" w:cstheme="minorHAnsi"/>
          <w:b/>
          <w:sz w:val="20"/>
          <w:szCs w:val="20"/>
          <w:lang w:eastAsia="pl-PL"/>
        </w:rPr>
        <w:t>5.10. Utrzymanie wykonanej warstwy</w:t>
      </w:r>
      <w:bookmarkEnd w:id="2983"/>
      <w:bookmarkEnd w:id="2984"/>
      <w:bookmarkEnd w:id="2985"/>
    </w:p>
    <w:p w14:paraId="056288C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Zagęszczona warstwa, przed ułożeniem następnej warstwy, powinna być utrzymywana w dobrym stanie. Jeżeli po wykonanej warstwie będzie się odbywał ruch budowlany, to Wykonawca jest obowiązany naprawić wszelkie uszkodzenia, spowodowane przez ten ruch.</w:t>
      </w:r>
    </w:p>
    <w:p w14:paraId="3024D7A3"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86" w:name="_Toc194476925"/>
      <w:bookmarkStart w:id="2987" w:name="_Toc227760216"/>
      <w:bookmarkStart w:id="2988" w:name="_Toc227825363"/>
      <w:r w:rsidRPr="004853EB">
        <w:rPr>
          <w:rFonts w:eastAsia="Times New Roman" w:cstheme="minorHAnsi"/>
          <w:b/>
          <w:sz w:val="20"/>
          <w:szCs w:val="20"/>
          <w:lang w:eastAsia="pl-PL"/>
        </w:rPr>
        <w:t>5.11. Impregnacja podbudowy zasadniczej</w:t>
      </w:r>
      <w:bookmarkEnd w:id="2986"/>
      <w:bookmarkEnd w:id="2987"/>
      <w:bookmarkEnd w:id="2988"/>
    </w:p>
    <w:p w14:paraId="1071504D" w14:textId="1EA8622F"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Jeśli nie przewiduje się układania warstwy ścieralnej bezpośrednio po zagęszczeniu podbudowy zasadniczej można, po zaakceptowaniu przez Inżyniera, zaimpregnować podbudowę zasadniczą asfaltem 160/220 w ilości około 1,0 kg/m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w:t>
      </w:r>
      <w:r w:rsidR="004F465D">
        <w:rPr>
          <w:rFonts w:eastAsia="Times New Roman" w:cstheme="minorHAnsi"/>
          <w:sz w:val="20"/>
          <w:szCs w:val="20"/>
          <w:lang w:eastAsia="pl-PL"/>
        </w:rPr>
        <w:t>a</w:t>
      </w:r>
      <w:r w:rsidRPr="004853EB">
        <w:rPr>
          <w:rFonts w:eastAsia="Times New Roman" w:cstheme="minorHAnsi"/>
          <w:sz w:val="20"/>
          <w:szCs w:val="20"/>
          <w:lang w:eastAsia="pl-PL"/>
        </w:rPr>
        <w:t>lbo emulsją kationową z przysypaniem piaskiem gruboziarnistym w ilości około 5 kg/m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w:t>
      </w:r>
    </w:p>
    <w:p w14:paraId="66224368"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89" w:name="_Toc194476926"/>
      <w:bookmarkStart w:id="2990" w:name="_Toc227760217"/>
      <w:bookmarkStart w:id="2991" w:name="_Toc227825364"/>
      <w:r w:rsidRPr="004853EB">
        <w:rPr>
          <w:rFonts w:eastAsia="Times New Roman" w:cstheme="minorHAnsi"/>
          <w:b/>
          <w:sz w:val="20"/>
          <w:szCs w:val="20"/>
          <w:lang w:eastAsia="pl-PL"/>
        </w:rPr>
        <w:t>5.12. Roboty wykończeniowe</w:t>
      </w:r>
      <w:bookmarkEnd w:id="2989"/>
      <w:bookmarkEnd w:id="2990"/>
      <w:bookmarkEnd w:id="2991"/>
    </w:p>
    <w:p w14:paraId="4B80D7C7" w14:textId="7258E9DF"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Roboty wykończeniowe, zgodne z dokumentacją projektową, ST lub wskazaniami Inżyniera dotyczą prac związanych z dostosowaniem </w:t>
      </w:r>
      <w:r w:rsidR="004F465D" w:rsidRPr="004853EB">
        <w:rPr>
          <w:rFonts w:eastAsia="Times New Roman" w:cstheme="minorHAnsi"/>
          <w:sz w:val="20"/>
          <w:szCs w:val="20"/>
          <w:lang w:eastAsia="pl-PL"/>
        </w:rPr>
        <w:t>wykonanych robót</w:t>
      </w:r>
      <w:r w:rsidRPr="004853EB">
        <w:rPr>
          <w:rFonts w:eastAsia="Times New Roman" w:cstheme="minorHAnsi"/>
          <w:sz w:val="20"/>
          <w:szCs w:val="20"/>
          <w:lang w:eastAsia="pl-PL"/>
        </w:rPr>
        <w:t xml:space="preserve"> do istniejących warunków terenowych, takie jak:</w:t>
      </w:r>
    </w:p>
    <w:p w14:paraId="28E2D5D2" w14:textId="77777777" w:rsidR="00CC1EF4" w:rsidRPr="004853EB" w:rsidRDefault="00CC1EF4">
      <w:pPr>
        <w:numPr>
          <w:ilvl w:val="0"/>
          <w:numId w:val="39"/>
        </w:numPr>
        <w:tabs>
          <w:tab w:val="num" w:pos="284"/>
        </w:tabs>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odtworzenie przeszkód czasowo usuniętych,</w:t>
      </w:r>
    </w:p>
    <w:p w14:paraId="21319BAE" w14:textId="77777777" w:rsidR="00CC1EF4" w:rsidRPr="004853EB" w:rsidRDefault="00CC1EF4">
      <w:pPr>
        <w:numPr>
          <w:ilvl w:val="0"/>
          <w:numId w:val="3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uzupełnienie zniszczonych w czasie robót istniejących elementów drogowych lub terenowych,</w:t>
      </w:r>
    </w:p>
    <w:p w14:paraId="072E1325"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porządkujące otoczenie terenu robót,</w:t>
      </w:r>
    </w:p>
    <w:p w14:paraId="0DA11703"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usunięcie oznakowania drogi wprowadzonego na okres robót.</w:t>
      </w:r>
    </w:p>
    <w:p w14:paraId="77FC73C7"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2992" w:name="_Toc194476927"/>
      <w:bookmarkStart w:id="2993" w:name="_Toc227760218"/>
      <w:bookmarkStart w:id="2994" w:name="_Toc227825365"/>
      <w:r w:rsidRPr="004853EB">
        <w:rPr>
          <w:rFonts w:eastAsia="Times New Roman" w:cstheme="minorHAnsi"/>
          <w:b/>
          <w:caps/>
          <w:kern w:val="28"/>
          <w:sz w:val="20"/>
          <w:szCs w:val="20"/>
          <w:lang w:eastAsia="pl-PL"/>
        </w:rPr>
        <w:t>6. Kontrola jakości robót</w:t>
      </w:r>
      <w:bookmarkEnd w:id="2992"/>
      <w:bookmarkEnd w:id="2993"/>
      <w:bookmarkEnd w:id="2994"/>
    </w:p>
    <w:p w14:paraId="2AF28125"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95" w:name="_Toc194476928"/>
      <w:bookmarkStart w:id="2996" w:name="_Toc227760219"/>
      <w:bookmarkStart w:id="2997" w:name="_Toc227825366"/>
      <w:r w:rsidRPr="004853EB">
        <w:rPr>
          <w:rFonts w:eastAsia="Times New Roman" w:cstheme="minorHAnsi"/>
          <w:b/>
          <w:sz w:val="20"/>
          <w:szCs w:val="20"/>
          <w:lang w:eastAsia="pl-PL"/>
        </w:rPr>
        <w:t>6.1. Ogólne zasady kontroli jakości robót</w:t>
      </w:r>
      <w:bookmarkEnd w:id="2995"/>
      <w:bookmarkEnd w:id="2996"/>
      <w:bookmarkEnd w:id="2997"/>
    </w:p>
    <w:p w14:paraId="345138FE" w14:textId="77777777"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kontroli jakości robót podano w SST   D-00.00.00 „Wymagania ogólne” [1], pkt 6.</w:t>
      </w:r>
    </w:p>
    <w:p w14:paraId="2B0425DE"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2998" w:name="_Toc194476929"/>
      <w:bookmarkStart w:id="2999" w:name="_Toc227760220"/>
      <w:bookmarkStart w:id="3000" w:name="_Toc227825367"/>
      <w:r w:rsidRPr="004853EB">
        <w:rPr>
          <w:rFonts w:eastAsia="Times New Roman" w:cstheme="minorHAnsi"/>
          <w:b/>
          <w:sz w:val="20"/>
          <w:szCs w:val="20"/>
          <w:lang w:eastAsia="pl-PL"/>
        </w:rPr>
        <w:t>6.2. Badania przed przystąpieniem do robót</w:t>
      </w:r>
      <w:bookmarkEnd w:id="2998"/>
      <w:bookmarkEnd w:id="2999"/>
      <w:bookmarkEnd w:id="3000"/>
    </w:p>
    <w:p w14:paraId="592D74F6" w14:textId="77777777"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 przystąpieniem do robót Wykonawca powinien:</w:t>
      </w:r>
    </w:p>
    <w:p w14:paraId="3FECEDDD"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7F6E11B8"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wykonać badania kruszyw przeznaczonych do wykonania robót, obejmujące wszystkie właściwości określone w tablicy 1 niniejszej SST.</w:t>
      </w:r>
    </w:p>
    <w:p w14:paraId="3CAAC943" w14:textId="77777777"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Wszystkie dokumenty oraz wyniki badań Wykonawca przedstawia Inżynierowi do akceptacji.</w:t>
      </w:r>
    </w:p>
    <w:p w14:paraId="7EF7EE45"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001" w:name="_Toc194476930"/>
      <w:bookmarkStart w:id="3002" w:name="_Toc227760221"/>
      <w:bookmarkStart w:id="3003" w:name="_Toc227825368"/>
      <w:r w:rsidRPr="004853EB">
        <w:rPr>
          <w:rFonts w:eastAsia="Times New Roman" w:cstheme="minorHAnsi"/>
          <w:b/>
          <w:sz w:val="20"/>
          <w:szCs w:val="20"/>
          <w:lang w:eastAsia="pl-PL"/>
        </w:rPr>
        <w:t>6.3. Badania w czasie robót</w:t>
      </w:r>
      <w:bookmarkEnd w:id="3001"/>
      <w:bookmarkEnd w:id="3002"/>
      <w:bookmarkEnd w:id="3003"/>
    </w:p>
    <w:p w14:paraId="087CD298" w14:textId="77777777"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Częstotliwość oraz zakres badań i pomiarów, które należy wykonać w czasie robót podaje tablica 5. </w:t>
      </w:r>
    </w:p>
    <w:p w14:paraId="37A7B8B5" w14:textId="77777777" w:rsidR="00CC1EF4" w:rsidRPr="004853EB" w:rsidRDefault="00CC1EF4" w:rsidP="00CC1EF4">
      <w:pPr>
        <w:numPr>
          <w:ilvl w:val="12"/>
          <w:numId w:val="0"/>
        </w:num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5. Częstotliwość oraz zakres badań i pomiarów w czasie robót</w:t>
      </w:r>
    </w:p>
    <w:tbl>
      <w:tblPr>
        <w:tblW w:w="89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34"/>
        <w:gridCol w:w="2204"/>
        <w:gridCol w:w="2693"/>
      </w:tblGrid>
      <w:tr w:rsidR="00CC1EF4" w:rsidRPr="004853EB" w14:paraId="3B31F4C4" w14:textId="77777777" w:rsidTr="00E95D02">
        <w:tc>
          <w:tcPr>
            <w:tcW w:w="496" w:type="dxa"/>
            <w:tcBorders>
              <w:bottom w:val="single" w:sz="4" w:space="0" w:color="auto"/>
            </w:tcBorders>
          </w:tcPr>
          <w:p w14:paraId="3865C707"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Lp.</w:t>
            </w:r>
          </w:p>
        </w:tc>
        <w:tc>
          <w:tcPr>
            <w:tcW w:w="3534" w:type="dxa"/>
            <w:tcBorders>
              <w:bottom w:val="single" w:sz="4" w:space="0" w:color="auto"/>
            </w:tcBorders>
          </w:tcPr>
          <w:p w14:paraId="33913820"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Wyszczególnienie robót</w:t>
            </w:r>
          </w:p>
        </w:tc>
        <w:tc>
          <w:tcPr>
            <w:tcW w:w="2204" w:type="dxa"/>
            <w:tcBorders>
              <w:bottom w:val="single" w:sz="4" w:space="0" w:color="auto"/>
            </w:tcBorders>
          </w:tcPr>
          <w:p w14:paraId="652302A2"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Częstotliwość badań</w:t>
            </w:r>
          </w:p>
        </w:tc>
        <w:tc>
          <w:tcPr>
            <w:tcW w:w="2693" w:type="dxa"/>
            <w:tcBorders>
              <w:bottom w:val="single" w:sz="4" w:space="0" w:color="auto"/>
            </w:tcBorders>
          </w:tcPr>
          <w:p w14:paraId="0B28E6FB"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Wartości dopuszczalne</w:t>
            </w:r>
          </w:p>
        </w:tc>
      </w:tr>
      <w:tr w:rsidR="00CC1EF4" w:rsidRPr="004853EB" w14:paraId="27518451" w14:textId="77777777" w:rsidTr="00E95D02">
        <w:tc>
          <w:tcPr>
            <w:tcW w:w="496" w:type="dxa"/>
            <w:tcBorders>
              <w:top w:val="single" w:sz="4" w:space="0" w:color="auto"/>
            </w:tcBorders>
            <w:vAlign w:val="center"/>
          </w:tcPr>
          <w:p w14:paraId="0687C4EB" w14:textId="77777777" w:rsidR="00CC1EF4" w:rsidRPr="004853EB" w:rsidRDefault="00CC1EF4" w:rsidP="00CC1EF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3534" w:type="dxa"/>
            <w:tcBorders>
              <w:top w:val="single" w:sz="4" w:space="0" w:color="auto"/>
            </w:tcBorders>
            <w:vAlign w:val="center"/>
          </w:tcPr>
          <w:p w14:paraId="219A2A50" w14:textId="77777777" w:rsidR="00CC1EF4" w:rsidRPr="004853EB" w:rsidRDefault="00CC1EF4" w:rsidP="00CC1EF4">
            <w:pPr>
              <w:numPr>
                <w:ilvl w:val="12"/>
                <w:numId w:val="0"/>
              </w:num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Lokalizacja i zgodność granic terenu robót z dokumentacją projektową</w:t>
            </w:r>
          </w:p>
        </w:tc>
        <w:tc>
          <w:tcPr>
            <w:tcW w:w="2204" w:type="dxa"/>
            <w:tcBorders>
              <w:top w:val="single" w:sz="4" w:space="0" w:color="auto"/>
            </w:tcBorders>
            <w:vAlign w:val="center"/>
          </w:tcPr>
          <w:p w14:paraId="325608B8" w14:textId="77777777" w:rsidR="00CC1EF4" w:rsidRPr="004853EB" w:rsidRDefault="00CC1EF4" w:rsidP="00CC1EF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 raz</w:t>
            </w:r>
          </w:p>
        </w:tc>
        <w:tc>
          <w:tcPr>
            <w:tcW w:w="2693" w:type="dxa"/>
            <w:tcBorders>
              <w:top w:val="single" w:sz="4" w:space="0" w:color="auto"/>
            </w:tcBorders>
            <w:vAlign w:val="center"/>
          </w:tcPr>
          <w:p w14:paraId="29994387" w14:textId="77777777" w:rsidR="00CC1EF4" w:rsidRPr="004853EB" w:rsidRDefault="00CC1EF4" w:rsidP="00CC1EF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Wg </w:t>
            </w:r>
            <w:proofErr w:type="spellStart"/>
            <w:r w:rsidRPr="004853EB">
              <w:rPr>
                <w:rFonts w:eastAsia="Times New Roman" w:cstheme="minorHAnsi"/>
                <w:sz w:val="20"/>
                <w:szCs w:val="20"/>
                <w:lang w:eastAsia="pl-PL"/>
              </w:rPr>
              <w:t>pktu</w:t>
            </w:r>
            <w:proofErr w:type="spellEnd"/>
            <w:r w:rsidRPr="004853EB">
              <w:rPr>
                <w:rFonts w:eastAsia="Times New Roman" w:cstheme="minorHAnsi"/>
                <w:sz w:val="20"/>
                <w:szCs w:val="20"/>
                <w:lang w:eastAsia="pl-PL"/>
              </w:rPr>
              <w:t xml:space="preserve"> 5 </w:t>
            </w:r>
          </w:p>
          <w:p w14:paraId="77C04CDC" w14:textId="77777777" w:rsidR="00CC1EF4" w:rsidRPr="004853EB" w:rsidRDefault="00CC1EF4" w:rsidP="00CC1EF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i dokumentacji projektowej </w:t>
            </w:r>
          </w:p>
        </w:tc>
      </w:tr>
      <w:tr w:rsidR="00CC1EF4" w:rsidRPr="004853EB" w14:paraId="2AAD4527" w14:textId="77777777" w:rsidTr="00E95D02">
        <w:tc>
          <w:tcPr>
            <w:tcW w:w="496" w:type="dxa"/>
            <w:vAlign w:val="center"/>
          </w:tcPr>
          <w:p w14:paraId="7D4DDC95"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3534" w:type="dxa"/>
            <w:vAlign w:val="center"/>
          </w:tcPr>
          <w:p w14:paraId="2F143312"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Roboty przygotowawcze</w:t>
            </w:r>
          </w:p>
        </w:tc>
        <w:tc>
          <w:tcPr>
            <w:tcW w:w="2204" w:type="dxa"/>
            <w:vAlign w:val="center"/>
          </w:tcPr>
          <w:p w14:paraId="34F80598"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Ocena ciągła</w:t>
            </w:r>
          </w:p>
        </w:tc>
        <w:tc>
          <w:tcPr>
            <w:tcW w:w="2693" w:type="dxa"/>
            <w:vAlign w:val="center"/>
          </w:tcPr>
          <w:p w14:paraId="29FB59B5"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Wg </w:t>
            </w:r>
            <w:proofErr w:type="spellStart"/>
            <w:r w:rsidRPr="004853EB">
              <w:rPr>
                <w:rFonts w:eastAsia="Times New Roman" w:cstheme="minorHAnsi"/>
                <w:sz w:val="20"/>
                <w:szCs w:val="20"/>
                <w:lang w:eastAsia="pl-PL"/>
              </w:rPr>
              <w:t>pktu</w:t>
            </w:r>
            <w:proofErr w:type="spellEnd"/>
            <w:r w:rsidRPr="004853EB">
              <w:rPr>
                <w:rFonts w:eastAsia="Times New Roman" w:cstheme="minorHAnsi"/>
                <w:sz w:val="20"/>
                <w:szCs w:val="20"/>
                <w:lang w:eastAsia="pl-PL"/>
              </w:rPr>
              <w:t xml:space="preserve"> 5.3</w:t>
            </w:r>
          </w:p>
        </w:tc>
      </w:tr>
      <w:tr w:rsidR="00CC1EF4" w:rsidRPr="004853EB" w14:paraId="06806984" w14:textId="77777777" w:rsidTr="00E95D02">
        <w:tc>
          <w:tcPr>
            <w:tcW w:w="496" w:type="dxa"/>
            <w:vAlign w:val="center"/>
          </w:tcPr>
          <w:p w14:paraId="5442BF2F"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3534" w:type="dxa"/>
            <w:vAlign w:val="center"/>
          </w:tcPr>
          <w:p w14:paraId="1FAD5BFF"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Właściwości kruszywa</w:t>
            </w:r>
          </w:p>
        </w:tc>
        <w:tc>
          <w:tcPr>
            <w:tcW w:w="2204" w:type="dxa"/>
            <w:vAlign w:val="center"/>
          </w:tcPr>
          <w:p w14:paraId="58AF0B05" w14:textId="63EADE89"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Dla każdej partii </w:t>
            </w:r>
            <w:r w:rsidR="004F465D" w:rsidRPr="004853EB">
              <w:rPr>
                <w:rFonts w:eastAsia="Times New Roman" w:cstheme="minorHAnsi"/>
                <w:sz w:val="20"/>
                <w:szCs w:val="20"/>
                <w:lang w:eastAsia="pl-PL"/>
              </w:rPr>
              <w:t>kruszywa i</w:t>
            </w:r>
            <w:r w:rsidRPr="004853EB">
              <w:rPr>
                <w:rFonts w:eastAsia="Times New Roman" w:cstheme="minorHAnsi"/>
                <w:sz w:val="20"/>
                <w:szCs w:val="20"/>
                <w:lang w:eastAsia="pl-PL"/>
              </w:rPr>
              <w:t xml:space="preserve"> przy każdej zmianie kruszywa</w:t>
            </w:r>
          </w:p>
        </w:tc>
        <w:tc>
          <w:tcPr>
            <w:tcW w:w="2693" w:type="dxa"/>
            <w:vAlign w:val="center"/>
          </w:tcPr>
          <w:p w14:paraId="4E46A04C"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tablicy 1</w:t>
            </w:r>
          </w:p>
        </w:tc>
      </w:tr>
      <w:tr w:rsidR="00CC1EF4" w:rsidRPr="004853EB" w14:paraId="664D0068" w14:textId="77777777" w:rsidTr="00E95D02">
        <w:tc>
          <w:tcPr>
            <w:tcW w:w="496" w:type="dxa"/>
            <w:vAlign w:val="center"/>
          </w:tcPr>
          <w:p w14:paraId="075CA1A2"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3534" w:type="dxa"/>
            <w:vAlign w:val="center"/>
          </w:tcPr>
          <w:p w14:paraId="07B16B91"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Uziarnienie mieszanki</w:t>
            </w:r>
          </w:p>
        </w:tc>
        <w:tc>
          <w:tcPr>
            <w:tcW w:w="2204" w:type="dxa"/>
            <w:vAlign w:val="center"/>
          </w:tcPr>
          <w:p w14:paraId="3C78577E"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2 razy na dziennej działce roboczej  </w:t>
            </w:r>
          </w:p>
        </w:tc>
        <w:tc>
          <w:tcPr>
            <w:tcW w:w="2693" w:type="dxa"/>
            <w:vAlign w:val="center"/>
          </w:tcPr>
          <w:p w14:paraId="6FC150FE"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tablicy 4</w:t>
            </w:r>
          </w:p>
        </w:tc>
      </w:tr>
      <w:tr w:rsidR="00CC1EF4" w:rsidRPr="004853EB" w14:paraId="3F31995D" w14:textId="77777777" w:rsidTr="00E95D02">
        <w:tc>
          <w:tcPr>
            <w:tcW w:w="496" w:type="dxa"/>
            <w:vAlign w:val="center"/>
          </w:tcPr>
          <w:p w14:paraId="3315716B"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c>
          <w:tcPr>
            <w:tcW w:w="3534" w:type="dxa"/>
            <w:vAlign w:val="center"/>
          </w:tcPr>
          <w:p w14:paraId="58ACF554"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Wilgotność mieszanki</w:t>
            </w:r>
          </w:p>
        </w:tc>
        <w:tc>
          <w:tcPr>
            <w:tcW w:w="2204" w:type="dxa"/>
            <w:vAlign w:val="center"/>
          </w:tcPr>
          <w:p w14:paraId="7E4C8116"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Jw.</w:t>
            </w:r>
          </w:p>
        </w:tc>
        <w:tc>
          <w:tcPr>
            <w:tcW w:w="2693" w:type="dxa"/>
            <w:vAlign w:val="center"/>
          </w:tcPr>
          <w:p w14:paraId="58012692"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Jw.</w:t>
            </w:r>
          </w:p>
        </w:tc>
      </w:tr>
      <w:tr w:rsidR="00CC1EF4" w:rsidRPr="004853EB" w14:paraId="0ED2D29E" w14:textId="77777777" w:rsidTr="00E95D02">
        <w:tc>
          <w:tcPr>
            <w:tcW w:w="496" w:type="dxa"/>
            <w:vAlign w:val="center"/>
          </w:tcPr>
          <w:p w14:paraId="6CD554F5"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tc>
        <w:tc>
          <w:tcPr>
            <w:tcW w:w="3534" w:type="dxa"/>
            <w:vAlign w:val="center"/>
          </w:tcPr>
          <w:p w14:paraId="4F29227B"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Zawartość pyłów w mieszance</w:t>
            </w:r>
          </w:p>
        </w:tc>
        <w:tc>
          <w:tcPr>
            <w:tcW w:w="2204" w:type="dxa"/>
            <w:vAlign w:val="center"/>
          </w:tcPr>
          <w:p w14:paraId="781C9CAD"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Jw.</w:t>
            </w:r>
          </w:p>
        </w:tc>
        <w:tc>
          <w:tcPr>
            <w:tcW w:w="2693" w:type="dxa"/>
            <w:vAlign w:val="center"/>
          </w:tcPr>
          <w:p w14:paraId="7CB38A70"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Jw.</w:t>
            </w:r>
          </w:p>
        </w:tc>
      </w:tr>
      <w:tr w:rsidR="00CC1EF4" w:rsidRPr="004853EB" w14:paraId="6B4B03C3" w14:textId="77777777" w:rsidTr="00E95D02">
        <w:tc>
          <w:tcPr>
            <w:tcW w:w="496" w:type="dxa"/>
            <w:vAlign w:val="center"/>
          </w:tcPr>
          <w:p w14:paraId="48E6A87A"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w:t>
            </w:r>
          </w:p>
        </w:tc>
        <w:tc>
          <w:tcPr>
            <w:tcW w:w="3534" w:type="dxa"/>
            <w:vAlign w:val="center"/>
          </w:tcPr>
          <w:p w14:paraId="53DA292F"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Zawartość nadziarna w mieszance</w:t>
            </w:r>
          </w:p>
        </w:tc>
        <w:tc>
          <w:tcPr>
            <w:tcW w:w="2204" w:type="dxa"/>
            <w:vAlign w:val="center"/>
          </w:tcPr>
          <w:p w14:paraId="736ADA3F"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Jw.</w:t>
            </w:r>
          </w:p>
        </w:tc>
        <w:tc>
          <w:tcPr>
            <w:tcW w:w="2693" w:type="dxa"/>
            <w:vAlign w:val="center"/>
          </w:tcPr>
          <w:p w14:paraId="65438B7C"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Jw.</w:t>
            </w:r>
          </w:p>
        </w:tc>
      </w:tr>
      <w:tr w:rsidR="00CC1EF4" w:rsidRPr="004853EB" w14:paraId="26F3D552" w14:textId="77777777" w:rsidTr="00E95D02">
        <w:tc>
          <w:tcPr>
            <w:tcW w:w="496" w:type="dxa"/>
            <w:vAlign w:val="center"/>
          </w:tcPr>
          <w:p w14:paraId="37DC4960"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8</w:t>
            </w:r>
          </w:p>
        </w:tc>
        <w:tc>
          <w:tcPr>
            <w:tcW w:w="3534" w:type="dxa"/>
            <w:vAlign w:val="center"/>
          </w:tcPr>
          <w:p w14:paraId="18F7B355" w14:textId="77777777" w:rsidR="00CC1EF4" w:rsidRPr="004853EB" w:rsidRDefault="00CC1EF4" w:rsidP="00CC1EF4">
            <w:pPr>
              <w:numPr>
                <w:ilvl w:val="12"/>
                <w:numId w:val="0"/>
              </w:num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Wrażliwość mieszanki na mróz, wskaźnik piaskowy</w:t>
            </w:r>
          </w:p>
        </w:tc>
        <w:tc>
          <w:tcPr>
            <w:tcW w:w="2204" w:type="dxa"/>
            <w:vAlign w:val="center"/>
          </w:tcPr>
          <w:p w14:paraId="71A773FB"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Jw.</w:t>
            </w:r>
          </w:p>
        </w:tc>
        <w:tc>
          <w:tcPr>
            <w:tcW w:w="2693" w:type="dxa"/>
            <w:vAlign w:val="center"/>
          </w:tcPr>
          <w:p w14:paraId="4019558D"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Jw.</w:t>
            </w:r>
          </w:p>
        </w:tc>
      </w:tr>
      <w:tr w:rsidR="00CC1EF4" w:rsidRPr="004853EB" w14:paraId="1FED5421" w14:textId="77777777" w:rsidTr="00E95D02">
        <w:tc>
          <w:tcPr>
            <w:tcW w:w="496" w:type="dxa"/>
            <w:vAlign w:val="center"/>
          </w:tcPr>
          <w:p w14:paraId="734B6F1F"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9</w:t>
            </w:r>
          </w:p>
        </w:tc>
        <w:tc>
          <w:tcPr>
            <w:tcW w:w="3534" w:type="dxa"/>
            <w:vAlign w:val="center"/>
          </w:tcPr>
          <w:p w14:paraId="2FF2EB47"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Zawartość wody w mieszance</w:t>
            </w:r>
          </w:p>
        </w:tc>
        <w:tc>
          <w:tcPr>
            <w:tcW w:w="2204" w:type="dxa"/>
            <w:vAlign w:val="center"/>
          </w:tcPr>
          <w:p w14:paraId="1538D5BE"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Jw.</w:t>
            </w:r>
          </w:p>
        </w:tc>
        <w:tc>
          <w:tcPr>
            <w:tcW w:w="2693" w:type="dxa"/>
            <w:vAlign w:val="center"/>
          </w:tcPr>
          <w:p w14:paraId="406C906C"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Jw.</w:t>
            </w:r>
          </w:p>
        </w:tc>
      </w:tr>
      <w:tr w:rsidR="00CC1EF4" w:rsidRPr="004853EB" w14:paraId="5B5489A9" w14:textId="77777777" w:rsidTr="00E95D02">
        <w:tc>
          <w:tcPr>
            <w:tcW w:w="496" w:type="dxa"/>
            <w:vAlign w:val="center"/>
          </w:tcPr>
          <w:p w14:paraId="6EC1481B"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10</w:t>
            </w:r>
          </w:p>
        </w:tc>
        <w:tc>
          <w:tcPr>
            <w:tcW w:w="3534" w:type="dxa"/>
            <w:vAlign w:val="center"/>
          </w:tcPr>
          <w:p w14:paraId="07F83703"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Wartość CBR po zagęszczeniu mieszanki</w:t>
            </w:r>
          </w:p>
        </w:tc>
        <w:tc>
          <w:tcPr>
            <w:tcW w:w="2204" w:type="dxa"/>
            <w:vAlign w:val="center"/>
          </w:tcPr>
          <w:p w14:paraId="586323AA" w14:textId="77777777" w:rsidR="00CC1EF4" w:rsidRPr="004853EB" w:rsidRDefault="00CC1EF4" w:rsidP="00CC1EF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vertAlign w:val="superscript"/>
                <w:lang w:eastAsia="pl-PL"/>
              </w:rPr>
            </w:pPr>
            <w:r w:rsidRPr="004853EB">
              <w:rPr>
                <w:rFonts w:eastAsia="Times New Roman" w:cstheme="minorHAnsi"/>
                <w:sz w:val="20"/>
                <w:szCs w:val="20"/>
                <w:lang w:eastAsia="pl-PL"/>
              </w:rPr>
              <w:t>próbki co 200m</w:t>
            </w:r>
          </w:p>
        </w:tc>
        <w:tc>
          <w:tcPr>
            <w:tcW w:w="2693" w:type="dxa"/>
            <w:vAlign w:val="center"/>
          </w:tcPr>
          <w:p w14:paraId="6E5C05B9"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Jw.</w:t>
            </w:r>
          </w:p>
        </w:tc>
      </w:tr>
      <w:tr w:rsidR="00CC1EF4" w:rsidRPr="004853EB" w14:paraId="6F484E76" w14:textId="77777777" w:rsidTr="00E95D02">
        <w:tc>
          <w:tcPr>
            <w:tcW w:w="496" w:type="dxa"/>
            <w:vAlign w:val="center"/>
          </w:tcPr>
          <w:p w14:paraId="5531F12F"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11</w:t>
            </w:r>
          </w:p>
        </w:tc>
        <w:tc>
          <w:tcPr>
            <w:tcW w:w="3534" w:type="dxa"/>
            <w:vAlign w:val="center"/>
          </w:tcPr>
          <w:p w14:paraId="77FE7B47"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Inne właściwości mieszanki</w:t>
            </w:r>
          </w:p>
        </w:tc>
        <w:tc>
          <w:tcPr>
            <w:tcW w:w="2204" w:type="dxa"/>
            <w:vAlign w:val="center"/>
          </w:tcPr>
          <w:p w14:paraId="78CC3F83" w14:textId="77777777" w:rsidR="00CC1EF4" w:rsidRPr="004853EB" w:rsidRDefault="00CC1EF4" w:rsidP="00CC1EF4">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ustalenia Inżyniera</w:t>
            </w:r>
          </w:p>
        </w:tc>
        <w:tc>
          <w:tcPr>
            <w:tcW w:w="2693" w:type="dxa"/>
            <w:vAlign w:val="center"/>
          </w:tcPr>
          <w:p w14:paraId="4EAD7402"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Jw.</w:t>
            </w:r>
          </w:p>
        </w:tc>
      </w:tr>
      <w:tr w:rsidR="00CC1EF4" w:rsidRPr="004853EB" w14:paraId="34FD7087" w14:textId="77777777" w:rsidTr="00E95D02">
        <w:tc>
          <w:tcPr>
            <w:tcW w:w="496" w:type="dxa"/>
            <w:vAlign w:val="center"/>
          </w:tcPr>
          <w:p w14:paraId="43F6E79F"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12</w:t>
            </w:r>
          </w:p>
        </w:tc>
        <w:tc>
          <w:tcPr>
            <w:tcW w:w="3534" w:type="dxa"/>
            <w:vAlign w:val="center"/>
          </w:tcPr>
          <w:p w14:paraId="7220A82F"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Cechy środowiskowe</w:t>
            </w:r>
          </w:p>
        </w:tc>
        <w:tc>
          <w:tcPr>
            <w:tcW w:w="2204" w:type="dxa"/>
            <w:vAlign w:val="center"/>
          </w:tcPr>
          <w:p w14:paraId="69E102B7" w14:textId="77777777" w:rsidR="00CC1EF4" w:rsidRPr="004853EB" w:rsidRDefault="00CC1EF4" w:rsidP="00CC1EF4">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ustalenia Inżyniera</w:t>
            </w:r>
          </w:p>
        </w:tc>
        <w:tc>
          <w:tcPr>
            <w:tcW w:w="2693" w:type="dxa"/>
            <w:vAlign w:val="center"/>
          </w:tcPr>
          <w:p w14:paraId="78321931"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Jw.</w:t>
            </w:r>
          </w:p>
        </w:tc>
      </w:tr>
      <w:tr w:rsidR="00CC1EF4" w:rsidRPr="004853EB" w14:paraId="1449660E" w14:textId="77777777" w:rsidTr="00E95D02">
        <w:tc>
          <w:tcPr>
            <w:tcW w:w="496" w:type="dxa"/>
            <w:vAlign w:val="center"/>
          </w:tcPr>
          <w:p w14:paraId="79D2AB1A"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13</w:t>
            </w:r>
          </w:p>
        </w:tc>
        <w:tc>
          <w:tcPr>
            <w:tcW w:w="3534" w:type="dxa"/>
            <w:vAlign w:val="center"/>
          </w:tcPr>
          <w:p w14:paraId="21FB1044"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Roboty wykończeniowe</w:t>
            </w:r>
          </w:p>
        </w:tc>
        <w:tc>
          <w:tcPr>
            <w:tcW w:w="2204" w:type="dxa"/>
            <w:vAlign w:val="center"/>
          </w:tcPr>
          <w:p w14:paraId="37ABB215" w14:textId="77777777" w:rsidR="00CC1EF4" w:rsidRPr="004853EB" w:rsidRDefault="00CC1EF4" w:rsidP="00CC1EF4">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Ocena ciągła</w:t>
            </w:r>
          </w:p>
        </w:tc>
        <w:tc>
          <w:tcPr>
            <w:tcW w:w="2693" w:type="dxa"/>
            <w:vAlign w:val="center"/>
          </w:tcPr>
          <w:p w14:paraId="50DB9E01"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Wg </w:t>
            </w:r>
            <w:proofErr w:type="spellStart"/>
            <w:r w:rsidRPr="004853EB">
              <w:rPr>
                <w:rFonts w:eastAsia="Times New Roman" w:cstheme="minorHAnsi"/>
                <w:sz w:val="20"/>
                <w:szCs w:val="20"/>
                <w:lang w:eastAsia="pl-PL"/>
              </w:rPr>
              <w:t>pktu</w:t>
            </w:r>
            <w:proofErr w:type="spellEnd"/>
            <w:r w:rsidRPr="004853EB">
              <w:rPr>
                <w:rFonts w:eastAsia="Times New Roman" w:cstheme="minorHAnsi"/>
                <w:sz w:val="20"/>
                <w:szCs w:val="20"/>
                <w:lang w:eastAsia="pl-PL"/>
              </w:rPr>
              <w:t xml:space="preserve"> 5.12</w:t>
            </w:r>
          </w:p>
        </w:tc>
      </w:tr>
    </w:tbl>
    <w:p w14:paraId="5EDCEAD2"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iCs/>
          <w:szCs w:val="20"/>
          <w:lang w:eastAsia="x-none"/>
        </w:rPr>
      </w:pPr>
      <w:bookmarkStart w:id="3004" w:name="_Toc194476931"/>
      <w:bookmarkStart w:id="3005" w:name="_Toc227760222"/>
      <w:bookmarkStart w:id="3006" w:name="_Toc227825369"/>
      <w:r w:rsidRPr="004853EB">
        <w:rPr>
          <w:rFonts w:eastAsia="Times New Roman" w:cstheme="minorHAnsi"/>
          <w:b/>
          <w:iCs/>
          <w:szCs w:val="20"/>
          <w:lang w:val="x-none" w:eastAsia="x-none"/>
        </w:rPr>
        <w:t>6.3.</w:t>
      </w:r>
      <w:r w:rsidRPr="004853EB">
        <w:rPr>
          <w:rFonts w:eastAsia="Times New Roman" w:cstheme="minorHAnsi"/>
          <w:b/>
          <w:iCs/>
          <w:szCs w:val="20"/>
          <w:lang w:eastAsia="x-none"/>
        </w:rPr>
        <w:t>1</w:t>
      </w:r>
      <w:r w:rsidRPr="004853EB">
        <w:rPr>
          <w:rFonts w:eastAsia="Times New Roman" w:cstheme="minorHAnsi"/>
          <w:b/>
          <w:iCs/>
          <w:szCs w:val="20"/>
          <w:lang w:val="x-none" w:eastAsia="x-none"/>
        </w:rPr>
        <w:t xml:space="preserve"> </w:t>
      </w:r>
      <w:r w:rsidRPr="004853EB">
        <w:rPr>
          <w:rFonts w:eastAsia="Times New Roman" w:cstheme="minorHAnsi"/>
          <w:b/>
          <w:iCs/>
          <w:szCs w:val="20"/>
          <w:lang w:eastAsia="x-none"/>
        </w:rPr>
        <w:t>Zagęszczenie podbudowy</w:t>
      </w:r>
      <w:bookmarkEnd w:id="3004"/>
      <w:bookmarkEnd w:id="3005"/>
      <w:bookmarkEnd w:id="3006"/>
    </w:p>
    <w:p w14:paraId="5C295BEB" w14:textId="77777777" w:rsidR="00CC1EF4" w:rsidRPr="004853EB" w:rsidRDefault="00CC1EF4" w:rsidP="00CC1EF4">
      <w:pPr>
        <w:overflowPunct w:val="0"/>
        <w:autoSpaceDE w:val="0"/>
        <w:autoSpaceDN w:val="0"/>
        <w:adjustRightInd w:val="0"/>
        <w:spacing w:before="120" w:after="0" w:line="240" w:lineRule="auto"/>
        <w:ind w:firstLine="708"/>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Zagęszczenie każdej warstwy powinno odbywać się aż do osiągnięcia wymaganego wskaźnika zagęszczenia.</w:t>
      </w:r>
    </w:p>
    <w:p w14:paraId="39B83A36" w14:textId="44680D14"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Zagęszczenie należy sprawdzać wg metody obciążeń płytowych zgodnie z postanowieniami PN-S-02265, ale dla podbudów i nawierzchni w zakresie przyrostu obciążenia jednostkowego od 0,25 MPa do 0,35 MPa i przyrostu odkształceń odpowiadających temu zakresowi obciążeń jednostkowych oraz dla końcowego obciążenia 0,45 MPa.</w:t>
      </w:r>
    </w:p>
    <w:p w14:paraId="6B9DFC6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Moduły odkształcenia oblicza się z następujących wzorów:</w:t>
      </w:r>
    </w:p>
    <w:p w14:paraId="26E93D5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E1= (3*</w:t>
      </w:r>
      <w:proofErr w:type="spellStart"/>
      <w:r w:rsidRPr="004853EB">
        <w:rPr>
          <w:rFonts w:eastAsia="Times New Roman" w:cstheme="minorHAnsi"/>
          <w:sz w:val="20"/>
          <w:szCs w:val="20"/>
          <w:lang w:eastAsia="pl-PL"/>
        </w:rPr>
        <w:t>Δp</w:t>
      </w:r>
      <w:proofErr w:type="spellEnd"/>
      <w:r w:rsidRPr="004853EB">
        <w:rPr>
          <w:rFonts w:eastAsia="Times New Roman" w:cstheme="minorHAnsi"/>
          <w:sz w:val="20"/>
          <w:szCs w:val="20"/>
          <w:lang w:eastAsia="pl-PL"/>
        </w:rPr>
        <w:t>/4*</w:t>
      </w:r>
      <w:proofErr w:type="spellStart"/>
      <w:r w:rsidRPr="004853EB">
        <w:rPr>
          <w:rFonts w:eastAsia="Times New Roman" w:cstheme="minorHAnsi"/>
          <w:sz w:val="20"/>
          <w:szCs w:val="20"/>
          <w:lang w:eastAsia="pl-PL"/>
        </w:rPr>
        <w:t>Δs</w:t>
      </w:r>
      <w:proofErr w:type="spellEnd"/>
      <w:r w:rsidRPr="004853EB">
        <w:rPr>
          <w:rFonts w:eastAsia="Times New Roman" w:cstheme="minorHAnsi"/>
          <w:sz w:val="20"/>
          <w:szCs w:val="20"/>
          <w:lang w:eastAsia="pl-PL"/>
        </w:rPr>
        <w:t>)*D [2]</w:t>
      </w:r>
    </w:p>
    <w:p w14:paraId="5CE2C30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E2= (3*Δp2/4*Δs2)*D</w:t>
      </w:r>
    </w:p>
    <w:p w14:paraId="026041D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[3]</w:t>
      </w:r>
    </w:p>
    <w:p w14:paraId="41CA1F8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gdzie:</w:t>
      </w:r>
    </w:p>
    <w:p w14:paraId="0228831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E1 - moduł pierwotny odkształcenia [MPa],</w:t>
      </w:r>
    </w:p>
    <w:p w14:paraId="673AF72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E2 - moduł wtórny odkształcenia [MPa],</w:t>
      </w:r>
    </w:p>
    <w:p w14:paraId="5C288A8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roofErr w:type="spellStart"/>
      <w:r w:rsidRPr="004853EB">
        <w:rPr>
          <w:rFonts w:eastAsia="Times New Roman" w:cstheme="minorHAnsi"/>
          <w:sz w:val="20"/>
          <w:szCs w:val="20"/>
          <w:lang w:eastAsia="pl-PL"/>
        </w:rPr>
        <w:t>Δp</w:t>
      </w:r>
      <w:proofErr w:type="spellEnd"/>
      <w:r w:rsidRPr="004853EB">
        <w:rPr>
          <w:rFonts w:eastAsia="Times New Roman" w:cstheme="minorHAnsi"/>
          <w:sz w:val="20"/>
          <w:szCs w:val="20"/>
          <w:lang w:eastAsia="pl-PL"/>
        </w:rPr>
        <w:t xml:space="preserve"> - różnica nacisków w pierwszym cyklu obciążania [MPa],</w:t>
      </w:r>
    </w:p>
    <w:p w14:paraId="1A575B7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Δp2 - różnica nacisków w drugim cyklu obciążania [MPa],</w:t>
      </w:r>
    </w:p>
    <w:p w14:paraId="245C0EA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roofErr w:type="spellStart"/>
      <w:r w:rsidRPr="004853EB">
        <w:rPr>
          <w:rFonts w:eastAsia="Times New Roman" w:cstheme="minorHAnsi"/>
          <w:sz w:val="20"/>
          <w:szCs w:val="20"/>
          <w:lang w:eastAsia="pl-PL"/>
        </w:rPr>
        <w:t>Δs</w:t>
      </w:r>
      <w:proofErr w:type="spellEnd"/>
      <w:r w:rsidRPr="004853EB">
        <w:rPr>
          <w:rFonts w:eastAsia="Times New Roman" w:cstheme="minorHAnsi"/>
          <w:sz w:val="20"/>
          <w:szCs w:val="20"/>
          <w:lang w:eastAsia="pl-PL"/>
        </w:rPr>
        <w:t xml:space="preserve"> - przyrost </w:t>
      </w:r>
      <w:proofErr w:type="spellStart"/>
      <w:r w:rsidRPr="004853EB">
        <w:rPr>
          <w:rFonts w:eastAsia="Times New Roman" w:cstheme="minorHAnsi"/>
          <w:sz w:val="20"/>
          <w:szCs w:val="20"/>
          <w:lang w:eastAsia="pl-PL"/>
        </w:rPr>
        <w:t>osiadań</w:t>
      </w:r>
      <w:proofErr w:type="spellEnd"/>
      <w:r w:rsidRPr="004853EB">
        <w:rPr>
          <w:rFonts w:eastAsia="Times New Roman" w:cstheme="minorHAnsi"/>
          <w:sz w:val="20"/>
          <w:szCs w:val="20"/>
          <w:lang w:eastAsia="pl-PL"/>
        </w:rPr>
        <w:t xml:space="preserve"> odpowiadający różnicy nacisków </w:t>
      </w:r>
      <w:r w:rsidRPr="004853EB">
        <w:rPr>
          <w:rFonts w:eastAsia="Times New Roman" w:cstheme="minorHAnsi"/>
          <w:sz w:val="20"/>
          <w:szCs w:val="20"/>
          <w:lang w:eastAsia="pl-PL"/>
        </w:rPr>
        <w:t>p [mm],</w:t>
      </w:r>
    </w:p>
    <w:p w14:paraId="7AAB58F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Δs2 - przyrost </w:t>
      </w:r>
      <w:proofErr w:type="spellStart"/>
      <w:r w:rsidRPr="004853EB">
        <w:rPr>
          <w:rFonts w:eastAsia="Times New Roman" w:cstheme="minorHAnsi"/>
          <w:sz w:val="20"/>
          <w:szCs w:val="20"/>
          <w:lang w:eastAsia="pl-PL"/>
        </w:rPr>
        <w:t>osiadań</w:t>
      </w:r>
      <w:proofErr w:type="spellEnd"/>
      <w:r w:rsidRPr="004853EB">
        <w:rPr>
          <w:rFonts w:eastAsia="Times New Roman" w:cstheme="minorHAnsi"/>
          <w:sz w:val="20"/>
          <w:szCs w:val="20"/>
          <w:lang w:eastAsia="pl-PL"/>
        </w:rPr>
        <w:t xml:space="preserve"> odpowiadający różnicy nacisków </w:t>
      </w:r>
      <w:r w:rsidRPr="004853EB">
        <w:rPr>
          <w:rFonts w:eastAsia="Times New Roman" w:cstheme="minorHAnsi"/>
          <w:sz w:val="20"/>
          <w:szCs w:val="20"/>
          <w:lang w:eastAsia="pl-PL"/>
        </w:rPr>
        <w:t>p2 [mm],</w:t>
      </w:r>
    </w:p>
    <w:p w14:paraId="1A80C0F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 - średnica płyty [mm] (D = 300 mm).</w:t>
      </w:r>
    </w:p>
    <w:p w14:paraId="5877974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Kontrolę należy przeprowadzać nie rzadziej niż co 100m. Zagęszczenie warstwy</w:t>
      </w:r>
    </w:p>
    <w:p w14:paraId="7EF34692"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należy uznać za prawidłowe, gdy stosunek wtórnego modułu E2 do pierwotnego modułu odkształcenia E1 jest nie większy od 2,2 dla każdej warstwy.</w:t>
      </w:r>
    </w:p>
    <w:p w14:paraId="55E74FB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                                                                                     </w:t>
      </w:r>
      <w:r w:rsidR="00000000">
        <w:rPr>
          <w:rFonts w:eastAsia="Times New Roman" w:cstheme="minorHAnsi"/>
          <w:position w:val="-28"/>
          <w:sz w:val="20"/>
          <w:szCs w:val="20"/>
          <w:lang w:eastAsia="pl-PL"/>
        </w:rPr>
        <w:pict w14:anchorId="3E8517A7">
          <v:shape id="_x0000_i1030" type="#_x0000_t75" style="width:17.25pt;height:33.75pt">
            <v:imagedata r:id="rId22" o:title=""/>
          </v:shape>
        </w:pict>
      </w:r>
      <w:r w:rsidRPr="004853EB">
        <w:rPr>
          <w:rFonts w:eastAsia="Times New Roman" w:cstheme="minorHAnsi"/>
          <w:sz w:val="20"/>
          <w:szCs w:val="20"/>
          <w:lang w:eastAsia="pl-PL"/>
        </w:rPr>
        <w:t xml:space="preserve">  </w:t>
      </w:r>
      <w:r w:rsidRPr="004853EB">
        <w:rPr>
          <w:rFonts w:eastAsia="Times New Roman" w:cstheme="minorHAnsi"/>
          <w:sz w:val="20"/>
          <w:szCs w:val="20"/>
          <w:lang w:eastAsia="pl-PL"/>
        </w:rPr>
        <w:sym w:font="Symbol" w:char="F0A3"/>
      </w:r>
      <w:r w:rsidRPr="004853EB">
        <w:rPr>
          <w:rFonts w:eastAsia="Times New Roman" w:cstheme="minorHAnsi"/>
          <w:sz w:val="20"/>
          <w:szCs w:val="20"/>
          <w:lang w:eastAsia="pl-PL"/>
        </w:rPr>
        <w:t xml:space="preserve">   2,2</w:t>
      </w:r>
    </w:p>
    <w:p w14:paraId="25E90E7F" w14:textId="77777777" w:rsidR="00CC1EF4" w:rsidRPr="004853EB" w:rsidRDefault="00CC1EF4" w:rsidP="00CC1EF4">
      <w:pPr>
        <w:keepNext/>
        <w:overflowPunct w:val="0"/>
        <w:autoSpaceDE w:val="0"/>
        <w:autoSpaceDN w:val="0"/>
        <w:adjustRightInd w:val="0"/>
        <w:spacing w:before="240" w:after="120" w:line="240" w:lineRule="auto"/>
        <w:jc w:val="both"/>
        <w:textAlignment w:val="baseline"/>
        <w:outlineLvl w:val="1"/>
        <w:rPr>
          <w:rFonts w:eastAsia="Times New Roman" w:cstheme="minorHAnsi"/>
          <w:b/>
          <w:sz w:val="20"/>
          <w:szCs w:val="20"/>
          <w:lang w:eastAsia="pl-PL"/>
        </w:rPr>
      </w:pPr>
      <w:bookmarkStart w:id="3007" w:name="_Toc194476932"/>
      <w:bookmarkStart w:id="3008" w:name="_Toc227760223"/>
      <w:bookmarkStart w:id="3009" w:name="_Toc227825370"/>
      <w:r w:rsidRPr="004853EB">
        <w:rPr>
          <w:rFonts w:eastAsia="Times New Roman" w:cstheme="minorHAnsi"/>
          <w:b/>
          <w:sz w:val="20"/>
          <w:szCs w:val="20"/>
          <w:lang w:eastAsia="pl-PL"/>
        </w:rPr>
        <w:t>6.4. Wymagania dotyczące cech geometrycznych podbudowy zasadniczej</w:t>
      </w:r>
      <w:bookmarkEnd w:id="3007"/>
      <w:bookmarkEnd w:id="3008"/>
      <w:bookmarkEnd w:id="3009"/>
    </w:p>
    <w:p w14:paraId="78DDE5C4"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Częstotliwość oraz zakres badań i pomiarów dotyczących cech geometrycznych warstwy z mieszanki niezwiązanej podaje tablica 6.</w:t>
      </w:r>
    </w:p>
    <w:p w14:paraId="73C482EA" w14:textId="77777777" w:rsidR="00CC1EF4" w:rsidRPr="004853EB" w:rsidRDefault="00CC1EF4" w:rsidP="00CC1EF4">
      <w:pPr>
        <w:keepNext/>
        <w:overflowPunct w:val="0"/>
        <w:autoSpaceDE w:val="0"/>
        <w:autoSpaceDN w:val="0"/>
        <w:adjustRightInd w:val="0"/>
        <w:spacing w:before="6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6. Częstotliwość oraz zakres badań i pomiarów dotyczących cech geometrycznych</w:t>
      </w:r>
    </w:p>
    <w:tbl>
      <w:tblPr>
        <w:tblW w:w="89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414"/>
        <w:gridCol w:w="2280"/>
        <w:gridCol w:w="2760"/>
      </w:tblGrid>
      <w:tr w:rsidR="00CC1EF4" w:rsidRPr="004853EB" w14:paraId="5A158AD7" w14:textId="77777777" w:rsidTr="00E95D02">
        <w:tc>
          <w:tcPr>
            <w:tcW w:w="496" w:type="dxa"/>
            <w:tcBorders>
              <w:top w:val="single" w:sz="4" w:space="0" w:color="auto"/>
              <w:left w:val="single" w:sz="4" w:space="0" w:color="auto"/>
              <w:bottom w:val="single" w:sz="4" w:space="0" w:color="auto"/>
            </w:tcBorders>
          </w:tcPr>
          <w:p w14:paraId="54DF4ECE"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15DF2229"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Lp.</w:t>
            </w:r>
          </w:p>
        </w:tc>
        <w:tc>
          <w:tcPr>
            <w:tcW w:w="3414" w:type="dxa"/>
            <w:tcBorders>
              <w:top w:val="single" w:sz="4" w:space="0" w:color="auto"/>
              <w:bottom w:val="single" w:sz="4" w:space="0" w:color="auto"/>
              <w:right w:val="single" w:sz="4" w:space="0" w:color="auto"/>
            </w:tcBorders>
          </w:tcPr>
          <w:p w14:paraId="2C2E32E5" w14:textId="77777777" w:rsidR="00CC1EF4" w:rsidRPr="004853EB" w:rsidRDefault="00CC1EF4" w:rsidP="00CC1EF4">
            <w:pPr>
              <w:overflowPunct w:val="0"/>
              <w:autoSpaceDE w:val="0"/>
              <w:autoSpaceDN w:val="0"/>
              <w:adjustRightInd w:val="0"/>
              <w:spacing w:before="120" w:after="0" w:line="240" w:lineRule="auto"/>
              <w:ind w:left="215" w:right="312"/>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Wyszczególnienie badań i pomiarów</w:t>
            </w:r>
          </w:p>
        </w:tc>
        <w:tc>
          <w:tcPr>
            <w:tcW w:w="2280" w:type="dxa"/>
            <w:tcBorders>
              <w:left w:val="single" w:sz="4" w:space="0" w:color="auto"/>
            </w:tcBorders>
          </w:tcPr>
          <w:p w14:paraId="03635748"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Minimalna częstotliwość badań i pomiarów</w:t>
            </w:r>
          </w:p>
        </w:tc>
        <w:tc>
          <w:tcPr>
            <w:tcW w:w="2760" w:type="dxa"/>
          </w:tcPr>
          <w:p w14:paraId="151821B4"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59D1A0E0"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Dopuszczalne odchyłki</w:t>
            </w:r>
          </w:p>
        </w:tc>
      </w:tr>
      <w:tr w:rsidR="00CC1EF4" w:rsidRPr="004853EB" w14:paraId="41ECEC64" w14:textId="77777777" w:rsidTr="00E95D02">
        <w:tc>
          <w:tcPr>
            <w:tcW w:w="496" w:type="dxa"/>
            <w:tcBorders>
              <w:top w:val="single" w:sz="4" w:space="0" w:color="auto"/>
            </w:tcBorders>
          </w:tcPr>
          <w:p w14:paraId="077C2F4D" w14:textId="77777777" w:rsidR="00CC1EF4" w:rsidRPr="004853EB" w:rsidRDefault="00CC1EF4" w:rsidP="00CC1EF4">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3414" w:type="dxa"/>
            <w:tcBorders>
              <w:top w:val="single" w:sz="4" w:space="0" w:color="auto"/>
            </w:tcBorders>
          </w:tcPr>
          <w:p w14:paraId="422F649B"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Szerokość warstwy</w:t>
            </w:r>
          </w:p>
        </w:tc>
        <w:tc>
          <w:tcPr>
            <w:tcW w:w="2280" w:type="dxa"/>
          </w:tcPr>
          <w:p w14:paraId="2F335AA9" w14:textId="77777777" w:rsidR="00CC1EF4" w:rsidRPr="004853EB" w:rsidRDefault="00CC1EF4" w:rsidP="00CC1EF4">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co 100m</w:t>
            </w:r>
          </w:p>
        </w:tc>
        <w:tc>
          <w:tcPr>
            <w:tcW w:w="2760" w:type="dxa"/>
          </w:tcPr>
          <w:p w14:paraId="6029E2C1"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+10 cm, -5 cm (różnice od szerokości projektowej)</w:t>
            </w:r>
          </w:p>
        </w:tc>
      </w:tr>
      <w:tr w:rsidR="00CC1EF4" w:rsidRPr="004853EB" w14:paraId="7845DC5C" w14:textId="77777777" w:rsidTr="00E95D02">
        <w:tc>
          <w:tcPr>
            <w:tcW w:w="496" w:type="dxa"/>
          </w:tcPr>
          <w:p w14:paraId="39358FD8"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3414" w:type="dxa"/>
          </w:tcPr>
          <w:p w14:paraId="56DC314D" w14:textId="77777777" w:rsidR="00CC1EF4" w:rsidRPr="004853EB" w:rsidRDefault="00CC1EF4" w:rsidP="00CC1EF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Równość podłużna</w:t>
            </w:r>
          </w:p>
        </w:tc>
        <w:tc>
          <w:tcPr>
            <w:tcW w:w="2280" w:type="dxa"/>
          </w:tcPr>
          <w:p w14:paraId="585C3D06"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[21]</w:t>
            </w:r>
          </w:p>
        </w:tc>
        <w:tc>
          <w:tcPr>
            <w:tcW w:w="2760" w:type="dxa"/>
          </w:tcPr>
          <w:p w14:paraId="659DF827"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[21]</w:t>
            </w:r>
          </w:p>
        </w:tc>
      </w:tr>
      <w:tr w:rsidR="00CC1EF4" w:rsidRPr="004853EB" w14:paraId="12D7C937" w14:textId="77777777" w:rsidTr="00E95D02">
        <w:tc>
          <w:tcPr>
            <w:tcW w:w="496" w:type="dxa"/>
          </w:tcPr>
          <w:p w14:paraId="2B23C0B7"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3414" w:type="dxa"/>
          </w:tcPr>
          <w:p w14:paraId="15A4F9BC" w14:textId="77777777" w:rsidR="00CC1EF4" w:rsidRPr="004853EB" w:rsidRDefault="00CC1EF4" w:rsidP="00CC1EF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Równość poprzeczna</w:t>
            </w:r>
          </w:p>
        </w:tc>
        <w:tc>
          <w:tcPr>
            <w:tcW w:w="2280" w:type="dxa"/>
          </w:tcPr>
          <w:p w14:paraId="750D5F2F"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[21]</w:t>
            </w:r>
          </w:p>
        </w:tc>
        <w:tc>
          <w:tcPr>
            <w:tcW w:w="2760" w:type="dxa"/>
          </w:tcPr>
          <w:p w14:paraId="1D098FA1"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[21]</w:t>
            </w:r>
          </w:p>
        </w:tc>
      </w:tr>
      <w:tr w:rsidR="00CC1EF4" w:rsidRPr="004853EB" w14:paraId="0FC77EAF" w14:textId="77777777" w:rsidTr="00E95D02">
        <w:tc>
          <w:tcPr>
            <w:tcW w:w="496" w:type="dxa"/>
          </w:tcPr>
          <w:p w14:paraId="7B4EFF85"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20AD8888"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3414" w:type="dxa"/>
          </w:tcPr>
          <w:p w14:paraId="3C5B7C9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1CC73C4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Spadki poprzeczne </w:t>
            </w:r>
            <w:r w:rsidRPr="004853EB">
              <w:rPr>
                <w:rFonts w:eastAsia="Times New Roman" w:cstheme="minorHAnsi"/>
                <w:sz w:val="20"/>
                <w:szCs w:val="20"/>
                <w:vertAlign w:val="superscript"/>
                <w:lang w:eastAsia="pl-PL"/>
              </w:rPr>
              <w:t>*)</w:t>
            </w:r>
          </w:p>
        </w:tc>
        <w:tc>
          <w:tcPr>
            <w:tcW w:w="2280" w:type="dxa"/>
          </w:tcPr>
          <w:p w14:paraId="2260CCC2"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769BFB3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co 100m</w:t>
            </w:r>
          </w:p>
        </w:tc>
        <w:tc>
          <w:tcPr>
            <w:tcW w:w="2760" w:type="dxa"/>
          </w:tcPr>
          <w:p w14:paraId="5900D3BA"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0,5% (dopuszczalna tolerancja od spadków projektowych)</w:t>
            </w:r>
          </w:p>
        </w:tc>
      </w:tr>
      <w:tr w:rsidR="00CC1EF4" w:rsidRPr="004853EB" w14:paraId="43C63240" w14:textId="77777777" w:rsidTr="00E95D02">
        <w:tc>
          <w:tcPr>
            <w:tcW w:w="496" w:type="dxa"/>
          </w:tcPr>
          <w:p w14:paraId="7353B991"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c>
          <w:tcPr>
            <w:tcW w:w="3414" w:type="dxa"/>
          </w:tcPr>
          <w:p w14:paraId="6E02E024" w14:textId="77777777" w:rsidR="00CC1EF4" w:rsidRPr="004853EB" w:rsidRDefault="00CC1EF4" w:rsidP="00CC1EF4">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Rzędne wysokościowe</w:t>
            </w:r>
          </w:p>
        </w:tc>
        <w:tc>
          <w:tcPr>
            <w:tcW w:w="2280" w:type="dxa"/>
          </w:tcPr>
          <w:p w14:paraId="7F5DB7A4"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[21]</w:t>
            </w:r>
          </w:p>
        </w:tc>
        <w:tc>
          <w:tcPr>
            <w:tcW w:w="2760" w:type="dxa"/>
          </w:tcPr>
          <w:p w14:paraId="495B0471"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[21]</w:t>
            </w:r>
          </w:p>
        </w:tc>
      </w:tr>
      <w:tr w:rsidR="00CC1EF4" w:rsidRPr="004853EB" w14:paraId="4ED8A75E" w14:textId="77777777" w:rsidTr="00E95D02">
        <w:tc>
          <w:tcPr>
            <w:tcW w:w="496" w:type="dxa"/>
          </w:tcPr>
          <w:p w14:paraId="25829ADE" w14:textId="77777777" w:rsidR="00CC1EF4" w:rsidRPr="004853EB" w:rsidRDefault="00CC1EF4" w:rsidP="00CC1EF4">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tc>
        <w:tc>
          <w:tcPr>
            <w:tcW w:w="3414" w:type="dxa"/>
          </w:tcPr>
          <w:p w14:paraId="1E7BF36B"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Ukształtowanie osi w planie </w:t>
            </w:r>
            <w:r w:rsidRPr="004853EB">
              <w:rPr>
                <w:rFonts w:eastAsia="Times New Roman" w:cstheme="minorHAnsi"/>
                <w:sz w:val="20"/>
                <w:szCs w:val="20"/>
                <w:vertAlign w:val="superscript"/>
                <w:lang w:eastAsia="pl-PL"/>
              </w:rPr>
              <w:t>*)</w:t>
            </w:r>
          </w:p>
        </w:tc>
        <w:tc>
          <w:tcPr>
            <w:tcW w:w="2280" w:type="dxa"/>
          </w:tcPr>
          <w:p w14:paraId="14360F43" w14:textId="77777777" w:rsidR="00CC1EF4" w:rsidRPr="004853EB" w:rsidRDefault="00CC1EF4" w:rsidP="00CC1EF4">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co 100 m</w:t>
            </w:r>
          </w:p>
        </w:tc>
        <w:tc>
          <w:tcPr>
            <w:tcW w:w="2760" w:type="dxa"/>
          </w:tcPr>
          <w:p w14:paraId="78F44A70"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Przesunięcie od osi projektowanej ± 5 cm</w:t>
            </w:r>
          </w:p>
        </w:tc>
      </w:tr>
      <w:tr w:rsidR="00CC1EF4" w:rsidRPr="004853EB" w14:paraId="60B46D51" w14:textId="77777777" w:rsidTr="00E95D02">
        <w:tc>
          <w:tcPr>
            <w:tcW w:w="496" w:type="dxa"/>
          </w:tcPr>
          <w:p w14:paraId="6899A49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694B9D07"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w:t>
            </w:r>
          </w:p>
        </w:tc>
        <w:tc>
          <w:tcPr>
            <w:tcW w:w="3414" w:type="dxa"/>
          </w:tcPr>
          <w:p w14:paraId="14D3F88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22F2047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Grubość warstwy</w:t>
            </w:r>
          </w:p>
        </w:tc>
        <w:tc>
          <w:tcPr>
            <w:tcW w:w="2280" w:type="dxa"/>
          </w:tcPr>
          <w:p w14:paraId="39A3517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 3 punktach na działce roboczej, lecz nie rzadziej niż raz na 2000 m</w:t>
            </w:r>
            <w:r w:rsidRPr="004853EB">
              <w:rPr>
                <w:rFonts w:eastAsia="Times New Roman" w:cstheme="minorHAnsi"/>
                <w:sz w:val="20"/>
                <w:szCs w:val="20"/>
                <w:vertAlign w:val="superscript"/>
                <w:lang w:eastAsia="pl-PL"/>
              </w:rPr>
              <w:t>2</w:t>
            </w:r>
          </w:p>
        </w:tc>
        <w:tc>
          <w:tcPr>
            <w:tcW w:w="2760" w:type="dxa"/>
          </w:tcPr>
          <w:p w14:paraId="4979B140"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Różnice od grubości projektowanej ±10%           </w:t>
            </w:r>
          </w:p>
          <w:p w14:paraId="5C91CEB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r>
    </w:tbl>
    <w:p w14:paraId="04D29BAA"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Dodatkowe pomiary spadków poprzecznych i ukształtowania osi w planie należy wykonać w punktach głównych łuków poziomych.</w:t>
      </w:r>
    </w:p>
    <w:p w14:paraId="1EAA7711"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010" w:name="_Toc194476933"/>
      <w:bookmarkStart w:id="3011" w:name="_Toc227760224"/>
      <w:bookmarkStart w:id="3012" w:name="_Toc227825371"/>
      <w:r w:rsidRPr="004853EB">
        <w:rPr>
          <w:rFonts w:eastAsia="Times New Roman" w:cstheme="minorHAnsi"/>
          <w:b/>
          <w:caps/>
          <w:kern w:val="28"/>
          <w:sz w:val="20"/>
          <w:szCs w:val="20"/>
          <w:lang w:eastAsia="pl-PL"/>
        </w:rPr>
        <w:t>7. Obmiar robót</w:t>
      </w:r>
      <w:bookmarkEnd w:id="3010"/>
      <w:bookmarkEnd w:id="3011"/>
      <w:bookmarkEnd w:id="3012"/>
    </w:p>
    <w:p w14:paraId="0CA68465"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013" w:name="_Toc194476934"/>
      <w:bookmarkStart w:id="3014" w:name="_Toc227760225"/>
      <w:bookmarkStart w:id="3015" w:name="_Toc227825372"/>
      <w:r w:rsidRPr="004853EB">
        <w:rPr>
          <w:rFonts w:eastAsia="Times New Roman" w:cstheme="minorHAnsi"/>
          <w:b/>
          <w:sz w:val="20"/>
          <w:szCs w:val="20"/>
          <w:lang w:eastAsia="pl-PL"/>
        </w:rPr>
        <w:t>7.1. Ogólne zasady obmiaru robót</w:t>
      </w:r>
      <w:bookmarkEnd w:id="3013"/>
      <w:bookmarkEnd w:id="3014"/>
      <w:bookmarkEnd w:id="3015"/>
    </w:p>
    <w:p w14:paraId="6B31D986" w14:textId="0498E461"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Ogólne zasady obmiaru robót podano w </w:t>
      </w:r>
      <w:r w:rsidR="004F465D" w:rsidRPr="004853EB">
        <w:rPr>
          <w:rFonts w:eastAsia="Times New Roman" w:cstheme="minorHAnsi"/>
          <w:sz w:val="20"/>
          <w:szCs w:val="20"/>
          <w:lang w:eastAsia="pl-PL"/>
        </w:rPr>
        <w:t>SST D</w:t>
      </w:r>
      <w:r w:rsidRPr="004853EB">
        <w:rPr>
          <w:rFonts w:eastAsia="Times New Roman" w:cstheme="minorHAnsi"/>
          <w:sz w:val="20"/>
          <w:szCs w:val="20"/>
          <w:lang w:eastAsia="pl-PL"/>
        </w:rPr>
        <w:t>-00.00.00 „Wymagania ogólne” [1], pkt 7.</w:t>
      </w:r>
    </w:p>
    <w:p w14:paraId="7272EAC7"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016" w:name="_Toc194476935"/>
      <w:bookmarkStart w:id="3017" w:name="_Toc227760226"/>
      <w:bookmarkStart w:id="3018" w:name="_Toc227825373"/>
      <w:r w:rsidRPr="004853EB">
        <w:rPr>
          <w:rFonts w:eastAsia="Times New Roman" w:cstheme="minorHAnsi"/>
          <w:b/>
          <w:sz w:val="20"/>
          <w:szCs w:val="20"/>
          <w:lang w:eastAsia="pl-PL"/>
        </w:rPr>
        <w:t>7.2. Jednostka obmiarowa</w:t>
      </w:r>
      <w:bookmarkEnd w:id="3016"/>
      <w:bookmarkEnd w:id="3017"/>
      <w:bookmarkEnd w:id="3018"/>
    </w:p>
    <w:p w14:paraId="3DA5D34C"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Jednostką obmiarową jest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(metr kwadratowy) wykonanej warstwy.</w:t>
      </w:r>
    </w:p>
    <w:p w14:paraId="1DA7DFF5"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019" w:name="_Toc194476936"/>
      <w:bookmarkStart w:id="3020" w:name="_Toc227760227"/>
      <w:bookmarkStart w:id="3021" w:name="_Toc227825374"/>
      <w:r w:rsidRPr="004853EB">
        <w:rPr>
          <w:rFonts w:eastAsia="Times New Roman" w:cstheme="minorHAnsi"/>
          <w:b/>
          <w:caps/>
          <w:kern w:val="28"/>
          <w:sz w:val="20"/>
          <w:szCs w:val="20"/>
          <w:lang w:eastAsia="pl-PL"/>
        </w:rPr>
        <w:t>8. Odbiór robót</w:t>
      </w:r>
      <w:bookmarkEnd w:id="3019"/>
      <w:bookmarkEnd w:id="3020"/>
      <w:bookmarkEnd w:id="3021"/>
    </w:p>
    <w:p w14:paraId="4C476935" w14:textId="19AFB2FF" w:rsidR="00CC1EF4" w:rsidRPr="004853EB" w:rsidRDefault="00CC1EF4" w:rsidP="00CC1EF4">
      <w:pPr>
        <w:numPr>
          <w:ilvl w:val="12"/>
          <w:numId w:val="0"/>
        </w:num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Ogólne zasady odbioru robót podano w </w:t>
      </w:r>
      <w:r w:rsidR="004F465D" w:rsidRPr="004853EB">
        <w:rPr>
          <w:rFonts w:eastAsia="Times New Roman" w:cstheme="minorHAnsi"/>
          <w:sz w:val="20"/>
          <w:szCs w:val="20"/>
          <w:lang w:eastAsia="pl-PL"/>
        </w:rPr>
        <w:t>SST D</w:t>
      </w:r>
      <w:r w:rsidRPr="004853EB">
        <w:rPr>
          <w:rFonts w:eastAsia="Times New Roman" w:cstheme="minorHAnsi"/>
          <w:sz w:val="20"/>
          <w:szCs w:val="20"/>
          <w:lang w:eastAsia="pl-PL"/>
        </w:rPr>
        <w:t xml:space="preserve">-00.00.00 „Wymagania ogólne” [1], pkt 8. </w:t>
      </w:r>
    </w:p>
    <w:p w14:paraId="6A9C00BA" w14:textId="77777777"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Roboty uznaje się za wykonane zgodnie z dokumentacją projektową, ST i wymaganiami Inżyniera, jeżeli wszystkie pomiary i badania z zachowaniem tolerancji według punktu 6 dały wyniki pozytywne.</w:t>
      </w:r>
    </w:p>
    <w:p w14:paraId="7DD4BDAD"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022" w:name="_Toc194476937"/>
      <w:bookmarkStart w:id="3023" w:name="_Toc227760228"/>
      <w:bookmarkStart w:id="3024" w:name="_Toc227825375"/>
      <w:r w:rsidRPr="004853EB">
        <w:rPr>
          <w:rFonts w:eastAsia="Times New Roman" w:cstheme="minorHAnsi"/>
          <w:b/>
          <w:caps/>
          <w:kern w:val="28"/>
          <w:sz w:val="20"/>
          <w:szCs w:val="20"/>
          <w:lang w:eastAsia="pl-PL"/>
        </w:rPr>
        <w:t>9. Podstawa płatności</w:t>
      </w:r>
      <w:bookmarkEnd w:id="3022"/>
      <w:bookmarkEnd w:id="3023"/>
      <w:bookmarkEnd w:id="3024"/>
    </w:p>
    <w:p w14:paraId="657D9B71"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025" w:name="_Toc194476938"/>
      <w:bookmarkStart w:id="3026" w:name="_Toc227760229"/>
      <w:bookmarkStart w:id="3027" w:name="_Toc227825376"/>
      <w:r w:rsidRPr="004853EB">
        <w:rPr>
          <w:rFonts w:eastAsia="Times New Roman" w:cstheme="minorHAnsi"/>
          <w:b/>
          <w:sz w:val="20"/>
          <w:szCs w:val="20"/>
          <w:lang w:eastAsia="pl-PL"/>
        </w:rPr>
        <w:t>9.1. Ogólne ustalenia dotyczące podstawy płatności</w:t>
      </w:r>
      <w:bookmarkEnd w:id="3025"/>
      <w:bookmarkEnd w:id="3026"/>
      <w:bookmarkEnd w:id="3027"/>
    </w:p>
    <w:p w14:paraId="1EC13929" w14:textId="77777777"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ustalenia dotyczące podstawy płatności podano w SST D-00.00.00 „Wymagania ogólne” [1], pkt 9.</w:t>
      </w:r>
    </w:p>
    <w:p w14:paraId="75BA9E14"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028" w:name="_Toc194476939"/>
      <w:bookmarkStart w:id="3029" w:name="_Toc227760230"/>
      <w:bookmarkStart w:id="3030" w:name="_Toc227825377"/>
      <w:r w:rsidRPr="004853EB">
        <w:rPr>
          <w:rFonts w:eastAsia="Times New Roman" w:cstheme="minorHAnsi"/>
          <w:b/>
          <w:sz w:val="20"/>
          <w:szCs w:val="20"/>
          <w:lang w:eastAsia="pl-PL"/>
        </w:rPr>
        <w:t>9.2. Cena jednostki obmiarowej</w:t>
      </w:r>
      <w:bookmarkEnd w:id="3028"/>
      <w:bookmarkEnd w:id="3029"/>
      <w:bookmarkEnd w:id="3030"/>
    </w:p>
    <w:p w14:paraId="134F4A59" w14:textId="3D2151C1"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Cena </w:t>
      </w:r>
      <w:r w:rsidR="004F465D" w:rsidRPr="004853EB">
        <w:rPr>
          <w:rFonts w:eastAsia="Times New Roman" w:cstheme="minorHAnsi"/>
          <w:sz w:val="20"/>
          <w:szCs w:val="20"/>
          <w:lang w:eastAsia="pl-PL"/>
        </w:rPr>
        <w:t>wykonania jednostki</w:t>
      </w:r>
      <w:r w:rsidRPr="004853EB">
        <w:rPr>
          <w:rFonts w:eastAsia="Times New Roman" w:cstheme="minorHAnsi"/>
          <w:sz w:val="20"/>
          <w:szCs w:val="20"/>
          <w:lang w:eastAsia="pl-PL"/>
        </w:rPr>
        <w:t xml:space="preserve"> obmiarowej (1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obejmuje:</w:t>
      </w:r>
    </w:p>
    <w:p w14:paraId="63E3ED28"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prace pomiarowe i roboty przygotowawcze,</w:t>
      </w:r>
    </w:p>
    <w:p w14:paraId="3A0DF38B"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oznakowanie robót,</w:t>
      </w:r>
    </w:p>
    <w:p w14:paraId="4444F76F"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dostarczenie materiałów i sprzętu,</w:t>
      </w:r>
    </w:p>
    <w:p w14:paraId="24D5324B"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przygotowanie mieszanki z kruszywa, zgodnie z receptą,</w:t>
      </w:r>
    </w:p>
    <w:p w14:paraId="21F74057"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dostarczenie mieszanki na miejsce wbudowania,</w:t>
      </w:r>
    </w:p>
    <w:p w14:paraId="256BFBF6"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rozłożenie mieszanki,</w:t>
      </w:r>
    </w:p>
    <w:p w14:paraId="3AADC23E"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zagęszczenie mieszanki,</w:t>
      </w:r>
    </w:p>
    <w:p w14:paraId="37018F01"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utrzymanie warstwy w czasie robót, ew. impregnacja warstwy,</w:t>
      </w:r>
    </w:p>
    <w:p w14:paraId="51D7E1F8" w14:textId="359CB4C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przeprowadzenie </w:t>
      </w:r>
      <w:r w:rsidR="004F465D" w:rsidRPr="004853EB">
        <w:rPr>
          <w:rFonts w:eastAsia="Times New Roman" w:cstheme="minorHAnsi"/>
          <w:sz w:val="20"/>
          <w:szCs w:val="20"/>
          <w:lang w:eastAsia="pl-PL"/>
        </w:rPr>
        <w:t>wymaganych pomiarów</w:t>
      </w:r>
      <w:r w:rsidRPr="004853EB">
        <w:rPr>
          <w:rFonts w:eastAsia="Times New Roman" w:cstheme="minorHAnsi"/>
          <w:sz w:val="20"/>
          <w:szCs w:val="20"/>
          <w:lang w:eastAsia="pl-PL"/>
        </w:rPr>
        <w:t xml:space="preserve"> i badań,</w:t>
      </w:r>
    </w:p>
    <w:p w14:paraId="6204C14E"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uporządkowanie terenu robót i jego otoczenia,</w:t>
      </w:r>
    </w:p>
    <w:p w14:paraId="6B78C1D9"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wykończeniowe,</w:t>
      </w:r>
    </w:p>
    <w:p w14:paraId="12B18CFC"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b/>
          <w:sz w:val="20"/>
          <w:szCs w:val="20"/>
          <w:lang w:eastAsia="pl-PL"/>
        </w:rPr>
      </w:pPr>
      <w:r w:rsidRPr="004853EB">
        <w:rPr>
          <w:rFonts w:eastAsia="Times New Roman" w:cstheme="minorHAnsi"/>
          <w:sz w:val="20"/>
          <w:szCs w:val="20"/>
          <w:lang w:eastAsia="pl-PL"/>
        </w:rPr>
        <w:t>odwiezienie sprzętu.</w:t>
      </w:r>
    </w:p>
    <w:p w14:paraId="407A496F"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Wszystkie roboty powinny być wykonane według wymagań dokumentacji projektowej, ST, specyfikacji technicznej i postanowień Inżyniera.</w:t>
      </w:r>
    </w:p>
    <w:p w14:paraId="2E5FEF68"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031" w:name="_Toc194476940"/>
      <w:bookmarkStart w:id="3032" w:name="_Toc227760231"/>
      <w:bookmarkStart w:id="3033" w:name="_Toc227825378"/>
      <w:r w:rsidRPr="004853EB">
        <w:rPr>
          <w:rFonts w:eastAsia="Times New Roman" w:cstheme="minorHAnsi"/>
          <w:b/>
          <w:sz w:val="20"/>
          <w:szCs w:val="20"/>
          <w:lang w:eastAsia="pl-PL"/>
        </w:rPr>
        <w:t>9.3. Sposób rozliczenia robót tymczasowych i prac towarzyszących</w:t>
      </w:r>
      <w:bookmarkEnd w:id="3031"/>
      <w:bookmarkEnd w:id="3032"/>
      <w:bookmarkEnd w:id="3033"/>
    </w:p>
    <w:p w14:paraId="3170389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Cena wykonania robót określonych niniejszą SST obejmuje:</w:t>
      </w:r>
    </w:p>
    <w:p w14:paraId="393770C4"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tymczasowe, które są potrzebne do wykonania robót podstawowych, ale nie są przekazywane Zamawiającemu i są usuwane po wykonaniu robót podstawowych,</w:t>
      </w:r>
    </w:p>
    <w:p w14:paraId="1EEDD15E"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prace towarzyszące, które są niezbędne do wykonania robót podstawowych, niezaliczane do robót tymczasowych, jak geodezyjne wytyczenie robót itd.</w:t>
      </w:r>
    </w:p>
    <w:p w14:paraId="2485C589" w14:textId="77777777" w:rsidR="00CC1EF4" w:rsidRPr="004853EB" w:rsidRDefault="00CC1EF4" w:rsidP="00CC1EF4">
      <w:pPr>
        <w:keepNext/>
        <w:keepLines/>
        <w:tabs>
          <w:tab w:val="right" w:pos="9238"/>
        </w:tab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034" w:name="_Toc194476941"/>
      <w:bookmarkStart w:id="3035" w:name="_Toc227825379"/>
      <w:r w:rsidRPr="004853EB">
        <w:rPr>
          <w:rFonts w:eastAsia="Times New Roman" w:cstheme="minorHAnsi"/>
          <w:b/>
          <w:caps/>
          <w:kern w:val="28"/>
          <w:sz w:val="20"/>
          <w:szCs w:val="20"/>
          <w:lang w:eastAsia="pl-PL"/>
        </w:rPr>
        <w:t>10. Przepisy związane</w:t>
      </w:r>
      <w:bookmarkEnd w:id="3034"/>
      <w:bookmarkEnd w:id="3035"/>
      <w:r w:rsidRPr="004853EB">
        <w:rPr>
          <w:rFonts w:eastAsia="Times New Roman" w:cstheme="minorHAnsi"/>
          <w:b/>
          <w:caps/>
          <w:kern w:val="28"/>
          <w:sz w:val="20"/>
          <w:szCs w:val="20"/>
          <w:lang w:eastAsia="pl-PL"/>
        </w:rPr>
        <w:tab/>
      </w:r>
    </w:p>
    <w:p w14:paraId="3AF7F010"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036" w:name="_Toc194476942"/>
      <w:bookmarkStart w:id="3037" w:name="_Toc227760233"/>
      <w:bookmarkStart w:id="3038" w:name="_Toc227825380"/>
      <w:r w:rsidRPr="004853EB">
        <w:rPr>
          <w:rFonts w:eastAsia="Times New Roman" w:cstheme="minorHAnsi"/>
          <w:b/>
          <w:sz w:val="20"/>
          <w:szCs w:val="20"/>
          <w:lang w:eastAsia="pl-PL"/>
        </w:rPr>
        <w:t>10.1. Ogólne specyfikacje techniczne (SST)</w:t>
      </w:r>
      <w:bookmarkEnd w:id="3036"/>
      <w:bookmarkEnd w:id="3037"/>
      <w:bookmarkEnd w:id="3038"/>
    </w:p>
    <w:tbl>
      <w:tblPr>
        <w:tblW w:w="9202" w:type="dxa"/>
        <w:tblLayout w:type="fixed"/>
        <w:tblCellMar>
          <w:left w:w="70" w:type="dxa"/>
          <w:right w:w="70" w:type="dxa"/>
        </w:tblCellMar>
        <w:tblLook w:val="0000" w:firstRow="0" w:lastRow="0" w:firstColumn="0" w:lastColumn="0" w:noHBand="0" w:noVBand="0"/>
      </w:tblPr>
      <w:tblGrid>
        <w:gridCol w:w="637"/>
        <w:gridCol w:w="2073"/>
        <w:gridCol w:w="6492"/>
      </w:tblGrid>
      <w:tr w:rsidR="00CC1EF4" w:rsidRPr="004853EB" w14:paraId="67818982" w14:textId="77777777" w:rsidTr="00E95D02">
        <w:tc>
          <w:tcPr>
            <w:tcW w:w="637" w:type="dxa"/>
          </w:tcPr>
          <w:p w14:paraId="54C160BD"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2073" w:type="dxa"/>
          </w:tcPr>
          <w:p w14:paraId="19A9251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 D-00.00.00</w:t>
            </w:r>
          </w:p>
        </w:tc>
        <w:tc>
          <w:tcPr>
            <w:tcW w:w="6492" w:type="dxa"/>
          </w:tcPr>
          <w:p w14:paraId="090031C2"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Wymagania ogólne</w:t>
            </w:r>
          </w:p>
        </w:tc>
      </w:tr>
      <w:tr w:rsidR="00CC1EF4" w:rsidRPr="004853EB" w14:paraId="38965347" w14:textId="77777777" w:rsidTr="00E95D02">
        <w:tc>
          <w:tcPr>
            <w:tcW w:w="637" w:type="dxa"/>
          </w:tcPr>
          <w:p w14:paraId="6F853C9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2073" w:type="dxa"/>
          </w:tcPr>
          <w:p w14:paraId="6572F43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 D-01.00.00</w:t>
            </w:r>
          </w:p>
        </w:tc>
        <w:tc>
          <w:tcPr>
            <w:tcW w:w="6492" w:type="dxa"/>
          </w:tcPr>
          <w:p w14:paraId="061040E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przygotowawcze</w:t>
            </w:r>
          </w:p>
        </w:tc>
      </w:tr>
      <w:tr w:rsidR="00CC1EF4" w:rsidRPr="004853EB" w14:paraId="48073842" w14:textId="77777777" w:rsidTr="00E95D02">
        <w:tc>
          <w:tcPr>
            <w:tcW w:w="637" w:type="dxa"/>
          </w:tcPr>
          <w:p w14:paraId="7A05AC92"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2073" w:type="dxa"/>
          </w:tcPr>
          <w:p w14:paraId="46BA5ED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 D-02.00.00</w:t>
            </w:r>
          </w:p>
        </w:tc>
        <w:tc>
          <w:tcPr>
            <w:tcW w:w="6492" w:type="dxa"/>
          </w:tcPr>
          <w:p w14:paraId="76D4427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ziemne</w:t>
            </w:r>
          </w:p>
        </w:tc>
      </w:tr>
      <w:tr w:rsidR="00CC1EF4" w:rsidRPr="004853EB" w14:paraId="784AE705" w14:textId="77777777" w:rsidTr="00E95D02">
        <w:tc>
          <w:tcPr>
            <w:tcW w:w="637" w:type="dxa"/>
          </w:tcPr>
          <w:p w14:paraId="58061238"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4.</w:t>
            </w:r>
          </w:p>
        </w:tc>
        <w:tc>
          <w:tcPr>
            <w:tcW w:w="2073" w:type="dxa"/>
          </w:tcPr>
          <w:p w14:paraId="7BF5CAC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D-04.04.02a</w:t>
            </w:r>
          </w:p>
        </w:tc>
        <w:tc>
          <w:tcPr>
            <w:tcW w:w="6492" w:type="dxa"/>
          </w:tcPr>
          <w:p w14:paraId="1F72203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Podbudowa pomocnicza z mieszanki kruszywa niezwiązanego</w:t>
            </w:r>
          </w:p>
        </w:tc>
      </w:tr>
    </w:tbl>
    <w:p w14:paraId="6C8DB37C"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039" w:name="_Toc194476943"/>
      <w:bookmarkStart w:id="3040" w:name="_Toc227760234"/>
      <w:bookmarkStart w:id="3041" w:name="_Toc227825381"/>
      <w:r w:rsidRPr="004853EB">
        <w:rPr>
          <w:rFonts w:eastAsia="Times New Roman" w:cstheme="minorHAnsi"/>
          <w:b/>
          <w:sz w:val="20"/>
          <w:szCs w:val="20"/>
          <w:lang w:eastAsia="pl-PL"/>
        </w:rPr>
        <w:t>10.2. Normy</w:t>
      </w:r>
      <w:bookmarkEnd w:id="3039"/>
      <w:bookmarkEnd w:id="3040"/>
      <w:bookmarkEnd w:id="3041"/>
    </w:p>
    <w:tbl>
      <w:tblPr>
        <w:tblW w:w="9228" w:type="dxa"/>
        <w:tblLook w:val="01E0" w:firstRow="1" w:lastRow="1" w:firstColumn="1" w:lastColumn="1" w:noHBand="0" w:noVBand="0"/>
      </w:tblPr>
      <w:tblGrid>
        <w:gridCol w:w="675"/>
        <w:gridCol w:w="2073"/>
        <w:gridCol w:w="6480"/>
      </w:tblGrid>
      <w:tr w:rsidR="00CC1EF4" w:rsidRPr="004853EB" w14:paraId="76316B5D" w14:textId="77777777" w:rsidTr="00E95D02">
        <w:tc>
          <w:tcPr>
            <w:tcW w:w="675" w:type="dxa"/>
          </w:tcPr>
          <w:p w14:paraId="132B81E1"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c>
          <w:tcPr>
            <w:tcW w:w="2073" w:type="dxa"/>
          </w:tcPr>
          <w:p w14:paraId="0722428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933-1</w:t>
            </w:r>
          </w:p>
        </w:tc>
        <w:tc>
          <w:tcPr>
            <w:tcW w:w="6480" w:type="dxa"/>
          </w:tcPr>
          <w:p w14:paraId="485EC17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Badania geometrycznych właściwości kruszyw – Oznaczanie składu ziarnowego – Metoda przesiewania</w:t>
            </w:r>
          </w:p>
        </w:tc>
      </w:tr>
      <w:tr w:rsidR="00CC1EF4" w:rsidRPr="004853EB" w14:paraId="0742B9E2" w14:textId="77777777" w:rsidTr="00E95D02">
        <w:tc>
          <w:tcPr>
            <w:tcW w:w="675" w:type="dxa"/>
          </w:tcPr>
          <w:p w14:paraId="60F0CD4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tc>
        <w:tc>
          <w:tcPr>
            <w:tcW w:w="2073" w:type="dxa"/>
          </w:tcPr>
          <w:p w14:paraId="10FF748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933-3</w:t>
            </w:r>
          </w:p>
        </w:tc>
        <w:tc>
          <w:tcPr>
            <w:tcW w:w="6480" w:type="dxa"/>
          </w:tcPr>
          <w:p w14:paraId="3327570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Badania geometrycznych właściwości kruszyw – Oznaczanie kształtu ziaren za pomocą wskaźnika płaskości</w:t>
            </w:r>
          </w:p>
        </w:tc>
      </w:tr>
    </w:tbl>
    <w:p w14:paraId="25E1BCC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bl>
      <w:tblPr>
        <w:tblW w:w="9228" w:type="dxa"/>
        <w:tblLook w:val="01E0" w:firstRow="1" w:lastRow="1" w:firstColumn="1" w:lastColumn="1" w:noHBand="0" w:noVBand="0"/>
      </w:tblPr>
      <w:tblGrid>
        <w:gridCol w:w="675"/>
        <w:gridCol w:w="2073"/>
        <w:gridCol w:w="6480"/>
      </w:tblGrid>
      <w:tr w:rsidR="00CC1EF4" w:rsidRPr="004853EB" w14:paraId="7CBEC42F" w14:textId="77777777" w:rsidTr="00E95D02">
        <w:tc>
          <w:tcPr>
            <w:tcW w:w="675" w:type="dxa"/>
          </w:tcPr>
          <w:p w14:paraId="60135E61"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w:t>
            </w:r>
          </w:p>
        </w:tc>
        <w:tc>
          <w:tcPr>
            <w:tcW w:w="2073" w:type="dxa"/>
          </w:tcPr>
          <w:p w14:paraId="62188B6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933-4</w:t>
            </w:r>
          </w:p>
        </w:tc>
        <w:tc>
          <w:tcPr>
            <w:tcW w:w="6480" w:type="dxa"/>
          </w:tcPr>
          <w:p w14:paraId="62A8B1E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Badania geometrycznych właściwości kruszyw – Oznaczanie kształtu ziaren – Wskaźnik kształtu</w:t>
            </w:r>
          </w:p>
        </w:tc>
      </w:tr>
      <w:tr w:rsidR="00CC1EF4" w:rsidRPr="004853EB" w14:paraId="2CC65A07" w14:textId="77777777" w:rsidTr="00E95D02">
        <w:tc>
          <w:tcPr>
            <w:tcW w:w="675" w:type="dxa"/>
          </w:tcPr>
          <w:p w14:paraId="3D793F47"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8.</w:t>
            </w:r>
          </w:p>
        </w:tc>
        <w:tc>
          <w:tcPr>
            <w:tcW w:w="2073" w:type="dxa"/>
          </w:tcPr>
          <w:p w14:paraId="6F7D588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933-5</w:t>
            </w:r>
          </w:p>
        </w:tc>
        <w:tc>
          <w:tcPr>
            <w:tcW w:w="6480" w:type="dxa"/>
          </w:tcPr>
          <w:p w14:paraId="36BA867E" w14:textId="77777777" w:rsidR="00CC1EF4" w:rsidRPr="004853EB" w:rsidRDefault="00CC1EF4" w:rsidP="00BB6660">
            <w:pPr>
              <w:overflowPunct w:val="0"/>
              <w:autoSpaceDE w:val="0"/>
              <w:autoSpaceDN w:val="0"/>
              <w:adjustRightInd w:val="0"/>
              <w:spacing w:after="0" w:line="240" w:lineRule="auto"/>
              <w:ind w:right="-9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Badania geometrycznych właściwości kruszyw – Oznaczanie procentowej zawartości ziarn o powierzchniach powstałych w wyniku </w:t>
            </w:r>
            <w:proofErr w:type="spellStart"/>
            <w:r w:rsidRPr="004853EB">
              <w:rPr>
                <w:rFonts w:eastAsia="Times New Roman" w:cstheme="minorHAnsi"/>
                <w:sz w:val="20"/>
                <w:szCs w:val="20"/>
                <w:lang w:eastAsia="pl-PL"/>
              </w:rPr>
              <w:t>przekruszenia</w:t>
            </w:r>
            <w:proofErr w:type="spellEnd"/>
            <w:r w:rsidRPr="004853EB">
              <w:rPr>
                <w:rFonts w:eastAsia="Times New Roman" w:cstheme="minorHAnsi"/>
                <w:sz w:val="20"/>
                <w:szCs w:val="20"/>
                <w:lang w:eastAsia="pl-PL"/>
              </w:rPr>
              <w:t xml:space="preserve"> lub łamania kruszyw grubych</w:t>
            </w:r>
          </w:p>
        </w:tc>
      </w:tr>
      <w:tr w:rsidR="00CC1EF4" w:rsidRPr="004853EB" w14:paraId="5A3FB61F" w14:textId="77777777" w:rsidTr="00E95D02">
        <w:tc>
          <w:tcPr>
            <w:tcW w:w="675" w:type="dxa"/>
          </w:tcPr>
          <w:p w14:paraId="5078989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9.</w:t>
            </w:r>
          </w:p>
        </w:tc>
        <w:tc>
          <w:tcPr>
            <w:tcW w:w="2073" w:type="dxa"/>
          </w:tcPr>
          <w:p w14:paraId="3D8358E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1097-1</w:t>
            </w:r>
          </w:p>
        </w:tc>
        <w:tc>
          <w:tcPr>
            <w:tcW w:w="6480" w:type="dxa"/>
          </w:tcPr>
          <w:p w14:paraId="72F5C97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Badania mechanicznych i fizycznych właściwości kruszyw – Oznaczanie odporności na ścieranie (mikro-</w:t>
            </w:r>
            <w:proofErr w:type="spellStart"/>
            <w:r w:rsidRPr="004853EB">
              <w:rPr>
                <w:rFonts w:eastAsia="Times New Roman" w:cstheme="minorHAnsi"/>
                <w:sz w:val="20"/>
                <w:szCs w:val="20"/>
                <w:lang w:eastAsia="pl-PL"/>
              </w:rPr>
              <w:t>Deval</w:t>
            </w:r>
            <w:proofErr w:type="spellEnd"/>
            <w:r w:rsidRPr="004853EB">
              <w:rPr>
                <w:rFonts w:eastAsia="Times New Roman" w:cstheme="minorHAnsi"/>
                <w:sz w:val="20"/>
                <w:szCs w:val="20"/>
                <w:lang w:eastAsia="pl-PL"/>
              </w:rPr>
              <w:t>)</w:t>
            </w:r>
          </w:p>
        </w:tc>
      </w:tr>
      <w:tr w:rsidR="00CC1EF4" w:rsidRPr="004853EB" w14:paraId="7256426A" w14:textId="77777777" w:rsidTr="00E95D02">
        <w:tc>
          <w:tcPr>
            <w:tcW w:w="675" w:type="dxa"/>
          </w:tcPr>
          <w:p w14:paraId="593AAAE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10.</w:t>
            </w:r>
          </w:p>
        </w:tc>
        <w:tc>
          <w:tcPr>
            <w:tcW w:w="2073" w:type="dxa"/>
          </w:tcPr>
          <w:p w14:paraId="3ABAA852"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1097-2</w:t>
            </w:r>
          </w:p>
        </w:tc>
        <w:tc>
          <w:tcPr>
            <w:tcW w:w="6480" w:type="dxa"/>
          </w:tcPr>
          <w:p w14:paraId="25D8342C"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Badania mechanicznych i fizycznych właściwości kruszyw – Metody oznaczania odporności na rozdrabnianie</w:t>
            </w:r>
          </w:p>
        </w:tc>
      </w:tr>
      <w:tr w:rsidR="00CC1EF4" w:rsidRPr="004853EB" w14:paraId="5AC7AA3A" w14:textId="77777777" w:rsidTr="00E95D02">
        <w:tc>
          <w:tcPr>
            <w:tcW w:w="675" w:type="dxa"/>
          </w:tcPr>
          <w:p w14:paraId="723ED2D1"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11.</w:t>
            </w:r>
          </w:p>
        </w:tc>
        <w:tc>
          <w:tcPr>
            <w:tcW w:w="2073" w:type="dxa"/>
          </w:tcPr>
          <w:p w14:paraId="6F2A94E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1097-6</w:t>
            </w:r>
          </w:p>
        </w:tc>
        <w:tc>
          <w:tcPr>
            <w:tcW w:w="6480" w:type="dxa"/>
          </w:tcPr>
          <w:p w14:paraId="4FA07C2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Badania mechanicznych i fizycznych właściwości kruszyw – Część 6: Oznaczanie gęstości ziarn i nasiąkliwości</w:t>
            </w:r>
          </w:p>
        </w:tc>
      </w:tr>
      <w:tr w:rsidR="00CC1EF4" w:rsidRPr="004853EB" w14:paraId="363B22EB" w14:textId="77777777" w:rsidTr="00E95D02">
        <w:tc>
          <w:tcPr>
            <w:tcW w:w="675" w:type="dxa"/>
          </w:tcPr>
          <w:p w14:paraId="38DA468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12.</w:t>
            </w:r>
          </w:p>
        </w:tc>
        <w:tc>
          <w:tcPr>
            <w:tcW w:w="2073" w:type="dxa"/>
          </w:tcPr>
          <w:p w14:paraId="28D1035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1367-1</w:t>
            </w:r>
          </w:p>
        </w:tc>
        <w:tc>
          <w:tcPr>
            <w:tcW w:w="6480" w:type="dxa"/>
          </w:tcPr>
          <w:p w14:paraId="7578CC1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Badania właściwości cieplnych i odporności kruszyw na działanie czynników atmosferycznych – Część 1: Oznaczanie mrozoodporności</w:t>
            </w:r>
          </w:p>
        </w:tc>
      </w:tr>
      <w:tr w:rsidR="00CC1EF4" w:rsidRPr="004853EB" w14:paraId="3E2C4942" w14:textId="77777777" w:rsidTr="00E95D02">
        <w:tc>
          <w:tcPr>
            <w:tcW w:w="675" w:type="dxa"/>
          </w:tcPr>
          <w:p w14:paraId="15B755A2"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13.</w:t>
            </w:r>
          </w:p>
        </w:tc>
        <w:tc>
          <w:tcPr>
            <w:tcW w:w="2073" w:type="dxa"/>
          </w:tcPr>
          <w:p w14:paraId="355CED8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1367-3</w:t>
            </w:r>
          </w:p>
        </w:tc>
        <w:tc>
          <w:tcPr>
            <w:tcW w:w="6480" w:type="dxa"/>
          </w:tcPr>
          <w:p w14:paraId="491177C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Badania właściwości cieplnych i odporności kruszyw na działanie czynników atmosferycznych – Część 3: Badanie bazaltowej zgorzeli słonecznej metodą gotowania</w:t>
            </w:r>
          </w:p>
        </w:tc>
      </w:tr>
      <w:tr w:rsidR="00CC1EF4" w:rsidRPr="004853EB" w14:paraId="0B6F18FC" w14:textId="77777777" w:rsidTr="00E95D02">
        <w:tc>
          <w:tcPr>
            <w:tcW w:w="675" w:type="dxa"/>
          </w:tcPr>
          <w:p w14:paraId="4403458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14.</w:t>
            </w:r>
          </w:p>
        </w:tc>
        <w:tc>
          <w:tcPr>
            <w:tcW w:w="2073" w:type="dxa"/>
          </w:tcPr>
          <w:p w14:paraId="4C8E98F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1744-1</w:t>
            </w:r>
          </w:p>
        </w:tc>
        <w:tc>
          <w:tcPr>
            <w:tcW w:w="6480" w:type="dxa"/>
          </w:tcPr>
          <w:p w14:paraId="158E340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Badania chemicznych właściwości kruszyw – Analiza chemiczna</w:t>
            </w:r>
          </w:p>
        </w:tc>
      </w:tr>
      <w:tr w:rsidR="00CC1EF4" w:rsidRPr="004853EB" w14:paraId="5F8778C8" w14:textId="77777777" w:rsidTr="00E95D02">
        <w:tc>
          <w:tcPr>
            <w:tcW w:w="675" w:type="dxa"/>
          </w:tcPr>
          <w:p w14:paraId="401E3B9C"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15.</w:t>
            </w:r>
          </w:p>
        </w:tc>
        <w:tc>
          <w:tcPr>
            <w:tcW w:w="2073" w:type="dxa"/>
          </w:tcPr>
          <w:p w14:paraId="62E1B51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1744-3</w:t>
            </w:r>
          </w:p>
        </w:tc>
        <w:tc>
          <w:tcPr>
            <w:tcW w:w="6480" w:type="dxa"/>
          </w:tcPr>
          <w:p w14:paraId="07EE643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Badania chemicznych właściwości kruszyw – Część 3: Przygotowanie wyciągów przez wymywanie kruszyw</w:t>
            </w:r>
          </w:p>
        </w:tc>
      </w:tr>
      <w:tr w:rsidR="00CC1EF4" w:rsidRPr="004853EB" w14:paraId="283C1DB9" w14:textId="77777777" w:rsidTr="00E95D02">
        <w:tc>
          <w:tcPr>
            <w:tcW w:w="675" w:type="dxa"/>
          </w:tcPr>
          <w:p w14:paraId="6B317296"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16.</w:t>
            </w:r>
          </w:p>
        </w:tc>
        <w:tc>
          <w:tcPr>
            <w:tcW w:w="2073" w:type="dxa"/>
          </w:tcPr>
          <w:p w14:paraId="6305CDD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13242</w:t>
            </w:r>
          </w:p>
        </w:tc>
        <w:tc>
          <w:tcPr>
            <w:tcW w:w="6480" w:type="dxa"/>
          </w:tcPr>
          <w:p w14:paraId="70B699E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Kruszywa do niezwiązanych i związanych hydraulicznie materiałów stosowanych w obiektach budowlanych i budownictwie drogowym</w:t>
            </w:r>
          </w:p>
        </w:tc>
      </w:tr>
      <w:tr w:rsidR="00CC1EF4" w:rsidRPr="004853EB" w14:paraId="3D5D34BD" w14:textId="77777777" w:rsidTr="00E95D02">
        <w:tc>
          <w:tcPr>
            <w:tcW w:w="675" w:type="dxa"/>
          </w:tcPr>
          <w:p w14:paraId="254D092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17.</w:t>
            </w:r>
          </w:p>
        </w:tc>
        <w:tc>
          <w:tcPr>
            <w:tcW w:w="2073" w:type="dxa"/>
          </w:tcPr>
          <w:p w14:paraId="17656AA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13285</w:t>
            </w:r>
          </w:p>
        </w:tc>
        <w:tc>
          <w:tcPr>
            <w:tcW w:w="6480" w:type="dxa"/>
          </w:tcPr>
          <w:p w14:paraId="28B831D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Mieszanki niezwiązane – Wymagania </w:t>
            </w:r>
          </w:p>
        </w:tc>
      </w:tr>
      <w:tr w:rsidR="00CC1EF4" w:rsidRPr="004853EB" w14:paraId="437CF5C5" w14:textId="77777777" w:rsidTr="00E95D02">
        <w:tc>
          <w:tcPr>
            <w:tcW w:w="675" w:type="dxa"/>
          </w:tcPr>
          <w:p w14:paraId="3BBD0782"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18.</w:t>
            </w:r>
          </w:p>
        </w:tc>
        <w:tc>
          <w:tcPr>
            <w:tcW w:w="2073" w:type="dxa"/>
          </w:tcPr>
          <w:p w14:paraId="5DD5DFB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13286-2</w:t>
            </w:r>
          </w:p>
        </w:tc>
        <w:tc>
          <w:tcPr>
            <w:tcW w:w="6480" w:type="dxa"/>
          </w:tcPr>
          <w:p w14:paraId="70F35E7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Mieszanki niezwiązane i związane spoiwem hydraulicznym – Część 2: Metody określania gęstości i zawartości wody – Zagęszczanie metodą Proctora</w:t>
            </w:r>
          </w:p>
        </w:tc>
      </w:tr>
      <w:tr w:rsidR="00CC1EF4" w:rsidRPr="004853EB" w14:paraId="2930F923" w14:textId="77777777" w:rsidTr="00E95D02">
        <w:tc>
          <w:tcPr>
            <w:tcW w:w="675" w:type="dxa"/>
          </w:tcPr>
          <w:p w14:paraId="2BED52EB"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19.</w:t>
            </w:r>
          </w:p>
        </w:tc>
        <w:tc>
          <w:tcPr>
            <w:tcW w:w="2073" w:type="dxa"/>
          </w:tcPr>
          <w:p w14:paraId="4A92DEB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13286-47</w:t>
            </w:r>
          </w:p>
        </w:tc>
        <w:tc>
          <w:tcPr>
            <w:tcW w:w="6480" w:type="dxa"/>
          </w:tcPr>
          <w:p w14:paraId="7F77923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Mieszanki niezwiązane i związane spoiwem hydraulicznym – Część 47: Metody badań dla określenia nośności, kalifornijski wskaźnik nośności CBR, natychmiastowy wskaźnik nośności i pęcznienia liniowego</w:t>
            </w:r>
          </w:p>
        </w:tc>
      </w:tr>
    </w:tbl>
    <w:p w14:paraId="56D26D2F"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042" w:name="_Toc194476944"/>
      <w:bookmarkStart w:id="3043" w:name="_Toc227760235"/>
      <w:bookmarkStart w:id="3044" w:name="_Toc227825382"/>
      <w:r w:rsidRPr="004853EB">
        <w:rPr>
          <w:rFonts w:eastAsia="Times New Roman" w:cstheme="minorHAnsi"/>
          <w:b/>
          <w:sz w:val="20"/>
          <w:szCs w:val="20"/>
          <w:lang w:eastAsia="pl-PL"/>
        </w:rPr>
        <w:t>10.3. Inne dokumenty</w:t>
      </w:r>
      <w:bookmarkEnd w:id="3042"/>
      <w:bookmarkEnd w:id="3043"/>
      <w:bookmarkEnd w:id="3044"/>
    </w:p>
    <w:p w14:paraId="61B38A20" w14:textId="77777777" w:rsidR="00CC1EF4" w:rsidRPr="004853EB" w:rsidRDefault="00CC1EF4">
      <w:pPr>
        <w:numPr>
          <w:ilvl w:val="0"/>
          <w:numId w:val="5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Mieszanki niezwiązane do dróg krajowych. WT-4 2010. Wymagania techniczne (zalecone do stosowania w specyfikacji technicznej na roboty budowlane na drogach krajowych wg zarządzenia nr 102 GDDKiA z dnia 19.11.2010 r.)</w:t>
      </w:r>
    </w:p>
    <w:p w14:paraId="3FC6D69A" w14:textId="77777777" w:rsidR="00CC1EF4" w:rsidRPr="004853EB" w:rsidRDefault="00CC1EF4">
      <w:pPr>
        <w:numPr>
          <w:ilvl w:val="0"/>
          <w:numId w:val="5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Rozporządzenie Ministra Transportu i Gospodarki Morskiej z dnia 2 marca 1999 r. w sprawie warunków technicznych, jakim powinny odpowiadać drogi publiczne i ich usytuowanie (Dz.U. nr 43, poz. 430)</w:t>
      </w:r>
    </w:p>
    <w:p w14:paraId="4A2397C7" w14:textId="77777777" w:rsidR="00CC1EF4" w:rsidRPr="004853EB" w:rsidRDefault="00CC1EF4">
      <w:pPr>
        <w:numPr>
          <w:ilvl w:val="0"/>
          <w:numId w:val="5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Katalog typowych konstrukcji nawierzchni podatnych i półsztywnych. Generalna Dyrekcja Dróg Publicznych – Instytut Badawczy Dróg i Mostów, Warszawa 1997</w:t>
      </w:r>
    </w:p>
    <w:p w14:paraId="52829238" w14:textId="77777777" w:rsidR="00CC1EF4" w:rsidRPr="004853EB" w:rsidRDefault="00CC1EF4">
      <w:pPr>
        <w:rPr>
          <w:rFonts w:cstheme="minorHAnsi"/>
        </w:rPr>
      </w:pPr>
    </w:p>
    <w:p w14:paraId="763061E1" w14:textId="77777777" w:rsidR="00CC1EF4" w:rsidRPr="004853EB" w:rsidRDefault="00CC1EF4">
      <w:pPr>
        <w:rPr>
          <w:rFonts w:cstheme="minorHAnsi"/>
        </w:rPr>
      </w:pPr>
    </w:p>
    <w:p w14:paraId="3927F863" w14:textId="77777777" w:rsidR="00CC1EF4" w:rsidRPr="004853EB" w:rsidRDefault="00CC1EF4">
      <w:pPr>
        <w:rPr>
          <w:rFonts w:cstheme="minorHAnsi"/>
        </w:rPr>
      </w:pPr>
    </w:p>
    <w:p w14:paraId="4D70CD59" w14:textId="77777777" w:rsidR="00CC1EF4" w:rsidRPr="004853EB" w:rsidRDefault="00CC1EF4">
      <w:pPr>
        <w:rPr>
          <w:rFonts w:cstheme="minorHAnsi"/>
        </w:rPr>
      </w:pPr>
    </w:p>
    <w:p w14:paraId="7B82B1EF" w14:textId="77777777" w:rsidR="00CC1EF4" w:rsidRPr="004853EB" w:rsidRDefault="00CC1EF4">
      <w:pPr>
        <w:rPr>
          <w:rFonts w:cstheme="minorHAnsi"/>
        </w:rPr>
      </w:pPr>
    </w:p>
    <w:p w14:paraId="5FF11F86"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bookmarkStart w:id="3045" w:name="_Toc377120720"/>
      <w:bookmarkStart w:id="3046" w:name="_Toc439236926"/>
    </w:p>
    <w:p w14:paraId="405341B4"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550C710E"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77F899FA" w14:textId="0E0DD530" w:rsidR="00B81F7B" w:rsidRPr="00CF69C0" w:rsidRDefault="00B81F7B" w:rsidP="00D86E93">
      <w:pPr>
        <w:pStyle w:val="Nagwek1"/>
        <w:rPr>
          <w:rFonts w:asciiTheme="minorHAnsi" w:hAnsiTheme="minorHAnsi" w:cstheme="minorHAnsi"/>
          <w:b w:val="0"/>
          <w:sz w:val="22"/>
          <w:szCs w:val="22"/>
        </w:rPr>
      </w:pPr>
      <w:bookmarkStart w:id="3047" w:name="_Toc227825383"/>
      <w:r w:rsidRPr="00CF69C0">
        <w:rPr>
          <w:rFonts w:asciiTheme="minorHAnsi" w:hAnsiTheme="minorHAnsi" w:cstheme="minorHAnsi"/>
          <w:sz w:val="22"/>
          <w:szCs w:val="22"/>
        </w:rPr>
        <w:lastRenderedPageBreak/>
        <w:t xml:space="preserve">D – 04.05.01 </w:t>
      </w:r>
      <w:r w:rsidR="004F465D" w:rsidRPr="00CF69C0">
        <w:rPr>
          <w:rFonts w:asciiTheme="minorHAnsi" w:hAnsiTheme="minorHAnsi" w:cstheme="minorHAnsi"/>
          <w:sz w:val="22"/>
          <w:szCs w:val="22"/>
        </w:rPr>
        <w:t>PODBUDOWA I PODŁOŻE ULEPSZONE</w:t>
      </w:r>
      <w:r w:rsidRPr="00CF69C0">
        <w:rPr>
          <w:rFonts w:asciiTheme="minorHAnsi" w:hAnsiTheme="minorHAnsi" w:cstheme="minorHAnsi"/>
          <w:sz w:val="22"/>
          <w:szCs w:val="22"/>
        </w:rPr>
        <w:t xml:space="preserve"> </w:t>
      </w:r>
      <w:r w:rsidR="004F465D" w:rsidRPr="00CF69C0">
        <w:rPr>
          <w:rFonts w:asciiTheme="minorHAnsi" w:hAnsiTheme="minorHAnsi" w:cstheme="minorHAnsi"/>
          <w:sz w:val="22"/>
          <w:szCs w:val="22"/>
        </w:rPr>
        <w:t>Z MIESZANKI KRUSZYWA ZWIĄZANEGO HYDRAULICZNIE CEMENTEM</w:t>
      </w:r>
      <w:bookmarkEnd w:id="3047"/>
    </w:p>
    <w:p w14:paraId="17380A01" w14:textId="77777777" w:rsidR="00B81F7B" w:rsidRPr="00BB6660" w:rsidRDefault="00B81F7B" w:rsidP="00BB6660">
      <w:pPr>
        <w:pStyle w:val="Nagwek1"/>
        <w:rPr>
          <w:rFonts w:asciiTheme="minorHAnsi" w:hAnsiTheme="minorHAnsi" w:cstheme="minorHAnsi"/>
          <w:sz w:val="20"/>
        </w:rPr>
      </w:pPr>
      <w:bookmarkStart w:id="3048" w:name="_Toc332010311"/>
      <w:bookmarkStart w:id="3049" w:name="_Toc227825384"/>
      <w:r w:rsidRPr="00BB6660">
        <w:rPr>
          <w:rFonts w:asciiTheme="minorHAnsi" w:hAnsiTheme="minorHAnsi" w:cstheme="minorHAnsi"/>
          <w:sz w:val="20"/>
        </w:rPr>
        <w:t>1. WSTĘP</w:t>
      </w:r>
      <w:bookmarkEnd w:id="3048"/>
      <w:bookmarkEnd w:id="3049"/>
    </w:p>
    <w:p w14:paraId="5BE47758" w14:textId="77777777" w:rsidR="00B81F7B" w:rsidRPr="00BB6660" w:rsidRDefault="00B81F7B" w:rsidP="00BB6660">
      <w:pPr>
        <w:pStyle w:val="Nagwek2"/>
        <w:rPr>
          <w:rFonts w:asciiTheme="minorHAnsi" w:hAnsiTheme="minorHAnsi" w:cstheme="minorHAnsi"/>
          <w:sz w:val="20"/>
        </w:rPr>
      </w:pPr>
      <w:bookmarkStart w:id="3050" w:name="_Toc227825385"/>
      <w:r w:rsidRPr="00BB6660">
        <w:rPr>
          <w:rFonts w:asciiTheme="minorHAnsi" w:hAnsiTheme="minorHAnsi" w:cstheme="minorHAnsi"/>
          <w:sz w:val="20"/>
        </w:rPr>
        <w:t>1.1. Przedmiot SST</w:t>
      </w:r>
      <w:bookmarkEnd w:id="3050"/>
    </w:p>
    <w:p w14:paraId="66C34089" w14:textId="77777777" w:rsidR="00B81F7B" w:rsidRPr="00BB6660" w:rsidRDefault="00B81F7B" w:rsidP="00BB6660">
      <w:pPr>
        <w:pStyle w:val="Nagwek2"/>
        <w:ind w:firstLine="709"/>
        <w:rPr>
          <w:rFonts w:asciiTheme="minorHAnsi" w:hAnsiTheme="minorHAnsi" w:cstheme="minorHAnsi"/>
          <w:b w:val="0"/>
          <w:sz w:val="20"/>
        </w:rPr>
      </w:pPr>
      <w:bookmarkStart w:id="3051" w:name="_Toc227825386"/>
      <w:r w:rsidRPr="00BB6660">
        <w:rPr>
          <w:rFonts w:asciiTheme="minorHAnsi" w:hAnsiTheme="minorHAnsi" w:cstheme="minorHAnsi"/>
          <w:b w:val="0"/>
          <w:sz w:val="20"/>
        </w:rPr>
        <w:t>Przedmiotem niniejszej szczegółowej specyfikacji technicznej (SST) są wymagania dotyczące wykonania i odbioru robót związanych z wykonaniem podbudowy z mieszanki kruszywa związanego hydraulicznie cementem.</w:t>
      </w:r>
      <w:bookmarkEnd w:id="3051"/>
    </w:p>
    <w:p w14:paraId="6B8FB23E" w14:textId="77777777" w:rsidR="00B81F7B" w:rsidRPr="00BB6660" w:rsidRDefault="00B81F7B" w:rsidP="00BB6660">
      <w:pPr>
        <w:pStyle w:val="Nagwek2"/>
        <w:rPr>
          <w:rFonts w:asciiTheme="minorHAnsi" w:hAnsiTheme="minorHAnsi" w:cstheme="minorHAnsi"/>
          <w:sz w:val="20"/>
        </w:rPr>
      </w:pPr>
      <w:bookmarkStart w:id="3052" w:name="_Toc227825387"/>
      <w:r w:rsidRPr="00BB6660">
        <w:rPr>
          <w:rFonts w:asciiTheme="minorHAnsi" w:hAnsiTheme="minorHAnsi" w:cstheme="minorHAnsi"/>
          <w:sz w:val="20"/>
        </w:rPr>
        <w:t>1.2. Zakres stosowania SST</w:t>
      </w:r>
      <w:bookmarkEnd w:id="3052"/>
    </w:p>
    <w:p w14:paraId="02B5D2A3" w14:textId="77777777" w:rsidR="00B81F7B" w:rsidRPr="00BB6660" w:rsidRDefault="00B81F7B" w:rsidP="00BB6660">
      <w:pPr>
        <w:pStyle w:val="Standardowytekst"/>
        <w:rPr>
          <w:rFonts w:asciiTheme="minorHAnsi" w:hAnsiTheme="minorHAnsi" w:cstheme="minorHAnsi"/>
        </w:rPr>
      </w:pPr>
      <w:r w:rsidRPr="00BB6660">
        <w:rPr>
          <w:rFonts w:asciiTheme="minorHAnsi" w:hAnsiTheme="minorHAnsi" w:cstheme="minorHAnsi"/>
        </w:rPr>
        <w:tab/>
        <w:t>Specyfikacja techniczna jest stosowana jako dokument przetargowy i kontraktowy przy zlecaniu i realizacji robót wymienionych w pkt 1.1.</w:t>
      </w:r>
    </w:p>
    <w:p w14:paraId="145E7017" w14:textId="77777777" w:rsidR="00B81F7B" w:rsidRPr="00BB6660" w:rsidRDefault="00B81F7B" w:rsidP="00BB6660">
      <w:pPr>
        <w:pStyle w:val="Nagwek2"/>
        <w:rPr>
          <w:rFonts w:asciiTheme="minorHAnsi" w:hAnsiTheme="minorHAnsi" w:cstheme="minorHAnsi"/>
          <w:sz w:val="20"/>
        </w:rPr>
      </w:pPr>
      <w:bookmarkStart w:id="3053" w:name="_Toc227825388"/>
      <w:r w:rsidRPr="00BB6660">
        <w:rPr>
          <w:rFonts w:asciiTheme="minorHAnsi" w:hAnsiTheme="minorHAnsi" w:cstheme="minorHAnsi"/>
          <w:sz w:val="20"/>
        </w:rPr>
        <w:t>1.3. Zakres robót objętych SST</w:t>
      </w:r>
      <w:bookmarkEnd w:id="3053"/>
    </w:p>
    <w:p w14:paraId="05FED0AB" w14:textId="60CBDF44" w:rsidR="00B81F7B" w:rsidRPr="00BB6660" w:rsidRDefault="00B81F7B" w:rsidP="00BB6660">
      <w:pPr>
        <w:jc w:val="both"/>
        <w:rPr>
          <w:rFonts w:cstheme="minorHAnsi"/>
          <w:sz w:val="20"/>
          <w:szCs w:val="20"/>
        </w:rPr>
      </w:pPr>
      <w:r w:rsidRPr="00BB6660">
        <w:rPr>
          <w:rFonts w:cstheme="minorHAnsi"/>
          <w:sz w:val="20"/>
          <w:szCs w:val="20"/>
        </w:rPr>
        <w:tab/>
        <w:t xml:space="preserve">Ustalenia zawarte w niniejszej specyfikacji związane z </w:t>
      </w:r>
      <w:r w:rsidRPr="00BB6660">
        <w:rPr>
          <w:rFonts w:cstheme="minorHAnsi"/>
          <w:b/>
          <w:sz w:val="20"/>
          <w:szCs w:val="20"/>
        </w:rPr>
        <w:t xml:space="preserve">Przebudową </w:t>
      </w:r>
      <w:r w:rsidR="004F465D" w:rsidRPr="00BB6660">
        <w:rPr>
          <w:rFonts w:cstheme="minorHAnsi"/>
          <w:b/>
          <w:sz w:val="20"/>
          <w:szCs w:val="20"/>
        </w:rPr>
        <w:t>drogi powiatowej</w:t>
      </w:r>
      <w:r w:rsidRPr="00BB6660">
        <w:rPr>
          <w:rFonts w:cstheme="minorHAnsi"/>
          <w:b/>
          <w:sz w:val="20"/>
          <w:szCs w:val="20"/>
        </w:rPr>
        <w:t xml:space="preserve"> </w:t>
      </w:r>
      <w:r w:rsidR="00BB6660" w:rsidRPr="00BB6660">
        <w:rPr>
          <w:rFonts w:cstheme="minorHAnsi"/>
          <w:b/>
          <w:bCs/>
          <w:sz w:val="20"/>
          <w:szCs w:val="20"/>
        </w:rPr>
        <w:t>4506W Zwoleń – Sarnów w miejscowości Łuczynów</w:t>
      </w:r>
      <w:r w:rsidR="00BB6660" w:rsidRPr="00BB6660">
        <w:rPr>
          <w:rFonts w:cstheme="minorHAnsi"/>
          <w:b/>
          <w:sz w:val="20"/>
          <w:szCs w:val="20"/>
        </w:rPr>
        <w:t xml:space="preserve"> </w:t>
      </w:r>
      <w:r w:rsidRPr="00BB6660">
        <w:rPr>
          <w:rFonts w:cstheme="minorHAnsi"/>
          <w:sz w:val="20"/>
          <w:szCs w:val="20"/>
        </w:rPr>
        <w:t>i obejmują roboty związane z wykonaniem i odbiorem podbudowy zasadniczej z mieszanki kruszywa, wody, cementu i ewentualnych dodatków oraz domieszek. Materiał ten wiąże i twardnieje w obecności wody, tworząc stabilne i trwałe struktury.</w:t>
      </w:r>
    </w:p>
    <w:p w14:paraId="1B97DDFB" w14:textId="77777777" w:rsidR="00B81F7B" w:rsidRPr="00BB6660" w:rsidRDefault="00B81F7B" w:rsidP="00BB6660">
      <w:pPr>
        <w:jc w:val="both"/>
        <w:rPr>
          <w:rFonts w:cstheme="minorHAnsi"/>
          <w:sz w:val="20"/>
          <w:szCs w:val="20"/>
        </w:rPr>
      </w:pPr>
      <w:r w:rsidRPr="00BB6660">
        <w:rPr>
          <w:rFonts w:cstheme="minorHAnsi"/>
          <w:sz w:val="20"/>
          <w:szCs w:val="20"/>
        </w:rPr>
        <w:tab/>
        <w:t>W mieszance można stosować kruszywo naturalne.</w:t>
      </w:r>
    </w:p>
    <w:p w14:paraId="2C2B9FF4" w14:textId="77777777" w:rsidR="00B81F7B" w:rsidRPr="00BB6660" w:rsidRDefault="00B81F7B" w:rsidP="00BB6660">
      <w:pPr>
        <w:jc w:val="both"/>
        <w:rPr>
          <w:rFonts w:cstheme="minorHAnsi"/>
          <w:sz w:val="20"/>
          <w:szCs w:val="20"/>
        </w:rPr>
      </w:pPr>
      <w:r w:rsidRPr="00BB6660">
        <w:rPr>
          <w:rFonts w:cstheme="minorHAnsi"/>
          <w:sz w:val="20"/>
          <w:szCs w:val="20"/>
        </w:rPr>
        <w:tab/>
        <w:t>Mieszanki mogą być stosowane do wymienionych wyżej warstw nawierzchni drogowych, przenoszących ruch kategorii KR1 – pod budowę drogi w miejscu rozbiórek, poszerzeń, zatoki autobusowej oraz chodników</w:t>
      </w:r>
    </w:p>
    <w:p w14:paraId="20A42F35" w14:textId="77777777" w:rsidR="00B81F7B" w:rsidRPr="00BB6660" w:rsidRDefault="00B81F7B" w:rsidP="00BB6660">
      <w:pPr>
        <w:jc w:val="both"/>
        <w:rPr>
          <w:rFonts w:cstheme="minorHAnsi"/>
          <w:sz w:val="20"/>
          <w:szCs w:val="20"/>
        </w:rPr>
      </w:pPr>
      <w:r w:rsidRPr="00BB6660">
        <w:rPr>
          <w:rFonts w:cstheme="minorHAnsi"/>
          <w:sz w:val="20"/>
          <w:szCs w:val="20"/>
        </w:rPr>
        <w:tab/>
        <w:t>Niniejsza specyfikacja techniczna dotyczy tylko mieszanek kruszyw związanych cementem, nie dotyczy gruntów ulepszonych cementem.</w:t>
      </w:r>
    </w:p>
    <w:p w14:paraId="55B3B661" w14:textId="77777777" w:rsidR="00B81F7B" w:rsidRPr="00BB6660" w:rsidRDefault="00B81F7B" w:rsidP="00BB6660">
      <w:pPr>
        <w:pStyle w:val="Nagwek2"/>
        <w:rPr>
          <w:rFonts w:asciiTheme="minorHAnsi" w:hAnsiTheme="minorHAnsi" w:cstheme="minorHAnsi"/>
          <w:sz w:val="20"/>
        </w:rPr>
      </w:pPr>
      <w:bookmarkStart w:id="3054" w:name="_Toc227825389"/>
      <w:r w:rsidRPr="00BB6660">
        <w:rPr>
          <w:rFonts w:asciiTheme="minorHAnsi" w:hAnsiTheme="minorHAnsi" w:cstheme="minorHAnsi"/>
          <w:sz w:val="20"/>
        </w:rPr>
        <w:t>1.4. Określenia podstawowe</w:t>
      </w:r>
      <w:bookmarkEnd w:id="3054"/>
    </w:p>
    <w:p w14:paraId="6A6894EE" w14:textId="77777777" w:rsidR="00B81F7B" w:rsidRPr="00BB6660" w:rsidRDefault="00B81F7B" w:rsidP="00BB6660">
      <w:pPr>
        <w:jc w:val="both"/>
        <w:rPr>
          <w:rFonts w:cstheme="minorHAnsi"/>
          <w:sz w:val="20"/>
          <w:szCs w:val="20"/>
        </w:rPr>
      </w:pPr>
      <w:r w:rsidRPr="00BB6660">
        <w:rPr>
          <w:rFonts w:cstheme="minorHAnsi"/>
          <w:b/>
          <w:sz w:val="20"/>
          <w:szCs w:val="20"/>
        </w:rPr>
        <w:t xml:space="preserve">1.4.1. </w:t>
      </w:r>
      <w:r w:rsidRPr="00BB6660">
        <w:rPr>
          <w:rFonts w:cstheme="minorHAnsi"/>
          <w:sz w:val="20"/>
          <w:szCs w:val="20"/>
        </w:rPr>
        <w:t>Mieszanka związana spoiwem hydraulicznym – mieszanka, w której następuje wiązanie i twardnienie na skutek reakcji hydraulicznych.</w:t>
      </w:r>
    </w:p>
    <w:p w14:paraId="49266BAA" w14:textId="1005AC2F" w:rsidR="00B81F7B" w:rsidRPr="00BB6660" w:rsidRDefault="00B81F7B" w:rsidP="00BB6660">
      <w:pPr>
        <w:spacing w:before="120"/>
        <w:jc w:val="both"/>
        <w:rPr>
          <w:rFonts w:cstheme="minorHAnsi"/>
          <w:sz w:val="20"/>
          <w:szCs w:val="20"/>
        </w:rPr>
      </w:pPr>
      <w:r w:rsidRPr="00BB6660">
        <w:rPr>
          <w:rFonts w:cstheme="minorHAnsi"/>
          <w:b/>
          <w:sz w:val="20"/>
          <w:szCs w:val="20"/>
        </w:rPr>
        <w:t xml:space="preserve">1.4.2. </w:t>
      </w:r>
      <w:r w:rsidRPr="00BB6660">
        <w:rPr>
          <w:rFonts w:cstheme="minorHAnsi"/>
          <w:sz w:val="20"/>
          <w:szCs w:val="20"/>
        </w:rPr>
        <w:t xml:space="preserve">Podbudowa zasadnicza z mieszanki związanej spoiwem hydraulicznym </w:t>
      </w:r>
      <w:r w:rsidR="004F465D" w:rsidRPr="00BB6660">
        <w:rPr>
          <w:rFonts w:cstheme="minorHAnsi"/>
          <w:sz w:val="20"/>
          <w:szCs w:val="20"/>
        </w:rPr>
        <w:t>– warstwa</w:t>
      </w:r>
      <w:r w:rsidRPr="00BB6660">
        <w:rPr>
          <w:rFonts w:cstheme="minorHAnsi"/>
          <w:sz w:val="20"/>
          <w:szCs w:val="20"/>
        </w:rPr>
        <w:t xml:space="preserve"> zawierająca kruszywo naturalne lub sztuczne a także z recyklingu lub ich mieszaninę i spoiwo hydrauliczne, zapewniająca przenoszenie obciążeń z warstw jezdnych na warstwę podbudowy pomocniczej lub podłoże.</w:t>
      </w:r>
    </w:p>
    <w:p w14:paraId="61FD469A" w14:textId="44AB3142" w:rsidR="00B81F7B" w:rsidRPr="00BB6660" w:rsidRDefault="00B81F7B" w:rsidP="00BB6660">
      <w:pPr>
        <w:spacing w:before="120"/>
        <w:jc w:val="both"/>
        <w:rPr>
          <w:rFonts w:cstheme="minorHAnsi"/>
          <w:sz w:val="20"/>
          <w:szCs w:val="20"/>
        </w:rPr>
      </w:pPr>
      <w:r w:rsidRPr="00BB6660">
        <w:rPr>
          <w:rFonts w:cstheme="minorHAnsi"/>
          <w:b/>
          <w:sz w:val="20"/>
          <w:szCs w:val="20"/>
        </w:rPr>
        <w:t xml:space="preserve">1.4.3. </w:t>
      </w:r>
      <w:r w:rsidRPr="00BB6660">
        <w:rPr>
          <w:rFonts w:cstheme="minorHAnsi"/>
          <w:sz w:val="20"/>
          <w:szCs w:val="20"/>
        </w:rPr>
        <w:t xml:space="preserve">Kruszywo – materiał ziarnisty stosowany w budownictwie, który może być naturalny, sztuczny lub </w:t>
      </w:r>
      <w:r w:rsidR="004F465D">
        <w:rPr>
          <w:rFonts w:cstheme="minorHAnsi"/>
          <w:sz w:val="20"/>
          <w:szCs w:val="20"/>
        </w:rPr>
        <w:br/>
      </w:r>
      <w:r w:rsidRPr="00BB6660">
        <w:rPr>
          <w:rFonts w:cstheme="minorHAnsi"/>
          <w:sz w:val="20"/>
          <w:szCs w:val="20"/>
        </w:rPr>
        <w:t>z recyklingu.</w:t>
      </w:r>
    </w:p>
    <w:p w14:paraId="4C8A66B9" w14:textId="77777777" w:rsidR="00B81F7B" w:rsidRPr="00BB6660" w:rsidRDefault="00B81F7B" w:rsidP="00BB6660">
      <w:pPr>
        <w:spacing w:before="120"/>
        <w:jc w:val="both"/>
        <w:rPr>
          <w:rFonts w:cstheme="minorHAnsi"/>
          <w:sz w:val="20"/>
          <w:szCs w:val="20"/>
        </w:rPr>
      </w:pPr>
      <w:r w:rsidRPr="00BB6660">
        <w:rPr>
          <w:rFonts w:cstheme="minorHAnsi"/>
          <w:b/>
          <w:sz w:val="20"/>
          <w:szCs w:val="20"/>
        </w:rPr>
        <w:t xml:space="preserve">1.4.4. </w:t>
      </w:r>
      <w:r w:rsidRPr="00BB6660">
        <w:rPr>
          <w:rFonts w:cstheme="minorHAnsi"/>
          <w:sz w:val="20"/>
          <w:szCs w:val="20"/>
        </w:rPr>
        <w:t>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14:paraId="7493ACCF" w14:textId="77777777" w:rsidR="00B81F7B" w:rsidRPr="00BB6660" w:rsidRDefault="00B81F7B" w:rsidP="00BB6660">
      <w:pPr>
        <w:spacing w:before="120"/>
        <w:jc w:val="both"/>
        <w:rPr>
          <w:rFonts w:cstheme="minorHAnsi"/>
          <w:sz w:val="20"/>
          <w:szCs w:val="20"/>
        </w:rPr>
      </w:pPr>
      <w:r w:rsidRPr="00BB6660">
        <w:rPr>
          <w:rFonts w:cstheme="minorHAnsi"/>
          <w:b/>
          <w:sz w:val="20"/>
          <w:szCs w:val="20"/>
        </w:rPr>
        <w:t xml:space="preserve">1.4.5. </w:t>
      </w:r>
      <w:r w:rsidRPr="00BB6660">
        <w:rPr>
          <w:rFonts w:cstheme="minorHAnsi"/>
          <w:sz w:val="20"/>
          <w:szCs w:val="20"/>
        </w:rPr>
        <w:t>Kruszywo kamienne – kruszywo z mineralnych surowców jak żwir kruszony, mechanicznie rozdrobnione skały, nadziarno żwirowe.</w:t>
      </w:r>
    </w:p>
    <w:p w14:paraId="605966BA" w14:textId="77777777" w:rsidR="00B81F7B" w:rsidRPr="00BB6660" w:rsidRDefault="00B81F7B" w:rsidP="00BB6660">
      <w:pPr>
        <w:spacing w:before="120"/>
        <w:jc w:val="both"/>
        <w:rPr>
          <w:rFonts w:cstheme="minorHAnsi"/>
          <w:sz w:val="20"/>
          <w:szCs w:val="20"/>
        </w:rPr>
      </w:pPr>
      <w:r w:rsidRPr="00BB6660">
        <w:rPr>
          <w:rFonts w:cstheme="minorHAnsi"/>
          <w:b/>
          <w:sz w:val="20"/>
          <w:szCs w:val="20"/>
        </w:rPr>
        <w:t xml:space="preserve">1.4.6. </w:t>
      </w:r>
      <w:r w:rsidRPr="00BB6660">
        <w:rPr>
          <w:rFonts w:cstheme="minorHAnsi"/>
          <w:sz w:val="20"/>
          <w:szCs w:val="20"/>
        </w:rPr>
        <w:t xml:space="preserve">Kategoria ruchu (KR1 – KR6) – obciążenie drogi ruchem samochodowym, wyrażone w osiach obliczeniowych (100 </w:t>
      </w:r>
      <w:proofErr w:type="spellStart"/>
      <w:r w:rsidRPr="00BB6660">
        <w:rPr>
          <w:rFonts w:cstheme="minorHAnsi"/>
          <w:sz w:val="20"/>
          <w:szCs w:val="20"/>
        </w:rPr>
        <w:t>kN</w:t>
      </w:r>
      <w:proofErr w:type="spellEnd"/>
      <w:r w:rsidRPr="00BB6660">
        <w:rPr>
          <w:rFonts w:cstheme="minorHAnsi"/>
          <w:sz w:val="20"/>
          <w:szCs w:val="20"/>
        </w:rPr>
        <w:t>) według „Katalogu typowych konstrukcji nawierzchni podatnych i półsztywnych”. Generalna Dyrekcja Dróg Publicznych – Instytut Badawczy Dróg i Mostów, Warszawa 1997 [27].</w:t>
      </w:r>
    </w:p>
    <w:p w14:paraId="60C6CC34" w14:textId="77777777" w:rsidR="00B81F7B" w:rsidRPr="00BB6660" w:rsidRDefault="00B81F7B" w:rsidP="00BB6660">
      <w:pPr>
        <w:spacing w:before="120"/>
        <w:jc w:val="both"/>
        <w:rPr>
          <w:rFonts w:cstheme="minorHAnsi"/>
          <w:sz w:val="20"/>
          <w:szCs w:val="20"/>
        </w:rPr>
      </w:pPr>
      <w:r w:rsidRPr="00BB6660">
        <w:rPr>
          <w:rFonts w:cstheme="minorHAnsi"/>
          <w:b/>
          <w:sz w:val="20"/>
          <w:szCs w:val="20"/>
        </w:rPr>
        <w:t xml:space="preserve">1.4.7. </w:t>
      </w:r>
      <w:r w:rsidRPr="00BB6660">
        <w:rPr>
          <w:rFonts w:cstheme="minorHAnsi"/>
          <w:sz w:val="20"/>
          <w:szCs w:val="20"/>
        </w:rPr>
        <w:t xml:space="preserve">Kruszywo grube (wg PN-EN 13242) – oznaczenie kruszywa o wymiarach ziaren </w:t>
      </w:r>
      <w:r w:rsidRPr="00BB6660">
        <w:rPr>
          <w:rFonts w:cstheme="minorHAnsi"/>
          <w:i/>
          <w:sz w:val="20"/>
          <w:szCs w:val="20"/>
        </w:rPr>
        <w:t>d</w:t>
      </w:r>
      <w:r w:rsidRPr="00BB6660">
        <w:rPr>
          <w:rFonts w:cstheme="minorHAnsi"/>
          <w:sz w:val="20"/>
          <w:szCs w:val="20"/>
        </w:rPr>
        <w:t xml:space="preserve"> (dolnego) równym lub większym niż 1 mm oraz </w:t>
      </w:r>
      <w:r w:rsidRPr="00BB6660">
        <w:rPr>
          <w:rFonts w:cstheme="minorHAnsi"/>
          <w:i/>
          <w:sz w:val="20"/>
          <w:szCs w:val="20"/>
        </w:rPr>
        <w:t xml:space="preserve">D </w:t>
      </w:r>
      <w:r w:rsidRPr="00BB6660">
        <w:rPr>
          <w:rFonts w:cstheme="minorHAnsi"/>
          <w:sz w:val="20"/>
          <w:szCs w:val="20"/>
        </w:rPr>
        <w:t>(górnego) większym niż 2 mm.</w:t>
      </w:r>
    </w:p>
    <w:p w14:paraId="4594D08A" w14:textId="77777777" w:rsidR="00B81F7B" w:rsidRPr="00BB6660" w:rsidRDefault="00B81F7B" w:rsidP="00BB6660">
      <w:pPr>
        <w:spacing w:before="120"/>
        <w:jc w:val="both"/>
        <w:rPr>
          <w:rFonts w:cstheme="minorHAnsi"/>
          <w:sz w:val="20"/>
          <w:szCs w:val="20"/>
        </w:rPr>
      </w:pPr>
      <w:r w:rsidRPr="00BB6660">
        <w:rPr>
          <w:rFonts w:cstheme="minorHAnsi"/>
          <w:b/>
          <w:sz w:val="20"/>
          <w:szCs w:val="20"/>
        </w:rPr>
        <w:t xml:space="preserve">1.4.8. </w:t>
      </w:r>
      <w:r w:rsidRPr="00BB6660">
        <w:rPr>
          <w:rFonts w:cstheme="minorHAnsi"/>
          <w:sz w:val="20"/>
          <w:szCs w:val="20"/>
        </w:rPr>
        <w:t xml:space="preserve">Kruszywo drobne (wg PN-EN 13242) – oznaczenie kruszywa o wymiarach ziaren </w:t>
      </w:r>
      <w:r w:rsidRPr="00BB6660">
        <w:rPr>
          <w:rFonts w:cstheme="minorHAnsi"/>
          <w:i/>
          <w:sz w:val="20"/>
          <w:szCs w:val="20"/>
        </w:rPr>
        <w:t>d</w:t>
      </w:r>
      <w:r w:rsidRPr="00BB6660">
        <w:rPr>
          <w:rFonts w:cstheme="minorHAnsi"/>
          <w:sz w:val="20"/>
          <w:szCs w:val="20"/>
        </w:rPr>
        <w:t xml:space="preserve"> równym 0 oraz </w:t>
      </w:r>
      <w:r w:rsidRPr="00BB6660">
        <w:rPr>
          <w:rFonts w:cstheme="minorHAnsi"/>
          <w:i/>
          <w:sz w:val="20"/>
          <w:szCs w:val="20"/>
        </w:rPr>
        <w:t xml:space="preserve">D </w:t>
      </w:r>
      <w:r w:rsidRPr="00BB6660">
        <w:rPr>
          <w:rFonts w:cstheme="minorHAnsi"/>
          <w:sz w:val="20"/>
          <w:szCs w:val="20"/>
        </w:rPr>
        <w:t>równym 6,3 mm lub mniejszym.</w:t>
      </w:r>
    </w:p>
    <w:p w14:paraId="79111C51" w14:textId="768D94EE" w:rsidR="00B81F7B" w:rsidRPr="00BB6660" w:rsidRDefault="00B81F7B" w:rsidP="00BB6660">
      <w:pPr>
        <w:spacing w:before="120"/>
        <w:jc w:val="both"/>
        <w:rPr>
          <w:rFonts w:cstheme="minorHAnsi"/>
          <w:sz w:val="20"/>
          <w:szCs w:val="20"/>
        </w:rPr>
      </w:pPr>
      <w:r w:rsidRPr="00BB6660">
        <w:rPr>
          <w:rFonts w:cstheme="minorHAnsi"/>
          <w:b/>
          <w:sz w:val="20"/>
          <w:szCs w:val="20"/>
        </w:rPr>
        <w:lastRenderedPageBreak/>
        <w:t xml:space="preserve">1.4.9. </w:t>
      </w:r>
      <w:r w:rsidRPr="00BB6660">
        <w:rPr>
          <w:rFonts w:cstheme="minorHAnsi"/>
          <w:sz w:val="20"/>
          <w:szCs w:val="20"/>
        </w:rPr>
        <w:t xml:space="preserve">Kruszywo o ciągłym uziarnieniu (wg PN-EN 13242) – kruszywo stanowiące mieszankę kruszyw grubych </w:t>
      </w:r>
      <w:r w:rsidR="004F465D">
        <w:rPr>
          <w:rFonts w:cstheme="minorHAnsi"/>
          <w:sz w:val="20"/>
          <w:szCs w:val="20"/>
        </w:rPr>
        <w:br/>
      </w:r>
      <w:r w:rsidRPr="00BB6660">
        <w:rPr>
          <w:rFonts w:cstheme="minorHAnsi"/>
          <w:sz w:val="20"/>
          <w:szCs w:val="20"/>
        </w:rPr>
        <w:t xml:space="preserve">i drobnych, w której </w:t>
      </w:r>
      <w:r w:rsidRPr="00BB6660">
        <w:rPr>
          <w:rFonts w:cstheme="minorHAnsi"/>
          <w:i/>
          <w:sz w:val="20"/>
          <w:szCs w:val="20"/>
        </w:rPr>
        <w:t>D</w:t>
      </w:r>
      <w:r w:rsidRPr="00BB6660">
        <w:rPr>
          <w:rFonts w:cstheme="minorHAnsi"/>
          <w:sz w:val="20"/>
          <w:szCs w:val="20"/>
        </w:rPr>
        <w:t xml:space="preserve"> jest większe niż 6,3 mm.</w:t>
      </w:r>
    </w:p>
    <w:p w14:paraId="207835A1" w14:textId="30975424" w:rsidR="00B81F7B" w:rsidRPr="00BB6660" w:rsidRDefault="00B81F7B" w:rsidP="00BB6660">
      <w:pPr>
        <w:spacing w:before="120"/>
        <w:jc w:val="both"/>
        <w:rPr>
          <w:rFonts w:cstheme="minorHAnsi"/>
          <w:sz w:val="20"/>
          <w:szCs w:val="20"/>
        </w:rPr>
      </w:pPr>
      <w:r w:rsidRPr="00BB6660">
        <w:rPr>
          <w:rFonts w:cstheme="minorHAnsi"/>
          <w:b/>
          <w:sz w:val="20"/>
          <w:szCs w:val="20"/>
        </w:rPr>
        <w:t xml:space="preserve">1.4.10. </w:t>
      </w:r>
      <w:r w:rsidRPr="00BB6660">
        <w:rPr>
          <w:rFonts w:cstheme="minorHAnsi"/>
          <w:sz w:val="20"/>
          <w:szCs w:val="20"/>
        </w:rPr>
        <w:t xml:space="preserve">Mieszanka związana cementem – mieszanka związana hydraulicznie, składająca się z kruszywa </w:t>
      </w:r>
      <w:r w:rsidR="004F465D">
        <w:rPr>
          <w:rFonts w:cstheme="minorHAnsi"/>
          <w:sz w:val="20"/>
          <w:szCs w:val="20"/>
        </w:rPr>
        <w:br/>
      </w:r>
      <w:r w:rsidRPr="00BB6660">
        <w:rPr>
          <w:rFonts w:cstheme="minorHAnsi"/>
          <w:sz w:val="20"/>
          <w:szCs w:val="20"/>
        </w:rPr>
        <w:t>o kontrolowanym uziarnieniu i cementu, wymieszana w sposób zapewniający uzyskanie jednorodnej mieszanki.</w:t>
      </w:r>
    </w:p>
    <w:p w14:paraId="3EAE3209" w14:textId="77777777" w:rsidR="00B81F7B" w:rsidRPr="00BB6660" w:rsidRDefault="00B81F7B" w:rsidP="00BB6660">
      <w:pPr>
        <w:spacing w:before="120"/>
        <w:jc w:val="both"/>
        <w:rPr>
          <w:rFonts w:cstheme="minorHAnsi"/>
          <w:sz w:val="20"/>
          <w:szCs w:val="20"/>
        </w:rPr>
      </w:pPr>
      <w:r w:rsidRPr="00BB6660">
        <w:rPr>
          <w:rFonts w:cstheme="minorHAnsi"/>
          <w:b/>
          <w:sz w:val="20"/>
          <w:szCs w:val="20"/>
        </w:rPr>
        <w:t xml:space="preserve">1.4.11. </w:t>
      </w:r>
      <w:r w:rsidRPr="00BB6660">
        <w:rPr>
          <w:rFonts w:cstheme="minorHAnsi"/>
          <w:sz w:val="20"/>
          <w:szCs w:val="20"/>
        </w:rPr>
        <w:t>Symbole i skróty dodatkowe</w:t>
      </w:r>
    </w:p>
    <w:p w14:paraId="3BC26739" w14:textId="77777777" w:rsidR="00B81F7B" w:rsidRPr="00BB6660" w:rsidRDefault="00B81F7B" w:rsidP="00BB6660">
      <w:pPr>
        <w:spacing w:before="120"/>
        <w:jc w:val="both"/>
        <w:rPr>
          <w:rFonts w:cstheme="minorHAnsi"/>
          <w:sz w:val="20"/>
          <w:szCs w:val="20"/>
        </w:rPr>
      </w:pPr>
      <w:r w:rsidRPr="00BB6660">
        <w:rPr>
          <w:rFonts w:cstheme="minorHAnsi"/>
          <w:sz w:val="20"/>
          <w:szCs w:val="20"/>
        </w:rPr>
        <w:t>% m/m</w:t>
      </w:r>
      <w:r w:rsidRPr="00BB6660">
        <w:rPr>
          <w:rFonts w:cstheme="minorHAnsi"/>
          <w:sz w:val="20"/>
          <w:szCs w:val="20"/>
        </w:rPr>
        <w:tab/>
      </w:r>
      <w:r w:rsidRPr="00BB6660">
        <w:rPr>
          <w:rFonts w:cstheme="minorHAnsi"/>
          <w:sz w:val="20"/>
          <w:szCs w:val="20"/>
        </w:rPr>
        <w:tab/>
        <w:t>procent masy,</w:t>
      </w:r>
    </w:p>
    <w:p w14:paraId="2BFEDB63" w14:textId="77777777" w:rsidR="00B81F7B" w:rsidRPr="00BB6660" w:rsidRDefault="00B81F7B" w:rsidP="00BB6660">
      <w:pPr>
        <w:jc w:val="both"/>
        <w:rPr>
          <w:rFonts w:cstheme="minorHAnsi"/>
          <w:sz w:val="20"/>
          <w:szCs w:val="20"/>
        </w:rPr>
      </w:pPr>
      <w:r w:rsidRPr="00BB6660">
        <w:rPr>
          <w:rFonts w:cstheme="minorHAnsi"/>
          <w:sz w:val="20"/>
          <w:szCs w:val="20"/>
        </w:rPr>
        <w:t>NR</w:t>
      </w:r>
      <w:r w:rsidRPr="00BB6660">
        <w:rPr>
          <w:rFonts w:cstheme="minorHAnsi"/>
          <w:sz w:val="20"/>
          <w:szCs w:val="20"/>
        </w:rPr>
        <w:tab/>
      </w:r>
      <w:r w:rsidRPr="00BB6660">
        <w:rPr>
          <w:rFonts w:cstheme="minorHAnsi"/>
          <w:sz w:val="20"/>
          <w:szCs w:val="20"/>
        </w:rPr>
        <w:tab/>
        <w:t>brak konieczności badania danej cechy,</w:t>
      </w:r>
    </w:p>
    <w:p w14:paraId="6B332B18" w14:textId="77777777" w:rsidR="00B81F7B" w:rsidRPr="00BB6660" w:rsidRDefault="00B81F7B" w:rsidP="00BB6660">
      <w:pPr>
        <w:jc w:val="both"/>
        <w:rPr>
          <w:rFonts w:cstheme="minorHAnsi"/>
          <w:sz w:val="20"/>
          <w:szCs w:val="20"/>
        </w:rPr>
      </w:pPr>
      <w:r w:rsidRPr="00BB6660">
        <w:rPr>
          <w:rFonts w:cstheme="minorHAnsi"/>
          <w:sz w:val="20"/>
          <w:szCs w:val="20"/>
        </w:rPr>
        <w:t>CBGM</w:t>
      </w:r>
      <w:r w:rsidRPr="00BB6660">
        <w:rPr>
          <w:rFonts w:cstheme="minorHAnsi"/>
          <w:sz w:val="20"/>
          <w:szCs w:val="20"/>
        </w:rPr>
        <w:tab/>
      </w:r>
      <w:r w:rsidRPr="00BB6660">
        <w:rPr>
          <w:rFonts w:cstheme="minorHAnsi"/>
          <w:sz w:val="20"/>
          <w:szCs w:val="20"/>
        </w:rPr>
        <w:tab/>
        <w:t>mieszanka związana cementem,</w:t>
      </w:r>
    </w:p>
    <w:p w14:paraId="25093886" w14:textId="77777777" w:rsidR="00B81F7B" w:rsidRPr="00BB6660" w:rsidRDefault="00B81F7B" w:rsidP="00BB6660">
      <w:pPr>
        <w:jc w:val="both"/>
        <w:rPr>
          <w:rFonts w:cstheme="minorHAnsi"/>
          <w:sz w:val="20"/>
          <w:szCs w:val="20"/>
        </w:rPr>
      </w:pPr>
      <w:r w:rsidRPr="00BB6660">
        <w:rPr>
          <w:rFonts w:cstheme="minorHAnsi"/>
          <w:sz w:val="20"/>
          <w:szCs w:val="20"/>
        </w:rPr>
        <w:t>CBR</w:t>
      </w:r>
      <w:r w:rsidRPr="00BB6660">
        <w:rPr>
          <w:rFonts w:cstheme="minorHAnsi"/>
          <w:sz w:val="20"/>
          <w:szCs w:val="20"/>
        </w:rPr>
        <w:tab/>
      </w:r>
      <w:r w:rsidRPr="00BB6660">
        <w:rPr>
          <w:rFonts w:cstheme="minorHAnsi"/>
          <w:sz w:val="20"/>
          <w:szCs w:val="20"/>
        </w:rPr>
        <w:tab/>
        <w:t>kalifornijski wskaźnik nośności, w procentach (%),</w:t>
      </w:r>
    </w:p>
    <w:p w14:paraId="6DCA2972" w14:textId="77777777" w:rsidR="00B81F7B" w:rsidRPr="00BB6660" w:rsidRDefault="00B81F7B" w:rsidP="00BB6660">
      <w:pPr>
        <w:jc w:val="both"/>
        <w:rPr>
          <w:rFonts w:cstheme="minorHAnsi"/>
          <w:sz w:val="20"/>
          <w:szCs w:val="20"/>
        </w:rPr>
      </w:pPr>
      <w:r w:rsidRPr="00BB6660">
        <w:rPr>
          <w:rFonts w:cstheme="minorHAnsi"/>
          <w:sz w:val="20"/>
          <w:szCs w:val="20"/>
        </w:rPr>
        <w:t>d</w:t>
      </w:r>
      <w:r w:rsidRPr="00BB6660">
        <w:rPr>
          <w:rFonts w:cstheme="minorHAnsi"/>
          <w:sz w:val="20"/>
          <w:szCs w:val="20"/>
        </w:rPr>
        <w:tab/>
      </w:r>
      <w:r w:rsidRPr="00BB6660">
        <w:rPr>
          <w:rFonts w:cstheme="minorHAnsi"/>
          <w:sz w:val="20"/>
          <w:szCs w:val="20"/>
        </w:rPr>
        <w:tab/>
        <w:t>dolny wymiar sita (przy określaniu wielkości ziaren kruszywa),</w:t>
      </w:r>
    </w:p>
    <w:p w14:paraId="7FA4E02A" w14:textId="77777777" w:rsidR="00B81F7B" w:rsidRPr="00BB6660" w:rsidRDefault="00B81F7B" w:rsidP="00BB6660">
      <w:pPr>
        <w:jc w:val="both"/>
        <w:rPr>
          <w:rFonts w:cstheme="minorHAnsi"/>
          <w:sz w:val="20"/>
          <w:szCs w:val="20"/>
        </w:rPr>
      </w:pPr>
      <w:r w:rsidRPr="00BB6660">
        <w:rPr>
          <w:rFonts w:cstheme="minorHAnsi"/>
          <w:sz w:val="20"/>
          <w:szCs w:val="20"/>
        </w:rPr>
        <w:t>D</w:t>
      </w:r>
      <w:r w:rsidRPr="00BB6660">
        <w:rPr>
          <w:rFonts w:cstheme="minorHAnsi"/>
          <w:sz w:val="20"/>
          <w:szCs w:val="20"/>
        </w:rPr>
        <w:tab/>
      </w:r>
      <w:r w:rsidRPr="00BB6660">
        <w:rPr>
          <w:rFonts w:cstheme="minorHAnsi"/>
          <w:sz w:val="20"/>
          <w:szCs w:val="20"/>
        </w:rPr>
        <w:tab/>
        <w:t>górny wymiar sita (przy określaniu wielkości ziaren kruszywa),</w:t>
      </w:r>
    </w:p>
    <w:p w14:paraId="73389EDF" w14:textId="77777777" w:rsidR="00B81F7B" w:rsidRPr="00BB6660" w:rsidRDefault="00B81F7B" w:rsidP="00BB6660">
      <w:pPr>
        <w:jc w:val="both"/>
        <w:rPr>
          <w:rFonts w:cstheme="minorHAnsi"/>
          <w:sz w:val="20"/>
          <w:szCs w:val="20"/>
        </w:rPr>
      </w:pPr>
      <w:r w:rsidRPr="00BB6660">
        <w:rPr>
          <w:rFonts w:cstheme="minorHAnsi"/>
          <w:sz w:val="20"/>
          <w:szCs w:val="20"/>
        </w:rPr>
        <w:t>H/D</w:t>
      </w:r>
      <w:r w:rsidRPr="00BB6660">
        <w:rPr>
          <w:rFonts w:cstheme="minorHAnsi"/>
          <w:sz w:val="20"/>
          <w:szCs w:val="20"/>
        </w:rPr>
        <w:tab/>
      </w:r>
      <w:r w:rsidRPr="00BB6660">
        <w:rPr>
          <w:rFonts w:cstheme="minorHAnsi"/>
          <w:sz w:val="20"/>
          <w:szCs w:val="20"/>
        </w:rPr>
        <w:tab/>
        <w:t>stosunek wysokości do średnicy próbki.</w:t>
      </w:r>
    </w:p>
    <w:p w14:paraId="5E33B557" w14:textId="3883AF49" w:rsidR="00B81F7B" w:rsidRPr="00BB6660" w:rsidRDefault="00B81F7B" w:rsidP="00BB6660">
      <w:pPr>
        <w:pStyle w:val="StylIwony"/>
        <w:spacing w:after="0"/>
        <w:rPr>
          <w:rFonts w:asciiTheme="minorHAnsi" w:hAnsiTheme="minorHAnsi" w:cstheme="minorHAnsi"/>
          <w:sz w:val="20"/>
        </w:rPr>
      </w:pPr>
      <w:r w:rsidRPr="00BB6660">
        <w:rPr>
          <w:rFonts w:asciiTheme="minorHAnsi" w:hAnsiTheme="minorHAnsi" w:cstheme="minorHAnsi"/>
          <w:b/>
          <w:sz w:val="20"/>
        </w:rPr>
        <w:t xml:space="preserve">1.4.18. </w:t>
      </w:r>
      <w:r w:rsidRPr="00BB6660">
        <w:rPr>
          <w:rFonts w:asciiTheme="minorHAnsi" w:hAnsiTheme="minorHAnsi" w:cstheme="minorHAnsi"/>
          <w:sz w:val="20"/>
        </w:rPr>
        <w:t xml:space="preserve">Pozostałe określenia podstawowe są zgodne z obowiązującymi, odpowiednimi polskimi normami </w:t>
      </w:r>
      <w:r w:rsidR="004F465D">
        <w:rPr>
          <w:rFonts w:asciiTheme="minorHAnsi" w:hAnsiTheme="minorHAnsi" w:cstheme="minorHAnsi"/>
          <w:sz w:val="20"/>
        </w:rPr>
        <w:br/>
      </w:r>
      <w:r w:rsidRPr="00BB6660">
        <w:rPr>
          <w:rFonts w:asciiTheme="minorHAnsi" w:hAnsiTheme="minorHAnsi" w:cstheme="minorHAnsi"/>
          <w:sz w:val="20"/>
        </w:rPr>
        <w:t>i z definicjami podanymi w SST D-00.00.00 „Wymagania ogólne” [1] pkt 1.4.</w:t>
      </w:r>
    </w:p>
    <w:p w14:paraId="00C0ACD7" w14:textId="77777777" w:rsidR="00B81F7B" w:rsidRPr="00BB6660" w:rsidRDefault="00B81F7B" w:rsidP="00BB6660">
      <w:pPr>
        <w:pStyle w:val="Nagwek2"/>
        <w:rPr>
          <w:rFonts w:asciiTheme="minorHAnsi" w:hAnsiTheme="minorHAnsi" w:cstheme="minorHAnsi"/>
          <w:sz w:val="20"/>
        </w:rPr>
      </w:pPr>
      <w:bookmarkStart w:id="3055" w:name="_Toc227825390"/>
      <w:r w:rsidRPr="00BB6660">
        <w:rPr>
          <w:rFonts w:asciiTheme="minorHAnsi" w:hAnsiTheme="minorHAnsi" w:cstheme="minorHAnsi"/>
          <w:sz w:val="20"/>
        </w:rPr>
        <w:t>1.5. Ogólne wymagania dotyczące robót</w:t>
      </w:r>
      <w:bookmarkEnd w:id="3055"/>
    </w:p>
    <w:p w14:paraId="7AB36C99" w14:textId="77777777" w:rsidR="00B81F7B" w:rsidRPr="00BB6660" w:rsidRDefault="00B81F7B" w:rsidP="00BB6660">
      <w:pPr>
        <w:pStyle w:val="StylIwony"/>
        <w:spacing w:before="0" w:after="0"/>
        <w:rPr>
          <w:rFonts w:asciiTheme="minorHAnsi" w:hAnsiTheme="minorHAnsi" w:cstheme="minorHAnsi"/>
          <w:sz w:val="20"/>
        </w:rPr>
      </w:pPr>
      <w:r w:rsidRPr="00BB6660">
        <w:rPr>
          <w:rFonts w:asciiTheme="minorHAnsi" w:hAnsiTheme="minorHAnsi" w:cstheme="minorHAnsi"/>
          <w:sz w:val="20"/>
        </w:rPr>
        <w:tab/>
        <w:t>Ogólne wymagania dotyczące robót podano w SST D-00.00.00 „Wymagania ogólne” [1] pkt 1.5.</w:t>
      </w:r>
    </w:p>
    <w:p w14:paraId="505A2823" w14:textId="77777777" w:rsidR="00B81F7B" w:rsidRPr="00BB6660" w:rsidRDefault="00B81F7B" w:rsidP="00BB6660">
      <w:pPr>
        <w:pStyle w:val="Nagwek1"/>
        <w:rPr>
          <w:rFonts w:asciiTheme="minorHAnsi" w:hAnsiTheme="minorHAnsi" w:cstheme="minorHAnsi"/>
          <w:sz w:val="20"/>
        </w:rPr>
      </w:pPr>
      <w:bookmarkStart w:id="3056" w:name="_Toc236626156"/>
      <w:bookmarkStart w:id="3057" w:name="_Toc332010312"/>
      <w:bookmarkStart w:id="3058" w:name="_Toc227825391"/>
      <w:r w:rsidRPr="00BB6660">
        <w:rPr>
          <w:rFonts w:asciiTheme="minorHAnsi" w:hAnsiTheme="minorHAnsi" w:cstheme="minorHAnsi"/>
          <w:sz w:val="20"/>
        </w:rPr>
        <w:t>2. MATERIAŁY</w:t>
      </w:r>
      <w:bookmarkEnd w:id="3056"/>
      <w:bookmarkEnd w:id="3057"/>
      <w:bookmarkEnd w:id="3058"/>
    </w:p>
    <w:p w14:paraId="2DC2A427" w14:textId="77777777" w:rsidR="00B81F7B" w:rsidRPr="00BB6660" w:rsidRDefault="00B81F7B" w:rsidP="00BB6660">
      <w:pPr>
        <w:pStyle w:val="Nagwek2"/>
        <w:rPr>
          <w:rFonts w:asciiTheme="minorHAnsi" w:hAnsiTheme="minorHAnsi" w:cstheme="minorHAnsi"/>
          <w:sz w:val="20"/>
        </w:rPr>
      </w:pPr>
      <w:bookmarkStart w:id="3059" w:name="_Toc227825392"/>
      <w:r w:rsidRPr="00BB6660">
        <w:rPr>
          <w:rFonts w:asciiTheme="minorHAnsi" w:hAnsiTheme="minorHAnsi" w:cstheme="minorHAnsi"/>
          <w:sz w:val="20"/>
        </w:rPr>
        <w:t>2.1. Ogólne wymagania dotyczące materiałów</w:t>
      </w:r>
      <w:bookmarkEnd w:id="3059"/>
    </w:p>
    <w:p w14:paraId="1F20330D" w14:textId="77777777" w:rsidR="00B81F7B" w:rsidRPr="00BB6660" w:rsidRDefault="00B81F7B" w:rsidP="00BB6660">
      <w:pPr>
        <w:pStyle w:val="StylIwony"/>
        <w:spacing w:before="0" w:after="0"/>
        <w:rPr>
          <w:rFonts w:asciiTheme="minorHAnsi" w:hAnsiTheme="minorHAnsi" w:cstheme="minorHAnsi"/>
          <w:sz w:val="20"/>
        </w:rPr>
      </w:pPr>
      <w:r w:rsidRPr="00BB6660">
        <w:rPr>
          <w:rFonts w:asciiTheme="minorHAnsi" w:hAnsiTheme="minorHAnsi" w:cstheme="minorHAnsi"/>
          <w:sz w:val="20"/>
        </w:rPr>
        <w:tab/>
        <w:t>Ogólne wymagania dotyczące materiałów, ich pozyskiwania i składowania, podano w SST D-00.00.00 „Wymagania ogólne” [1] pkt 2.</w:t>
      </w:r>
    </w:p>
    <w:p w14:paraId="31534D1E" w14:textId="77777777" w:rsidR="00B81F7B" w:rsidRPr="00BB6660" w:rsidRDefault="00B81F7B" w:rsidP="00BB6660">
      <w:pPr>
        <w:pStyle w:val="Nagwek2"/>
        <w:rPr>
          <w:rFonts w:asciiTheme="minorHAnsi" w:hAnsiTheme="minorHAnsi" w:cstheme="minorHAnsi"/>
          <w:sz w:val="20"/>
        </w:rPr>
      </w:pPr>
      <w:bookmarkStart w:id="3060" w:name="_Toc227825393"/>
      <w:r w:rsidRPr="00BB6660">
        <w:rPr>
          <w:rFonts w:asciiTheme="minorHAnsi" w:hAnsiTheme="minorHAnsi" w:cstheme="minorHAnsi"/>
          <w:sz w:val="20"/>
        </w:rPr>
        <w:t>2.2. Materiały do wykonania robót</w:t>
      </w:r>
      <w:bookmarkEnd w:id="3060"/>
    </w:p>
    <w:p w14:paraId="63C2581B" w14:textId="77777777" w:rsidR="00B81F7B" w:rsidRPr="00BB6660" w:rsidRDefault="00B81F7B" w:rsidP="00BB6660">
      <w:pPr>
        <w:spacing w:after="120"/>
        <w:jc w:val="both"/>
        <w:rPr>
          <w:rFonts w:cstheme="minorHAnsi"/>
          <w:sz w:val="20"/>
          <w:szCs w:val="20"/>
        </w:rPr>
      </w:pPr>
      <w:r w:rsidRPr="00BB6660">
        <w:rPr>
          <w:rFonts w:cstheme="minorHAnsi"/>
          <w:b/>
          <w:sz w:val="20"/>
          <w:szCs w:val="20"/>
        </w:rPr>
        <w:t xml:space="preserve">2.2.1. </w:t>
      </w:r>
      <w:r w:rsidRPr="00BB6660">
        <w:rPr>
          <w:rFonts w:cstheme="minorHAnsi"/>
          <w:sz w:val="20"/>
          <w:szCs w:val="20"/>
        </w:rPr>
        <w:t xml:space="preserve"> Zgodność materiałów z dokumentacją projektową i aprobatą techniczną</w:t>
      </w:r>
    </w:p>
    <w:p w14:paraId="31BAE657" w14:textId="77777777" w:rsidR="00B81F7B" w:rsidRPr="00BB6660" w:rsidRDefault="00B81F7B" w:rsidP="00BB6660">
      <w:pPr>
        <w:spacing w:after="120"/>
        <w:jc w:val="both"/>
        <w:rPr>
          <w:rFonts w:cstheme="minorHAnsi"/>
          <w:sz w:val="20"/>
          <w:szCs w:val="20"/>
        </w:rPr>
      </w:pPr>
      <w:r w:rsidRPr="00BB6660">
        <w:rPr>
          <w:rFonts w:cstheme="minorHAnsi"/>
          <w:sz w:val="20"/>
          <w:szCs w:val="20"/>
        </w:rPr>
        <w:tab/>
        <w:t>Materiały do wykonania robót powinny być zgodne z ustaleniami dokumentacji projektowej lub ST względnie z wymaganiami europejskiej lub krajowej aprobaty technicznej.</w:t>
      </w:r>
    </w:p>
    <w:p w14:paraId="6A236BF9" w14:textId="77777777" w:rsidR="00B81F7B" w:rsidRPr="00BB6660" w:rsidRDefault="00B81F7B" w:rsidP="00BB6660">
      <w:pPr>
        <w:spacing w:after="120"/>
        <w:jc w:val="both"/>
        <w:rPr>
          <w:rFonts w:cstheme="minorHAnsi"/>
          <w:sz w:val="20"/>
          <w:szCs w:val="20"/>
        </w:rPr>
      </w:pPr>
      <w:r w:rsidRPr="00BB6660">
        <w:rPr>
          <w:rFonts w:cstheme="minorHAnsi"/>
          <w:b/>
          <w:sz w:val="20"/>
          <w:szCs w:val="20"/>
        </w:rPr>
        <w:t xml:space="preserve">2.2.2. </w:t>
      </w:r>
      <w:r w:rsidRPr="00BB6660">
        <w:rPr>
          <w:rFonts w:cstheme="minorHAnsi"/>
          <w:sz w:val="20"/>
          <w:szCs w:val="20"/>
        </w:rPr>
        <w:t>Materiały wchodzące w skład mieszanki</w:t>
      </w:r>
    </w:p>
    <w:p w14:paraId="6BF21D86" w14:textId="77777777" w:rsidR="00B81F7B" w:rsidRPr="00BB6660" w:rsidRDefault="00B81F7B" w:rsidP="00BB6660">
      <w:pPr>
        <w:jc w:val="both"/>
        <w:rPr>
          <w:rFonts w:cstheme="minorHAnsi"/>
          <w:sz w:val="20"/>
          <w:szCs w:val="20"/>
        </w:rPr>
      </w:pPr>
      <w:r w:rsidRPr="00BB6660">
        <w:rPr>
          <w:rFonts w:cstheme="minorHAnsi"/>
          <w:sz w:val="20"/>
          <w:szCs w:val="20"/>
        </w:rPr>
        <w:tab/>
        <w:t>Materiałami stosowanymi do wytwarzania mieszanek związanych cementem są:</w:t>
      </w:r>
    </w:p>
    <w:p w14:paraId="4263975D" w14:textId="77777777" w:rsidR="00B81F7B" w:rsidRPr="00BB6660" w:rsidRDefault="00B81F7B">
      <w:pPr>
        <w:numPr>
          <w:ilvl w:val="0"/>
          <w:numId w:val="168"/>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kruszywo,</w:t>
      </w:r>
    </w:p>
    <w:p w14:paraId="01B2A407" w14:textId="77777777" w:rsidR="00B81F7B" w:rsidRPr="00BB6660" w:rsidRDefault="00B81F7B">
      <w:pPr>
        <w:numPr>
          <w:ilvl w:val="0"/>
          <w:numId w:val="168"/>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cement,</w:t>
      </w:r>
    </w:p>
    <w:p w14:paraId="3D4B60D5" w14:textId="77777777" w:rsidR="00B81F7B" w:rsidRPr="00BB6660" w:rsidRDefault="00B81F7B">
      <w:pPr>
        <w:numPr>
          <w:ilvl w:val="0"/>
          <w:numId w:val="168"/>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woda zarobowa,</w:t>
      </w:r>
    </w:p>
    <w:p w14:paraId="0FCE9F61" w14:textId="77777777" w:rsidR="00B81F7B" w:rsidRPr="00BB6660" w:rsidRDefault="00B81F7B">
      <w:pPr>
        <w:numPr>
          <w:ilvl w:val="0"/>
          <w:numId w:val="168"/>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ew. dodatki,</w:t>
      </w:r>
    </w:p>
    <w:p w14:paraId="04C5081C" w14:textId="77777777" w:rsidR="00B81F7B" w:rsidRPr="00BB6660" w:rsidRDefault="00B81F7B">
      <w:pPr>
        <w:numPr>
          <w:ilvl w:val="0"/>
          <w:numId w:val="168"/>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ew. domieszki.</w:t>
      </w:r>
    </w:p>
    <w:p w14:paraId="15D4D2AC" w14:textId="77777777" w:rsidR="00B81F7B" w:rsidRPr="00BB6660" w:rsidRDefault="00B81F7B" w:rsidP="00BB6660">
      <w:pPr>
        <w:spacing w:before="120" w:after="120"/>
        <w:jc w:val="both"/>
        <w:rPr>
          <w:rFonts w:cstheme="minorHAnsi"/>
          <w:sz w:val="20"/>
          <w:szCs w:val="20"/>
        </w:rPr>
      </w:pPr>
      <w:r w:rsidRPr="00BB6660">
        <w:rPr>
          <w:rFonts w:cstheme="minorHAnsi"/>
          <w:b/>
          <w:sz w:val="20"/>
          <w:szCs w:val="20"/>
        </w:rPr>
        <w:t xml:space="preserve">2.2.3. </w:t>
      </w:r>
      <w:r w:rsidRPr="00BB6660">
        <w:rPr>
          <w:rFonts w:cstheme="minorHAnsi"/>
          <w:sz w:val="20"/>
          <w:szCs w:val="20"/>
        </w:rPr>
        <w:t>Kruszywa</w:t>
      </w:r>
    </w:p>
    <w:p w14:paraId="20A2C250" w14:textId="77777777" w:rsidR="00B81F7B" w:rsidRPr="00BB6660" w:rsidRDefault="00B81F7B" w:rsidP="00BB6660">
      <w:pPr>
        <w:jc w:val="both"/>
        <w:rPr>
          <w:rFonts w:cstheme="minorHAnsi"/>
          <w:sz w:val="20"/>
          <w:szCs w:val="20"/>
        </w:rPr>
      </w:pPr>
      <w:r w:rsidRPr="00BB6660">
        <w:rPr>
          <w:rFonts w:cstheme="minorHAnsi"/>
          <w:sz w:val="20"/>
          <w:szCs w:val="20"/>
        </w:rPr>
        <w:tab/>
        <w:t>Do mieszanek można stosować następujące rodzaje kruszyw:</w:t>
      </w:r>
    </w:p>
    <w:p w14:paraId="1F0548E3" w14:textId="77777777" w:rsidR="00B81F7B" w:rsidRPr="00BB6660" w:rsidRDefault="00B81F7B">
      <w:pPr>
        <w:numPr>
          <w:ilvl w:val="0"/>
          <w:numId w:val="169"/>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kruszywo naturalne lub sztuczne,</w:t>
      </w:r>
    </w:p>
    <w:p w14:paraId="28C9ED6E" w14:textId="77777777" w:rsidR="00B81F7B" w:rsidRPr="00BB6660" w:rsidRDefault="00B81F7B" w:rsidP="00BB6660">
      <w:pPr>
        <w:ind w:firstLine="709"/>
        <w:jc w:val="both"/>
        <w:rPr>
          <w:rFonts w:cstheme="minorHAnsi"/>
          <w:sz w:val="20"/>
          <w:szCs w:val="20"/>
        </w:rPr>
      </w:pPr>
      <w:r w:rsidRPr="00BB6660">
        <w:rPr>
          <w:rFonts w:cstheme="minorHAnsi"/>
          <w:sz w:val="20"/>
          <w:szCs w:val="20"/>
        </w:rPr>
        <w:t>Wymagania wobec kruszywa do warstw podbudowy i podłoża ulepszonego przedstawia tablica 1.</w:t>
      </w:r>
    </w:p>
    <w:p w14:paraId="65A65AF1" w14:textId="77777777" w:rsidR="00B81F7B" w:rsidRPr="00BB6660" w:rsidRDefault="00B81F7B" w:rsidP="00BB6660">
      <w:pPr>
        <w:pStyle w:val="Bezodstpw"/>
        <w:spacing w:before="120" w:after="120"/>
        <w:ind w:firstLine="0"/>
        <w:rPr>
          <w:rFonts w:asciiTheme="minorHAnsi" w:hAnsiTheme="minorHAnsi" w:cstheme="minorHAnsi"/>
          <w:sz w:val="20"/>
          <w:szCs w:val="20"/>
        </w:rPr>
      </w:pPr>
      <w:r w:rsidRPr="00BB6660">
        <w:rPr>
          <w:rFonts w:asciiTheme="minorHAnsi" w:hAnsiTheme="minorHAnsi" w:cstheme="minorHAnsi"/>
          <w:sz w:val="20"/>
          <w:szCs w:val="20"/>
        </w:rPr>
        <w:t>Tablica 1. Wymagane właściwości kruszywa do warstw podbudowy z mieszanek związanych cementem</w:t>
      </w:r>
    </w:p>
    <w:p w14:paraId="39FBC26B" w14:textId="2474B709"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Skróty użyte w tablicy: Kat. – kategoria </w:t>
      </w:r>
      <w:r w:rsidR="004F465D" w:rsidRPr="00BB6660">
        <w:rPr>
          <w:rFonts w:asciiTheme="minorHAnsi" w:hAnsiTheme="minorHAnsi" w:cstheme="minorHAnsi"/>
          <w:sz w:val="20"/>
          <w:szCs w:val="20"/>
        </w:rPr>
        <w:t xml:space="preserve">właściwości, </w:t>
      </w:r>
      <w:proofErr w:type="spellStart"/>
      <w:r w:rsidR="004F465D" w:rsidRPr="00BB6660">
        <w:rPr>
          <w:rFonts w:asciiTheme="minorHAnsi" w:hAnsiTheme="minorHAnsi" w:cstheme="minorHAnsi"/>
          <w:sz w:val="20"/>
          <w:szCs w:val="20"/>
        </w:rPr>
        <w:t>Dekl</w:t>
      </w:r>
      <w:proofErr w:type="spellEnd"/>
      <w:r w:rsidRPr="00BB6660">
        <w:rPr>
          <w:rFonts w:asciiTheme="minorHAnsi" w:hAnsiTheme="minorHAnsi" w:cstheme="minorHAnsi"/>
          <w:sz w:val="20"/>
          <w:szCs w:val="20"/>
        </w:rPr>
        <w:t xml:space="preserve"> – deklarowana, </w:t>
      </w:r>
      <w:proofErr w:type="spellStart"/>
      <w:r w:rsidRPr="00BB6660">
        <w:rPr>
          <w:rFonts w:asciiTheme="minorHAnsi" w:hAnsiTheme="minorHAnsi" w:cstheme="minorHAnsi"/>
          <w:sz w:val="20"/>
          <w:szCs w:val="20"/>
        </w:rPr>
        <w:t>wsk</w:t>
      </w:r>
      <w:proofErr w:type="spellEnd"/>
      <w:r w:rsidRPr="00BB6660">
        <w:rPr>
          <w:rFonts w:asciiTheme="minorHAnsi" w:hAnsiTheme="minorHAnsi" w:cstheme="minorHAnsi"/>
          <w:sz w:val="20"/>
          <w:szCs w:val="20"/>
        </w:rPr>
        <w:t xml:space="preserve">. – wskaźnik, </w:t>
      </w:r>
      <w:proofErr w:type="spellStart"/>
      <w:r w:rsidRPr="00BB6660">
        <w:rPr>
          <w:rFonts w:asciiTheme="minorHAnsi" w:hAnsiTheme="minorHAnsi" w:cstheme="minorHAnsi"/>
          <w:sz w:val="20"/>
          <w:szCs w:val="20"/>
        </w:rPr>
        <w:t>wsp</w:t>
      </w:r>
      <w:proofErr w:type="spellEnd"/>
      <w:r w:rsidRPr="00BB6660">
        <w:rPr>
          <w:rFonts w:asciiTheme="minorHAnsi" w:hAnsiTheme="minorHAnsi" w:cstheme="minorHAnsi"/>
          <w:sz w:val="20"/>
          <w:szCs w:val="20"/>
        </w:rPr>
        <w:t xml:space="preserve">. – współczynnik, </w:t>
      </w:r>
      <w:proofErr w:type="spellStart"/>
      <w:r w:rsidRPr="00BB6660">
        <w:rPr>
          <w:rFonts w:asciiTheme="minorHAnsi" w:hAnsiTheme="minorHAnsi" w:cstheme="minorHAnsi"/>
          <w:sz w:val="20"/>
          <w:szCs w:val="20"/>
        </w:rPr>
        <w:t>roz</w:t>
      </w:r>
      <w:proofErr w:type="spellEnd"/>
      <w:r w:rsidRPr="00BB6660">
        <w:rPr>
          <w:rFonts w:asciiTheme="minorHAnsi" w:hAnsiTheme="minorHAnsi" w:cstheme="minorHAnsi"/>
          <w:sz w:val="20"/>
          <w:szCs w:val="20"/>
        </w:rPr>
        <w:t>. -rozdział</w:t>
      </w:r>
    </w:p>
    <w:p w14:paraId="0A5E47CF" w14:textId="77777777" w:rsidR="00B81F7B" w:rsidRDefault="00B81F7B" w:rsidP="00BB6660">
      <w:pPr>
        <w:pStyle w:val="Bezodstpw"/>
        <w:rPr>
          <w:rFonts w:asciiTheme="minorHAnsi" w:hAnsiTheme="minorHAnsi" w:cstheme="minorHAnsi"/>
          <w:sz w:val="20"/>
          <w:szCs w:val="20"/>
        </w:rPr>
      </w:pPr>
    </w:p>
    <w:p w14:paraId="58E195B7" w14:textId="77777777" w:rsidR="00BB6660" w:rsidRPr="00BB6660" w:rsidRDefault="00BB6660" w:rsidP="00BB6660">
      <w:pPr>
        <w:pStyle w:val="Bezodstpw"/>
        <w:rPr>
          <w:rFonts w:asciiTheme="minorHAnsi" w:hAnsiTheme="minorHAnsi" w:cstheme="minorHAnsi"/>
          <w:sz w:val="20"/>
          <w:szCs w:val="20"/>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1276"/>
        <w:gridCol w:w="709"/>
        <w:gridCol w:w="4850"/>
      </w:tblGrid>
      <w:tr w:rsidR="00B81F7B" w:rsidRPr="00BB6660" w14:paraId="49A4314A" w14:textId="77777777">
        <w:tc>
          <w:tcPr>
            <w:tcW w:w="2376" w:type="dxa"/>
            <w:vMerge w:val="restart"/>
            <w:tcBorders>
              <w:top w:val="single" w:sz="4" w:space="0" w:color="auto"/>
              <w:left w:val="single" w:sz="4" w:space="0" w:color="auto"/>
              <w:bottom w:val="single" w:sz="4" w:space="0" w:color="auto"/>
              <w:right w:val="single" w:sz="4" w:space="0" w:color="auto"/>
            </w:tcBorders>
            <w:vAlign w:val="center"/>
            <w:hideMark/>
          </w:tcPr>
          <w:p w14:paraId="5DF587DF"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lastRenderedPageBreak/>
              <w:t>Właściwość</w:t>
            </w:r>
          </w:p>
          <w:p w14:paraId="2F6A4E47"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kruszywa</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C49D296"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Metoda</w:t>
            </w:r>
          </w:p>
          <w:p w14:paraId="57208155"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badania</w:t>
            </w:r>
          </w:p>
          <w:p w14:paraId="150E869A"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wg</w:t>
            </w:r>
          </w:p>
        </w:tc>
        <w:tc>
          <w:tcPr>
            <w:tcW w:w="5560" w:type="dxa"/>
            <w:gridSpan w:val="2"/>
            <w:tcBorders>
              <w:top w:val="single" w:sz="4" w:space="0" w:color="auto"/>
              <w:left w:val="single" w:sz="4" w:space="0" w:color="auto"/>
              <w:bottom w:val="single" w:sz="4" w:space="0" w:color="auto"/>
              <w:right w:val="single" w:sz="4" w:space="0" w:color="auto"/>
            </w:tcBorders>
            <w:hideMark/>
          </w:tcPr>
          <w:p w14:paraId="694E8AEC" w14:textId="2C9E8D11"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Wymagania wg WT-5, pkt 1.1.1 [25] i PN-EN 13242 [19] </w:t>
            </w:r>
          </w:p>
          <w:p w14:paraId="05347CCB"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dla ruchu kategorii KR1 </w:t>
            </w:r>
          </w:p>
        </w:tc>
      </w:tr>
      <w:tr w:rsidR="00B81F7B" w:rsidRPr="00BB6660" w14:paraId="0B3406DB" w14:textId="77777777">
        <w:tc>
          <w:tcPr>
            <w:tcW w:w="2376" w:type="dxa"/>
            <w:vMerge/>
            <w:tcBorders>
              <w:top w:val="single" w:sz="4" w:space="0" w:color="auto"/>
              <w:left w:val="single" w:sz="4" w:space="0" w:color="auto"/>
              <w:bottom w:val="single" w:sz="4" w:space="0" w:color="auto"/>
              <w:right w:val="single" w:sz="4" w:space="0" w:color="auto"/>
            </w:tcBorders>
            <w:vAlign w:val="center"/>
            <w:hideMark/>
          </w:tcPr>
          <w:p w14:paraId="3B03D0E7" w14:textId="77777777" w:rsidR="00B81F7B" w:rsidRPr="00BB6660" w:rsidRDefault="00B81F7B" w:rsidP="00BB6660">
            <w:pPr>
              <w:jc w:val="both"/>
              <w:rPr>
                <w:rFonts w:eastAsia="Calibri" w:cstheme="minorHAnsi"/>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C7212C6" w14:textId="77777777" w:rsidR="00B81F7B" w:rsidRPr="00BB6660" w:rsidRDefault="00B81F7B" w:rsidP="00BB6660">
            <w:pPr>
              <w:jc w:val="both"/>
              <w:rPr>
                <w:rFonts w:eastAsia="Calibri" w:cstheme="minorHAnsi"/>
                <w:sz w:val="20"/>
                <w:szCs w:val="20"/>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F46FC23"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Punkt</w:t>
            </w:r>
          </w:p>
          <w:p w14:paraId="4143AC1F"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PN-EN</w:t>
            </w:r>
          </w:p>
          <w:p w14:paraId="5C2F0032"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13242</w:t>
            </w:r>
          </w:p>
        </w:tc>
        <w:tc>
          <w:tcPr>
            <w:tcW w:w="4851" w:type="dxa"/>
            <w:tcBorders>
              <w:top w:val="single" w:sz="4" w:space="0" w:color="auto"/>
              <w:left w:val="single" w:sz="4" w:space="0" w:color="auto"/>
              <w:bottom w:val="single" w:sz="4" w:space="0" w:color="auto"/>
              <w:right w:val="single" w:sz="4" w:space="0" w:color="auto"/>
            </w:tcBorders>
            <w:hideMark/>
          </w:tcPr>
          <w:p w14:paraId="12275D53"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dla kruszywa związanego cementem w warstwie</w:t>
            </w:r>
          </w:p>
        </w:tc>
      </w:tr>
      <w:tr w:rsidR="00B81F7B" w:rsidRPr="00BB6660" w14:paraId="10777B0E" w14:textId="77777777">
        <w:tc>
          <w:tcPr>
            <w:tcW w:w="2376" w:type="dxa"/>
            <w:vMerge/>
            <w:tcBorders>
              <w:top w:val="single" w:sz="4" w:space="0" w:color="auto"/>
              <w:left w:val="single" w:sz="4" w:space="0" w:color="auto"/>
              <w:bottom w:val="single" w:sz="4" w:space="0" w:color="auto"/>
              <w:right w:val="single" w:sz="4" w:space="0" w:color="auto"/>
            </w:tcBorders>
            <w:vAlign w:val="center"/>
            <w:hideMark/>
          </w:tcPr>
          <w:p w14:paraId="65F7C0E5" w14:textId="77777777" w:rsidR="00B81F7B" w:rsidRPr="00BB6660" w:rsidRDefault="00B81F7B" w:rsidP="00BB6660">
            <w:pPr>
              <w:jc w:val="both"/>
              <w:rPr>
                <w:rFonts w:eastAsia="Calibri" w:cstheme="minorHAnsi"/>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AFFA04" w14:textId="77777777" w:rsidR="00B81F7B" w:rsidRPr="00BB6660" w:rsidRDefault="00B81F7B" w:rsidP="00BB6660">
            <w:pPr>
              <w:jc w:val="both"/>
              <w:rPr>
                <w:rFonts w:eastAsia="Calibri" w:cstheme="minorHAnsi"/>
                <w:sz w:val="20"/>
                <w:szCs w:val="20"/>
              </w:rPr>
            </w:pPr>
          </w:p>
        </w:tc>
        <w:tc>
          <w:tcPr>
            <w:tcW w:w="5560" w:type="dxa"/>
            <w:vMerge/>
            <w:tcBorders>
              <w:top w:val="single" w:sz="4" w:space="0" w:color="auto"/>
              <w:left w:val="single" w:sz="4" w:space="0" w:color="auto"/>
              <w:bottom w:val="single" w:sz="4" w:space="0" w:color="auto"/>
              <w:right w:val="single" w:sz="4" w:space="0" w:color="auto"/>
            </w:tcBorders>
            <w:vAlign w:val="center"/>
            <w:hideMark/>
          </w:tcPr>
          <w:p w14:paraId="361749B7" w14:textId="77777777" w:rsidR="00B81F7B" w:rsidRPr="00BB6660" w:rsidRDefault="00B81F7B" w:rsidP="00BB6660">
            <w:pPr>
              <w:jc w:val="both"/>
              <w:rPr>
                <w:rFonts w:eastAsia="Calibri" w:cstheme="minorHAnsi"/>
                <w:sz w:val="20"/>
                <w:szCs w:val="20"/>
              </w:rPr>
            </w:pPr>
          </w:p>
        </w:tc>
        <w:tc>
          <w:tcPr>
            <w:tcW w:w="4851" w:type="dxa"/>
            <w:tcBorders>
              <w:top w:val="single" w:sz="4" w:space="0" w:color="auto"/>
              <w:left w:val="single" w:sz="4" w:space="0" w:color="auto"/>
              <w:bottom w:val="single" w:sz="4" w:space="0" w:color="auto"/>
              <w:right w:val="single" w:sz="4" w:space="0" w:color="auto"/>
            </w:tcBorders>
            <w:hideMark/>
          </w:tcPr>
          <w:p w14:paraId="3673B870"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podbudowy zasadniczej</w:t>
            </w:r>
          </w:p>
        </w:tc>
      </w:tr>
      <w:tr w:rsidR="00B81F7B" w:rsidRPr="00BB6660" w14:paraId="74BFF082" w14:textId="77777777">
        <w:tc>
          <w:tcPr>
            <w:tcW w:w="2376" w:type="dxa"/>
            <w:tcBorders>
              <w:top w:val="single" w:sz="4" w:space="0" w:color="auto"/>
              <w:left w:val="single" w:sz="4" w:space="0" w:color="auto"/>
              <w:bottom w:val="single" w:sz="4" w:space="0" w:color="auto"/>
              <w:right w:val="single" w:sz="4" w:space="0" w:color="auto"/>
            </w:tcBorders>
            <w:hideMark/>
          </w:tcPr>
          <w:p w14:paraId="52B87DCF"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Frakcje/zestaw sit #</w:t>
            </w:r>
          </w:p>
        </w:tc>
        <w:tc>
          <w:tcPr>
            <w:tcW w:w="1276" w:type="dxa"/>
            <w:tcBorders>
              <w:top w:val="single" w:sz="4" w:space="0" w:color="auto"/>
              <w:left w:val="single" w:sz="4" w:space="0" w:color="auto"/>
              <w:bottom w:val="single" w:sz="4" w:space="0" w:color="auto"/>
              <w:right w:val="single" w:sz="4" w:space="0" w:color="auto"/>
            </w:tcBorders>
            <w:hideMark/>
          </w:tcPr>
          <w:p w14:paraId="0ABF511C"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w:t>
            </w:r>
          </w:p>
        </w:tc>
        <w:tc>
          <w:tcPr>
            <w:tcW w:w="709" w:type="dxa"/>
            <w:tcBorders>
              <w:top w:val="single" w:sz="4" w:space="0" w:color="auto"/>
              <w:left w:val="single" w:sz="4" w:space="0" w:color="auto"/>
              <w:bottom w:val="single" w:sz="4" w:space="0" w:color="auto"/>
              <w:right w:val="single" w:sz="4" w:space="0" w:color="auto"/>
            </w:tcBorders>
            <w:hideMark/>
          </w:tcPr>
          <w:p w14:paraId="689749A7"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4.1</w:t>
            </w:r>
          </w:p>
        </w:tc>
        <w:tc>
          <w:tcPr>
            <w:tcW w:w="4851" w:type="dxa"/>
            <w:tcBorders>
              <w:top w:val="single" w:sz="4" w:space="0" w:color="auto"/>
              <w:left w:val="single" w:sz="4" w:space="0" w:color="auto"/>
              <w:bottom w:val="single" w:sz="4" w:space="0" w:color="auto"/>
              <w:right w:val="single" w:sz="4" w:space="0" w:color="auto"/>
            </w:tcBorders>
            <w:hideMark/>
          </w:tcPr>
          <w:p w14:paraId="0EF18B80"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Zestaw sit podstawowy plus zestaw 1.</w:t>
            </w:r>
          </w:p>
          <w:p w14:paraId="63815C54"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Wszystkie frakcje dozwolone</w:t>
            </w:r>
          </w:p>
        </w:tc>
      </w:tr>
      <w:tr w:rsidR="00B81F7B" w:rsidRPr="00BB6660" w14:paraId="64D89FB4" w14:textId="77777777">
        <w:tc>
          <w:tcPr>
            <w:tcW w:w="2376" w:type="dxa"/>
            <w:tcBorders>
              <w:top w:val="single" w:sz="4" w:space="0" w:color="auto"/>
              <w:left w:val="single" w:sz="4" w:space="0" w:color="auto"/>
              <w:bottom w:val="single" w:sz="4" w:space="0" w:color="auto"/>
              <w:right w:val="single" w:sz="4" w:space="0" w:color="auto"/>
            </w:tcBorders>
            <w:hideMark/>
          </w:tcPr>
          <w:p w14:paraId="027A9DF2"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Uziarnienie</w:t>
            </w:r>
          </w:p>
        </w:tc>
        <w:tc>
          <w:tcPr>
            <w:tcW w:w="1276" w:type="dxa"/>
            <w:tcBorders>
              <w:top w:val="single" w:sz="4" w:space="0" w:color="auto"/>
              <w:left w:val="single" w:sz="4" w:space="0" w:color="auto"/>
              <w:bottom w:val="single" w:sz="4" w:space="0" w:color="auto"/>
              <w:right w:val="single" w:sz="4" w:space="0" w:color="auto"/>
            </w:tcBorders>
          </w:tcPr>
          <w:p w14:paraId="350A03FD"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PN-EN</w:t>
            </w:r>
          </w:p>
          <w:p w14:paraId="5C47C7CB"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933-1 [6]</w:t>
            </w:r>
          </w:p>
          <w:p w14:paraId="48C8A125" w14:textId="77777777" w:rsidR="00B81F7B" w:rsidRPr="00BB6660" w:rsidRDefault="00B81F7B" w:rsidP="00BB6660">
            <w:pPr>
              <w:pStyle w:val="Bezodstpw"/>
              <w:ind w:firstLine="0"/>
              <w:rPr>
                <w:rFonts w:asciiTheme="minorHAnsi" w:hAnsiTheme="minorHAnsi" w:cstheme="minorHAnsi"/>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53DADF95"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4.3.1</w:t>
            </w:r>
          </w:p>
        </w:tc>
        <w:tc>
          <w:tcPr>
            <w:tcW w:w="4851" w:type="dxa"/>
            <w:tcBorders>
              <w:top w:val="single" w:sz="4" w:space="0" w:color="auto"/>
              <w:left w:val="single" w:sz="4" w:space="0" w:color="auto"/>
              <w:bottom w:val="single" w:sz="4" w:space="0" w:color="auto"/>
              <w:right w:val="single" w:sz="4" w:space="0" w:color="auto"/>
            </w:tcBorders>
            <w:hideMark/>
          </w:tcPr>
          <w:p w14:paraId="0EC03A7D" w14:textId="6C5AB5D4"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Kruszywo grube: kat. G</w:t>
            </w:r>
            <w:r w:rsidRPr="00BB6660">
              <w:rPr>
                <w:rFonts w:asciiTheme="minorHAnsi" w:hAnsiTheme="minorHAnsi" w:cstheme="minorHAnsi"/>
                <w:sz w:val="20"/>
                <w:szCs w:val="20"/>
                <w:vertAlign w:val="subscript"/>
              </w:rPr>
              <w:t>C</w:t>
            </w:r>
            <w:r w:rsidRPr="00BB6660">
              <w:rPr>
                <w:rFonts w:asciiTheme="minorHAnsi" w:hAnsiTheme="minorHAnsi" w:cstheme="minorHAnsi"/>
                <w:sz w:val="20"/>
                <w:szCs w:val="20"/>
              </w:rPr>
              <w:t>80/20, kruszywo drobne: kat. G</w:t>
            </w:r>
            <w:r w:rsidRPr="00BB6660">
              <w:rPr>
                <w:rFonts w:asciiTheme="minorHAnsi" w:hAnsiTheme="minorHAnsi" w:cstheme="minorHAnsi"/>
                <w:sz w:val="20"/>
                <w:szCs w:val="20"/>
                <w:vertAlign w:val="subscript"/>
              </w:rPr>
              <w:t>F</w:t>
            </w:r>
            <w:r w:rsidRPr="00BB6660">
              <w:rPr>
                <w:rFonts w:asciiTheme="minorHAnsi" w:hAnsiTheme="minorHAnsi" w:cstheme="minorHAnsi"/>
                <w:sz w:val="20"/>
                <w:szCs w:val="20"/>
              </w:rPr>
              <w:t>80, kruszywo o ciągłym uziarnieniu: kat. G</w:t>
            </w:r>
            <w:r w:rsidRPr="00BB6660">
              <w:rPr>
                <w:rFonts w:asciiTheme="minorHAnsi" w:hAnsiTheme="minorHAnsi" w:cstheme="minorHAnsi"/>
                <w:sz w:val="20"/>
                <w:szCs w:val="20"/>
                <w:vertAlign w:val="subscript"/>
              </w:rPr>
              <w:t>A</w:t>
            </w:r>
            <w:r w:rsidRPr="00BB6660">
              <w:rPr>
                <w:rFonts w:asciiTheme="minorHAnsi" w:hAnsiTheme="minorHAnsi" w:cstheme="minorHAnsi"/>
                <w:sz w:val="20"/>
                <w:szCs w:val="20"/>
              </w:rPr>
              <w:t xml:space="preserve">75.   </w:t>
            </w:r>
          </w:p>
          <w:p w14:paraId="7F907B56"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Uziarnienie mieszanek kruszywa wg rysunków 1÷5</w:t>
            </w:r>
          </w:p>
        </w:tc>
      </w:tr>
      <w:tr w:rsidR="00B81F7B" w:rsidRPr="00BB6660" w14:paraId="55BBEE25" w14:textId="77777777">
        <w:tc>
          <w:tcPr>
            <w:tcW w:w="2376" w:type="dxa"/>
            <w:tcBorders>
              <w:top w:val="single" w:sz="4" w:space="0" w:color="auto"/>
              <w:left w:val="single" w:sz="4" w:space="0" w:color="auto"/>
              <w:bottom w:val="single" w:sz="4" w:space="0" w:color="auto"/>
              <w:right w:val="single" w:sz="4" w:space="0" w:color="auto"/>
            </w:tcBorders>
            <w:hideMark/>
          </w:tcPr>
          <w:p w14:paraId="6573BA31"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Ogólne granice i tolerancje uziarnienia kruszywa grube-</w:t>
            </w:r>
            <w:r w:rsidRPr="00BB6660">
              <w:rPr>
                <w:rFonts w:asciiTheme="minorHAnsi" w:hAnsiTheme="minorHAnsi" w:cstheme="minorHAnsi"/>
                <w:sz w:val="20"/>
                <w:szCs w:val="20"/>
              </w:rPr>
              <w:br/>
              <w:t xml:space="preserve">go na sitach pośrednich </w:t>
            </w:r>
          </w:p>
        </w:tc>
        <w:tc>
          <w:tcPr>
            <w:tcW w:w="1276" w:type="dxa"/>
            <w:tcBorders>
              <w:top w:val="single" w:sz="4" w:space="0" w:color="auto"/>
              <w:left w:val="single" w:sz="4" w:space="0" w:color="auto"/>
              <w:bottom w:val="single" w:sz="4" w:space="0" w:color="auto"/>
              <w:right w:val="single" w:sz="4" w:space="0" w:color="auto"/>
            </w:tcBorders>
          </w:tcPr>
          <w:p w14:paraId="23BAE908"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PN-EN</w:t>
            </w:r>
          </w:p>
          <w:p w14:paraId="548A9BB7"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933-1 [6]</w:t>
            </w:r>
          </w:p>
          <w:p w14:paraId="6484A414" w14:textId="77777777" w:rsidR="00B81F7B" w:rsidRPr="00BB6660" w:rsidRDefault="00B81F7B" w:rsidP="00BB6660">
            <w:pPr>
              <w:pStyle w:val="Bezodstpw"/>
              <w:ind w:firstLine="0"/>
              <w:rPr>
                <w:rFonts w:asciiTheme="minorHAnsi" w:hAnsiTheme="minorHAnsi" w:cstheme="minorHAnsi"/>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4F9782FC"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4.3.2</w:t>
            </w:r>
          </w:p>
        </w:tc>
        <w:tc>
          <w:tcPr>
            <w:tcW w:w="4851" w:type="dxa"/>
            <w:tcBorders>
              <w:top w:val="single" w:sz="4" w:space="0" w:color="auto"/>
              <w:left w:val="single" w:sz="4" w:space="0" w:color="auto"/>
              <w:bottom w:val="single" w:sz="4" w:space="0" w:color="auto"/>
              <w:right w:val="single" w:sz="4" w:space="0" w:color="auto"/>
            </w:tcBorders>
            <w:hideMark/>
          </w:tcPr>
          <w:p w14:paraId="0288D0B9"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Kat. GT</w:t>
            </w:r>
            <w:r w:rsidRPr="00BB6660">
              <w:rPr>
                <w:rFonts w:asciiTheme="minorHAnsi" w:hAnsiTheme="minorHAnsi" w:cstheme="minorHAnsi"/>
                <w:sz w:val="20"/>
                <w:szCs w:val="20"/>
                <w:vertAlign w:val="subscript"/>
              </w:rPr>
              <w:t>C</w:t>
            </w:r>
            <w:r w:rsidRPr="00BB6660">
              <w:rPr>
                <w:rFonts w:asciiTheme="minorHAnsi" w:hAnsiTheme="minorHAnsi" w:cstheme="minorHAnsi"/>
                <w:sz w:val="20"/>
                <w:szCs w:val="20"/>
              </w:rPr>
              <w:t>NR (tj. brak wymagania)</w:t>
            </w:r>
          </w:p>
        </w:tc>
      </w:tr>
      <w:tr w:rsidR="00B81F7B" w:rsidRPr="00BB6660" w14:paraId="349719F5" w14:textId="77777777">
        <w:tc>
          <w:tcPr>
            <w:tcW w:w="2376" w:type="dxa"/>
            <w:tcBorders>
              <w:top w:val="single" w:sz="4" w:space="0" w:color="auto"/>
              <w:left w:val="single" w:sz="4" w:space="0" w:color="auto"/>
              <w:bottom w:val="single" w:sz="4" w:space="0" w:color="auto"/>
              <w:right w:val="single" w:sz="4" w:space="0" w:color="auto"/>
            </w:tcBorders>
            <w:hideMark/>
          </w:tcPr>
          <w:p w14:paraId="25ABF057"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Tolerancje typowego </w:t>
            </w:r>
            <w:proofErr w:type="spellStart"/>
            <w:r w:rsidRPr="00BB6660">
              <w:rPr>
                <w:rFonts w:asciiTheme="minorHAnsi" w:hAnsiTheme="minorHAnsi" w:cstheme="minorHAnsi"/>
                <w:sz w:val="20"/>
                <w:szCs w:val="20"/>
              </w:rPr>
              <w:t>uziar</w:t>
            </w:r>
            <w:proofErr w:type="spellEnd"/>
            <w:r w:rsidRPr="00BB6660">
              <w:rPr>
                <w:rFonts w:asciiTheme="minorHAnsi" w:hAnsiTheme="minorHAnsi" w:cstheme="minorHAnsi"/>
                <w:sz w:val="20"/>
                <w:szCs w:val="20"/>
              </w:rPr>
              <w:t>-</w:t>
            </w:r>
            <w:r w:rsidRPr="00BB6660">
              <w:rPr>
                <w:rFonts w:asciiTheme="minorHAnsi" w:hAnsiTheme="minorHAnsi" w:cstheme="minorHAnsi"/>
                <w:sz w:val="20"/>
                <w:szCs w:val="20"/>
              </w:rPr>
              <w:br/>
            </w:r>
            <w:proofErr w:type="spellStart"/>
            <w:r w:rsidRPr="00BB6660">
              <w:rPr>
                <w:rFonts w:asciiTheme="minorHAnsi" w:hAnsiTheme="minorHAnsi" w:cstheme="minorHAnsi"/>
                <w:sz w:val="20"/>
                <w:szCs w:val="20"/>
              </w:rPr>
              <w:t>nienia</w:t>
            </w:r>
            <w:proofErr w:type="spellEnd"/>
            <w:r w:rsidRPr="00BB6660">
              <w:rPr>
                <w:rFonts w:asciiTheme="minorHAnsi" w:hAnsiTheme="minorHAnsi" w:cstheme="minorHAnsi"/>
                <w:sz w:val="20"/>
                <w:szCs w:val="20"/>
              </w:rPr>
              <w:t xml:space="preserve"> kruszywa drobnego i kruszywa o ciągłym </w:t>
            </w:r>
            <w:proofErr w:type="spellStart"/>
            <w:r w:rsidRPr="00BB6660">
              <w:rPr>
                <w:rFonts w:asciiTheme="minorHAnsi" w:hAnsiTheme="minorHAnsi" w:cstheme="minorHAnsi"/>
                <w:sz w:val="20"/>
                <w:szCs w:val="20"/>
              </w:rPr>
              <w:t>uziarnie</w:t>
            </w:r>
            <w:proofErr w:type="spellEnd"/>
            <w:r w:rsidRPr="00BB6660">
              <w:rPr>
                <w:rFonts w:asciiTheme="minorHAnsi" w:hAnsiTheme="minorHAnsi" w:cstheme="minorHAnsi"/>
                <w:sz w:val="20"/>
                <w:szCs w:val="20"/>
              </w:rPr>
              <w:t>-</w:t>
            </w:r>
            <w:r w:rsidRPr="00BB6660">
              <w:rPr>
                <w:rFonts w:asciiTheme="minorHAnsi" w:hAnsiTheme="minorHAnsi" w:cstheme="minorHAnsi"/>
                <w:sz w:val="20"/>
                <w:szCs w:val="20"/>
              </w:rPr>
              <w:br/>
            </w:r>
            <w:proofErr w:type="spellStart"/>
            <w:r w:rsidRPr="00BB6660">
              <w:rPr>
                <w:rFonts w:asciiTheme="minorHAnsi" w:hAnsiTheme="minorHAnsi" w:cstheme="minorHAnsi"/>
                <w:sz w:val="20"/>
                <w:szCs w:val="20"/>
              </w:rPr>
              <w:t>niu</w:t>
            </w:r>
            <w:proofErr w:type="spellEnd"/>
          </w:p>
        </w:tc>
        <w:tc>
          <w:tcPr>
            <w:tcW w:w="1276" w:type="dxa"/>
            <w:tcBorders>
              <w:top w:val="single" w:sz="4" w:space="0" w:color="auto"/>
              <w:left w:val="single" w:sz="4" w:space="0" w:color="auto"/>
              <w:bottom w:val="single" w:sz="4" w:space="0" w:color="auto"/>
              <w:right w:val="single" w:sz="4" w:space="0" w:color="auto"/>
            </w:tcBorders>
          </w:tcPr>
          <w:p w14:paraId="502FFD7D"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PN-EN</w:t>
            </w:r>
          </w:p>
          <w:p w14:paraId="5C1C93FA"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933-1 [6]</w:t>
            </w:r>
          </w:p>
          <w:p w14:paraId="4F65C96B" w14:textId="77777777" w:rsidR="00B81F7B" w:rsidRPr="00BB6660" w:rsidRDefault="00B81F7B" w:rsidP="00BB6660">
            <w:pPr>
              <w:pStyle w:val="Bezodstpw"/>
              <w:ind w:firstLine="0"/>
              <w:rPr>
                <w:rFonts w:asciiTheme="minorHAnsi" w:hAnsiTheme="minorHAnsi" w:cstheme="minorHAnsi"/>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0EECE16B"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4.3.3</w:t>
            </w:r>
          </w:p>
        </w:tc>
        <w:tc>
          <w:tcPr>
            <w:tcW w:w="4851" w:type="dxa"/>
            <w:tcBorders>
              <w:top w:val="single" w:sz="4" w:space="0" w:color="auto"/>
              <w:left w:val="single" w:sz="4" w:space="0" w:color="auto"/>
              <w:bottom w:val="single" w:sz="4" w:space="0" w:color="auto"/>
              <w:right w:val="single" w:sz="4" w:space="0" w:color="auto"/>
            </w:tcBorders>
            <w:hideMark/>
          </w:tcPr>
          <w:p w14:paraId="30908DA7"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Kruszywo drobne: kat. GT</w:t>
            </w:r>
            <w:r w:rsidRPr="00BB6660">
              <w:rPr>
                <w:rFonts w:asciiTheme="minorHAnsi" w:hAnsiTheme="minorHAnsi" w:cstheme="minorHAnsi"/>
                <w:sz w:val="20"/>
                <w:szCs w:val="20"/>
                <w:vertAlign w:val="subscript"/>
              </w:rPr>
              <w:t>F</w:t>
            </w:r>
            <w:r w:rsidRPr="00BB6660">
              <w:rPr>
                <w:rFonts w:asciiTheme="minorHAnsi" w:hAnsiTheme="minorHAnsi" w:cstheme="minorHAnsi"/>
                <w:sz w:val="20"/>
                <w:szCs w:val="20"/>
              </w:rPr>
              <w:t>NR (tj. brak wymagania), kruszywo o ciągłym uziarnieniu: kat. GT</w:t>
            </w:r>
            <w:r w:rsidRPr="00BB6660">
              <w:rPr>
                <w:rFonts w:asciiTheme="minorHAnsi" w:hAnsiTheme="minorHAnsi" w:cstheme="minorHAnsi"/>
                <w:sz w:val="20"/>
                <w:szCs w:val="20"/>
                <w:vertAlign w:val="subscript"/>
              </w:rPr>
              <w:t>A</w:t>
            </w:r>
            <w:r w:rsidRPr="00BB6660">
              <w:rPr>
                <w:rFonts w:asciiTheme="minorHAnsi" w:hAnsiTheme="minorHAnsi" w:cstheme="minorHAnsi"/>
                <w:sz w:val="20"/>
                <w:szCs w:val="20"/>
              </w:rPr>
              <w:t>NR (tj. brak wymagania)</w:t>
            </w:r>
          </w:p>
        </w:tc>
      </w:tr>
      <w:tr w:rsidR="00B81F7B" w:rsidRPr="00BB6660" w14:paraId="4E54A6DE" w14:textId="77777777">
        <w:trPr>
          <w:trHeight w:val="671"/>
        </w:trPr>
        <w:tc>
          <w:tcPr>
            <w:tcW w:w="2376" w:type="dxa"/>
            <w:tcBorders>
              <w:top w:val="single" w:sz="4" w:space="0" w:color="auto"/>
              <w:left w:val="single" w:sz="4" w:space="0" w:color="auto"/>
              <w:bottom w:val="single" w:sz="4" w:space="0" w:color="auto"/>
              <w:right w:val="single" w:sz="4" w:space="0" w:color="auto"/>
            </w:tcBorders>
            <w:hideMark/>
          </w:tcPr>
          <w:p w14:paraId="23CBA120"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Kształt kruszywa grubego – maksymalne warunki </w:t>
            </w:r>
            <w:proofErr w:type="spellStart"/>
            <w:r w:rsidRPr="00BB6660">
              <w:rPr>
                <w:rFonts w:asciiTheme="minorHAnsi" w:hAnsiTheme="minorHAnsi" w:cstheme="minorHAnsi"/>
                <w:sz w:val="20"/>
                <w:szCs w:val="20"/>
              </w:rPr>
              <w:t>wskaź</w:t>
            </w:r>
            <w:proofErr w:type="spellEnd"/>
            <w:r w:rsidRPr="00BB6660">
              <w:rPr>
                <w:rFonts w:asciiTheme="minorHAnsi" w:hAnsiTheme="minorHAnsi" w:cstheme="minorHAnsi"/>
                <w:sz w:val="20"/>
                <w:szCs w:val="20"/>
              </w:rPr>
              <w:t>-</w:t>
            </w:r>
            <w:r w:rsidRPr="00BB6660">
              <w:rPr>
                <w:rFonts w:asciiTheme="minorHAnsi" w:hAnsiTheme="minorHAnsi" w:cstheme="minorHAnsi"/>
                <w:sz w:val="20"/>
                <w:szCs w:val="20"/>
              </w:rPr>
              <w:br/>
            </w:r>
            <w:proofErr w:type="spellStart"/>
            <w:r w:rsidRPr="00BB6660">
              <w:rPr>
                <w:rFonts w:asciiTheme="minorHAnsi" w:hAnsiTheme="minorHAnsi" w:cstheme="minorHAnsi"/>
                <w:sz w:val="20"/>
                <w:szCs w:val="20"/>
              </w:rPr>
              <w:t>nika</w:t>
            </w:r>
            <w:proofErr w:type="spellEnd"/>
            <w:r w:rsidRPr="00BB6660">
              <w:rPr>
                <w:rFonts w:asciiTheme="minorHAnsi" w:hAnsiTheme="minorHAnsi" w:cstheme="minorHAnsi"/>
                <w:sz w:val="20"/>
                <w:szCs w:val="20"/>
              </w:rPr>
              <w:t xml:space="preserve"> płaskości</w:t>
            </w:r>
          </w:p>
        </w:tc>
        <w:tc>
          <w:tcPr>
            <w:tcW w:w="1276" w:type="dxa"/>
            <w:tcBorders>
              <w:top w:val="single" w:sz="4" w:space="0" w:color="auto"/>
              <w:left w:val="single" w:sz="4" w:space="0" w:color="auto"/>
              <w:bottom w:val="single" w:sz="4" w:space="0" w:color="auto"/>
              <w:right w:val="single" w:sz="4" w:space="0" w:color="auto"/>
            </w:tcBorders>
            <w:hideMark/>
          </w:tcPr>
          <w:p w14:paraId="55F10949"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PN-EN</w:t>
            </w:r>
          </w:p>
          <w:p w14:paraId="1AFE2C5C" w14:textId="77777777" w:rsidR="00B81F7B" w:rsidRPr="00BB6660" w:rsidRDefault="00B81F7B" w:rsidP="00BB6660">
            <w:pPr>
              <w:pStyle w:val="Bezodstpw"/>
              <w:ind w:firstLine="0"/>
              <w:rPr>
                <w:rFonts w:asciiTheme="minorHAnsi" w:hAnsiTheme="minorHAnsi" w:cstheme="minorHAnsi"/>
                <w:sz w:val="20"/>
                <w:szCs w:val="20"/>
                <w:vertAlign w:val="superscript"/>
              </w:rPr>
            </w:pPr>
            <w:r w:rsidRPr="00BB6660">
              <w:rPr>
                <w:rFonts w:asciiTheme="minorHAnsi" w:hAnsiTheme="minorHAnsi" w:cstheme="minorHAnsi"/>
                <w:sz w:val="20"/>
                <w:szCs w:val="20"/>
              </w:rPr>
              <w:t>933-3</w:t>
            </w:r>
            <w:r w:rsidRPr="00BB6660">
              <w:rPr>
                <w:rFonts w:asciiTheme="minorHAnsi" w:hAnsiTheme="minorHAnsi" w:cstheme="minorHAnsi"/>
                <w:sz w:val="20"/>
                <w:szCs w:val="20"/>
                <w:vertAlign w:val="superscript"/>
              </w:rPr>
              <w:t>*)</w:t>
            </w:r>
            <w:r w:rsidRPr="00BB6660">
              <w:rPr>
                <w:rFonts w:asciiTheme="minorHAnsi" w:hAnsiTheme="minorHAnsi" w:cstheme="minorHAnsi"/>
                <w:sz w:val="20"/>
                <w:szCs w:val="20"/>
              </w:rPr>
              <w:t xml:space="preserve">  [7]</w:t>
            </w:r>
          </w:p>
        </w:tc>
        <w:tc>
          <w:tcPr>
            <w:tcW w:w="709" w:type="dxa"/>
            <w:tcBorders>
              <w:top w:val="single" w:sz="4" w:space="0" w:color="auto"/>
              <w:left w:val="single" w:sz="4" w:space="0" w:color="auto"/>
              <w:bottom w:val="single" w:sz="4" w:space="0" w:color="auto"/>
              <w:right w:val="single" w:sz="4" w:space="0" w:color="auto"/>
            </w:tcBorders>
            <w:hideMark/>
          </w:tcPr>
          <w:p w14:paraId="23F87C0C"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4.4</w:t>
            </w:r>
          </w:p>
        </w:tc>
        <w:tc>
          <w:tcPr>
            <w:tcW w:w="4851" w:type="dxa"/>
            <w:tcBorders>
              <w:top w:val="single" w:sz="4" w:space="0" w:color="auto"/>
              <w:left w:val="single" w:sz="4" w:space="0" w:color="auto"/>
              <w:bottom w:val="single" w:sz="4" w:space="0" w:color="auto"/>
              <w:right w:val="single" w:sz="4" w:space="0" w:color="auto"/>
            </w:tcBorders>
            <w:hideMark/>
          </w:tcPr>
          <w:p w14:paraId="0EBB9BCC"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Kat. FI</w:t>
            </w:r>
            <w:r w:rsidRPr="00BB6660">
              <w:rPr>
                <w:rFonts w:asciiTheme="minorHAnsi" w:hAnsiTheme="minorHAnsi" w:cstheme="minorHAnsi"/>
                <w:sz w:val="20"/>
                <w:szCs w:val="20"/>
                <w:vertAlign w:val="subscript"/>
              </w:rPr>
              <w:t>50</w:t>
            </w:r>
            <w:r w:rsidRPr="00BB6660">
              <w:rPr>
                <w:rFonts w:asciiTheme="minorHAnsi" w:hAnsiTheme="minorHAnsi" w:cstheme="minorHAnsi"/>
                <w:sz w:val="20"/>
                <w:szCs w:val="20"/>
              </w:rPr>
              <w:t xml:space="preserve"> (tj. </w:t>
            </w:r>
            <w:proofErr w:type="spellStart"/>
            <w:r w:rsidRPr="00BB6660">
              <w:rPr>
                <w:rFonts w:asciiTheme="minorHAnsi" w:hAnsiTheme="minorHAnsi" w:cstheme="minorHAnsi"/>
                <w:sz w:val="20"/>
                <w:szCs w:val="20"/>
              </w:rPr>
              <w:t>wsk</w:t>
            </w:r>
            <w:proofErr w:type="spellEnd"/>
            <w:r w:rsidRPr="00BB6660">
              <w:rPr>
                <w:rFonts w:asciiTheme="minorHAnsi" w:hAnsiTheme="minorHAnsi" w:cstheme="minorHAnsi"/>
                <w:sz w:val="20"/>
                <w:szCs w:val="20"/>
              </w:rPr>
              <w:t>. płaskości             ≤ 50)</w:t>
            </w:r>
          </w:p>
        </w:tc>
      </w:tr>
      <w:tr w:rsidR="00B81F7B" w:rsidRPr="00BB6660" w14:paraId="14849096" w14:textId="77777777">
        <w:tc>
          <w:tcPr>
            <w:tcW w:w="2376" w:type="dxa"/>
            <w:tcBorders>
              <w:top w:val="single" w:sz="4" w:space="0" w:color="auto"/>
              <w:left w:val="single" w:sz="4" w:space="0" w:color="auto"/>
              <w:bottom w:val="single" w:sz="4" w:space="0" w:color="auto"/>
              <w:right w:val="single" w:sz="4" w:space="0" w:color="auto"/>
            </w:tcBorders>
            <w:hideMark/>
          </w:tcPr>
          <w:p w14:paraId="2092709C"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Kształt kruszywa grubego – maksymalne wartości </w:t>
            </w:r>
            <w:proofErr w:type="spellStart"/>
            <w:r w:rsidRPr="00BB6660">
              <w:rPr>
                <w:rFonts w:asciiTheme="minorHAnsi" w:hAnsiTheme="minorHAnsi" w:cstheme="minorHAnsi"/>
                <w:sz w:val="20"/>
                <w:szCs w:val="20"/>
              </w:rPr>
              <w:t>wskaź</w:t>
            </w:r>
            <w:proofErr w:type="spellEnd"/>
            <w:r w:rsidRPr="00BB6660">
              <w:rPr>
                <w:rFonts w:asciiTheme="minorHAnsi" w:hAnsiTheme="minorHAnsi" w:cstheme="minorHAnsi"/>
                <w:sz w:val="20"/>
                <w:szCs w:val="20"/>
              </w:rPr>
              <w:t>-</w:t>
            </w:r>
            <w:r w:rsidRPr="00BB6660">
              <w:rPr>
                <w:rFonts w:asciiTheme="minorHAnsi" w:hAnsiTheme="minorHAnsi" w:cstheme="minorHAnsi"/>
                <w:sz w:val="20"/>
                <w:szCs w:val="20"/>
              </w:rPr>
              <w:br/>
            </w:r>
            <w:proofErr w:type="spellStart"/>
            <w:r w:rsidRPr="00BB6660">
              <w:rPr>
                <w:rFonts w:asciiTheme="minorHAnsi" w:hAnsiTheme="minorHAnsi" w:cstheme="minorHAnsi"/>
                <w:sz w:val="20"/>
                <w:szCs w:val="20"/>
              </w:rPr>
              <w:t>nika</w:t>
            </w:r>
            <w:proofErr w:type="spellEnd"/>
            <w:r w:rsidRPr="00BB6660">
              <w:rPr>
                <w:rFonts w:asciiTheme="minorHAnsi" w:hAnsiTheme="minorHAnsi" w:cstheme="minorHAnsi"/>
                <w:sz w:val="20"/>
                <w:szCs w:val="20"/>
              </w:rPr>
              <w:t xml:space="preserve"> kształtu</w:t>
            </w:r>
          </w:p>
        </w:tc>
        <w:tc>
          <w:tcPr>
            <w:tcW w:w="1276" w:type="dxa"/>
            <w:tcBorders>
              <w:top w:val="single" w:sz="4" w:space="0" w:color="auto"/>
              <w:left w:val="single" w:sz="4" w:space="0" w:color="auto"/>
              <w:bottom w:val="single" w:sz="4" w:space="0" w:color="auto"/>
              <w:right w:val="single" w:sz="4" w:space="0" w:color="auto"/>
            </w:tcBorders>
            <w:hideMark/>
          </w:tcPr>
          <w:p w14:paraId="2CF6E1F8"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PN-EN</w:t>
            </w:r>
          </w:p>
          <w:p w14:paraId="1647C402"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933-4</w:t>
            </w:r>
            <w:r w:rsidRPr="00BB6660">
              <w:rPr>
                <w:rFonts w:asciiTheme="minorHAnsi" w:hAnsiTheme="minorHAnsi" w:cstheme="minorHAnsi"/>
                <w:sz w:val="20"/>
                <w:szCs w:val="20"/>
                <w:vertAlign w:val="superscript"/>
              </w:rPr>
              <w:t>*)</w:t>
            </w:r>
            <w:r w:rsidRPr="00BB6660">
              <w:rPr>
                <w:rFonts w:asciiTheme="minorHAnsi" w:hAnsiTheme="minorHAnsi" w:cstheme="minorHAnsi"/>
                <w:sz w:val="20"/>
                <w:szCs w:val="20"/>
              </w:rPr>
              <w:t xml:space="preserve">  [8]</w:t>
            </w:r>
          </w:p>
        </w:tc>
        <w:tc>
          <w:tcPr>
            <w:tcW w:w="709" w:type="dxa"/>
            <w:tcBorders>
              <w:top w:val="single" w:sz="4" w:space="0" w:color="auto"/>
              <w:left w:val="single" w:sz="4" w:space="0" w:color="auto"/>
              <w:bottom w:val="single" w:sz="4" w:space="0" w:color="auto"/>
              <w:right w:val="single" w:sz="4" w:space="0" w:color="auto"/>
            </w:tcBorders>
            <w:hideMark/>
          </w:tcPr>
          <w:p w14:paraId="5A373D31"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4.4</w:t>
            </w:r>
          </w:p>
        </w:tc>
        <w:tc>
          <w:tcPr>
            <w:tcW w:w="4851" w:type="dxa"/>
            <w:tcBorders>
              <w:top w:val="single" w:sz="4" w:space="0" w:color="auto"/>
              <w:left w:val="single" w:sz="4" w:space="0" w:color="auto"/>
              <w:bottom w:val="single" w:sz="4" w:space="0" w:color="auto"/>
              <w:right w:val="single" w:sz="4" w:space="0" w:color="auto"/>
            </w:tcBorders>
            <w:hideMark/>
          </w:tcPr>
          <w:p w14:paraId="1433710C"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Kat. SI</w:t>
            </w:r>
            <w:r w:rsidRPr="00BB6660">
              <w:rPr>
                <w:rFonts w:asciiTheme="minorHAnsi" w:hAnsiTheme="minorHAnsi" w:cstheme="minorHAnsi"/>
                <w:sz w:val="20"/>
                <w:szCs w:val="20"/>
                <w:vertAlign w:val="subscript"/>
              </w:rPr>
              <w:t>50</w:t>
            </w:r>
            <w:r w:rsidRPr="00BB6660">
              <w:rPr>
                <w:rFonts w:asciiTheme="minorHAnsi" w:hAnsiTheme="minorHAnsi" w:cstheme="minorHAnsi"/>
                <w:sz w:val="20"/>
                <w:szCs w:val="20"/>
              </w:rPr>
              <w:t xml:space="preserve"> (tj. </w:t>
            </w:r>
            <w:proofErr w:type="spellStart"/>
            <w:r w:rsidRPr="00BB6660">
              <w:rPr>
                <w:rFonts w:asciiTheme="minorHAnsi" w:hAnsiTheme="minorHAnsi" w:cstheme="minorHAnsi"/>
                <w:sz w:val="20"/>
                <w:szCs w:val="20"/>
              </w:rPr>
              <w:t>wsk</w:t>
            </w:r>
            <w:proofErr w:type="spellEnd"/>
            <w:r w:rsidRPr="00BB6660">
              <w:rPr>
                <w:rFonts w:asciiTheme="minorHAnsi" w:hAnsiTheme="minorHAnsi" w:cstheme="minorHAnsi"/>
                <w:sz w:val="20"/>
                <w:szCs w:val="20"/>
              </w:rPr>
              <w:t>. kształtu ≤ 55)</w:t>
            </w:r>
          </w:p>
        </w:tc>
      </w:tr>
      <w:tr w:rsidR="00B81F7B" w:rsidRPr="00BB6660" w14:paraId="1C6E30DF" w14:textId="77777777">
        <w:tc>
          <w:tcPr>
            <w:tcW w:w="2376" w:type="dxa"/>
            <w:tcBorders>
              <w:top w:val="single" w:sz="4" w:space="0" w:color="auto"/>
              <w:left w:val="single" w:sz="4" w:space="0" w:color="auto"/>
              <w:bottom w:val="single" w:sz="4" w:space="0" w:color="auto"/>
              <w:right w:val="single" w:sz="4" w:space="0" w:color="auto"/>
            </w:tcBorders>
            <w:hideMark/>
          </w:tcPr>
          <w:p w14:paraId="3CAB78F3"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Kategorie procentowych za-</w:t>
            </w:r>
            <w:r w:rsidRPr="00BB6660">
              <w:rPr>
                <w:rFonts w:asciiTheme="minorHAnsi" w:hAnsiTheme="minorHAnsi" w:cstheme="minorHAnsi"/>
                <w:sz w:val="20"/>
                <w:szCs w:val="20"/>
              </w:rPr>
              <w:br/>
              <w:t>wartości ziaren o powierz-</w:t>
            </w:r>
            <w:r w:rsidRPr="00BB6660">
              <w:rPr>
                <w:rFonts w:asciiTheme="minorHAnsi" w:hAnsiTheme="minorHAnsi" w:cstheme="minorHAnsi"/>
                <w:sz w:val="20"/>
                <w:szCs w:val="20"/>
              </w:rPr>
              <w:br/>
            </w:r>
            <w:proofErr w:type="spellStart"/>
            <w:r w:rsidRPr="00BB6660">
              <w:rPr>
                <w:rFonts w:asciiTheme="minorHAnsi" w:hAnsiTheme="minorHAnsi" w:cstheme="minorHAnsi"/>
                <w:sz w:val="20"/>
                <w:szCs w:val="20"/>
              </w:rPr>
              <w:t>chniach</w:t>
            </w:r>
            <w:proofErr w:type="spellEnd"/>
            <w:r w:rsidRPr="00BB6660">
              <w:rPr>
                <w:rFonts w:asciiTheme="minorHAnsi" w:hAnsiTheme="minorHAnsi" w:cstheme="minorHAnsi"/>
                <w:sz w:val="20"/>
                <w:szCs w:val="20"/>
              </w:rPr>
              <w:t xml:space="preserve"> przekruszonych lub łamanych oraz ziaren całko-</w:t>
            </w:r>
            <w:r w:rsidRPr="00BB6660">
              <w:rPr>
                <w:rFonts w:asciiTheme="minorHAnsi" w:hAnsiTheme="minorHAnsi" w:cstheme="minorHAnsi"/>
                <w:sz w:val="20"/>
                <w:szCs w:val="20"/>
              </w:rPr>
              <w:br/>
              <w:t xml:space="preserve">wicie zaokrąglonych w </w:t>
            </w:r>
            <w:proofErr w:type="spellStart"/>
            <w:r w:rsidRPr="00BB6660">
              <w:rPr>
                <w:rFonts w:asciiTheme="minorHAnsi" w:hAnsiTheme="minorHAnsi" w:cstheme="minorHAnsi"/>
                <w:sz w:val="20"/>
                <w:szCs w:val="20"/>
              </w:rPr>
              <w:t>kru</w:t>
            </w:r>
            <w:proofErr w:type="spellEnd"/>
            <w:r w:rsidRPr="00BB6660">
              <w:rPr>
                <w:rFonts w:asciiTheme="minorHAnsi" w:hAnsiTheme="minorHAnsi" w:cstheme="minorHAnsi"/>
                <w:sz w:val="20"/>
                <w:szCs w:val="20"/>
              </w:rPr>
              <w:t>-</w:t>
            </w:r>
            <w:r w:rsidRPr="00BB6660">
              <w:rPr>
                <w:rFonts w:asciiTheme="minorHAnsi" w:hAnsiTheme="minorHAnsi" w:cstheme="minorHAnsi"/>
                <w:sz w:val="20"/>
                <w:szCs w:val="20"/>
              </w:rPr>
              <w:br/>
            </w:r>
            <w:proofErr w:type="spellStart"/>
            <w:r w:rsidRPr="00BB6660">
              <w:rPr>
                <w:rFonts w:asciiTheme="minorHAnsi" w:hAnsiTheme="minorHAnsi" w:cstheme="minorHAnsi"/>
                <w:sz w:val="20"/>
                <w:szCs w:val="20"/>
              </w:rPr>
              <w:t>szywie</w:t>
            </w:r>
            <w:proofErr w:type="spellEnd"/>
            <w:r w:rsidRPr="00BB6660">
              <w:rPr>
                <w:rFonts w:asciiTheme="minorHAnsi" w:hAnsiTheme="minorHAnsi" w:cstheme="minorHAnsi"/>
                <w:sz w:val="20"/>
                <w:szCs w:val="20"/>
              </w:rPr>
              <w:t xml:space="preserve"> grubym</w:t>
            </w:r>
          </w:p>
        </w:tc>
        <w:tc>
          <w:tcPr>
            <w:tcW w:w="1276" w:type="dxa"/>
            <w:tcBorders>
              <w:top w:val="single" w:sz="4" w:space="0" w:color="auto"/>
              <w:left w:val="single" w:sz="4" w:space="0" w:color="auto"/>
              <w:bottom w:val="single" w:sz="4" w:space="0" w:color="auto"/>
              <w:right w:val="single" w:sz="4" w:space="0" w:color="auto"/>
            </w:tcBorders>
            <w:hideMark/>
          </w:tcPr>
          <w:p w14:paraId="194BCD6F"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PN-EN</w:t>
            </w:r>
          </w:p>
          <w:p w14:paraId="0C14D5EC"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933-5    [9]</w:t>
            </w:r>
          </w:p>
        </w:tc>
        <w:tc>
          <w:tcPr>
            <w:tcW w:w="709" w:type="dxa"/>
            <w:tcBorders>
              <w:top w:val="single" w:sz="4" w:space="0" w:color="auto"/>
              <w:left w:val="single" w:sz="4" w:space="0" w:color="auto"/>
              <w:bottom w:val="single" w:sz="4" w:space="0" w:color="auto"/>
              <w:right w:val="single" w:sz="4" w:space="0" w:color="auto"/>
            </w:tcBorders>
            <w:hideMark/>
          </w:tcPr>
          <w:p w14:paraId="165F73DD"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4.5</w:t>
            </w:r>
          </w:p>
        </w:tc>
        <w:tc>
          <w:tcPr>
            <w:tcW w:w="4851" w:type="dxa"/>
            <w:tcBorders>
              <w:top w:val="single" w:sz="4" w:space="0" w:color="auto"/>
              <w:left w:val="single" w:sz="4" w:space="0" w:color="auto"/>
              <w:bottom w:val="single" w:sz="4" w:space="0" w:color="auto"/>
              <w:right w:val="single" w:sz="4" w:space="0" w:color="auto"/>
            </w:tcBorders>
            <w:hideMark/>
          </w:tcPr>
          <w:p w14:paraId="66EC9071"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Kat. C</w:t>
            </w:r>
            <w:r w:rsidRPr="00BB6660">
              <w:rPr>
                <w:rFonts w:asciiTheme="minorHAnsi" w:hAnsiTheme="minorHAnsi" w:cstheme="minorHAnsi"/>
                <w:sz w:val="20"/>
                <w:szCs w:val="20"/>
                <w:vertAlign w:val="subscript"/>
              </w:rPr>
              <w:t>NR</w:t>
            </w:r>
            <w:r w:rsidRPr="00BB6660">
              <w:rPr>
                <w:rFonts w:asciiTheme="minorHAnsi" w:hAnsiTheme="minorHAnsi" w:cstheme="minorHAnsi"/>
                <w:sz w:val="20"/>
                <w:szCs w:val="20"/>
              </w:rPr>
              <w:t xml:space="preserve"> (tj. brak wymagania)</w:t>
            </w:r>
          </w:p>
        </w:tc>
      </w:tr>
      <w:tr w:rsidR="00B81F7B" w:rsidRPr="00BB6660" w14:paraId="5F30E7F0" w14:textId="77777777">
        <w:tc>
          <w:tcPr>
            <w:tcW w:w="2376" w:type="dxa"/>
            <w:tcBorders>
              <w:top w:val="single" w:sz="4" w:space="0" w:color="auto"/>
              <w:left w:val="single" w:sz="4" w:space="0" w:color="auto"/>
              <w:bottom w:val="single" w:sz="4" w:space="0" w:color="auto"/>
              <w:right w:val="single" w:sz="4" w:space="0" w:color="auto"/>
            </w:tcBorders>
            <w:hideMark/>
          </w:tcPr>
          <w:p w14:paraId="4A558B1E"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Zawartość pyłów</w:t>
            </w:r>
            <w:r w:rsidRPr="00BB6660">
              <w:rPr>
                <w:rFonts w:asciiTheme="minorHAnsi" w:hAnsiTheme="minorHAnsi" w:cstheme="minorHAnsi"/>
                <w:sz w:val="20"/>
                <w:szCs w:val="20"/>
                <w:vertAlign w:val="superscript"/>
              </w:rPr>
              <w:t>**)</w:t>
            </w:r>
            <w:r w:rsidRPr="00BB6660">
              <w:rPr>
                <w:rFonts w:asciiTheme="minorHAnsi" w:hAnsiTheme="minorHAnsi" w:cstheme="minorHAnsi"/>
                <w:sz w:val="20"/>
                <w:szCs w:val="20"/>
              </w:rPr>
              <w:t xml:space="preserve"> w </w:t>
            </w:r>
            <w:proofErr w:type="spellStart"/>
            <w:r w:rsidRPr="00BB6660">
              <w:rPr>
                <w:rFonts w:asciiTheme="minorHAnsi" w:hAnsiTheme="minorHAnsi" w:cstheme="minorHAnsi"/>
                <w:sz w:val="20"/>
                <w:szCs w:val="20"/>
              </w:rPr>
              <w:t>kru</w:t>
            </w:r>
            <w:proofErr w:type="spellEnd"/>
            <w:r w:rsidRPr="00BB6660">
              <w:rPr>
                <w:rFonts w:asciiTheme="minorHAnsi" w:hAnsiTheme="minorHAnsi" w:cstheme="minorHAnsi"/>
                <w:sz w:val="20"/>
                <w:szCs w:val="20"/>
              </w:rPr>
              <w:t>-</w:t>
            </w:r>
            <w:r w:rsidRPr="00BB6660">
              <w:rPr>
                <w:rFonts w:asciiTheme="minorHAnsi" w:hAnsiTheme="minorHAnsi" w:cstheme="minorHAnsi"/>
                <w:sz w:val="20"/>
                <w:szCs w:val="20"/>
              </w:rPr>
              <w:br/>
            </w:r>
            <w:proofErr w:type="spellStart"/>
            <w:r w:rsidRPr="00BB6660">
              <w:rPr>
                <w:rFonts w:asciiTheme="minorHAnsi" w:hAnsiTheme="minorHAnsi" w:cstheme="minorHAnsi"/>
                <w:sz w:val="20"/>
                <w:szCs w:val="20"/>
              </w:rPr>
              <w:t>szywie</w:t>
            </w:r>
            <w:proofErr w:type="spellEnd"/>
            <w:r w:rsidRPr="00BB6660">
              <w:rPr>
                <w:rFonts w:asciiTheme="minorHAnsi" w:hAnsiTheme="minorHAnsi" w:cstheme="minorHAnsi"/>
                <w:sz w:val="20"/>
                <w:szCs w:val="20"/>
              </w:rPr>
              <w:t xml:space="preserve"> grubym</w:t>
            </w:r>
          </w:p>
        </w:tc>
        <w:tc>
          <w:tcPr>
            <w:tcW w:w="1276" w:type="dxa"/>
            <w:tcBorders>
              <w:top w:val="single" w:sz="4" w:space="0" w:color="auto"/>
              <w:left w:val="single" w:sz="4" w:space="0" w:color="auto"/>
              <w:bottom w:val="single" w:sz="4" w:space="0" w:color="auto"/>
              <w:right w:val="single" w:sz="4" w:space="0" w:color="auto"/>
            </w:tcBorders>
            <w:hideMark/>
          </w:tcPr>
          <w:p w14:paraId="4EC6C8E7"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PN-EN</w:t>
            </w:r>
          </w:p>
          <w:p w14:paraId="3B1618F0"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933-1 [6]</w:t>
            </w:r>
          </w:p>
        </w:tc>
        <w:tc>
          <w:tcPr>
            <w:tcW w:w="709" w:type="dxa"/>
            <w:tcBorders>
              <w:top w:val="single" w:sz="4" w:space="0" w:color="auto"/>
              <w:left w:val="single" w:sz="4" w:space="0" w:color="auto"/>
              <w:bottom w:val="single" w:sz="4" w:space="0" w:color="auto"/>
              <w:right w:val="single" w:sz="4" w:space="0" w:color="auto"/>
            </w:tcBorders>
            <w:hideMark/>
          </w:tcPr>
          <w:p w14:paraId="59C792EA"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4.6</w:t>
            </w:r>
          </w:p>
        </w:tc>
        <w:tc>
          <w:tcPr>
            <w:tcW w:w="4851" w:type="dxa"/>
            <w:tcBorders>
              <w:top w:val="single" w:sz="4" w:space="0" w:color="auto"/>
              <w:left w:val="single" w:sz="4" w:space="0" w:color="auto"/>
              <w:bottom w:val="single" w:sz="4" w:space="0" w:color="auto"/>
              <w:right w:val="single" w:sz="4" w:space="0" w:color="auto"/>
            </w:tcBorders>
            <w:hideMark/>
          </w:tcPr>
          <w:p w14:paraId="585C1225"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Kat. </w:t>
            </w:r>
            <w:proofErr w:type="spellStart"/>
            <w:r w:rsidRPr="00BB6660">
              <w:rPr>
                <w:rFonts w:asciiTheme="minorHAnsi" w:hAnsiTheme="minorHAnsi" w:cstheme="minorHAnsi"/>
                <w:sz w:val="20"/>
                <w:szCs w:val="20"/>
              </w:rPr>
              <w:t>f</w:t>
            </w:r>
            <w:r w:rsidRPr="00BB6660">
              <w:rPr>
                <w:rFonts w:asciiTheme="minorHAnsi" w:hAnsiTheme="minorHAnsi" w:cstheme="minorHAnsi"/>
                <w:sz w:val="20"/>
                <w:szCs w:val="20"/>
                <w:vertAlign w:val="subscript"/>
              </w:rPr>
              <w:t>Dekl</w:t>
            </w:r>
            <w:proofErr w:type="spellEnd"/>
            <w:r w:rsidRPr="00BB6660">
              <w:rPr>
                <w:rFonts w:asciiTheme="minorHAnsi" w:hAnsiTheme="minorHAnsi" w:cstheme="minorHAnsi"/>
                <w:sz w:val="20"/>
                <w:szCs w:val="20"/>
              </w:rPr>
              <w:t xml:space="preserve">  (tj. masa frakcji przechodzącej przez sito 0,063 mm jest &gt; 4)</w:t>
            </w:r>
          </w:p>
        </w:tc>
      </w:tr>
      <w:tr w:rsidR="00B81F7B" w:rsidRPr="00BB6660" w14:paraId="3CB7FB6C" w14:textId="77777777">
        <w:tc>
          <w:tcPr>
            <w:tcW w:w="2376" w:type="dxa"/>
            <w:tcBorders>
              <w:top w:val="single" w:sz="4" w:space="0" w:color="auto"/>
              <w:left w:val="single" w:sz="4" w:space="0" w:color="auto"/>
              <w:bottom w:val="single" w:sz="4" w:space="0" w:color="auto"/>
              <w:right w:val="single" w:sz="4" w:space="0" w:color="auto"/>
            </w:tcBorders>
            <w:hideMark/>
          </w:tcPr>
          <w:p w14:paraId="723EBB80" w14:textId="344D913A"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Zawartość pyłów</w:t>
            </w:r>
            <w:r w:rsidRPr="00BB6660">
              <w:rPr>
                <w:rFonts w:asciiTheme="minorHAnsi" w:hAnsiTheme="minorHAnsi" w:cstheme="minorHAnsi"/>
                <w:sz w:val="20"/>
                <w:szCs w:val="20"/>
                <w:vertAlign w:val="superscript"/>
              </w:rPr>
              <w:t xml:space="preserve">**)  </w:t>
            </w:r>
            <w:r w:rsidRPr="00BB6660">
              <w:rPr>
                <w:rFonts w:asciiTheme="minorHAnsi" w:hAnsiTheme="minorHAnsi" w:cstheme="minorHAnsi"/>
                <w:sz w:val="20"/>
                <w:szCs w:val="20"/>
              </w:rPr>
              <w:t xml:space="preserve"> </w:t>
            </w:r>
            <w:r w:rsidR="004F465D" w:rsidRPr="00BB6660">
              <w:rPr>
                <w:rFonts w:asciiTheme="minorHAnsi" w:hAnsiTheme="minorHAnsi" w:cstheme="minorHAnsi"/>
                <w:sz w:val="20"/>
                <w:szCs w:val="20"/>
              </w:rPr>
              <w:t xml:space="preserve">w </w:t>
            </w:r>
            <w:proofErr w:type="spellStart"/>
            <w:r w:rsidR="004F465D" w:rsidRPr="00BB6660">
              <w:rPr>
                <w:rFonts w:asciiTheme="minorHAnsi" w:hAnsiTheme="minorHAnsi" w:cstheme="minorHAnsi"/>
                <w:sz w:val="20"/>
                <w:szCs w:val="20"/>
              </w:rPr>
              <w:t>kru</w:t>
            </w:r>
            <w:proofErr w:type="spellEnd"/>
            <w:r w:rsidRPr="00BB6660">
              <w:rPr>
                <w:rFonts w:asciiTheme="minorHAnsi" w:hAnsiTheme="minorHAnsi" w:cstheme="minorHAnsi"/>
                <w:sz w:val="20"/>
                <w:szCs w:val="20"/>
              </w:rPr>
              <w:t>-</w:t>
            </w:r>
          </w:p>
          <w:p w14:paraId="6BAC0B1E" w14:textId="77777777" w:rsidR="00B81F7B" w:rsidRPr="00BB6660" w:rsidRDefault="00B81F7B" w:rsidP="00BB6660">
            <w:pPr>
              <w:pStyle w:val="Bezodstpw"/>
              <w:ind w:firstLine="0"/>
              <w:rPr>
                <w:rFonts w:asciiTheme="minorHAnsi" w:hAnsiTheme="minorHAnsi" w:cstheme="minorHAnsi"/>
                <w:sz w:val="20"/>
                <w:szCs w:val="20"/>
              </w:rPr>
            </w:pPr>
            <w:proofErr w:type="spellStart"/>
            <w:r w:rsidRPr="00BB6660">
              <w:rPr>
                <w:rFonts w:asciiTheme="minorHAnsi" w:hAnsiTheme="minorHAnsi" w:cstheme="minorHAnsi"/>
                <w:sz w:val="20"/>
                <w:szCs w:val="20"/>
              </w:rPr>
              <w:t>szywie</w:t>
            </w:r>
            <w:proofErr w:type="spellEnd"/>
            <w:r w:rsidRPr="00BB6660">
              <w:rPr>
                <w:rFonts w:asciiTheme="minorHAnsi" w:hAnsiTheme="minorHAnsi" w:cstheme="minorHAnsi"/>
                <w:sz w:val="20"/>
                <w:szCs w:val="20"/>
              </w:rPr>
              <w:t xml:space="preserve"> drobnym</w:t>
            </w:r>
          </w:p>
        </w:tc>
        <w:tc>
          <w:tcPr>
            <w:tcW w:w="1276" w:type="dxa"/>
            <w:tcBorders>
              <w:top w:val="single" w:sz="4" w:space="0" w:color="auto"/>
              <w:left w:val="single" w:sz="4" w:space="0" w:color="auto"/>
              <w:bottom w:val="single" w:sz="4" w:space="0" w:color="auto"/>
              <w:right w:val="single" w:sz="4" w:space="0" w:color="auto"/>
            </w:tcBorders>
            <w:hideMark/>
          </w:tcPr>
          <w:p w14:paraId="42337436"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PN-EN   </w:t>
            </w:r>
          </w:p>
          <w:p w14:paraId="4AFE0E43"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933-1 [6] </w:t>
            </w:r>
          </w:p>
        </w:tc>
        <w:tc>
          <w:tcPr>
            <w:tcW w:w="709" w:type="dxa"/>
            <w:tcBorders>
              <w:top w:val="single" w:sz="4" w:space="0" w:color="auto"/>
              <w:left w:val="single" w:sz="4" w:space="0" w:color="auto"/>
              <w:bottom w:val="single" w:sz="4" w:space="0" w:color="auto"/>
              <w:right w:val="single" w:sz="4" w:space="0" w:color="auto"/>
            </w:tcBorders>
            <w:hideMark/>
          </w:tcPr>
          <w:p w14:paraId="0F760798"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4.6</w:t>
            </w:r>
          </w:p>
        </w:tc>
        <w:tc>
          <w:tcPr>
            <w:tcW w:w="4851" w:type="dxa"/>
            <w:tcBorders>
              <w:top w:val="single" w:sz="4" w:space="0" w:color="auto"/>
              <w:left w:val="single" w:sz="4" w:space="0" w:color="auto"/>
              <w:bottom w:val="single" w:sz="4" w:space="0" w:color="auto"/>
              <w:right w:val="single" w:sz="4" w:space="0" w:color="auto"/>
            </w:tcBorders>
            <w:hideMark/>
          </w:tcPr>
          <w:p w14:paraId="3E0E113C"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Kat. </w:t>
            </w:r>
            <w:proofErr w:type="spellStart"/>
            <w:r w:rsidRPr="00BB6660">
              <w:rPr>
                <w:rFonts w:asciiTheme="minorHAnsi" w:hAnsiTheme="minorHAnsi" w:cstheme="minorHAnsi"/>
                <w:sz w:val="20"/>
                <w:szCs w:val="20"/>
              </w:rPr>
              <w:t>f</w:t>
            </w:r>
            <w:r w:rsidRPr="00BB6660">
              <w:rPr>
                <w:rFonts w:asciiTheme="minorHAnsi" w:hAnsiTheme="minorHAnsi" w:cstheme="minorHAnsi"/>
                <w:sz w:val="20"/>
                <w:szCs w:val="20"/>
                <w:vertAlign w:val="subscript"/>
              </w:rPr>
              <w:t>Dekl</w:t>
            </w:r>
            <w:proofErr w:type="spellEnd"/>
            <w:r w:rsidRPr="00BB6660">
              <w:rPr>
                <w:rFonts w:asciiTheme="minorHAnsi" w:hAnsiTheme="minorHAnsi" w:cstheme="minorHAnsi"/>
                <w:sz w:val="20"/>
                <w:szCs w:val="20"/>
              </w:rPr>
              <w:t xml:space="preserve">  (tj. masa frakcji przechodzącej przez sito 0,063 mm jest &gt; 22)</w:t>
            </w:r>
          </w:p>
        </w:tc>
      </w:tr>
      <w:tr w:rsidR="00B81F7B" w:rsidRPr="00BB6660" w14:paraId="5454A232" w14:textId="77777777">
        <w:tc>
          <w:tcPr>
            <w:tcW w:w="2376" w:type="dxa"/>
            <w:tcBorders>
              <w:top w:val="single" w:sz="4" w:space="0" w:color="auto"/>
              <w:left w:val="single" w:sz="4" w:space="0" w:color="auto"/>
              <w:bottom w:val="single" w:sz="4" w:space="0" w:color="auto"/>
              <w:right w:val="single" w:sz="4" w:space="0" w:color="auto"/>
            </w:tcBorders>
            <w:hideMark/>
          </w:tcPr>
          <w:p w14:paraId="793522CA"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Jakość pyłów</w:t>
            </w:r>
          </w:p>
        </w:tc>
        <w:tc>
          <w:tcPr>
            <w:tcW w:w="1276" w:type="dxa"/>
            <w:tcBorders>
              <w:top w:val="single" w:sz="4" w:space="0" w:color="auto"/>
              <w:left w:val="single" w:sz="4" w:space="0" w:color="auto"/>
              <w:bottom w:val="single" w:sz="4" w:space="0" w:color="auto"/>
              <w:right w:val="single" w:sz="4" w:space="0" w:color="auto"/>
            </w:tcBorders>
            <w:hideMark/>
          </w:tcPr>
          <w:p w14:paraId="0684A74E"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w:t>
            </w:r>
          </w:p>
        </w:tc>
        <w:tc>
          <w:tcPr>
            <w:tcW w:w="709" w:type="dxa"/>
            <w:tcBorders>
              <w:top w:val="single" w:sz="4" w:space="0" w:color="auto"/>
              <w:left w:val="single" w:sz="4" w:space="0" w:color="auto"/>
              <w:bottom w:val="single" w:sz="4" w:space="0" w:color="auto"/>
              <w:right w:val="single" w:sz="4" w:space="0" w:color="auto"/>
            </w:tcBorders>
            <w:hideMark/>
          </w:tcPr>
          <w:p w14:paraId="2A1321FF"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4.7</w:t>
            </w:r>
          </w:p>
        </w:tc>
        <w:tc>
          <w:tcPr>
            <w:tcW w:w="4851" w:type="dxa"/>
            <w:tcBorders>
              <w:top w:val="single" w:sz="4" w:space="0" w:color="auto"/>
              <w:left w:val="single" w:sz="4" w:space="0" w:color="auto"/>
              <w:bottom w:val="single" w:sz="4" w:space="0" w:color="auto"/>
              <w:right w:val="single" w:sz="4" w:space="0" w:color="auto"/>
            </w:tcBorders>
            <w:hideMark/>
          </w:tcPr>
          <w:p w14:paraId="3B0BF221"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Brak wymagań</w:t>
            </w:r>
          </w:p>
        </w:tc>
      </w:tr>
      <w:tr w:rsidR="00B81F7B" w:rsidRPr="00BB6660" w14:paraId="2BBC617C" w14:textId="77777777">
        <w:tc>
          <w:tcPr>
            <w:tcW w:w="2376" w:type="dxa"/>
            <w:tcBorders>
              <w:top w:val="single" w:sz="4" w:space="0" w:color="auto"/>
              <w:left w:val="single" w:sz="4" w:space="0" w:color="auto"/>
              <w:bottom w:val="single" w:sz="4" w:space="0" w:color="auto"/>
              <w:right w:val="single" w:sz="4" w:space="0" w:color="auto"/>
            </w:tcBorders>
            <w:hideMark/>
          </w:tcPr>
          <w:p w14:paraId="4DDF3992"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Odporność na rozdrabnianie kruszywa grubego</w:t>
            </w:r>
          </w:p>
        </w:tc>
        <w:tc>
          <w:tcPr>
            <w:tcW w:w="1276" w:type="dxa"/>
            <w:tcBorders>
              <w:top w:val="single" w:sz="4" w:space="0" w:color="auto"/>
              <w:left w:val="single" w:sz="4" w:space="0" w:color="auto"/>
              <w:bottom w:val="single" w:sz="4" w:space="0" w:color="auto"/>
              <w:right w:val="single" w:sz="4" w:space="0" w:color="auto"/>
            </w:tcBorders>
            <w:hideMark/>
          </w:tcPr>
          <w:p w14:paraId="07B074FA"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PN-EN </w:t>
            </w:r>
          </w:p>
          <w:p w14:paraId="1784539E"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1097-2 [13] </w:t>
            </w:r>
          </w:p>
        </w:tc>
        <w:tc>
          <w:tcPr>
            <w:tcW w:w="709" w:type="dxa"/>
            <w:tcBorders>
              <w:top w:val="single" w:sz="4" w:space="0" w:color="auto"/>
              <w:left w:val="single" w:sz="4" w:space="0" w:color="auto"/>
              <w:bottom w:val="single" w:sz="4" w:space="0" w:color="auto"/>
              <w:right w:val="single" w:sz="4" w:space="0" w:color="auto"/>
            </w:tcBorders>
            <w:hideMark/>
          </w:tcPr>
          <w:p w14:paraId="4A88A219"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5.2</w:t>
            </w:r>
          </w:p>
        </w:tc>
        <w:tc>
          <w:tcPr>
            <w:tcW w:w="4851" w:type="dxa"/>
            <w:tcBorders>
              <w:top w:val="single" w:sz="4" w:space="0" w:color="auto"/>
              <w:left w:val="single" w:sz="4" w:space="0" w:color="auto"/>
              <w:bottom w:val="single" w:sz="4" w:space="0" w:color="auto"/>
              <w:right w:val="single" w:sz="4" w:space="0" w:color="auto"/>
            </w:tcBorders>
            <w:hideMark/>
          </w:tcPr>
          <w:p w14:paraId="76BF80C8" w14:textId="77777777" w:rsidR="00B81F7B" w:rsidRPr="00BB6660" w:rsidRDefault="00B81F7B" w:rsidP="00BB6660">
            <w:pPr>
              <w:pStyle w:val="Bezodstpw"/>
              <w:ind w:firstLine="0"/>
              <w:rPr>
                <w:rFonts w:asciiTheme="minorHAnsi" w:hAnsiTheme="minorHAnsi" w:cstheme="minorHAnsi"/>
                <w:sz w:val="20"/>
                <w:szCs w:val="20"/>
                <w:lang w:val="en-US"/>
              </w:rPr>
            </w:pPr>
            <w:r w:rsidRPr="00BB6660">
              <w:rPr>
                <w:rFonts w:asciiTheme="minorHAnsi" w:hAnsiTheme="minorHAnsi" w:cstheme="minorHAnsi"/>
                <w:sz w:val="20"/>
                <w:szCs w:val="20"/>
                <w:lang w:val="en-US"/>
              </w:rPr>
              <w:t>Kat. LA</w:t>
            </w:r>
            <w:r w:rsidRPr="00BB6660">
              <w:rPr>
                <w:rFonts w:asciiTheme="minorHAnsi" w:hAnsiTheme="minorHAnsi" w:cstheme="minorHAnsi"/>
                <w:sz w:val="20"/>
                <w:szCs w:val="20"/>
                <w:vertAlign w:val="subscript"/>
                <w:lang w:val="en-US"/>
              </w:rPr>
              <w:t>50</w:t>
            </w:r>
            <w:r w:rsidRPr="00BB6660">
              <w:rPr>
                <w:rFonts w:asciiTheme="minorHAnsi" w:hAnsiTheme="minorHAnsi" w:cstheme="minorHAnsi"/>
                <w:sz w:val="20"/>
                <w:szCs w:val="20"/>
                <w:lang w:val="en-US"/>
              </w:rPr>
              <w:t xml:space="preserve"> (</w:t>
            </w:r>
            <w:proofErr w:type="spellStart"/>
            <w:r w:rsidRPr="00BB6660">
              <w:rPr>
                <w:rFonts w:asciiTheme="minorHAnsi" w:hAnsiTheme="minorHAnsi" w:cstheme="minorHAnsi"/>
                <w:sz w:val="20"/>
                <w:szCs w:val="20"/>
                <w:lang w:val="en-US"/>
              </w:rPr>
              <w:t>tj</w:t>
            </w:r>
            <w:proofErr w:type="spellEnd"/>
            <w:r w:rsidRPr="00BB6660">
              <w:rPr>
                <w:rFonts w:asciiTheme="minorHAnsi" w:hAnsiTheme="minorHAnsi" w:cstheme="minorHAnsi"/>
                <w:sz w:val="20"/>
                <w:szCs w:val="20"/>
                <w:lang w:val="en-US"/>
              </w:rPr>
              <w:t xml:space="preserve">. </w:t>
            </w:r>
            <w:proofErr w:type="spellStart"/>
            <w:r w:rsidRPr="00BB6660">
              <w:rPr>
                <w:rFonts w:asciiTheme="minorHAnsi" w:hAnsiTheme="minorHAnsi" w:cstheme="minorHAnsi"/>
                <w:sz w:val="20"/>
                <w:szCs w:val="20"/>
                <w:lang w:val="en-US"/>
              </w:rPr>
              <w:t>wsp</w:t>
            </w:r>
            <w:proofErr w:type="spellEnd"/>
            <w:r w:rsidRPr="00BB6660">
              <w:rPr>
                <w:rFonts w:asciiTheme="minorHAnsi" w:hAnsiTheme="minorHAnsi" w:cstheme="minorHAnsi"/>
                <w:sz w:val="20"/>
                <w:szCs w:val="20"/>
                <w:lang w:val="en-US"/>
              </w:rPr>
              <w:t>. Los Angeles jest ≤ 50)</w:t>
            </w:r>
          </w:p>
        </w:tc>
      </w:tr>
      <w:tr w:rsidR="00B81F7B" w:rsidRPr="00BB6660" w14:paraId="7B6E48D9" w14:textId="77777777">
        <w:tc>
          <w:tcPr>
            <w:tcW w:w="2376" w:type="dxa"/>
            <w:tcBorders>
              <w:top w:val="single" w:sz="4" w:space="0" w:color="auto"/>
              <w:left w:val="single" w:sz="4" w:space="0" w:color="auto"/>
              <w:bottom w:val="single" w:sz="4" w:space="0" w:color="auto"/>
              <w:right w:val="single" w:sz="4" w:space="0" w:color="auto"/>
            </w:tcBorders>
            <w:hideMark/>
          </w:tcPr>
          <w:p w14:paraId="74F48A04"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Odporność na ścieranie</w:t>
            </w:r>
          </w:p>
        </w:tc>
        <w:tc>
          <w:tcPr>
            <w:tcW w:w="1276" w:type="dxa"/>
            <w:tcBorders>
              <w:top w:val="single" w:sz="4" w:space="0" w:color="auto"/>
              <w:left w:val="single" w:sz="4" w:space="0" w:color="auto"/>
              <w:bottom w:val="single" w:sz="4" w:space="0" w:color="auto"/>
              <w:right w:val="single" w:sz="4" w:space="0" w:color="auto"/>
            </w:tcBorders>
            <w:hideMark/>
          </w:tcPr>
          <w:p w14:paraId="645FAF97"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PN-EN  </w:t>
            </w:r>
          </w:p>
          <w:p w14:paraId="45E022AD"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1097-1 [12] </w:t>
            </w:r>
          </w:p>
        </w:tc>
        <w:tc>
          <w:tcPr>
            <w:tcW w:w="709" w:type="dxa"/>
            <w:tcBorders>
              <w:top w:val="single" w:sz="4" w:space="0" w:color="auto"/>
              <w:left w:val="single" w:sz="4" w:space="0" w:color="auto"/>
              <w:bottom w:val="single" w:sz="4" w:space="0" w:color="auto"/>
              <w:right w:val="single" w:sz="4" w:space="0" w:color="auto"/>
            </w:tcBorders>
            <w:hideMark/>
          </w:tcPr>
          <w:p w14:paraId="429F1320"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5.3</w:t>
            </w:r>
          </w:p>
        </w:tc>
        <w:tc>
          <w:tcPr>
            <w:tcW w:w="4851" w:type="dxa"/>
            <w:tcBorders>
              <w:top w:val="single" w:sz="4" w:space="0" w:color="auto"/>
              <w:left w:val="single" w:sz="4" w:space="0" w:color="auto"/>
              <w:bottom w:val="single" w:sz="4" w:space="0" w:color="auto"/>
              <w:right w:val="single" w:sz="4" w:space="0" w:color="auto"/>
            </w:tcBorders>
            <w:hideMark/>
          </w:tcPr>
          <w:p w14:paraId="6BAD8904"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Kat. M</w:t>
            </w:r>
            <w:r w:rsidRPr="00BB6660">
              <w:rPr>
                <w:rFonts w:asciiTheme="minorHAnsi" w:hAnsiTheme="minorHAnsi" w:cstheme="minorHAnsi"/>
                <w:sz w:val="20"/>
                <w:szCs w:val="20"/>
                <w:vertAlign w:val="subscript"/>
              </w:rPr>
              <w:t>DE</w:t>
            </w:r>
            <w:r w:rsidRPr="00BB6660">
              <w:rPr>
                <w:rFonts w:asciiTheme="minorHAnsi" w:hAnsiTheme="minorHAnsi" w:cstheme="minorHAnsi"/>
                <w:sz w:val="20"/>
                <w:szCs w:val="20"/>
              </w:rPr>
              <w:t>NR (tj. brak wymagania)</w:t>
            </w:r>
          </w:p>
        </w:tc>
      </w:tr>
      <w:tr w:rsidR="00B81F7B" w:rsidRPr="00BB6660" w14:paraId="654B38F6" w14:textId="77777777">
        <w:tc>
          <w:tcPr>
            <w:tcW w:w="2376" w:type="dxa"/>
            <w:tcBorders>
              <w:top w:val="single" w:sz="4" w:space="0" w:color="auto"/>
              <w:left w:val="single" w:sz="4" w:space="0" w:color="auto"/>
              <w:bottom w:val="single" w:sz="4" w:space="0" w:color="auto"/>
              <w:right w:val="single" w:sz="4" w:space="0" w:color="auto"/>
            </w:tcBorders>
            <w:hideMark/>
          </w:tcPr>
          <w:p w14:paraId="50EDAA56"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Gęstość ziaren</w:t>
            </w:r>
          </w:p>
        </w:tc>
        <w:tc>
          <w:tcPr>
            <w:tcW w:w="1276" w:type="dxa"/>
            <w:tcBorders>
              <w:top w:val="single" w:sz="4" w:space="0" w:color="auto"/>
              <w:left w:val="single" w:sz="4" w:space="0" w:color="auto"/>
              <w:bottom w:val="single" w:sz="4" w:space="0" w:color="auto"/>
              <w:right w:val="single" w:sz="4" w:space="0" w:color="auto"/>
            </w:tcBorders>
            <w:hideMark/>
          </w:tcPr>
          <w:p w14:paraId="48AC88AC"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PN-EN 1097-6, </w:t>
            </w:r>
            <w:proofErr w:type="spellStart"/>
            <w:r w:rsidRPr="00BB6660">
              <w:rPr>
                <w:rFonts w:asciiTheme="minorHAnsi" w:hAnsiTheme="minorHAnsi" w:cstheme="minorHAnsi"/>
                <w:sz w:val="20"/>
                <w:szCs w:val="20"/>
              </w:rPr>
              <w:t>roz</w:t>
            </w:r>
            <w:proofErr w:type="spellEnd"/>
            <w:r w:rsidRPr="00BB6660">
              <w:rPr>
                <w:rFonts w:asciiTheme="minorHAnsi" w:hAnsiTheme="minorHAnsi" w:cstheme="minorHAnsi"/>
                <w:sz w:val="20"/>
                <w:szCs w:val="20"/>
              </w:rPr>
              <w:t>. 7, 8 i 9  [14]</w:t>
            </w:r>
          </w:p>
        </w:tc>
        <w:tc>
          <w:tcPr>
            <w:tcW w:w="709" w:type="dxa"/>
            <w:tcBorders>
              <w:top w:val="single" w:sz="4" w:space="0" w:color="auto"/>
              <w:left w:val="single" w:sz="4" w:space="0" w:color="auto"/>
              <w:bottom w:val="single" w:sz="4" w:space="0" w:color="auto"/>
              <w:right w:val="single" w:sz="4" w:space="0" w:color="auto"/>
            </w:tcBorders>
            <w:hideMark/>
          </w:tcPr>
          <w:p w14:paraId="1E0409C0"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5.4</w:t>
            </w:r>
          </w:p>
        </w:tc>
        <w:tc>
          <w:tcPr>
            <w:tcW w:w="4851" w:type="dxa"/>
            <w:tcBorders>
              <w:top w:val="single" w:sz="4" w:space="0" w:color="auto"/>
              <w:left w:val="single" w:sz="4" w:space="0" w:color="auto"/>
              <w:bottom w:val="single" w:sz="4" w:space="0" w:color="auto"/>
              <w:right w:val="single" w:sz="4" w:space="0" w:color="auto"/>
            </w:tcBorders>
            <w:hideMark/>
          </w:tcPr>
          <w:p w14:paraId="1BF6C75F"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Deklarowana</w:t>
            </w:r>
          </w:p>
        </w:tc>
      </w:tr>
      <w:tr w:rsidR="00B81F7B" w:rsidRPr="00BB6660" w14:paraId="792BBA1A" w14:textId="77777777">
        <w:tc>
          <w:tcPr>
            <w:tcW w:w="2376" w:type="dxa"/>
            <w:tcBorders>
              <w:top w:val="single" w:sz="4" w:space="0" w:color="auto"/>
              <w:left w:val="single" w:sz="4" w:space="0" w:color="auto"/>
              <w:bottom w:val="single" w:sz="4" w:space="0" w:color="auto"/>
              <w:right w:val="single" w:sz="4" w:space="0" w:color="auto"/>
            </w:tcBorders>
            <w:hideMark/>
          </w:tcPr>
          <w:p w14:paraId="11D53114"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Nasiąkliwość</w:t>
            </w:r>
          </w:p>
        </w:tc>
        <w:tc>
          <w:tcPr>
            <w:tcW w:w="1276" w:type="dxa"/>
            <w:tcBorders>
              <w:top w:val="single" w:sz="4" w:space="0" w:color="auto"/>
              <w:left w:val="single" w:sz="4" w:space="0" w:color="auto"/>
              <w:bottom w:val="single" w:sz="4" w:space="0" w:color="auto"/>
              <w:right w:val="single" w:sz="4" w:space="0" w:color="auto"/>
            </w:tcBorders>
            <w:hideMark/>
          </w:tcPr>
          <w:p w14:paraId="3AC87B79"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PN-EN 1097-</w:t>
            </w:r>
          </w:p>
          <w:p w14:paraId="38359511"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6, </w:t>
            </w:r>
            <w:proofErr w:type="spellStart"/>
            <w:r w:rsidRPr="00BB6660">
              <w:rPr>
                <w:rFonts w:asciiTheme="minorHAnsi" w:hAnsiTheme="minorHAnsi" w:cstheme="minorHAnsi"/>
                <w:sz w:val="20"/>
                <w:szCs w:val="20"/>
              </w:rPr>
              <w:t>roz</w:t>
            </w:r>
            <w:proofErr w:type="spellEnd"/>
            <w:r w:rsidRPr="00BB6660">
              <w:rPr>
                <w:rFonts w:asciiTheme="minorHAnsi" w:hAnsiTheme="minorHAnsi" w:cstheme="minorHAnsi"/>
                <w:sz w:val="20"/>
                <w:szCs w:val="20"/>
              </w:rPr>
              <w:t>. 7, 8 i 9</w:t>
            </w:r>
          </w:p>
          <w:p w14:paraId="7AA48B48"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[14]</w:t>
            </w:r>
          </w:p>
        </w:tc>
        <w:tc>
          <w:tcPr>
            <w:tcW w:w="709" w:type="dxa"/>
            <w:tcBorders>
              <w:top w:val="single" w:sz="4" w:space="0" w:color="auto"/>
              <w:left w:val="single" w:sz="4" w:space="0" w:color="auto"/>
              <w:bottom w:val="single" w:sz="4" w:space="0" w:color="auto"/>
              <w:right w:val="single" w:sz="4" w:space="0" w:color="auto"/>
            </w:tcBorders>
            <w:hideMark/>
          </w:tcPr>
          <w:p w14:paraId="15804EC2"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5.5</w:t>
            </w:r>
          </w:p>
        </w:tc>
        <w:tc>
          <w:tcPr>
            <w:tcW w:w="4851" w:type="dxa"/>
            <w:tcBorders>
              <w:top w:val="single" w:sz="4" w:space="0" w:color="auto"/>
              <w:left w:val="single" w:sz="4" w:space="0" w:color="auto"/>
              <w:bottom w:val="single" w:sz="4" w:space="0" w:color="auto"/>
              <w:right w:val="single" w:sz="4" w:space="0" w:color="auto"/>
            </w:tcBorders>
            <w:hideMark/>
          </w:tcPr>
          <w:p w14:paraId="765A16DB"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Deklarowana</w:t>
            </w:r>
          </w:p>
        </w:tc>
      </w:tr>
      <w:tr w:rsidR="00B81F7B" w:rsidRPr="00BB6660" w14:paraId="5C495BBB" w14:textId="77777777">
        <w:tc>
          <w:tcPr>
            <w:tcW w:w="2376" w:type="dxa"/>
            <w:tcBorders>
              <w:top w:val="single" w:sz="4" w:space="0" w:color="auto"/>
              <w:left w:val="single" w:sz="4" w:space="0" w:color="auto"/>
              <w:bottom w:val="single" w:sz="4" w:space="0" w:color="auto"/>
              <w:right w:val="single" w:sz="4" w:space="0" w:color="auto"/>
            </w:tcBorders>
            <w:hideMark/>
          </w:tcPr>
          <w:p w14:paraId="1D8F830A"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Siarczany rozpuszczalne w kwasie</w:t>
            </w:r>
          </w:p>
        </w:tc>
        <w:tc>
          <w:tcPr>
            <w:tcW w:w="1276" w:type="dxa"/>
            <w:tcBorders>
              <w:top w:val="single" w:sz="4" w:space="0" w:color="auto"/>
              <w:left w:val="single" w:sz="4" w:space="0" w:color="auto"/>
              <w:bottom w:val="single" w:sz="4" w:space="0" w:color="auto"/>
              <w:right w:val="single" w:sz="4" w:space="0" w:color="auto"/>
            </w:tcBorders>
            <w:hideMark/>
          </w:tcPr>
          <w:p w14:paraId="25A2D965"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PN-EN</w:t>
            </w:r>
          </w:p>
          <w:p w14:paraId="737ACB75"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1744-1 [17]</w:t>
            </w:r>
          </w:p>
        </w:tc>
        <w:tc>
          <w:tcPr>
            <w:tcW w:w="709" w:type="dxa"/>
            <w:tcBorders>
              <w:top w:val="single" w:sz="4" w:space="0" w:color="auto"/>
              <w:left w:val="single" w:sz="4" w:space="0" w:color="auto"/>
              <w:bottom w:val="single" w:sz="4" w:space="0" w:color="auto"/>
              <w:right w:val="single" w:sz="4" w:space="0" w:color="auto"/>
            </w:tcBorders>
            <w:hideMark/>
          </w:tcPr>
          <w:p w14:paraId="48DC4A8E"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6.2</w:t>
            </w:r>
          </w:p>
        </w:tc>
        <w:tc>
          <w:tcPr>
            <w:tcW w:w="4851" w:type="dxa"/>
            <w:tcBorders>
              <w:top w:val="single" w:sz="4" w:space="0" w:color="auto"/>
              <w:left w:val="single" w:sz="4" w:space="0" w:color="auto"/>
              <w:bottom w:val="single" w:sz="4" w:space="0" w:color="auto"/>
              <w:right w:val="single" w:sz="4" w:space="0" w:color="auto"/>
            </w:tcBorders>
            <w:hideMark/>
          </w:tcPr>
          <w:p w14:paraId="4624F796" w14:textId="4CE036D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Kruszywo </w:t>
            </w:r>
            <w:r w:rsidR="004F465D" w:rsidRPr="00BB6660">
              <w:rPr>
                <w:rFonts w:asciiTheme="minorHAnsi" w:hAnsiTheme="minorHAnsi" w:cstheme="minorHAnsi"/>
                <w:sz w:val="20"/>
                <w:szCs w:val="20"/>
              </w:rPr>
              <w:t>kamienne: kat.</w:t>
            </w:r>
            <w:r w:rsidRPr="00BB6660">
              <w:rPr>
                <w:rFonts w:asciiTheme="minorHAnsi" w:hAnsiTheme="minorHAnsi" w:cstheme="minorHAnsi"/>
                <w:sz w:val="20"/>
                <w:szCs w:val="20"/>
              </w:rPr>
              <w:t xml:space="preserve"> AS</w:t>
            </w:r>
            <w:r w:rsidRPr="00BB6660">
              <w:rPr>
                <w:rFonts w:asciiTheme="minorHAnsi" w:hAnsiTheme="minorHAnsi" w:cstheme="minorHAnsi"/>
                <w:sz w:val="20"/>
                <w:szCs w:val="20"/>
                <w:vertAlign w:val="subscript"/>
              </w:rPr>
              <w:t xml:space="preserve">0,2 </w:t>
            </w:r>
            <w:r w:rsidRPr="00BB6660">
              <w:rPr>
                <w:rFonts w:asciiTheme="minorHAnsi" w:hAnsiTheme="minorHAnsi" w:cstheme="minorHAnsi"/>
                <w:sz w:val="20"/>
                <w:szCs w:val="20"/>
              </w:rPr>
              <w:t xml:space="preserve">(tj. zawartość siarczanów </w:t>
            </w:r>
          </w:p>
          <w:p w14:paraId="133B12B5"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lastRenderedPageBreak/>
              <w:t>≤ 0,2%), żużel kawałkowy wielkopiecowy: kat. AS</w:t>
            </w:r>
            <w:r w:rsidRPr="00BB6660">
              <w:rPr>
                <w:rFonts w:asciiTheme="minorHAnsi" w:hAnsiTheme="minorHAnsi" w:cstheme="minorHAnsi"/>
                <w:sz w:val="20"/>
                <w:szCs w:val="20"/>
                <w:vertAlign w:val="subscript"/>
              </w:rPr>
              <w:t>1,0</w:t>
            </w:r>
            <w:r w:rsidRPr="00BB6660">
              <w:rPr>
                <w:rFonts w:asciiTheme="minorHAnsi" w:hAnsiTheme="minorHAnsi" w:cstheme="minorHAnsi"/>
                <w:sz w:val="20"/>
                <w:szCs w:val="20"/>
              </w:rPr>
              <w:t xml:space="preserve"> (tj. zawartość siarczanów ≤ 1,0%)</w:t>
            </w:r>
          </w:p>
        </w:tc>
      </w:tr>
      <w:tr w:rsidR="00B81F7B" w:rsidRPr="00BB6660" w14:paraId="20C50FEC" w14:textId="77777777">
        <w:tc>
          <w:tcPr>
            <w:tcW w:w="2376" w:type="dxa"/>
            <w:tcBorders>
              <w:top w:val="single" w:sz="4" w:space="0" w:color="auto"/>
              <w:left w:val="single" w:sz="4" w:space="0" w:color="auto"/>
              <w:bottom w:val="single" w:sz="4" w:space="0" w:color="auto"/>
              <w:right w:val="single" w:sz="4" w:space="0" w:color="auto"/>
            </w:tcBorders>
            <w:hideMark/>
          </w:tcPr>
          <w:p w14:paraId="0550F4B2"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lastRenderedPageBreak/>
              <w:t>Całkowita zawartość siarki</w:t>
            </w:r>
          </w:p>
        </w:tc>
        <w:tc>
          <w:tcPr>
            <w:tcW w:w="1276" w:type="dxa"/>
            <w:tcBorders>
              <w:top w:val="single" w:sz="4" w:space="0" w:color="auto"/>
              <w:left w:val="single" w:sz="4" w:space="0" w:color="auto"/>
              <w:bottom w:val="single" w:sz="4" w:space="0" w:color="auto"/>
              <w:right w:val="single" w:sz="4" w:space="0" w:color="auto"/>
            </w:tcBorders>
            <w:hideMark/>
          </w:tcPr>
          <w:p w14:paraId="0DC80963"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PN-EN </w:t>
            </w:r>
          </w:p>
          <w:p w14:paraId="4E1CE1B2"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1744-1 [17]</w:t>
            </w:r>
          </w:p>
        </w:tc>
        <w:tc>
          <w:tcPr>
            <w:tcW w:w="709" w:type="dxa"/>
            <w:tcBorders>
              <w:top w:val="single" w:sz="4" w:space="0" w:color="auto"/>
              <w:left w:val="single" w:sz="4" w:space="0" w:color="auto"/>
              <w:bottom w:val="single" w:sz="4" w:space="0" w:color="auto"/>
              <w:right w:val="single" w:sz="4" w:space="0" w:color="auto"/>
            </w:tcBorders>
            <w:hideMark/>
          </w:tcPr>
          <w:p w14:paraId="450B557C"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6.3</w:t>
            </w:r>
          </w:p>
        </w:tc>
        <w:tc>
          <w:tcPr>
            <w:tcW w:w="4851" w:type="dxa"/>
            <w:tcBorders>
              <w:top w:val="single" w:sz="4" w:space="0" w:color="auto"/>
              <w:left w:val="single" w:sz="4" w:space="0" w:color="auto"/>
              <w:bottom w:val="single" w:sz="4" w:space="0" w:color="auto"/>
              <w:right w:val="single" w:sz="4" w:space="0" w:color="auto"/>
            </w:tcBorders>
            <w:hideMark/>
          </w:tcPr>
          <w:p w14:paraId="5EDB5E7F"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Kruszywo kamienne: kat. S</w:t>
            </w:r>
            <w:r w:rsidRPr="00BB6660">
              <w:rPr>
                <w:rFonts w:asciiTheme="minorHAnsi" w:hAnsiTheme="minorHAnsi" w:cstheme="minorHAnsi"/>
                <w:sz w:val="20"/>
                <w:szCs w:val="20"/>
                <w:vertAlign w:val="subscript"/>
              </w:rPr>
              <w:t>NR</w:t>
            </w:r>
            <w:r w:rsidRPr="00BB6660">
              <w:rPr>
                <w:rFonts w:asciiTheme="minorHAnsi" w:hAnsiTheme="minorHAnsi" w:cstheme="minorHAnsi"/>
                <w:sz w:val="20"/>
                <w:szCs w:val="20"/>
              </w:rPr>
              <w:t xml:space="preserve"> (tj. brak wymagania), żużel kawałkowy wielkopiecowy: kat. S</w:t>
            </w:r>
            <w:r w:rsidRPr="00BB6660">
              <w:rPr>
                <w:rFonts w:asciiTheme="minorHAnsi" w:hAnsiTheme="minorHAnsi" w:cstheme="minorHAnsi"/>
                <w:sz w:val="20"/>
                <w:szCs w:val="20"/>
                <w:vertAlign w:val="subscript"/>
              </w:rPr>
              <w:t>2</w:t>
            </w:r>
            <w:r w:rsidRPr="00BB6660">
              <w:rPr>
                <w:rFonts w:asciiTheme="minorHAnsi" w:hAnsiTheme="minorHAnsi" w:cstheme="minorHAnsi"/>
                <w:sz w:val="20"/>
                <w:szCs w:val="20"/>
              </w:rPr>
              <w:t xml:space="preserve"> (tj. zawartość siarki całkowitej ≤ 2%)</w:t>
            </w:r>
          </w:p>
        </w:tc>
      </w:tr>
      <w:tr w:rsidR="00B81F7B" w:rsidRPr="00BB6660" w14:paraId="6B10DF38" w14:textId="77777777">
        <w:tc>
          <w:tcPr>
            <w:tcW w:w="2376" w:type="dxa"/>
            <w:tcBorders>
              <w:top w:val="single" w:sz="4" w:space="0" w:color="auto"/>
              <w:left w:val="single" w:sz="4" w:space="0" w:color="auto"/>
              <w:bottom w:val="single" w:sz="4" w:space="0" w:color="auto"/>
              <w:right w:val="single" w:sz="4" w:space="0" w:color="auto"/>
            </w:tcBorders>
            <w:hideMark/>
          </w:tcPr>
          <w:p w14:paraId="430085C9"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Składniki wpływające na </w:t>
            </w:r>
            <w:proofErr w:type="spellStart"/>
            <w:r w:rsidRPr="00BB6660">
              <w:rPr>
                <w:rFonts w:asciiTheme="minorHAnsi" w:hAnsiTheme="minorHAnsi" w:cstheme="minorHAnsi"/>
                <w:sz w:val="20"/>
                <w:szCs w:val="20"/>
              </w:rPr>
              <w:t>szy</w:t>
            </w:r>
            <w:proofErr w:type="spellEnd"/>
            <w:r w:rsidRPr="00BB6660">
              <w:rPr>
                <w:rFonts w:asciiTheme="minorHAnsi" w:hAnsiTheme="minorHAnsi" w:cstheme="minorHAnsi"/>
                <w:sz w:val="20"/>
                <w:szCs w:val="20"/>
              </w:rPr>
              <w:t>-</w:t>
            </w:r>
          </w:p>
          <w:p w14:paraId="06193A94" w14:textId="59046853" w:rsidR="00B81F7B" w:rsidRPr="00BB6660" w:rsidRDefault="00B81F7B" w:rsidP="00BB6660">
            <w:pPr>
              <w:pStyle w:val="Bezodstpw"/>
              <w:ind w:firstLine="0"/>
              <w:rPr>
                <w:rFonts w:asciiTheme="minorHAnsi" w:hAnsiTheme="minorHAnsi" w:cstheme="minorHAnsi"/>
                <w:sz w:val="20"/>
                <w:szCs w:val="20"/>
              </w:rPr>
            </w:pPr>
            <w:proofErr w:type="spellStart"/>
            <w:r w:rsidRPr="00BB6660">
              <w:rPr>
                <w:rFonts w:asciiTheme="minorHAnsi" w:hAnsiTheme="minorHAnsi" w:cstheme="minorHAnsi"/>
                <w:sz w:val="20"/>
                <w:szCs w:val="20"/>
              </w:rPr>
              <w:t>bkość</w:t>
            </w:r>
            <w:proofErr w:type="spellEnd"/>
            <w:r w:rsidRPr="00BB6660">
              <w:rPr>
                <w:rFonts w:asciiTheme="minorHAnsi" w:hAnsiTheme="minorHAnsi" w:cstheme="minorHAnsi"/>
                <w:sz w:val="20"/>
                <w:szCs w:val="20"/>
              </w:rPr>
              <w:t xml:space="preserve"> wiązania i twardnienia </w:t>
            </w:r>
            <w:r w:rsidR="004F465D" w:rsidRPr="00BB6660">
              <w:rPr>
                <w:rFonts w:asciiTheme="minorHAnsi" w:hAnsiTheme="minorHAnsi" w:cstheme="minorHAnsi"/>
                <w:sz w:val="20"/>
                <w:szCs w:val="20"/>
              </w:rPr>
              <w:t>mieszanek związanych</w:t>
            </w:r>
            <w:r w:rsidRPr="00BB6660">
              <w:rPr>
                <w:rFonts w:asciiTheme="minorHAnsi" w:hAnsiTheme="minorHAnsi" w:cstheme="minorHAnsi"/>
                <w:sz w:val="20"/>
                <w:szCs w:val="20"/>
              </w:rPr>
              <w:t xml:space="preserve">   </w:t>
            </w:r>
            <w:proofErr w:type="spellStart"/>
            <w:r w:rsidRPr="00BB6660">
              <w:rPr>
                <w:rFonts w:asciiTheme="minorHAnsi" w:hAnsiTheme="minorHAnsi" w:cstheme="minorHAnsi"/>
                <w:sz w:val="20"/>
                <w:szCs w:val="20"/>
              </w:rPr>
              <w:t>hy</w:t>
            </w:r>
            <w:proofErr w:type="spellEnd"/>
            <w:r w:rsidRPr="00BB6660">
              <w:rPr>
                <w:rFonts w:asciiTheme="minorHAnsi" w:hAnsiTheme="minorHAnsi" w:cstheme="minorHAnsi"/>
                <w:sz w:val="20"/>
                <w:szCs w:val="20"/>
              </w:rPr>
              <w:t>-</w:t>
            </w:r>
          </w:p>
          <w:p w14:paraId="10E8E8FB" w14:textId="77777777" w:rsidR="00B81F7B" w:rsidRPr="00BB6660" w:rsidRDefault="00B81F7B" w:rsidP="00BB6660">
            <w:pPr>
              <w:pStyle w:val="Bezodstpw"/>
              <w:ind w:firstLine="0"/>
              <w:rPr>
                <w:rFonts w:asciiTheme="minorHAnsi" w:hAnsiTheme="minorHAnsi" w:cstheme="minorHAnsi"/>
                <w:sz w:val="20"/>
                <w:szCs w:val="20"/>
              </w:rPr>
            </w:pPr>
            <w:proofErr w:type="spellStart"/>
            <w:r w:rsidRPr="00BB6660">
              <w:rPr>
                <w:rFonts w:asciiTheme="minorHAnsi" w:hAnsiTheme="minorHAnsi" w:cstheme="minorHAnsi"/>
                <w:sz w:val="20"/>
                <w:szCs w:val="20"/>
              </w:rPr>
              <w:t>draulicznie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23E94EA"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PN-EN</w:t>
            </w:r>
          </w:p>
          <w:p w14:paraId="45E3A388"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1744-1 [17]</w:t>
            </w:r>
          </w:p>
        </w:tc>
        <w:tc>
          <w:tcPr>
            <w:tcW w:w="709" w:type="dxa"/>
            <w:tcBorders>
              <w:top w:val="single" w:sz="4" w:space="0" w:color="auto"/>
              <w:left w:val="single" w:sz="4" w:space="0" w:color="auto"/>
              <w:bottom w:val="single" w:sz="4" w:space="0" w:color="auto"/>
              <w:right w:val="single" w:sz="4" w:space="0" w:color="auto"/>
            </w:tcBorders>
            <w:hideMark/>
          </w:tcPr>
          <w:p w14:paraId="49058008"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6.4.1</w:t>
            </w:r>
          </w:p>
        </w:tc>
        <w:tc>
          <w:tcPr>
            <w:tcW w:w="4851" w:type="dxa"/>
            <w:tcBorders>
              <w:top w:val="single" w:sz="4" w:space="0" w:color="auto"/>
              <w:left w:val="single" w:sz="4" w:space="0" w:color="auto"/>
              <w:bottom w:val="single" w:sz="4" w:space="0" w:color="auto"/>
              <w:right w:val="single" w:sz="4" w:space="0" w:color="auto"/>
            </w:tcBorders>
            <w:hideMark/>
          </w:tcPr>
          <w:p w14:paraId="730D94C3"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Deklarowana</w:t>
            </w:r>
          </w:p>
        </w:tc>
      </w:tr>
      <w:tr w:rsidR="00B81F7B" w:rsidRPr="00BB6660" w14:paraId="3B0E9425" w14:textId="77777777">
        <w:tc>
          <w:tcPr>
            <w:tcW w:w="2376" w:type="dxa"/>
            <w:tcBorders>
              <w:top w:val="single" w:sz="4" w:space="0" w:color="auto"/>
              <w:left w:val="single" w:sz="4" w:space="0" w:color="auto"/>
              <w:bottom w:val="single" w:sz="4" w:space="0" w:color="auto"/>
              <w:right w:val="single" w:sz="4" w:space="0" w:color="auto"/>
            </w:tcBorders>
            <w:hideMark/>
          </w:tcPr>
          <w:p w14:paraId="01505438"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Składniki rozpuszczalne w wodzie</w:t>
            </w:r>
          </w:p>
        </w:tc>
        <w:tc>
          <w:tcPr>
            <w:tcW w:w="1276" w:type="dxa"/>
            <w:tcBorders>
              <w:top w:val="single" w:sz="4" w:space="0" w:color="auto"/>
              <w:left w:val="single" w:sz="4" w:space="0" w:color="auto"/>
              <w:bottom w:val="single" w:sz="4" w:space="0" w:color="auto"/>
              <w:right w:val="single" w:sz="4" w:space="0" w:color="auto"/>
            </w:tcBorders>
            <w:hideMark/>
          </w:tcPr>
          <w:p w14:paraId="01BB98FA"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PN-EN 1744-3 [18]</w:t>
            </w:r>
          </w:p>
        </w:tc>
        <w:tc>
          <w:tcPr>
            <w:tcW w:w="709" w:type="dxa"/>
            <w:tcBorders>
              <w:top w:val="single" w:sz="4" w:space="0" w:color="auto"/>
              <w:left w:val="single" w:sz="4" w:space="0" w:color="auto"/>
              <w:bottom w:val="single" w:sz="4" w:space="0" w:color="auto"/>
              <w:right w:val="single" w:sz="4" w:space="0" w:color="auto"/>
            </w:tcBorders>
            <w:hideMark/>
          </w:tcPr>
          <w:p w14:paraId="14E85DE1"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6.4.3</w:t>
            </w:r>
          </w:p>
        </w:tc>
        <w:tc>
          <w:tcPr>
            <w:tcW w:w="4851" w:type="dxa"/>
            <w:tcBorders>
              <w:top w:val="single" w:sz="4" w:space="0" w:color="auto"/>
              <w:left w:val="single" w:sz="4" w:space="0" w:color="auto"/>
              <w:bottom w:val="single" w:sz="4" w:space="0" w:color="auto"/>
              <w:right w:val="single" w:sz="4" w:space="0" w:color="auto"/>
            </w:tcBorders>
            <w:hideMark/>
          </w:tcPr>
          <w:p w14:paraId="31664269"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Brak substancji szkodliwych dla środowiska wg odrębnych przepisów</w:t>
            </w:r>
          </w:p>
        </w:tc>
      </w:tr>
      <w:tr w:rsidR="00B81F7B" w:rsidRPr="00BB6660" w14:paraId="0561AA83" w14:textId="77777777">
        <w:tc>
          <w:tcPr>
            <w:tcW w:w="2376" w:type="dxa"/>
            <w:tcBorders>
              <w:top w:val="single" w:sz="4" w:space="0" w:color="auto"/>
              <w:left w:val="single" w:sz="4" w:space="0" w:color="auto"/>
              <w:bottom w:val="single" w:sz="4" w:space="0" w:color="auto"/>
              <w:right w:val="single" w:sz="4" w:space="0" w:color="auto"/>
            </w:tcBorders>
            <w:hideMark/>
          </w:tcPr>
          <w:p w14:paraId="3956110B"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Zanieczyszczenia</w:t>
            </w:r>
          </w:p>
        </w:tc>
        <w:tc>
          <w:tcPr>
            <w:tcW w:w="1276" w:type="dxa"/>
            <w:tcBorders>
              <w:top w:val="single" w:sz="4" w:space="0" w:color="auto"/>
              <w:left w:val="single" w:sz="4" w:space="0" w:color="auto"/>
              <w:bottom w:val="single" w:sz="4" w:space="0" w:color="auto"/>
              <w:right w:val="single" w:sz="4" w:space="0" w:color="auto"/>
            </w:tcBorders>
            <w:hideMark/>
          </w:tcPr>
          <w:p w14:paraId="35D89AA1"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w:t>
            </w:r>
          </w:p>
        </w:tc>
        <w:tc>
          <w:tcPr>
            <w:tcW w:w="709" w:type="dxa"/>
            <w:tcBorders>
              <w:top w:val="single" w:sz="4" w:space="0" w:color="auto"/>
              <w:left w:val="single" w:sz="4" w:space="0" w:color="auto"/>
              <w:bottom w:val="single" w:sz="4" w:space="0" w:color="auto"/>
              <w:right w:val="single" w:sz="4" w:space="0" w:color="auto"/>
            </w:tcBorders>
            <w:hideMark/>
          </w:tcPr>
          <w:p w14:paraId="51B0DED7"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6.4.4</w:t>
            </w:r>
          </w:p>
        </w:tc>
        <w:tc>
          <w:tcPr>
            <w:tcW w:w="4851" w:type="dxa"/>
            <w:tcBorders>
              <w:top w:val="single" w:sz="4" w:space="0" w:color="auto"/>
              <w:left w:val="single" w:sz="4" w:space="0" w:color="auto"/>
              <w:bottom w:val="single" w:sz="4" w:space="0" w:color="auto"/>
              <w:right w:val="single" w:sz="4" w:space="0" w:color="auto"/>
            </w:tcBorders>
            <w:hideMark/>
          </w:tcPr>
          <w:p w14:paraId="0961BB78"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Brak ciał obcych takich jak drewno, szkło i plastik, mogących pogorszyć wyrób końcowy</w:t>
            </w:r>
          </w:p>
        </w:tc>
      </w:tr>
      <w:tr w:rsidR="00B81F7B" w:rsidRPr="00BB6660" w14:paraId="7D61A5F3" w14:textId="77777777">
        <w:tc>
          <w:tcPr>
            <w:tcW w:w="2376" w:type="dxa"/>
            <w:tcBorders>
              <w:top w:val="single" w:sz="4" w:space="0" w:color="auto"/>
              <w:left w:val="single" w:sz="4" w:space="0" w:color="auto"/>
              <w:bottom w:val="single" w:sz="4" w:space="0" w:color="auto"/>
              <w:right w:val="single" w:sz="4" w:space="0" w:color="auto"/>
            </w:tcBorders>
            <w:hideMark/>
          </w:tcPr>
          <w:p w14:paraId="0ED714BF"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Zgorzel słoneczna bazaltu</w:t>
            </w:r>
          </w:p>
        </w:tc>
        <w:tc>
          <w:tcPr>
            <w:tcW w:w="1276" w:type="dxa"/>
            <w:tcBorders>
              <w:top w:val="single" w:sz="4" w:space="0" w:color="auto"/>
              <w:left w:val="single" w:sz="4" w:space="0" w:color="auto"/>
              <w:bottom w:val="single" w:sz="4" w:space="0" w:color="auto"/>
              <w:right w:val="single" w:sz="4" w:space="0" w:color="auto"/>
            </w:tcBorders>
            <w:hideMark/>
          </w:tcPr>
          <w:p w14:paraId="6C439CDB"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PN-EN 1367-3[16] i PN-EN 1097-2 [13]</w:t>
            </w:r>
          </w:p>
        </w:tc>
        <w:tc>
          <w:tcPr>
            <w:tcW w:w="709" w:type="dxa"/>
            <w:tcBorders>
              <w:top w:val="single" w:sz="4" w:space="0" w:color="auto"/>
              <w:left w:val="single" w:sz="4" w:space="0" w:color="auto"/>
              <w:bottom w:val="single" w:sz="4" w:space="0" w:color="auto"/>
              <w:right w:val="single" w:sz="4" w:space="0" w:color="auto"/>
            </w:tcBorders>
            <w:hideMark/>
          </w:tcPr>
          <w:p w14:paraId="78E5639C"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7.2</w:t>
            </w:r>
          </w:p>
        </w:tc>
        <w:tc>
          <w:tcPr>
            <w:tcW w:w="4851" w:type="dxa"/>
            <w:tcBorders>
              <w:top w:val="single" w:sz="4" w:space="0" w:color="auto"/>
              <w:left w:val="single" w:sz="4" w:space="0" w:color="auto"/>
              <w:bottom w:val="single" w:sz="4" w:space="0" w:color="auto"/>
              <w:right w:val="single" w:sz="4" w:space="0" w:color="auto"/>
            </w:tcBorders>
            <w:hideMark/>
          </w:tcPr>
          <w:p w14:paraId="132B40CD"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Kat. SB</w:t>
            </w:r>
            <w:r w:rsidRPr="00BB6660">
              <w:rPr>
                <w:rFonts w:asciiTheme="minorHAnsi" w:hAnsiTheme="minorHAnsi" w:cstheme="minorHAnsi"/>
                <w:sz w:val="20"/>
                <w:szCs w:val="20"/>
                <w:vertAlign w:val="subscript"/>
              </w:rPr>
              <w:t>LA</w:t>
            </w:r>
            <w:r w:rsidRPr="00BB6660">
              <w:rPr>
                <w:rFonts w:asciiTheme="minorHAnsi" w:hAnsiTheme="minorHAnsi" w:cstheme="minorHAnsi"/>
                <w:sz w:val="20"/>
                <w:szCs w:val="20"/>
              </w:rPr>
              <w:t xml:space="preserve"> (tj. wzrost współczynnika Los Angeles po gotowaniu ≤ 8%)</w:t>
            </w:r>
          </w:p>
        </w:tc>
      </w:tr>
      <w:tr w:rsidR="00B81F7B" w:rsidRPr="00BB6660" w14:paraId="32A3B924" w14:textId="77777777">
        <w:tc>
          <w:tcPr>
            <w:tcW w:w="2376" w:type="dxa"/>
            <w:tcBorders>
              <w:top w:val="single" w:sz="4" w:space="0" w:color="auto"/>
              <w:left w:val="single" w:sz="4" w:space="0" w:color="auto"/>
              <w:bottom w:val="single" w:sz="4" w:space="0" w:color="auto"/>
              <w:right w:val="single" w:sz="4" w:space="0" w:color="auto"/>
            </w:tcBorders>
            <w:hideMark/>
          </w:tcPr>
          <w:p w14:paraId="2628654C"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Nasiąkliwość </w:t>
            </w:r>
          </w:p>
          <w:p w14:paraId="76C2DE90"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(Jeśli kruszywo nie spełni warunku W</w:t>
            </w:r>
            <w:r w:rsidRPr="00BB6660">
              <w:rPr>
                <w:rFonts w:asciiTheme="minorHAnsi" w:hAnsiTheme="minorHAnsi" w:cstheme="minorHAnsi"/>
                <w:sz w:val="20"/>
                <w:szCs w:val="20"/>
                <w:vertAlign w:val="subscript"/>
              </w:rPr>
              <w:t>24</w:t>
            </w:r>
            <w:r w:rsidRPr="00BB6660">
              <w:rPr>
                <w:rFonts w:asciiTheme="minorHAnsi" w:hAnsiTheme="minorHAnsi" w:cstheme="minorHAnsi"/>
                <w:sz w:val="20"/>
                <w:szCs w:val="20"/>
              </w:rPr>
              <w:t xml:space="preserve">2, to należy </w:t>
            </w:r>
            <w:proofErr w:type="spellStart"/>
            <w:r w:rsidRPr="00BB6660">
              <w:rPr>
                <w:rFonts w:asciiTheme="minorHAnsi" w:hAnsiTheme="minorHAnsi" w:cstheme="minorHAnsi"/>
                <w:sz w:val="20"/>
                <w:szCs w:val="20"/>
              </w:rPr>
              <w:t>zba</w:t>
            </w:r>
            <w:proofErr w:type="spellEnd"/>
            <w:r w:rsidRPr="00BB6660">
              <w:rPr>
                <w:rFonts w:asciiTheme="minorHAnsi" w:hAnsiTheme="minorHAnsi" w:cstheme="minorHAnsi"/>
                <w:sz w:val="20"/>
                <w:szCs w:val="20"/>
              </w:rPr>
              <w:t>-</w:t>
            </w:r>
            <w:r w:rsidRPr="00BB6660">
              <w:rPr>
                <w:rFonts w:asciiTheme="minorHAnsi" w:hAnsiTheme="minorHAnsi" w:cstheme="minorHAnsi"/>
                <w:sz w:val="20"/>
                <w:szCs w:val="20"/>
              </w:rPr>
              <w:br/>
              <w:t>dać jego mrozoodporność wg p. 7.3.3 – wiersz poniżej)</w:t>
            </w:r>
          </w:p>
        </w:tc>
        <w:tc>
          <w:tcPr>
            <w:tcW w:w="1276" w:type="dxa"/>
            <w:tcBorders>
              <w:top w:val="single" w:sz="4" w:space="0" w:color="auto"/>
              <w:left w:val="single" w:sz="4" w:space="0" w:color="auto"/>
              <w:bottom w:val="single" w:sz="4" w:space="0" w:color="auto"/>
              <w:right w:val="single" w:sz="4" w:space="0" w:color="auto"/>
            </w:tcBorders>
            <w:hideMark/>
          </w:tcPr>
          <w:p w14:paraId="2CE11EDE"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PN-EN 1097-6, </w:t>
            </w:r>
            <w:proofErr w:type="spellStart"/>
            <w:r w:rsidRPr="00BB6660">
              <w:rPr>
                <w:rFonts w:asciiTheme="minorHAnsi" w:hAnsiTheme="minorHAnsi" w:cstheme="minorHAnsi"/>
                <w:sz w:val="20"/>
                <w:szCs w:val="20"/>
              </w:rPr>
              <w:t>roz</w:t>
            </w:r>
            <w:proofErr w:type="spellEnd"/>
            <w:r w:rsidRPr="00BB6660">
              <w:rPr>
                <w:rFonts w:asciiTheme="minorHAnsi" w:hAnsiTheme="minorHAnsi" w:cstheme="minorHAnsi"/>
                <w:sz w:val="20"/>
                <w:szCs w:val="20"/>
              </w:rPr>
              <w:t xml:space="preserve">. 7 [14]  </w:t>
            </w:r>
          </w:p>
        </w:tc>
        <w:tc>
          <w:tcPr>
            <w:tcW w:w="709" w:type="dxa"/>
            <w:tcBorders>
              <w:top w:val="single" w:sz="4" w:space="0" w:color="auto"/>
              <w:left w:val="single" w:sz="4" w:space="0" w:color="auto"/>
              <w:bottom w:val="single" w:sz="4" w:space="0" w:color="auto"/>
              <w:right w:val="single" w:sz="4" w:space="0" w:color="auto"/>
            </w:tcBorders>
            <w:hideMark/>
          </w:tcPr>
          <w:p w14:paraId="5369FB7F"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7.3.2</w:t>
            </w:r>
          </w:p>
        </w:tc>
        <w:tc>
          <w:tcPr>
            <w:tcW w:w="4851" w:type="dxa"/>
            <w:tcBorders>
              <w:top w:val="single" w:sz="4" w:space="0" w:color="auto"/>
              <w:left w:val="single" w:sz="4" w:space="0" w:color="auto"/>
              <w:bottom w:val="single" w:sz="4" w:space="0" w:color="auto"/>
              <w:right w:val="single" w:sz="4" w:space="0" w:color="auto"/>
            </w:tcBorders>
            <w:hideMark/>
          </w:tcPr>
          <w:p w14:paraId="23E2109A"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Kat. W</w:t>
            </w:r>
            <w:r w:rsidRPr="00BB6660">
              <w:rPr>
                <w:rFonts w:asciiTheme="minorHAnsi" w:hAnsiTheme="minorHAnsi" w:cstheme="minorHAnsi"/>
                <w:sz w:val="20"/>
                <w:szCs w:val="20"/>
                <w:vertAlign w:val="subscript"/>
              </w:rPr>
              <w:t>24</w:t>
            </w:r>
            <w:r w:rsidRPr="00BB6660">
              <w:rPr>
                <w:rFonts w:asciiTheme="minorHAnsi" w:hAnsiTheme="minorHAnsi" w:cstheme="minorHAnsi"/>
                <w:sz w:val="20"/>
                <w:szCs w:val="20"/>
              </w:rPr>
              <w:t>2 (tj. maksymalna wartość nasiąkliwości ≤ 2% masy)</w:t>
            </w:r>
          </w:p>
        </w:tc>
      </w:tr>
      <w:tr w:rsidR="00B81F7B" w:rsidRPr="00BB6660" w14:paraId="7D2C0FE2" w14:textId="77777777">
        <w:tc>
          <w:tcPr>
            <w:tcW w:w="2376" w:type="dxa"/>
            <w:tcBorders>
              <w:top w:val="single" w:sz="4" w:space="0" w:color="auto"/>
              <w:left w:val="single" w:sz="4" w:space="0" w:color="auto"/>
              <w:bottom w:val="single" w:sz="4" w:space="0" w:color="auto"/>
              <w:right w:val="single" w:sz="4" w:space="0" w:color="auto"/>
            </w:tcBorders>
            <w:hideMark/>
          </w:tcPr>
          <w:p w14:paraId="4E0261B6"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Mrozoodporność na kruszy-</w:t>
            </w:r>
            <w:r w:rsidRPr="00BB6660">
              <w:rPr>
                <w:rFonts w:asciiTheme="minorHAnsi" w:hAnsiTheme="minorHAnsi" w:cstheme="minorHAnsi"/>
                <w:sz w:val="20"/>
                <w:szCs w:val="20"/>
              </w:rPr>
              <w:br/>
            </w:r>
            <w:proofErr w:type="spellStart"/>
            <w:r w:rsidRPr="00BB6660">
              <w:rPr>
                <w:rFonts w:asciiTheme="minorHAnsi" w:hAnsiTheme="minorHAnsi" w:cstheme="minorHAnsi"/>
                <w:sz w:val="20"/>
                <w:szCs w:val="20"/>
              </w:rPr>
              <w:t>wa</w:t>
            </w:r>
            <w:proofErr w:type="spellEnd"/>
            <w:r w:rsidRPr="00BB6660">
              <w:rPr>
                <w:rFonts w:asciiTheme="minorHAnsi" w:hAnsiTheme="minorHAnsi" w:cstheme="minorHAnsi"/>
                <w:sz w:val="20"/>
                <w:szCs w:val="20"/>
              </w:rPr>
              <w:t xml:space="preserve"> frakcji 8/16 mm  (Badanie</w:t>
            </w:r>
            <w:r w:rsidRPr="00BB6660">
              <w:rPr>
                <w:rFonts w:asciiTheme="minorHAnsi" w:hAnsiTheme="minorHAnsi" w:cstheme="minorHAnsi"/>
                <w:sz w:val="20"/>
                <w:szCs w:val="20"/>
              </w:rPr>
              <w:br/>
              <w:t xml:space="preserve">wykonywane tylko w </w:t>
            </w:r>
            <w:proofErr w:type="spellStart"/>
            <w:r w:rsidRPr="00BB6660">
              <w:rPr>
                <w:rFonts w:asciiTheme="minorHAnsi" w:hAnsiTheme="minorHAnsi" w:cstheme="minorHAnsi"/>
                <w:sz w:val="20"/>
                <w:szCs w:val="20"/>
              </w:rPr>
              <w:t>przypa</w:t>
            </w:r>
            <w:proofErr w:type="spellEnd"/>
            <w:r w:rsidRPr="00BB6660">
              <w:rPr>
                <w:rFonts w:asciiTheme="minorHAnsi" w:hAnsiTheme="minorHAnsi" w:cstheme="minorHAnsi"/>
                <w:sz w:val="20"/>
                <w:szCs w:val="20"/>
              </w:rPr>
              <w:t>-</w:t>
            </w:r>
            <w:r w:rsidRPr="00BB6660">
              <w:rPr>
                <w:rFonts w:asciiTheme="minorHAnsi" w:hAnsiTheme="minorHAnsi" w:cstheme="minorHAnsi"/>
                <w:sz w:val="20"/>
                <w:szCs w:val="20"/>
              </w:rPr>
              <w:br/>
            </w:r>
            <w:proofErr w:type="spellStart"/>
            <w:r w:rsidRPr="00BB6660">
              <w:rPr>
                <w:rFonts w:asciiTheme="minorHAnsi" w:hAnsiTheme="minorHAnsi" w:cstheme="minorHAnsi"/>
                <w:sz w:val="20"/>
                <w:szCs w:val="20"/>
              </w:rPr>
              <w:t>dku</w:t>
            </w:r>
            <w:proofErr w:type="spellEnd"/>
            <w:r w:rsidRPr="00BB6660">
              <w:rPr>
                <w:rFonts w:asciiTheme="minorHAnsi" w:hAnsiTheme="minorHAnsi" w:cstheme="minorHAnsi"/>
                <w:sz w:val="20"/>
                <w:szCs w:val="20"/>
              </w:rPr>
              <w:t xml:space="preserve">, gdy nasiąkliwość </w:t>
            </w:r>
            <w:proofErr w:type="spellStart"/>
            <w:r w:rsidRPr="00BB6660">
              <w:rPr>
                <w:rFonts w:asciiTheme="minorHAnsi" w:hAnsiTheme="minorHAnsi" w:cstheme="minorHAnsi"/>
                <w:sz w:val="20"/>
                <w:szCs w:val="20"/>
              </w:rPr>
              <w:t>kru</w:t>
            </w:r>
            <w:proofErr w:type="spellEnd"/>
            <w:r w:rsidRPr="00BB6660">
              <w:rPr>
                <w:rFonts w:asciiTheme="minorHAnsi" w:hAnsiTheme="minorHAnsi" w:cstheme="minorHAnsi"/>
                <w:sz w:val="20"/>
                <w:szCs w:val="20"/>
              </w:rPr>
              <w:t>-</w:t>
            </w:r>
            <w:r w:rsidRPr="00BB6660">
              <w:rPr>
                <w:rFonts w:asciiTheme="minorHAnsi" w:hAnsiTheme="minorHAnsi" w:cstheme="minorHAnsi"/>
                <w:sz w:val="20"/>
                <w:szCs w:val="20"/>
              </w:rPr>
              <w:br/>
            </w:r>
            <w:proofErr w:type="spellStart"/>
            <w:r w:rsidRPr="00BB6660">
              <w:rPr>
                <w:rFonts w:asciiTheme="minorHAnsi" w:hAnsiTheme="minorHAnsi" w:cstheme="minorHAnsi"/>
                <w:sz w:val="20"/>
                <w:szCs w:val="20"/>
              </w:rPr>
              <w:t>szywa</w:t>
            </w:r>
            <w:proofErr w:type="spellEnd"/>
            <w:r w:rsidRPr="00BB6660">
              <w:rPr>
                <w:rFonts w:asciiTheme="minorHAnsi" w:hAnsiTheme="minorHAnsi" w:cstheme="minorHAnsi"/>
                <w:sz w:val="20"/>
                <w:szCs w:val="20"/>
              </w:rPr>
              <w:t xml:space="preserve"> przekracza WA</w:t>
            </w:r>
            <w:r w:rsidRPr="00BB6660">
              <w:rPr>
                <w:rFonts w:asciiTheme="minorHAnsi" w:hAnsiTheme="minorHAnsi" w:cstheme="minorHAnsi"/>
                <w:sz w:val="20"/>
                <w:szCs w:val="20"/>
                <w:vertAlign w:val="subscript"/>
              </w:rPr>
              <w:t>24</w:t>
            </w:r>
            <w:r w:rsidRPr="00BB6660">
              <w:rPr>
                <w:rFonts w:asciiTheme="minorHAnsi" w:hAnsiTheme="minorHAnsi" w:cstheme="minorHAnsi"/>
                <w:sz w:val="20"/>
                <w:szCs w:val="20"/>
              </w:rPr>
              <w:t>2)</w:t>
            </w:r>
          </w:p>
        </w:tc>
        <w:tc>
          <w:tcPr>
            <w:tcW w:w="1276" w:type="dxa"/>
            <w:tcBorders>
              <w:top w:val="single" w:sz="4" w:space="0" w:color="auto"/>
              <w:left w:val="single" w:sz="4" w:space="0" w:color="auto"/>
              <w:bottom w:val="single" w:sz="4" w:space="0" w:color="auto"/>
              <w:right w:val="single" w:sz="4" w:space="0" w:color="auto"/>
            </w:tcBorders>
            <w:hideMark/>
          </w:tcPr>
          <w:p w14:paraId="4C6B4F78"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PN-EN 1367-1 [15]</w:t>
            </w:r>
          </w:p>
        </w:tc>
        <w:tc>
          <w:tcPr>
            <w:tcW w:w="709" w:type="dxa"/>
            <w:tcBorders>
              <w:top w:val="single" w:sz="4" w:space="0" w:color="auto"/>
              <w:left w:val="single" w:sz="4" w:space="0" w:color="auto"/>
              <w:bottom w:val="single" w:sz="4" w:space="0" w:color="auto"/>
              <w:right w:val="single" w:sz="4" w:space="0" w:color="auto"/>
            </w:tcBorders>
            <w:hideMark/>
          </w:tcPr>
          <w:p w14:paraId="4BD48BF4"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7.3.3</w:t>
            </w:r>
          </w:p>
        </w:tc>
        <w:tc>
          <w:tcPr>
            <w:tcW w:w="4851" w:type="dxa"/>
            <w:tcBorders>
              <w:top w:val="single" w:sz="4" w:space="0" w:color="auto"/>
              <w:left w:val="single" w:sz="4" w:space="0" w:color="auto"/>
              <w:bottom w:val="single" w:sz="4" w:space="0" w:color="auto"/>
              <w:right w:val="single" w:sz="4" w:space="0" w:color="auto"/>
            </w:tcBorders>
            <w:hideMark/>
          </w:tcPr>
          <w:p w14:paraId="3409F5EB"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Kat. F</w:t>
            </w:r>
            <w:r w:rsidRPr="00BB6660">
              <w:rPr>
                <w:rFonts w:asciiTheme="minorHAnsi" w:hAnsiTheme="minorHAnsi" w:cstheme="minorHAnsi"/>
                <w:sz w:val="20"/>
                <w:szCs w:val="20"/>
                <w:vertAlign w:val="subscript"/>
              </w:rPr>
              <w:t>4</w:t>
            </w:r>
            <w:r w:rsidRPr="00BB6660">
              <w:rPr>
                <w:rFonts w:asciiTheme="minorHAnsi" w:hAnsiTheme="minorHAnsi" w:cstheme="minorHAnsi"/>
                <w:sz w:val="20"/>
                <w:szCs w:val="20"/>
              </w:rPr>
              <w:t xml:space="preserve"> (tj. zamrażanie-rozmrażanie ≤ 4%)</w:t>
            </w:r>
          </w:p>
        </w:tc>
      </w:tr>
      <w:tr w:rsidR="00B81F7B" w:rsidRPr="00BB6660" w14:paraId="2DA515E2" w14:textId="77777777">
        <w:tc>
          <w:tcPr>
            <w:tcW w:w="2376" w:type="dxa"/>
            <w:tcBorders>
              <w:top w:val="single" w:sz="4" w:space="0" w:color="auto"/>
              <w:left w:val="single" w:sz="4" w:space="0" w:color="auto"/>
              <w:bottom w:val="single" w:sz="4" w:space="0" w:color="auto"/>
              <w:right w:val="single" w:sz="4" w:space="0" w:color="auto"/>
            </w:tcBorders>
            <w:hideMark/>
          </w:tcPr>
          <w:p w14:paraId="1E6A574D"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Skład mineralogiczny</w:t>
            </w:r>
          </w:p>
        </w:tc>
        <w:tc>
          <w:tcPr>
            <w:tcW w:w="1276" w:type="dxa"/>
            <w:tcBorders>
              <w:top w:val="single" w:sz="4" w:space="0" w:color="auto"/>
              <w:left w:val="single" w:sz="4" w:space="0" w:color="auto"/>
              <w:bottom w:val="single" w:sz="4" w:space="0" w:color="auto"/>
              <w:right w:val="single" w:sz="4" w:space="0" w:color="auto"/>
            </w:tcBorders>
            <w:hideMark/>
          </w:tcPr>
          <w:p w14:paraId="70A3E4BC"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w:t>
            </w:r>
          </w:p>
        </w:tc>
        <w:tc>
          <w:tcPr>
            <w:tcW w:w="709" w:type="dxa"/>
            <w:tcBorders>
              <w:top w:val="single" w:sz="4" w:space="0" w:color="auto"/>
              <w:left w:val="single" w:sz="4" w:space="0" w:color="auto"/>
              <w:bottom w:val="single" w:sz="4" w:space="0" w:color="auto"/>
              <w:right w:val="single" w:sz="4" w:space="0" w:color="auto"/>
            </w:tcBorders>
            <w:hideMark/>
          </w:tcPr>
          <w:p w14:paraId="5A8AF03D"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Zał. C</w:t>
            </w:r>
          </w:p>
          <w:p w14:paraId="1F2F3C63"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p.C3.4</w:t>
            </w:r>
          </w:p>
        </w:tc>
        <w:tc>
          <w:tcPr>
            <w:tcW w:w="4851" w:type="dxa"/>
            <w:tcBorders>
              <w:top w:val="single" w:sz="4" w:space="0" w:color="auto"/>
              <w:left w:val="single" w:sz="4" w:space="0" w:color="auto"/>
              <w:bottom w:val="single" w:sz="4" w:space="0" w:color="auto"/>
              <w:right w:val="single" w:sz="4" w:space="0" w:color="auto"/>
            </w:tcBorders>
            <w:hideMark/>
          </w:tcPr>
          <w:p w14:paraId="722C6ED7"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Deklarowany</w:t>
            </w:r>
          </w:p>
        </w:tc>
      </w:tr>
      <w:tr w:rsidR="00B81F7B" w:rsidRPr="00BB6660" w14:paraId="4565E61C" w14:textId="77777777">
        <w:tc>
          <w:tcPr>
            <w:tcW w:w="2376" w:type="dxa"/>
            <w:tcBorders>
              <w:top w:val="single" w:sz="4" w:space="0" w:color="auto"/>
              <w:left w:val="single" w:sz="4" w:space="0" w:color="auto"/>
              <w:bottom w:val="single" w:sz="4" w:space="0" w:color="auto"/>
              <w:right w:val="single" w:sz="4" w:space="0" w:color="auto"/>
            </w:tcBorders>
            <w:hideMark/>
          </w:tcPr>
          <w:p w14:paraId="3145489C"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Istotne cechy środowiskowe</w:t>
            </w:r>
          </w:p>
        </w:tc>
        <w:tc>
          <w:tcPr>
            <w:tcW w:w="1276" w:type="dxa"/>
            <w:tcBorders>
              <w:top w:val="single" w:sz="4" w:space="0" w:color="auto"/>
              <w:left w:val="single" w:sz="4" w:space="0" w:color="auto"/>
              <w:bottom w:val="single" w:sz="4" w:space="0" w:color="auto"/>
              <w:right w:val="single" w:sz="4" w:space="0" w:color="auto"/>
            </w:tcBorders>
            <w:hideMark/>
          </w:tcPr>
          <w:p w14:paraId="49FF436A"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w:t>
            </w:r>
          </w:p>
        </w:tc>
        <w:tc>
          <w:tcPr>
            <w:tcW w:w="709" w:type="dxa"/>
            <w:tcBorders>
              <w:top w:val="single" w:sz="4" w:space="0" w:color="auto"/>
              <w:left w:val="single" w:sz="4" w:space="0" w:color="auto"/>
              <w:bottom w:val="single" w:sz="4" w:space="0" w:color="auto"/>
              <w:right w:val="single" w:sz="4" w:space="0" w:color="auto"/>
            </w:tcBorders>
            <w:hideMark/>
          </w:tcPr>
          <w:p w14:paraId="60CA22EE"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Zał. C</w:t>
            </w:r>
          </w:p>
          <w:p w14:paraId="45AAF41B"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pkt</w:t>
            </w:r>
          </w:p>
          <w:p w14:paraId="4A637C03"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C.3.4</w:t>
            </w:r>
          </w:p>
        </w:tc>
        <w:tc>
          <w:tcPr>
            <w:tcW w:w="4851" w:type="dxa"/>
            <w:tcBorders>
              <w:top w:val="single" w:sz="4" w:space="0" w:color="auto"/>
              <w:left w:val="single" w:sz="4" w:space="0" w:color="auto"/>
              <w:bottom w:val="single" w:sz="4" w:space="0" w:color="auto"/>
              <w:right w:val="single" w:sz="4" w:space="0" w:color="auto"/>
            </w:tcBorders>
            <w:hideMark/>
          </w:tcPr>
          <w:p w14:paraId="65994E83"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14:paraId="713996F0" w14:textId="77777777" w:rsidR="00B81F7B" w:rsidRPr="00BB6660" w:rsidRDefault="00B81F7B" w:rsidP="00BB6660">
      <w:pPr>
        <w:jc w:val="both"/>
        <w:rPr>
          <w:rFonts w:cstheme="minorHAnsi"/>
          <w:sz w:val="20"/>
          <w:szCs w:val="20"/>
        </w:rPr>
      </w:pPr>
    </w:p>
    <w:tbl>
      <w:tblPr>
        <w:tblW w:w="7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0"/>
      </w:tblGrid>
      <w:tr w:rsidR="00B81F7B" w:rsidRPr="00BB6660" w14:paraId="25B62BE9" w14:textId="77777777">
        <w:tc>
          <w:tcPr>
            <w:tcW w:w="7621" w:type="dxa"/>
            <w:tcBorders>
              <w:top w:val="single" w:sz="4" w:space="0" w:color="auto"/>
              <w:left w:val="single" w:sz="4" w:space="0" w:color="auto"/>
              <w:bottom w:val="single" w:sz="4" w:space="0" w:color="auto"/>
              <w:right w:val="single" w:sz="4" w:space="0" w:color="auto"/>
            </w:tcBorders>
            <w:hideMark/>
          </w:tcPr>
          <w:p w14:paraId="49605C10"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Badaniem wzorcowym oznaczania kształtu kruszywa grubego jest badanie wskaźnika płaskości</w:t>
            </w:r>
          </w:p>
          <w:p w14:paraId="10B8BACA" w14:textId="77777777"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 xml:space="preserve">**)    Łączna zawartość pyłów w mieszance powinna się mieścić w wybranych krzywych granicznych </w:t>
            </w:r>
          </w:p>
          <w:p w14:paraId="19E29D38" w14:textId="75E85BBB" w:rsidR="00B81F7B" w:rsidRPr="00BB6660" w:rsidRDefault="00B81F7B" w:rsidP="00BB6660">
            <w:pPr>
              <w:pStyle w:val="Bezodstpw"/>
              <w:ind w:firstLine="0"/>
              <w:rPr>
                <w:rFonts w:asciiTheme="minorHAnsi" w:hAnsiTheme="minorHAnsi" w:cstheme="minorHAnsi"/>
                <w:sz w:val="20"/>
                <w:szCs w:val="20"/>
              </w:rPr>
            </w:pPr>
            <w:r w:rsidRPr="00BB6660">
              <w:rPr>
                <w:rFonts w:asciiTheme="minorHAnsi" w:hAnsiTheme="minorHAnsi" w:cstheme="minorHAnsi"/>
                <w:sz w:val="20"/>
                <w:szCs w:val="20"/>
              </w:rPr>
              <w:t>***</w:t>
            </w:r>
            <w:r w:rsidR="004F465D" w:rsidRPr="00BB6660">
              <w:rPr>
                <w:rFonts w:asciiTheme="minorHAnsi" w:hAnsiTheme="minorHAnsi" w:cstheme="minorHAnsi"/>
                <w:sz w:val="20"/>
                <w:szCs w:val="20"/>
              </w:rPr>
              <w:t>) Pod</w:t>
            </w:r>
            <w:r w:rsidRPr="00BB6660">
              <w:rPr>
                <w:rFonts w:asciiTheme="minorHAnsi" w:hAnsiTheme="minorHAnsi" w:cstheme="minorHAnsi"/>
                <w:sz w:val="20"/>
                <w:szCs w:val="20"/>
              </w:rPr>
              <w:t xml:space="preserve"> warunkiem, gdy zawartość w mieszance nie przekracza 50% m/m</w:t>
            </w:r>
          </w:p>
        </w:tc>
      </w:tr>
    </w:tbl>
    <w:p w14:paraId="58BF56D2" w14:textId="77777777" w:rsidR="00B81F7B" w:rsidRPr="00BB6660" w:rsidRDefault="00B81F7B" w:rsidP="00BB6660">
      <w:pPr>
        <w:pStyle w:val="Bezodstpw"/>
        <w:ind w:firstLine="0"/>
        <w:rPr>
          <w:rFonts w:asciiTheme="minorHAnsi" w:hAnsiTheme="minorHAnsi" w:cstheme="minorHAnsi"/>
          <w:b/>
          <w:sz w:val="20"/>
          <w:szCs w:val="20"/>
        </w:rPr>
      </w:pPr>
    </w:p>
    <w:p w14:paraId="3F729393" w14:textId="77777777" w:rsidR="00B81F7B" w:rsidRPr="00BB6660" w:rsidRDefault="00B81F7B" w:rsidP="00BB6660">
      <w:pPr>
        <w:spacing w:after="120"/>
        <w:jc w:val="both"/>
        <w:rPr>
          <w:rFonts w:cstheme="minorHAnsi"/>
          <w:sz w:val="20"/>
          <w:szCs w:val="20"/>
        </w:rPr>
      </w:pPr>
      <w:r w:rsidRPr="00BB6660">
        <w:rPr>
          <w:rFonts w:cstheme="minorHAnsi"/>
          <w:b/>
          <w:sz w:val="20"/>
          <w:szCs w:val="20"/>
        </w:rPr>
        <w:t xml:space="preserve">2.2.4. </w:t>
      </w:r>
      <w:r w:rsidRPr="00BB6660">
        <w:rPr>
          <w:rFonts w:cstheme="minorHAnsi"/>
          <w:sz w:val="20"/>
          <w:szCs w:val="20"/>
        </w:rPr>
        <w:t>Cement</w:t>
      </w:r>
    </w:p>
    <w:p w14:paraId="29944DB6" w14:textId="77777777" w:rsidR="00B81F7B" w:rsidRPr="00BB6660" w:rsidRDefault="00B81F7B" w:rsidP="00BB6660">
      <w:pPr>
        <w:jc w:val="both"/>
        <w:rPr>
          <w:rFonts w:cstheme="minorHAnsi"/>
          <w:sz w:val="20"/>
          <w:szCs w:val="20"/>
        </w:rPr>
      </w:pPr>
      <w:r w:rsidRPr="00BB6660">
        <w:rPr>
          <w:rFonts w:cstheme="minorHAnsi"/>
          <w:sz w:val="20"/>
          <w:szCs w:val="20"/>
        </w:rPr>
        <w:tab/>
        <w:t>Należy stosować cement wg PN-EN 197-1 [5], np. CEM I, klasy 32,5 N, 42,5 N, 52,5 N.</w:t>
      </w:r>
    </w:p>
    <w:p w14:paraId="39761AC1" w14:textId="77777777" w:rsidR="00B81F7B" w:rsidRPr="00BB6660" w:rsidRDefault="00B81F7B" w:rsidP="00BB6660">
      <w:pPr>
        <w:jc w:val="both"/>
        <w:rPr>
          <w:rFonts w:cstheme="minorHAnsi"/>
          <w:sz w:val="20"/>
          <w:szCs w:val="20"/>
        </w:rPr>
      </w:pPr>
      <w:r w:rsidRPr="00BB6660">
        <w:rPr>
          <w:rFonts w:cstheme="minorHAnsi"/>
          <w:sz w:val="20"/>
          <w:szCs w:val="20"/>
        </w:rPr>
        <w:tab/>
        <w:t>Przechowywanie cementu dostarczonego:</w:t>
      </w:r>
    </w:p>
    <w:p w14:paraId="02ED3D93" w14:textId="6E140001" w:rsidR="00B81F7B" w:rsidRPr="00BB6660" w:rsidRDefault="00B81F7B">
      <w:pPr>
        <w:numPr>
          <w:ilvl w:val="0"/>
          <w:numId w:val="170"/>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lastRenderedPageBreak/>
        <w:t xml:space="preserve">w workach, co najmniej trzywarstwowych, o masie np. 50 kg – do 10 dni w miejscach zadaszonych na otwartym terenie o podłożu twardym i suchym oraz do terminu trwałości podanego przez producenta </w:t>
      </w:r>
      <w:r w:rsidR="004F465D">
        <w:rPr>
          <w:rFonts w:cstheme="minorHAnsi"/>
          <w:sz w:val="20"/>
          <w:szCs w:val="20"/>
        </w:rPr>
        <w:br/>
      </w:r>
      <w:r w:rsidRPr="00BB6660">
        <w:rPr>
          <w:rFonts w:cstheme="minorHAnsi"/>
          <w:sz w:val="20"/>
          <w:szCs w:val="20"/>
        </w:rPr>
        <w:t xml:space="preserve">w pomieszczeniach o szczelnym dachu i ścianach oraz podłogach suchych i czystych. Cement na paletach magazynuje się z dopuszczalną wysokością 3 palet, cement </w:t>
      </w:r>
      <w:proofErr w:type="spellStart"/>
      <w:r w:rsidRPr="00BB6660">
        <w:rPr>
          <w:rFonts w:cstheme="minorHAnsi"/>
          <w:sz w:val="20"/>
          <w:szCs w:val="20"/>
        </w:rPr>
        <w:t>niespaletowany</w:t>
      </w:r>
      <w:proofErr w:type="spellEnd"/>
      <w:r w:rsidRPr="00BB6660">
        <w:rPr>
          <w:rFonts w:cstheme="minorHAnsi"/>
          <w:sz w:val="20"/>
          <w:szCs w:val="20"/>
        </w:rPr>
        <w:t xml:space="preserve"> układa się w stosy płaskie o liczbie 12 warstw (dla worków trzywarstwowych),</w:t>
      </w:r>
    </w:p>
    <w:p w14:paraId="625FF39C" w14:textId="77777777" w:rsidR="00B81F7B" w:rsidRPr="00BB6660" w:rsidRDefault="00B81F7B">
      <w:pPr>
        <w:numPr>
          <w:ilvl w:val="0"/>
          <w:numId w:val="170"/>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luzem – przechowuje się w magazynach specjalnych (zbiornikach stalowych, betonowych) przystosowanych do pneumatycznego załadowania i wyładowania.</w:t>
      </w:r>
    </w:p>
    <w:p w14:paraId="1611A542" w14:textId="77777777" w:rsidR="00B81F7B" w:rsidRPr="00BB6660" w:rsidRDefault="00B81F7B" w:rsidP="00BB6660">
      <w:pPr>
        <w:spacing w:before="120" w:after="120"/>
        <w:jc w:val="both"/>
        <w:rPr>
          <w:rFonts w:cstheme="minorHAnsi"/>
          <w:sz w:val="20"/>
          <w:szCs w:val="20"/>
        </w:rPr>
      </w:pPr>
      <w:r w:rsidRPr="00BB6660">
        <w:rPr>
          <w:rFonts w:cstheme="minorHAnsi"/>
          <w:b/>
          <w:sz w:val="20"/>
          <w:szCs w:val="20"/>
        </w:rPr>
        <w:t xml:space="preserve">2.2.5. </w:t>
      </w:r>
      <w:r w:rsidRPr="00BB6660">
        <w:rPr>
          <w:rFonts w:cstheme="minorHAnsi"/>
          <w:sz w:val="20"/>
          <w:szCs w:val="20"/>
        </w:rPr>
        <w:t>Woda zarobowa</w:t>
      </w:r>
    </w:p>
    <w:p w14:paraId="3DFD8994" w14:textId="77777777" w:rsidR="00B81F7B" w:rsidRPr="00BB6660" w:rsidRDefault="00B81F7B" w:rsidP="00BB6660">
      <w:pPr>
        <w:jc w:val="both"/>
        <w:rPr>
          <w:rFonts w:cstheme="minorHAnsi"/>
          <w:sz w:val="20"/>
          <w:szCs w:val="20"/>
        </w:rPr>
      </w:pPr>
      <w:r w:rsidRPr="00BB6660">
        <w:rPr>
          <w:rFonts w:cstheme="minorHAnsi"/>
          <w:sz w:val="20"/>
          <w:szCs w:val="20"/>
        </w:rPr>
        <w:tab/>
        <w:t>Woda zarobowa powinna być zgodna z PN-EN 1008 [11].</w:t>
      </w:r>
    </w:p>
    <w:p w14:paraId="4293B9DF" w14:textId="77777777" w:rsidR="00B81F7B" w:rsidRPr="00BB6660" w:rsidRDefault="00B81F7B" w:rsidP="00BB6660">
      <w:pPr>
        <w:spacing w:before="120" w:after="120"/>
        <w:jc w:val="both"/>
        <w:rPr>
          <w:rFonts w:cstheme="minorHAnsi"/>
          <w:sz w:val="20"/>
          <w:szCs w:val="20"/>
        </w:rPr>
      </w:pPr>
      <w:r w:rsidRPr="00BB6660">
        <w:rPr>
          <w:rFonts w:cstheme="minorHAnsi"/>
          <w:b/>
          <w:sz w:val="20"/>
          <w:szCs w:val="20"/>
        </w:rPr>
        <w:t xml:space="preserve">2.2.6. </w:t>
      </w:r>
      <w:r w:rsidRPr="00BB6660">
        <w:rPr>
          <w:rFonts w:cstheme="minorHAnsi"/>
          <w:sz w:val="20"/>
          <w:szCs w:val="20"/>
        </w:rPr>
        <w:t>Dodatki</w:t>
      </w:r>
    </w:p>
    <w:p w14:paraId="384E8850" w14:textId="105115EF" w:rsidR="00B81F7B" w:rsidRPr="00BB6660" w:rsidRDefault="00B81F7B" w:rsidP="00BB6660">
      <w:pPr>
        <w:jc w:val="both"/>
        <w:rPr>
          <w:rFonts w:cstheme="minorHAnsi"/>
          <w:sz w:val="20"/>
          <w:szCs w:val="20"/>
        </w:rPr>
      </w:pPr>
      <w:r w:rsidRPr="00BB6660">
        <w:rPr>
          <w:rFonts w:cstheme="minorHAnsi"/>
          <w:sz w:val="20"/>
          <w:szCs w:val="20"/>
        </w:rPr>
        <w:tab/>
        <w:t xml:space="preserve">W przypadkach uzasadnionych mieszanka może zawierać dodatki, które powinny być uwzględnione </w:t>
      </w:r>
      <w:r w:rsidR="004F465D">
        <w:rPr>
          <w:rFonts w:cstheme="minorHAnsi"/>
          <w:sz w:val="20"/>
          <w:szCs w:val="20"/>
        </w:rPr>
        <w:br/>
      </w:r>
      <w:r w:rsidRPr="00BB6660">
        <w:rPr>
          <w:rFonts w:cstheme="minorHAnsi"/>
          <w:sz w:val="20"/>
          <w:szCs w:val="20"/>
        </w:rPr>
        <w:t>w projekcie mieszanki.</w:t>
      </w:r>
    </w:p>
    <w:p w14:paraId="37D038E8" w14:textId="77777777" w:rsidR="00B81F7B" w:rsidRPr="00BB6660" w:rsidRDefault="00B81F7B" w:rsidP="00BB6660">
      <w:pPr>
        <w:jc w:val="both"/>
        <w:rPr>
          <w:rFonts w:cstheme="minorHAnsi"/>
          <w:sz w:val="20"/>
          <w:szCs w:val="20"/>
        </w:rPr>
      </w:pPr>
      <w:r w:rsidRPr="00BB6660">
        <w:rPr>
          <w:rFonts w:cstheme="minorHAnsi"/>
          <w:sz w:val="20"/>
          <w:szCs w:val="20"/>
        </w:rPr>
        <w:tab/>
        <w:t>Dodatki powinny być o sprawdzonym działaniu jak np. mielony granulowany żużel wielkopiecowy lub popiół lotny pod warunkiem, że odpowiada ona wymaganiom europejskiej lub krajowej aprobaty technicznej.</w:t>
      </w:r>
    </w:p>
    <w:p w14:paraId="4A23FFF0" w14:textId="77777777" w:rsidR="00B81F7B" w:rsidRPr="00BB6660" w:rsidRDefault="00B81F7B">
      <w:pPr>
        <w:numPr>
          <w:ilvl w:val="2"/>
          <w:numId w:val="171"/>
        </w:numPr>
        <w:overflowPunct w:val="0"/>
        <w:autoSpaceDE w:val="0"/>
        <w:autoSpaceDN w:val="0"/>
        <w:adjustRightInd w:val="0"/>
        <w:spacing w:before="120" w:after="120" w:line="240" w:lineRule="auto"/>
        <w:jc w:val="both"/>
        <w:rPr>
          <w:rFonts w:cstheme="minorHAnsi"/>
          <w:sz w:val="20"/>
          <w:szCs w:val="20"/>
        </w:rPr>
      </w:pPr>
      <w:r w:rsidRPr="00BB6660">
        <w:rPr>
          <w:rFonts w:cstheme="minorHAnsi"/>
          <w:sz w:val="20"/>
          <w:szCs w:val="20"/>
        </w:rPr>
        <w:t>Domieszki</w:t>
      </w:r>
    </w:p>
    <w:p w14:paraId="621E63FD" w14:textId="77777777" w:rsidR="00B81F7B" w:rsidRPr="00BB6660" w:rsidRDefault="00B81F7B" w:rsidP="00BB6660">
      <w:pPr>
        <w:ind w:firstLine="709"/>
        <w:jc w:val="both"/>
        <w:rPr>
          <w:rFonts w:cstheme="minorHAnsi"/>
          <w:sz w:val="20"/>
          <w:szCs w:val="20"/>
        </w:rPr>
      </w:pPr>
      <w:r w:rsidRPr="00BB6660">
        <w:rPr>
          <w:rFonts w:cstheme="minorHAnsi"/>
          <w:sz w:val="20"/>
          <w:szCs w:val="20"/>
        </w:rPr>
        <w:t>Domieszki powinny być zgodne z PN-EN 934-2 [10].</w:t>
      </w:r>
    </w:p>
    <w:p w14:paraId="42EEDDE4" w14:textId="77777777" w:rsidR="00B81F7B" w:rsidRPr="00BB6660" w:rsidRDefault="00B81F7B" w:rsidP="00BB6660">
      <w:pPr>
        <w:ind w:firstLine="709"/>
        <w:jc w:val="both"/>
        <w:rPr>
          <w:rFonts w:cstheme="minorHAnsi"/>
          <w:sz w:val="20"/>
          <w:szCs w:val="20"/>
        </w:rPr>
      </w:pPr>
      <w:r w:rsidRPr="00BB6660">
        <w:rPr>
          <w:rFonts w:cstheme="minorHAnsi"/>
          <w:sz w:val="20"/>
          <w:szCs w:val="20"/>
        </w:rPr>
        <w:t>Jeżeli w mieszance przewiduje się zastosowanie środków przyspieszających lub opóźniających wiązanie, należy to uwzględnić przy projektowaniu składu mieszanki.</w:t>
      </w:r>
    </w:p>
    <w:p w14:paraId="60C34CC4" w14:textId="77777777" w:rsidR="00B81F7B" w:rsidRPr="00BB6660" w:rsidRDefault="00B81F7B" w:rsidP="00BB6660">
      <w:pPr>
        <w:pStyle w:val="Nagwek1"/>
        <w:numPr>
          <w:ilvl w:val="12"/>
          <w:numId w:val="0"/>
        </w:numPr>
        <w:rPr>
          <w:rFonts w:asciiTheme="minorHAnsi" w:hAnsiTheme="minorHAnsi" w:cstheme="minorHAnsi"/>
          <w:sz w:val="20"/>
        </w:rPr>
      </w:pPr>
      <w:bookmarkStart w:id="3061" w:name="_Toc332010313"/>
      <w:bookmarkStart w:id="3062" w:name="_Toc227825394"/>
      <w:r w:rsidRPr="00BB6660">
        <w:rPr>
          <w:rFonts w:asciiTheme="minorHAnsi" w:hAnsiTheme="minorHAnsi" w:cstheme="minorHAnsi"/>
          <w:sz w:val="20"/>
        </w:rPr>
        <w:t>3. sprzęt</w:t>
      </w:r>
      <w:bookmarkEnd w:id="3061"/>
      <w:bookmarkEnd w:id="3062"/>
    </w:p>
    <w:p w14:paraId="3F64EC58" w14:textId="77777777" w:rsidR="00B81F7B" w:rsidRPr="00BB6660" w:rsidRDefault="00B81F7B" w:rsidP="00BB6660">
      <w:pPr>
        <w:pStyle w:val="Nagwek2"/>
        <w:numPr>
          <w:ilvl w:val="12"/>
          <w:numId w:val="0"/>
        </w:numPr>
        <w:rPr>
          <w:rFonts w:asciiTheme="minorHAnsi" w:hAnsiTheme="minorHAnsi" w:cstheme="minorHAnsi"/>
          <w:sz w:val="20"/>
        </w:rPr>
      </w:pPr>
      <w:bookmarkStart w:id="3063" w:name="_Toc227825395"/>
      <w:r w:rsidRPr="00BB6660">
        <w:rPr>
          <w:rFonts w:asciiTheme="minorHAnsi" w:hAnsiTheme="minorHAnsi" w:cstheme="minorHAnsi"/>
          <w:sz w:val="20"/>
        </w:rPr>
        <w:t>3.1. Ogólne wymagania dotyczące sprzętu</w:t>
      </w:r>
      <w:bookmarkEnd w:id="3063"/>
    </w:p>
    <w:p w14:paraId="1DCBD073" w14:textId="0926EDDE" w:rsidR="00B81F7B" w:rsidRPr="00BB6660" w:rsidRDefault="00B81F7B" w:rsidP="00BB6660">
      <w:pPr>
        <w:numPr>
          <w:ilvl w:val="12"/>
          <w:numId w:val="0"/>
        </w:numPr>
        <w:jc w:val="both"/>
        <w:rPr>
          <w:rFonts w:cstheme="minorHAnsi"/>
          <w:sz w:val="20"/>
          <w:szCs w:val="20"/>
        </w:rPr>
      </w:pPr>
      <w:r w:rsidRPr="00BB6660">
        <w:rPr>
          <w:rFonts w:cstheme="minorHAnsi"/>
          <w:sz w:val="20"/>
          <w:szCs w:val="20"/>
        </w:rPr>
        <w:tab/>
        <w:t xml:space="preserve">Ogólne wymagania dotyczące sprzętu podano w </w:t>
      </w:r>
      <w:r w:rsidR="004F465D" w:rsidRPr="00BB6660">
        <w:rPr>
          <w:rFonts w:cstheme="minorHAnsi"/>
          <w:sz w:val="20"/>
          <w:szCs w:val="20"/>
        </w:rPr>
        <w:t>SST D</w:t>
      </w:r>
      <w:r w:rsidRPr="00BB6660">
        <w:rPr>
          <w:rFonts w:cstheme="minorHAnsi"/>
          <w:sz w:val="20"/>
          <w:szCs w:val="20"/>
        </w:rPr>
        <w:t>-00.00.00 „Wymagania ogólne” [1] pkt 3.</w:t>
      </w:r>
    </w:p>
    <w:p w14:paraId="2F089582" w14:textId="77777777" w:rsidR="00B81F7B" w:rsidRPr="00BB6660" w:rsidRDefault="00B81F7B" w:rsidP="00BB6660">
      <w:pPr>
        <w:pStyle w:val="Nagwek2"/>
        <w:rPr>
          <w:rFonts w:asciiTheme="minorHAnsi" w:hAnsiTheme="minorHAnsi" w:cstheme="minorHAnsi"/>
          <w:sz w:val="20"/>
        </w:rPr>
      </w:pPr>
      <w:bookmarkStart w:id="3064" w:name="_Toc227825396"/>
      <w:r w:rsidRPr="00BB6660">
        <w:rPr>
          <w:rFonts w:asciiTheme="minorHAnsi" w:hAnsiTheme="minorHAnsi" w:cstheme="minorHAnsi"/>
          <w:sz w:val="20"/>
        </w:rPr>
        <w:t>3.2. Sprzęt stosowany do wykonania robót</w:t>
      </w:r>
      <w:bookmarkEnd w:id="3064"/>
    </w:p>
    <w:p w14:paraId="775C6BDF" w14:textId="77777777" w:rsidR="00B81F7B" w:rsidRPr="00BB6660" w:rsidRDefault="00B81F7B" w:rsidP="00BB6660">
      <w:pPr>
        <w:jc w:val="both"/>
        <w:rPr>
          <w:rFonts w:cstheme="minorHAnsi"/>
          <w:sz w:val="20"/>
          <w:szCs w:val="20"/>
        </w:rPr>
      </w:pPr>
      <w:r w:rsidRPr="00BB6660">
        <w:rPr>
          <w:rFonts w:cstheme="minorHAnsi"/>
          <w:sz w:val="20"/>
          <w:szCs w:val="20"/>
        </w:rPr>
        <w:tab/>
        <w:t>Przy wykonywaniu robót Wykonawca w zależności od potrzeb, powinien wykazać się możliwością korzystania ze sprzętu dostosowanego do przyjętej metody robót, jak:</w:t>
      </w:r>
    </w:p>
    <w:p w14:paraId="2FA34D70"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wytwórnia stacjonarna lub mobilna do wytwarzania mieszanki,</w:t>
      </w:r>
    </w:p>
    <w:p w14:paraId="26DE8C3E"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przewoźne zbiorniki na wodę,</w:t>
      </w:r>
    </w:p>
    <w:p w14:paraId="42B6F619"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układarki do rozkładania mieszanki lub równiarki,</w:t>
      </w:r>
    </w:p>
    <w:p w14:paraId="000BF32E"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walce wibracyjne, statyczne lub ogumione,</w:t>
      </w:r>
    </w:p>
    <w:p w14:paraId="657CD3DF"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zagęszczarki płytowe, ubijaki mechaniczne lub małe walce wibracyjne do zagęszczania w miejscach trudno dostępnych.</w:t>
      </w:r>
    </w:p>
    <w:p w14:paraId="00D8F9A5" w14:textId="77777777" w:rsidR="00B81F7B" w:rsidRPr="00BB6660" w:rsidRDefault="00B81F7B" w:rsidP="00BB6660">
      <w:pPr>
        <w:ind w:firstLine="709"/>
        <w:jc w:val="both"/>
        <w:rPr>
          <w:rFonts w:cstheme="minorHAnsi"/>
          <w:sz w:val="20"/>
          <w:szCs w:val="20"/>
        </w:rPr>
      </w:pPr>
      <w:r w:rsidRPr="00BB6660">
        <w:rPr>
          <w:rFonts w:cstheme="minorHAnsi"/>
          <w:sz w:val="20"/>
          <w:szCs w:val="20"/>
        </w:rPr>
        <w:t>Sprzęt powinien odpowiadać wymaganiom określonym w dokumentacji projektowej, ST, instrukcjach producentów lub propozycji Wykonawcy i powinien być zaakceptowany przez Inżyniera.</w:t>
      </w:r>
    </w:p>
    <w:p w14:paraId="1EEDD1B6" w14:textId="77777777" w:rsidR="00B81F7B" w:rsidRPr="00BB6660" w:rsidRDefault="00B81F7B" w:rsidP="00BB6660">
      <w:pPr>
        <w:pStyle w:val="Nagwek1"/>
        <w:rPr>
          <w:rFonts w:asciiTheme="minorHAnsi" w:hAnsiTheme="minorHAnsi" w:cstheme="minorHAnsi"/>
          <w:sz w:val="20"/>
        </w:rPr>
      </w:pPr>
      <w:bookmarkStart w:id="3065" w:name="_Toc332010314"/>
      <w:bookmarkStart w:id="3066" w:name="_Toc227825397"/>
      <w:r w:rsidRPr="00BB6660">
        <w:rPr>
          <w:rFonts w:asciiTheme="minorHAnsi" w:hAnsiTheme="minorHAnsi" w:cstheme="minorHAnsi"/>
          <w:sz w:val="20"/>
        </w:rPr>
        <w:t>4. TRANSPORT</w:t>
      </w:r>
      <w:bookmarkEnd w:id="3065"/>
      <w:bookmarkEnd w:id="3066"/>
    </w:p>
    <w:p w14:paraId="2492F163" w14:textId="77777777" w:rsidR="00B81F7B" w:rsidRPr="00BB6660" w:rsidRDefault="00B81F7B" w:rsidP="00BB6660">
      <w:pPr>
        <w:pStyle w:val="Nagwek2"/>
        <w:rPr>
          <w:rFonts w:asciiTheme="minorHAnsi" w:hAnsiTheme="minorHAnsi" w:cstheme="minorHAnsi"/>
          <w:sz w:val="20"/>
        </w:rPr>
      </w:pPr>
      <w:bookmarkStart w:id="3067" w:name="_Toc227825398"/>
      <w:r w:rsidRPr="00BB6660">
        <w:rPr>
          <w:rFonts w:asciiTheme="minorHAnsi" w:hAnsiTheme="minorHAnsi" w:cstheme="minorHAnsi"/>
          <w:sz w:val="20"/>
        </w:rPr>
        <w:t>4.1. Ogólne wymagania dotyczące transportu</w:t>
      </w:r>
      <w:bookmarkEnd w:id="3067"/>
      <w:r w:rsidRPr="00BB6660">
        <w:rPr>
          <w:rFonts w:asciiTheme="minorHAnsi" w:hAnsiTheme="minorHAnsi" w:cstheme="minorHAnsi"/>
          <w:sz w:val="20"/>
        </w:rPr>
        <w:t xml:space="preserve"> </w:t>
      </w:r>
    </w:p>
    <w:p w14:paraId="34431FC5" w14:textId="0F8AAE5E" w:rsidR="00B81F7B" w:rsidRPr="00BB6660" w:rsidRDefault="00B81F7B" w:rsidP="00BB6660">
      <w:pPr>
        <w:tabs>
          <w:tab w:val="left" w:pos="284"/>
          <w:tab w:val="right" w:leader="dot" w:pos="8505"/>
        </w:tabs>
        <w:jc w:val="both"/>
        <w:rPr>
          <w:rFonts w:cstheme="minorHAnsi"/>
          <w:sz w:val="20"/>
          <w:szCs w:val="20"/>
        </w:rPr>
      </w:pPr>
      <w:r w:rsidRPr="00BB6660">
        <w:rPr>
          <w:rFonts w:cstheme="minorHAnsi"/>
          <w:sz w:val="20"/>
          <w:szCs w:val="20"/>
        </w:rPr>
        <w:tab/>
        <w:t xml:space="preserve">     Ogólne wymagania dotyczące transportu podano w SST D-00.00.00 „Wymagania ogólne” [1</w:t>
      </w:r>
      <w:r w:rsidR="004F465D" w:rsidRPr="00BB6660">
        <w:rPr>
          <w:rFonts w:cstheme="minorHAnsi"/>
          <w:sz w:val="20"/>
          <w:szCs w:val="20"/>
        </w:rPr>
        <w:t>] pkt</w:t>
      </w:r>
      <w:r w:rsidRPr="00BB6660">
        <w:rPr>
          <w:rFonts w:cstheme="minorHAnsi"/>
          <w:sz w:val="20"/>
          <w:szCs w:val="20"/>
        </w:rPr>
        <w:t xml:space="preserve"> 4.</w:t>
      </w:r>
    </w:p>
    <w:p w14:paraId="0E269EA0" w14:textId="77777777" w:rsidR="00B81F7B" w:rsidRPr="00BB6660" w:rsidRDefault="00B81F7B" w:rsidP="00BB6660">
      <w:pPr>
        <w:pStyle w:val="Nagwek2"/>
        <w:rPr>
          <w:rFonts w:asciiTheme="minorHAnsi" w:hAnsiTheme="minorHAnsi" w:cstheme="minorHAnsi"/>
          <w:sz w:val="20"/>
        </w:rPr>
      </w:pPr>
      <w:bookmarkStart w:id="3068" w:name="_Toc227825399"/>
      <w:r w:rsidRPr="00BB6660">
        <w:rPr>
          <w:rFonts w:asciiTheme="minorHAnsi" w:hAnsiTheme="minorHAnsi" w:cstheme="minorHAnsi"/>
          <w:sz w:val="20"/>
        </w:rPr>
        <w:t>4.2. Transport materiałów</w:t>
      </w:r>
      <w:bookmarkEnd w:id="3068"/>
    </w:p>
    <w:p w14:paraId="7AA017FB" w14:textId="77777777" w:rsidR="00B81F7B" w:rsidRPr="00BB6660" w:rsidRDefault="00B81F7B" w:rsidP="00BB6660">
      <w:pPr>
        <w:jc w:val="both"/>
        <w:rPr>
          <w:rFonts w:cstheme="minorHAnsi"/>
          <w:sz w:val="20"/>
          <w:szCs w:val="20"/>
        </w:rPr>
      </w:pPr>
      <w:r w:rsidRPr="00BB6660">
        <w:rPr>
          <w:rFonts w:cstheme="minorHAnsi"/>
          <w:sz w:val="20"/>
          <w:szCs w:val="20"/>
        </w:rPr>
        <w:tab/>
        <w:t>Materiały sypkie można przewozić dowolnymi środkami transportu, w warunkach zabezpieczających je przed  zanieczyszczeniem, zmieszaniem z innymi materiałami i nadmiernym zawilgoceniem.</w:t>
      </w:r>
    </w:p>
    <w:p w14:paraId="6AC4F50D" w14:textId="77777777" w:rsidR="00B81F7B" w:rsidRPr="00BB6660" w:rsidRDefault="00B81F7B" w:rsidP="00BB6660">
      <w:pPr>
        <w:jc w:val="both"/>
        <w:rPr>
          <w:rFonts w:cstheme="minorHAnsi"/>
          <w:sz w:val="20"/>
          <w:szCs w:val="20"/>
        </w:rPr>
      </w:pPr>
      <w:r w:rsidRPr="00BB6660">
        <w:rPr>
          <w:rFonts w:cstheme="minorHAnsi"/>
          <w:sz w:val="20"/>
          <w:szCs w:val="20"/>
        </w:rPr>
        <w:tab/>
        <w:t xml:space="preserve">Cement w workach może być przewożony samochodami krytymi, wagonami towarowymi i innymi środkami transportu, w sposób nie powodujący uszkodzeń opakowania. Worki na paletach układa się po 5 warstw po 4 szt. w warstwie. Worki </w:t>
      </w:r>
      <w:proofErr w:type="spellStart"/>
      <w:r w:rsidRPr="00BB6660">
        <w:rPr>
          <w:rFonts w:cstheme="minorHAnsi"/>
          <w:sz w:val="20"/>
          <w:szCs w:val="20"/>
        </w:rPr>
        <w:t>niespaletowane</w:t>
      </w:r>
      <w:proofErr w:type="spellEnd"/>
      <w:r w:rsidRPr="00BB6660">
        <w:rPr>
          <w:rFonts w:cstheme="minorHAnsi"/>
          <w:sz w:val="20"/>
          <w:szCs w:val="20"/>
        </w:rPr>
        <w:t xml:space="preserve"> układa się na płask w wysokości do 10 warstw. Cement luzem przewozi się w zbiornikach (wagonach, samochodach), czystych i nie zanieczyszczanych podczas transportu. Środki transportu powinny być wyposażone we wsypy i urządzenia do wyładowania cementu.</w:t>
      </w:r>
    </w:p>
    <w:p w14:paraId="20F9D582" w14:textId="77777777" w:rsidR="00B81F7B" w:rsidRPr="00BB6660" w:rsidRDefault="00B81F7B" w:rsidP="00BB6660">
      <w:pPr>
        <w:jc w:val="both"/>
        <w:rPr>
          <w:rFonts w:cstheme="minorHAnsi"/>
          <w:sz w:val="20"/>
          <w:szCs w:val="20"/>
        </w:rPr>
      </w:pPr>
      <w:r w:rsidRPr="00BB6660">
        <w:rPr>
          <w:rFonts w:cstheme="minorHAnsi"/>
          <w:sz w:val="20"/>
          <w:szCs w:val="20"/>
        </w:rPr>
        <w:lastRenderedPageBreak/>
        <w:tab/>
        <w:t>Woda może być dostarczana wodociągiem lub przewoźnymi zbiornikami wody.</w:t>
      </w:r>
    </w:p>
    <w:p w14:paraId="2B80915A" w14:textId="77777777" w:rsidR="00B81F7B" w:rsidRPr="00BB6660" w:rsidRDefault="00B81F7B" w:rsidP="00BB6660">
      <w:pPr>
        <w:jc w:val="both"/>
        <w:rPr>
          <w:rFonts w:cstheme="minorHAnsi"/>
          <w:sz w:val="20"/>
          <w:szCs w:val="20"/>
        </w:rPr>
      </w:pPr>
      <w:r w:rsidRPr="00BB6660">
        <w:rPr>
          <w:rFonts w:cstheme="minorHAnsi"/>
          <w:sz w:val="20"/>
          <w:szCs w:val="20"/>
        </w:rPr>
        <w:tab/>
        <w:t>Inne materiały należy przewozić w sposób zalecony przez producentów i dostawców, nie powodując pogorszenia ich walorów użytkowych.</w:t>
      </w:r>
    </w:p>
    <w:p w14:paraId="7E54FB37" w14:textId="77777777" w:rsidR="00B81F7B" w:rsidRPr="00BB6660" w:rsidRDefault="00B81F7B" w:rsidP="00BB6660">
      <w:pPr>
        <w:pStyle w:val="Nagwek1"/>
        <w:rPr>
          <w:rFonts w:asciiTheme="minorHAnsi" w:hAnsiTheme="minorHAnsi" w:cstheme="minorHAnsi"/>
          <w:sz w:val="20"/>
        </w:rPr>
      </w:pPr>
      <w:bookmarkStart w:id="3069" w:name="_Toc236626159"/>
      <w:bookmarkStart w:id="3070" w:name="_Toc332010315"/>
      <w:bookmarkStart w:id="3071" w:name="_Toc227825400"/>
      <w:r w:rsidRPr="00BB6660">
        <w:rPr>
          <w:rFonts w:asciiTheme="minorHAnsi" w:hAnsiTheme="minorHAnsi" w:cstheme="minorHAnsi"/>
          <w:sz w:val="20"/>
        </w:rPr>
        <w:t>5. WYKONANIE ROBÓT</w:t>
      </w:r>
      <w:bookmarkEnd w:id="3069"/>
      <w:bookmarkEnd w:id="3070"/>
      <w:bookmarkEnd w:id="3071"/>
    </w:p>
    <w:p w14:paraId="1D365ECD" w14:textId="77777777" w:rsidR="00B81F7B" w:rsidRPr="00BB6660" w:rsidRDefault="00B81F7B" w:rsidP="00BB6660">
      <w:pPr>
        <w:pStyle w:val="Nagwek2"/>
        <w:rPr>
          <w:rFonts w:asciiTheme="minorHAnsi" w:hAnsiTheme="minorHAnsi" w:cstheme="minorHAnsi"/>
          <w:sz w:val="20"/>
        </w:rPr>
      </w:pPr>
      <w:bookmarkStart w:id="3072" w:name="_Toc227825401"/>
      <w:r w:rsidRPr="00BB6660">
        <w:rPr>
          <w:rFonts w:asciiTheme="minorHAnsi" w:hAnsiTheme="minorHAnsi" w:cstheme="minorHAnsi"/>
          <w:sz w:val="20"/>
        </w:rPr>
        <w:t>5.1. Ogólne zasady wykonania robót</w:t>
      </w:r>
      <w:bookmarkEnd w:id="3072"/>
    </w:p>
    <w:p w14:paraId="49DF8EA7" w14:textId="77777777" w:rsidR="00B81F7B" w:rsidRPr="00BB6660" w:rsidRDefault="00B81F7B" w:rsidP="00BB6660">
      <w:pPr>
        <w:tabs>
          <w:tab w:val="left" w:pos="0"/>
          <w:tab w:val="left" w:pos="567"/>
          <w:tab w:val="left" w:pos="851"/>
          <w:tab w:val="right" w:leader="dot" w:pos="8505"/>
        </w:tabs>
        <w:jc w:val="both"/>
        <w:rPr>
          <w:rFonts w:cstheme="minorHAnsi"/>
          <w:sz w:val="20"/>
          <w:szCs w:val="20"/>
        </w:rPr>
      </w:pPr>
      <w:r w:rsidRPr="00BB6660">
        <w:rPr>
          <w:rFonts w:cstheme="minorHAnsi"/>
          <w:sz w:val="20"/>
          <w:szCs w:val="20"/>
        </w:rPr>
        <w:tab/>
        <w:t xml:space="preserve">     Ogólne zasady wykonania robót podano w SST D-00.00.00 „Wymagania ogólne” [1] pkt 5.</w:t>
      </w:r>
    </w:p>
    <w:p w14:paraId="20706EA4" w14:textId="77777777" w:rsidR="00B81F7B" w:rsidRPr="00BB6660" w:rsidRDefault="00B81F7B" w:rsidP="00BB6660">
      <w:pPr>
        <w:pStyle w:val="Nagwek2"/>
        <w:rPr>
          <w:rFonts w:asciiTheme="minorHAnsi" w:hAnsiTheme="minorHAnsi" w:cstheme="minorHAnsi"/>
          <w:sz w:val="20"/>
        </w:rPr>
      </w:pPr>
      <w:bookmarkStart w:id="3073" w:name="_Toc227825402"/>
      <w:r w:rsidRPr="00BB6660">
        <w:rPr>
          <w:rFonts w:asciiTheme="minorHAnsi" w:hAnsiTheme="minorHAnsi" w:cstheme="minorHAnsi"/>
          <w:sz w:val="20"/>
        </w:rPr>
        <w:t>5.2. Zasady wykonywania robót</w:t>
      </w:r>
      <w:bookmarkEnd w:id="3073"/>
    </w:p>
    <w:p w14:paraId="1451587B" w14:textId="77777777" w:rsidR="00B81F7B" w:rsidRPr="00BB6660" w:rsidRDefault="00B81F7B" w:rsidP="00BB6660">
      <w:pPr>
        <w:ind w:firstLine="709"/>
        <w:jc w:val="both"/>
        <w:rPr>
          <w:rFonts w:cstheme="minorHAnsi"/>
          <w:sz w:val="20"/>
          <w:szCs w:val="20"/>
        </w:rPr>
      </w:pPr>
      <w:r w:rsidRPr="00BB6660">
        <w:rPr>
          <w:rFonts w:cstheme="minorHAnsi"/>
          <w:sz w:val="20"/>
          <w:szCs w:val="20"/>
        </w:rPr>
        <w:t>Sposób wykonania robót powinien być zgodny z dokumentacją projektową i ST. W przypadku braku wystarczających danych można korzystać z ustaleń podanych w niniejszej specyfikacji oraz z informacji podanych w załączniku.</w:t>
      </w:r>
    </w:p>
    <w:p w14:paraId="0FBC246E" w14:textId="77777777" w:rsidR="00B81F7B" w:rsidRPr="00BB6660" w:rsidRDefault="00B81F7B" w:rsidP="00BB6660">
      <w:pPr>
        <w:jc w:val="both"/>
        <w:rPr>
          <w:rFonts w:cstheme="minorHAnsi"/>
          <w:sz w:val="20"/>
          <w:szCs w:val="20"/>
        </w:rPr>
      </w:pPr>
      <w:r w:rsidRPr="00BB6660">
        <w:rPr>
          <w:rFonts w:cstheme="minorHAnsi"/>
          <w:sz w:val="20"/>
          <w:szCs w:val="20"/>
        </w:rPr>
        <w:tab/>
        <w:t>Podstawowe czynności przy wykonaniu robót obejmują:</w:t>
      </w:r>
    </w:p>
    <w:p w14:paraId="3FCE36D9" w14:textId="77777777" w:rsidR="00B81F7B" w:rsidRPr="00BB6660" w:rsidRDefault="00B81F7B">
      <w:pPr>
        <w:numPr>
          <w:ilvl w:val="0"/>
          <w:numId w:val="173"/>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 xml:space="preserve">roboty przygotowawcze, </w:t>
      </w:r>
    </w:p>
    <w:p w14:paraId="651B0716" w14:textId="77777777" w:rsidR="00B81F7B" w:rsidRPr="00BB6660" w:rsidRDefault="00B81F7B">
      <w:pPr>
        <w:numPr>
          <w:ilvl w:val="0"/>
          <w:numId w:val="173"/>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projektowanie mieszanki,</w:t>
      </w:r>
    </w:p>
    <w:p w14:paraId="58EBB22E" w14:textId="77777777" w:rsidR="00B81F7B" w:rsidRPr="00BB6660" w:rsidRDefault="00B81F7B">
      <w:pPr>
        <w:numPr>
          <w:ilvl w:val="0"/>
          <w:numId w:val="173"/>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wbudowanie mieszanki,</w:t>
      </w:r>
    </w:p>
    <w:p w14:paraId="651F6AB9" w14:textId="77777777" w:rsidR="00B81F7B" w:rsidRPr="00BB6660" w:rsidRDefault="00B81F7B">
      <w:pPr>
        <w:numPr>
          <w:ilvl w:val="0"/>
          <w:numId w:val="173"/>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roboty wykończeniowe.</w:t>
      </w:r>
    </w:p>
    <w:p w14:paraId="014E1726" w14:textId="77777777" w:rsidR="00B81F7B" w:rsidRPr="00BB6660" w:rsidRDefault="00B81F7B" w:rsidP="00BB6660">
      <w:pPr>
        <w:pStyle w:val="Nagwek2"/>
        <w:rPr>
          <w:rFonts w:asciiTheme="minorHAnsi" w:hAnsiTheme="minorHAnsi" w:cstheme="minorHAnsi"/>
          <w:sz w:val="20"/>
        </w:rPr>
      </w:pPr>
      <w:bookmarkStart w:id="3074" w:name="_Toc227825403"/>
      <w:r w:rsidRPr="00BB6660">
        <w:rPr>
          <w:rFonts w:asciiTheme="minorHAnsi" w:hAnsiTheme="minorHAnsi" w:cstheme="minorHAnsi"/>
          <w:sz w:val="20"/>
        </w:rPr>
        <w:t>5.3. Roboty przygotowawcze</w:t>
      </w:r>
      <w:bookmarkEnd w:id="3074"/>
    </w:p>
    <w:p w14:paraId="2BDABB69" w14:textId="54D23D06" w:rsidR="00B81F7B" w:rsidRPr="00BB6660" w:rsidRDefault="00B81F7B" w:rsidP="00BB6660">
      <w:pPr>
        <w:jc w:val="both"/>
        <w:rPr>
          <w:rFonts w:cstheme="minorHAnsi"/>
          <w:sz w:val="20"/>
          <w:szCs w:val="20"/>
        </w:rPr>
      </w:pPr>
      <w:r w:rsidRPr="00BB6660">
        <w:rPr>
          <w:rFonts w:cstheme="minorHAnsi"/>
          <w:sz w:val="20"/>
          <w:szCs w:val="20"/>
        </w:rPr>
        <w:tab/>
        <w:t xml:space="preserve">Przed przystąpieniem do robót należy, na podstawie dokumentacji </w:t>
      </w:r>
      <w:r w:rsidR="004F465D" w:rsidRPr="00BB6660">
        <w:rPr>
          <w:rFonts w:cstheme="minorHAnsi"/>
          <w:sz w:val="20"/>
          <w:szCs w:val="20"/>
        </w:rPr>
        <w:t>projektowej, ST</w:t>
      </w:r>
      <w:r w:rsidRPr="00BB6660">
        <w:rPr>
          <w:rFonts w:cstheme="minorHAnsi"/>
          <w:sz w:val="20"/>
          <w:szCs w:val="20"/>
        </w:rPr>
        <w:t xml:space="preserve"> lub wskazań Inżyniera:</w:t>
      </w:r>
    </w:p>
    <w:p w14:paraId="0154843D" w14:textId="77777777" w:rsidR="00B81F7B" w:rsidRPr="00BB6660" w:rsidRDefault="00B81F7B">
      <w:pPr>
        <w:numPr>
          <w:ilvl w:val="0"/>
          <w:numId w:val="174"/>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ustalić lokalizację robót,</w:t>
      </w:r>
    </w:p>
    <w:p w14:paraId="2261D604" w14:textId="77777777" w:rsidR="00B81F7B" w:rsidRPr="00BB6660" w:rsidRDefault="00B81F7B">
      <w:pPr>
        <w:numPr>
          <w:ilvl w:val="0"/>
          <w:numId w:val="174"/>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przeprowadzić obliczenia i pomiary niezbędne do szczegółowego wytyczenia robót oraz ustalenia danych wysokościowych,</w:t>
      </w:r>
    </w:p>
    <w:p w14:paraId="1E5C1BFB" w14:textId="77777777" w:rsidR="00B81F7B" w:rsidRPr="00BB6660" w:rsidRDefault="00B81F7B">
      <w:pPr>
        <w:numPr>
          <w:ilvl w:val="0"/>
          <w:numId w:val="174"/>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usunąć przeszkody utrudniające wykonanie robót,</w:t>
      </w:r>
    </w:p>
    <w:p w14:paraId="4EAA1C36" w14:textId="77777777" w:rsidR="00B81F7B" w:rsidRPr="00BB6660" w:rsidRDefault="00B81F7B">
      <w:pPr>
        <w:numPr>
          <w:ilvl w:val="0"/>
          <w:numId w:val="174"/>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wprowadzić oznakowanie drogi na okres robót,</w:t>
      </w:r>
    </w:p>
    <w:p w14:paraId="6F092E03" w14:textId="77777777" w:rsidR="00B81F7B" w:rsidRPr="00BB6660" w:rsidRDefault="00B81F7B">
      <w:pPr>
        <w:numPr>
          <w:ilvl w:val="0"/>
          <w:numId w:val="174"/>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zgromadzić materiały i sprzęt potrzebne do rozpoczęcia robót.</w:t>
      </w:r>
    </w:p>
    <w:p w14:paraId="4E372698" w14:textId="207BE187" w:rsidR="00B81F7B" w:rsidRPr="00BB6660" w:rsidRDefault="00B81F7B" w:rsidP="00BB6660">
      <w:pPr>
        <w:ind w:firstLine="709"/>
        <w:jc w:val="both"/>
        <w:rPr>
          <w:rFonts w:cstheme="minorHAnsi"/>
          <w:sz w:val="20"/>
          <w:szCs w:val="20"/>
        </w:rPr>
      </w:pPr>
      <w:r w:rsidRPr="00BB6660">
        <w:rPr>
          <w:rFonts w:cstheme="minorHAnsi"/>
          <w:sz w:val="20"/>
          <w:szCs w:val="20"/>
        </w:rPr>
        <w:t xml:space="preserve">Można dodatkowo korzystać z SST D-01.00.00 [2] przy robotach przygotowawczych oraz z SST </w:t>
      </w:r>
      <w:r w:rsidR="004F465D">
        <w:rPr>
          <w:rFonts w:cstheme="minorHAnsi"/>
          <w:sz w:val="20"/>
          <w:szCs w:val="20"/>
        </w:rPr>
        <w:br/>
      </w:r>
      <w:r w:rsidRPr="00BB6660">
        <w:rPr>
          <w:rFonts w:cstheme="minorHAnsi"/>
          <w:sz w:val="20"/>
          <w:szCs w:val="20"/>
        </w:rPr>
        <w:t xml:space="preserve">D-02.00.00 [3] przy występowaniu robót ziemnych. </w:t>
      </w:r>
    </w:p>
    <w:p w14:paraId="34D078A6" w14:textId="77777777" w:rsidR="00B81F7B" w:rsidRPr="00BB6660" w:rsidRDefault="00B81F7B" w:rsidP="00BB6660">
      <w:pPr>
        <w:pStyle w:val="Nagwek2"/>
        <w:rPr>
          <w:rFonts w:asciiTheme="minorHAnsi" w:hAnsiTheme="minorHAnsi" w:cstheme="minorHAnsi"/>
          <w:sz w:val="20"/>
        </w:rPr>
      </w:pPr>
      <w:bookmarkStart w:id="3075" w:name="_Toc227825404"/>
      <w:r w:rsidRPr="00BB6660">
        <w:rPr>
          <w:rFonts w:asciiTheme="minorHAnsi" w:hAnsiTheme="minorHAnsi" w:cstheme="minorHAnsi"/>
          <w:sz w:val="20"/>
        </w:rPr>
        <w:t>5.4. Projektowanie mieszanki związanej cementem</w:t>
      </w:r>
      <w:bookmarkEnd w:id="3075"/>
    </w:p>
    <w:p w14:paraId="3CB15391" w14:textId="77777777" w:rsidR="00B81F7B" w:rsidRPr="00BB6660" w:rsidRDefault="00B81F7B" w:rsidP="00BB6660">
      <w:pPr>
        <w:jc w:val="both"/>
        <w:rPr>
          <w:rFonts w:cstheme="minorHAnsi"/>
          <w:sz w:val="20"/>
          <w:szCs w:val="20"/>
        </w:rPr>
      </w:pPr>
      <w:r w:rsidRPr="00BB6660">
        <w:rPr>
          <w:rFonts w:cstheme="minorHAnsi"/>
          <w:sz w:val="20"/>
          <w:szCs w:val="20"/>
        </w:rPr>
        <w:tab/>
        <w:t>Przed przystąpieniem do robót, w terminie uzgodnionym z Inżynierem, Wykonawca dostarczy Inżynierowi do akceptacji projekt składu mieszanki związanej cementem oraz wyniki badań laboratoryjnych poszczególnych składników i próbki materiałów pobrane w obecności Inżyniera do wykonania badań kontrolnych przez Inżyniera.</w:t>
      </w:r>
    </w:p>
    <w:p w14:paraId="79DFC4A7" w14:textId="77777777" w:rsidR="00B81F7B" w:rsidRPr="00BB6660" w:rsidRDefault="00B81F7B" w:rsidP="00BB6660">
      <w:pPr>
        <w:jc w:val="both"/>
        <w:rPr>
          <w:rFonts w:cstheme="minorHAnsi"/>
          <w:sz w:val="20"/>
          <w:szCs w:val="20"/>
        </w:rPr>
      </w:pPr>
      <w:r w:rsidRPr="00BB6660">
        <w:rPr>
          <w:rFonts w:cstheme="minorHAnsi"/>
          <w:sz w:val="20"/>
          <w:szCs w:val="20"/>
        </w:rPr>
        <w:tab/>
        <w:t>Projektowanie mieszanki polega na doborze kruszywa do mieszanki, ilości cementu, ilości wody. Procedura projektowa powinna być oparta na próbach laboratoryjnych i/lub polowych przeprowadzonych na tych samych składnikach, z tych samych źródeł i o takich samych właściwościach, jak te które będą stosowane do wykonania podbudowy lub podłoża ulepszonego.</w:t>
      </w:r>
    </w:p>
    <w:p w14:paraId="188838DA" w14:textId="77777777" w:rsidR="00B81F7B" w:rsidRPr="00BB6660" w:rsidRDefault="00B81F7B" w:rsidP="00BB6660">
      <w:pPr>
        <w:jc w:val="both"/>
        <w:rPr>
          <w:rFonts w:cstheme="minorHAnsi"/>
          <w:sz w:val="20"/>
          <w:szCs w:val="20"/>
        </w:rPr>
      </w:pPr>
      <w:r w:rsidRPr="00BB6660">
        <w:rPr>
          <w:rFonts w:cstheme="minorHAnsi"/>
          <w:sz w:val="20"/>
          <w:szCs w:val="20"/>
        </w:rPr>
        <w:tab/>
        <w:t>Skład mieszanek projektuje się ze względu na wytrzymałość na ściskanie próbek (system I), zagęszczanych metodą Proctora wg PN-EN 13286-50 [22] w formach walcowych H/D = 1. Klasy wytrzymałości przyjmuje się wg tablicy 2.</w:t>
      </w:r>
    </w:p>
    <w:p w14:paraId="3CF9B22D" w14:textId="77777777" w:rsidR="00B81F7B" w:rsidRPr="00BB6660" w:rsidRDefault="00B81F7B" w:rsidP="00BB6660">
      <w:pPr>
        <w:jc w:val="both"/>
        <w:rPr>
          <w:rFonts w:cstheme="minorHAnsi"/>
          <w:sz w:val="20"/>
          <w:szCs w:val="20"/>
        </w:rPr>
      </w:pPr>
      <w:r w:rsidRPr="00BB6660">
        <w:rPr>
          <w:rFonts w:cstheme="minorHAnsi"/>
          <w:sz w:val="20"/>
          <w:szCs w:val="20"/>
        </w:rPr>
        <w:tab/>
        <w:t xml:space="preserve">Wytrzymałość na ściskanie </w:t>
      </w:r>
      <w:proofErr w:type="spellStart"/>
      <w:r w:rsidRPr="00BB6660">
        <w:rPr>
          <w:rFonts w:cstheme="minorHAnsi"/>
          <w:sz w:val="20"/>
          <w:szCs w:val="20"/>
        </w:rPr>
        <w:t>R</w:t>
      </w:r>
      <w:r w:rsidRPr="00BB6660">
        <w:rPr>
          <w:rFonts w:cstheme="minorHAnsi"/>
          <w:sz w:val="20"/>
          <w:szCs w:val="20"/>
          <w:vertAlign w:val="subscript"/>
        </w:rPr>
        <w:t>c</w:t>
      </w:r>
      <w:proofErr w:type="spellEnd"/>
      <w:r w:rsidRPr="00BB6660">
        <w:rPr>
          <w:rFonts w:cstheme="minorHAnsi"/>
          <w:sz w:val="20"/>
          <w:szCs w:val="20"/>
        </w:rPr>
        <w:t xml:space="preserve"> określonej mieszanki oznaczona zgodnie z PN-EN 13286-41 [21] powinna być równa lub większa od wytrzymałości na ściskanie wymaganej dla danej klasy wytrzymałości podanej w tablicy 2.</w:t>
      </w:r>
    </w:p>
    <w:p w14:paraId="52353DEA" w14:textId="77777777" w:rsidR="00B81F7B" w:rsidRPr="00BB6660" w:rsidRDefault="00B81F7B" w:rsidP="00BB6660">
      <w:pPr>
        <w:spacing w:before="120" w:after="120"/>
        <w:jc w:val="both"/>
        <w:rPr>
          <w:rFonts w:cstheme="minorHAnsi"/>
          <w:sz w:val="20"/>
          <w:szCs w:val="20"/>
        </w:rPr>
      </w:pPr>
      <w:r w:rsidRPr="00BB6660">
        <w:rPr>
          <w:rFonts w:cstheme="minorHAnsi"/>
          <w:sz w:val="20"/>
          <w:szCs w:val="20"/>
        </w:rPr>
        <w:t>Tablica 2. Klasy wytrzymałości wg normy PN-EN 14227-1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229"/>
        <w:gridCol w:w="2023"/>
        <w:gridCol w:w="1733"/>
      </w:tblGrid>
      <w:tr w:rsidR="00B81F7B" w:rsidRPr="00BB6660" w14:paraId="22652006" w14:textId="77777777">
        <w:tc>
          <w:tcPr>
            <w:tcW w:w="1526" w:type="dxa"/>
            <w:vMerge w:val="restart"/>
            <w:tcBorders>
              <w:top w:val="single" w:sz="4" w:space="0" w:color="auto"/>
              <w:left w:val="single" w:sz="4" w:space="0" w:color="auto"/>
              <w:bottom w:val="single" w:sz="4" w:space="0" w:color="auto"/>
              <w:right w:val="single" w:sz="4" w:space="0" w:color="auto"/>
            </w:tcBorders>
          </w:tcPr>
          <w:p w14:paraId="5F95247B" w14:textId="77777777" w:rsidR="00B81F7B" w:rsidRPr="00BB6660" w:rsidRDefault="00B81F7B" w:rsidP="00BB6660">
            <w:pPr>
              <w:jc w:val="both"/>
              <w:rPr>
                <w:rFonts w:cstheme="minorHAnsi"/>
                <w:sz w:val="20"/>
                <w:szCs w:val="20"/>
              </w:rPr>
            </w:pPr>
          </w:p>
          <w:p w14:paraId="77A560CA" w14:textId="77777777" w:rsidR="00B81F7B" w:rsidRPr="00BB6660" w:rsidRDefault="00B81F7B" w:rsidP="00BB6660">
            <w:pPr>
              <w:jc w:val="both"/>
              <w:rPr>
                <w:rFonts w:cstheme="minorHAnsi"/>
                <w:sz w:val="20"/>
                <w:szCs w:val="20"/>
              </w:rPr>
            </w:pPr>
            <w:r w:rsidRPr="00BB6660">
              <w:rPr>
                <w:rFonts w:cstheme="minorHAnsi"/>
                <w:sz w:val="20"/>
                <w:szCs w:val="20"/>
              </w:rPr>
              <w:t>Lp.</w:t>
            </w:r>
          </w:p>
        </w:tc>
        <w:tc>
          <w:tcPr>
            <w:tcW w:w="4252" w:type="dxa"/>
            <w:gridSpan w:val="2"/>
            <w:tcBorders>
              <w:top w:val="single" w:sz="4" w:space="0" w:color="auto"/>
              <w:left w:val="single" w:sz="4" w:space="0" w:color="auto"/>
              <w:bottom w:val="single" w:sz="4" w:space="0" w:color="auto"/>
              <w:right w:val="single" w:sz="4" w:space="0" w:color="auto"/>
            </w:tcBorders>
            <w:hideMark/>
          </w:tcPr>
          <w:p w14:paraId="1E7F2AFB" w14:textId="77777777" w:rsidR="00B81F7B" w:rsidRPr="00BB6660" w:rsidRDefault="00B81F7B" w:rsidP="00BB6660">
            <w:pPr>
              <w:jc w:val="both"/>
              <w:rPr>
                <w:rFonts w:cstheme="minorHAnsi"/>
                <w:sz w:val="20"/>
                <w:szCs w:val="20"/>
              </w:rPr>
            </w:pPr>
            <w:r w:rsidRPr="00BB6660">
              <w:rPr>
                <w:rFonts w:cstheme="minorHAnsi"/>
                <w:sz w:val="20"/>
                <w:szCs w:val="20"/>
              </w:rPr>
              <w:t xml:space="preserve">Wytrzymałość charakterystyczna na ściskanie </w:t>
            </w:r>
            <w:proofErr w:type="spellStart"/>
            <w:r w:rsidRPr="00BB6660">
              <w:rPr>
                <w:rFonts w:cstheme="minorHAnsi"/>
                <w:sz w:val="20"/>
                <w:szCs w:val="20"/>
              </w:rPr>
              <w:t>R</w:t>
            </w:r>
            <w:r w:rsidRPr="00BB6660">
              <w:rPr>
                <w:rFonts w:cstheme="minorHAnsi"/>
                <w:sz w:val="20"/>
                <w:szCs w:val="20"/>
                <w:vertAlign w:val="subscript"/>
              </w:rPr>
              <w:t>c</w:t>
            </w:r>
            <w:proofErr w:type="spellEnd"/>
            <w:r w:rsidRPr="00BB6660">
              <w:rPr>
                <w:rFonts w:cstheme="minorHAnsi"/>
                <w:sz w:val="20"/>
                <w:szCs w:val="20"/>
              </w:rPr>
              <w:t xml:space="preserve"> , po 28 dniach, MPa dla próbek walcowych o</w:t>
            </w:r>
          </w:p>
        </w:tc>
        <w:tc>
          <w:tcPr>
            <w:tcW w:w="1733" w:type="dxa"/>
            <w:vMerge w:val="restart"/>
            <w:tcBorders>
              <w:top w:val="single" w:sz="4" w:space="0" w:color="auto"/>
              <w:left w:val="single" w:sz="4" w:space="0" w:color="auto"/>
              <w:bottom w:val="single" w:sz="4" w:space="0" w:color="auto"/>
              <w:right w:val="single" w:sz="4" w:space="0" w:color="auto"/>
            </w:tcBorders>
          </w:tcPr>
          <w:p w14:paraId="0FA0B3EE" w14:textId="77777777" w:rsidR="00B81F7B" w:rsidRPr="00BB6660" w:rsidRDefault="00B81F7B" w:rsidP="00BB6660">
            <w:pPr>
              <w:jc w:val="both"/>
              <w:rPr>
                <w:rFonts w:cstheme="minorHAnsi"/>
                <w:sz w:val="20"/>
                <w:szCs w:val="20"/>
              </w:rPr>
            </w:pPr>
            <w:r w:rsidRPr="00BB6660">
              <w:rPr>
                <w:rFonts w:cstheme="minorHAnsi"/>
                <w:sz w:val="20"/>
                <w:szCs w:val="20"/>
              </w:rPr>
              <w:t>Klasa wytrzymałości</w:t>
            </w:r>
          </w:p>
          <w:p w14:paraId="232375A6" w14:textId="77777777" w:rsidR="00B81F7B" w:rsidRPr="00BB6660" w:rsidRDefault="00B81F7B" w:rsidP="00BB6660">
            <w:pPr>
              <w:jc w:val="both"/>
              <w:rPr>
                <w:rFonts w:cstheme="minorHAnsi"/>
                <w:sz w:val="20"/>
                <w:szCs w:val="20"/>
              </w:rPr>
            </w:pPr>
          </w:p>
        </w:tc>
      </w:tr>
      <w:tr w:rsidR="00B81F7B" w:rsidRPr="00BB6660" w14:paraId="441405D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C8A3AEF" w14:textId="77777777" w:rsidR="00B81F7B" w:rsidRPr="00BB6660" w:rsidRDefault="00B81F7B" w:rsidP="00BB6660">
            <w:pPr>
              <w:jc w:val="both"/>
              <w:rPr>
                <w:rFonts w:cstheme="minorHAnsi"/>
                <w:sz w:val="20"/>
                <w:szCs w:val="20"/>
              </w:rPr>
            </w:pPr>
          </w:p>
        </w:tc>
        <w:tc>
          <w:tcPr>
            <w:tcW w:w="2229" w:type="dxa"/>
            <w:tcBorders>
              <w:top w:val="single" w:sz="4" w:space="0" w:color="auto"/>
              <w:left w:val="single" w:sz="4" w:space="0" w:color="auto"/>
              <w:bottom w:val="single" w:sz="4" w:space="0" w:color="auto"/>
              <w:right w:val="single" w:sz="4" w:space="0" w:color="auto"/>
            </w:tcBorders>
            <w:hideMark/>
          </w:tcPr>
          <w:p w14:paraId="7E039180" w14:textId="77777777" w:rsidR="00B81F7B" w:rsidRPr="00BB6660" w:rsidRDefault="00B81F7B" w:rsidP="00BB6660">
            <w:pPr>
              <w:jc w:val="both"/>
              <w:rPr>
                <w:rFonts w:cstheme="minorHAnsi"/>
                <w:sz w:val="20"/>
                <w:szCs w:val="20"/>
              </w:rPr>
            </w:pPr>
            <w:r w:rsidRPr="00BB6660">
              <w:rPr>
                <w:rFonts w:cstheme="minorHAnsi"/>
                <w:sz w:val="20"/>
                <w:szCs w:val="20"/>
              </w:rPr>
              <w:t>H/D</w:t>
            </w:r>
            <w:r w:rsidRPr="00BB6660">
              <w:rPr>
                <w:rFonts w:cstheme="minorHAnsi"/>
                <w:sz w:val="20"/>
                <w:szCs w:val="20"/>
                <w:vertAlign w:val="superscript"/>
              </w:rPr>
              <w:t>a</w:t>
            </w:r>
            <w:r w:rsidRPr="00BB6660">
              <w:rPr>
                <w:rFonts w:cstheme="minorHAnsi"/>
                <w:sz w:val="20"/>
                <w:szCs w:val="20"/>
              </w:rPr>
              <w:t xml:space="preserve"> = 2,0</w:t>
            </w:r>
          </w:p>
        </w:tc>
        <w:tc>
          <w:tcPr>
            <w:tcW w:w="2023" w:type="dxa"/>
            <w:tcBorders>
              <w:top w:val="single" w:sz="4" w:space="0" w:color="auto"/>
              <w:left w:val="single" w:sz="4" w:space="0" w:color="auto"/>
              <w:bottom w:val="single" w:sz="4" w:space="0" w:color="auto"/>
              <w:right w:val="single" w:sz="4" w:space="0" w:color="auto"/>
            </w:tcBorders>
            <w:hideMark/>
          </w:tcPr>
          <w:p w14:paraId="69F1E1EB" w14:textId="77777777" w:rsidR="00B81F7B" w:rsidRPr="00BB6660" w:rsidRDefault="00B81F7B" w:rsidP="00BB6660">
            <w:pPr>
              <w:jc w:val="both"/>
              <w:rPr>
                <w:rFonts w:cstheme="minorHAnsi"/>
                <w:sz w:val="20"/>
                <w:szCs w:val="20"/>
                <w:vertAlign w:val="superscript"/>
              </w:rPr>
            </w:pPr>
            <w:r w:rsidRPr="00BB6660">
              <w:rPr>
                <w:rFonts w:cstheme="minorHAnsi"/>
                <w:sz w:val="20"/>
                <w:szCs w:val="20"/>
              </w:rPr>
              <w:t>H/D</w:t>
            </w:r>
            <w:r w:rsidRPr="00BB6660">
              <w:rPr>
                <w:rFonts w:cstheme="minorHAnsi"/>
                <w:sz w:val="20"/>
                <w:szCs w:val="20"/>
                <w:vertAlign w:val="superscript"/>
              </w:rPr>
              <w:t>a</w:t>
            </w:r>
            <w:r w:rsidRPr="00BB6660">
              <w:rPr>
                <w:rFonts w:cstheme="minorHAnsi"/>
                <w:sz w:val="20"/>
                <w:szCs w:val="20"/>
              </w:rPr>
              <w:t xml:space="preserve"> = 1,0</w:t>
            </w:r>
            <w:r w:rsidRPr="00BB6660">
              <w:rPr>
                <w:rFonts w:cstheme="minorHAnsi"/>
                <w:sz w:val="20"/>
                <w:szCs w:val="20"/>
                <w:vertAlign w:val="superscript"/>
              </w:rPr>
              <w:t>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4EF7A" w14:textId="77777777" w:rsidR="00B81F7B" w:rsidRPr="00BB6660" w:rsidRDefault="00B81F7B" w:rsidP="00BB6660">
            <w:pPr>
              <w:jc w:val="both"/>
              <w:rPr>
                <w:rFonts w:cstheme="minorHAnsi"/>
                <w:sz w:val="20"/>
                <w:szCs w:val="20"/>
              </w:rPr>
            </w:pPr>
          </w:p>
        </w:tc>
      </w:tr>
      <w:tr w:rsidR="00B81F7B" w:rsidRPr="00BB6660" w14:paraId="1A972FDD" w14:textId="77777777">
        <w:tc>
          <w:tcPr>
            <w:tcW w:w="1526" w:type="dxa"/>
            <w:tcBorders>
              <w:top w:val="single" w:sz="4" w:space="0" w:color="auto"/>
              <w:left w:val="single" w:sz="4" w:space="0" w:color="auto"/>
              <w:bottom w:val="single" w:sz="4" w:space="0" w:color="auto"/>
              <w:right w:val="single" w:sz="4" w:space="0" w:color="auto"/>
            </w:tcBorders>
            <w:hideMark/>
          </w:tcPr>
          <w:p w14:paraId="4F31FAE0" w14:textId="77777777" w:rsidR="00B81F7B" w:rsidRPr="00BB6660" w:rsidRDefault="00B81F7B" w:rsidP="00BB6660">
            <w:pPr>
              <w:jc w:val="both"/>
              <w:rPr>
                <w:rFonts w:cstheme="minorHAnsi"/>
                <w:sz w:val="20"/>
                <w:szCs w:val="20"/>
              </w:rPr>
            </w:pPr>
            <w:r w:rsidRPr="00BB6660">
              <w:rPr>
                <w:rFonts w:cstheme="minorHAnsi"/>
                <w:sz w:val="20"/>
                <w:szCs w:val="20"/>
              </w:rPr>
              <w:t>1</w:t>
            </w:r>
          </w:p>
        </w:tc>
        <w:tc>
          <w:tcPr>
            <w:tcW w:w="4252" w:type="dxa"/>
            <w:gridSpan w:val="2"/>
            <w:tcBorders>
              <w:top w:val="single" w:sz="4" w:space="0" w:color="auto"/>
              <w:left w:val="single" w:sz="4" w:space="0" w:color="auto"/>
              <w:bottom w:val="single" w:sz="4" w:space="0" w:color="auto"/>
              <w:right w:val="single" w:sz="4" w:space="0" w:color="auto"/>
            </w:tcBorders>
            <w:hideMark/>
          </w:tcPr>
          <w:p w14:paraId="4B724C6D" w14:textId="77777777" w:rsidR="00B81F7B" w:rsidRPr="00BB6660" w:rsidRDefault="00B81F7B" w:rsidP="00BB6660">
            <w:pPr>
              <w:jc w:val="both"/>
              <w:rPr>
                <w:rFonts w:cstheme="minorHAnsi"/>
                <w:sz w:val="20"/>
                <w:szCs w:val="20"/>
              </w:rPr>
            </w:pPr>
            <w:r w:rsidRPr="00BB6660">
              <w:rPr>
                <w:rFonts w:cstheme="minorHAnsi"/>
                <w:sz w:val="20"/>
                <w:szCs w:val="20"/>
              </w:rPr>
              <w:t>brak wymagań</w:t>
            </w:r>
          </w:p>
        </w:tc>
        <w:tc>
          <w:tcPr>
            <w:tcW w:w="1733" w:type="dxa"/>
            <w:tcBorders>
              <w:top w:val="single" w:sz="4" w:space="0" w:color="auto"/>
              <w:left w:val="single" w:sz="4" w:space="0" w:color="auto"/>
              <w:bottom w:val="single" w:sz="4" w:space="0" w:color="auto"/>
              <w:right w:val="single" w:sz="4" w:space="0" w:color="auto"/>
            </w:tcBorders>
            <w:hideMark/>
          </w:tcPr>
          <w:p w14:paraId="7AEABE65" w14:textId="77777777" w:rsidR="00B81F7B" w:rsidRPr="00BB6660" w:rsidRDefault="00B81F7B" w:rsidP="00BB6660">
            <w:pPr>
              <w:jc w:val="both"/>
              <w:rPr>
                <w:rFonts w:cstheme="minorHAnsi"/>
                <w:sz w:val="20"/>
                <w:szCs w:val="20"/>
                <w:vertAlign w:val="subscript"/>
              </w:rPr>
            </w:pPr>
            <w:r w:rsidRPr="00BB6660">
              <w:rPr>
                <w:rFonts w:cstheme="minorHAnsi"/>
                <w:sz w:val="20"/>
                <w:szCs w:val="20"/>
              </w:rPr>
              <w:t>C</w:t>
            </w:r>
            <w:r w:rsidRPr="00BB6660">
              <w:rPr>
                <w:rFonts w:cstheme="minorHAnsi"/>
                <w:sz w:val="20"/>
                <w:szCs w:val="20"/>
                <w:vertAlign w:val="subscript"/>
              </w:rPr>
              <w:t>0</w:t>
            </w:r>
          </w:p>
        </w:tc>
      </w:tr>
      <w:tr w:rsidR="00B81F7B" w:rsidRPr="00BB6660" w14:paraId="3B214B4F" w14:textId="77777777">
        <w:tc>
          <w:tcPr>
            <w:tcW w:w="1526" w:type="dxa"/>
            <w:tcBorders>
              <w:top w:val="single" w:sz="4" w:space="0" w:color="auto"/>
              <w:left w:val="single" w:sz="4" w:space="0" w:color="auto"/>
              <w:bottom w:val="single" w:sz="4" w:space="0" w:color="auto"/>
              <w:right w:val="single" w:sz="4" w:space="0" w:color="auto"/>
            </w:tcBorders>
            <w:hideMark/>
          </w:tcPr>
          <w:p w14:paraId="3513FED6" w14:textId="77777777" w:rsidR="00B81F7B" w:rsidRPr="00BB6660" w:rsidRDefault="00B81F7B" w:rsidP="00BB6660">
            <w:pPr>
              <w:jc w:val="both"/>
              <w:rPr>
                <w:rFonts w:cstheme="minorHAnsi"/>
                <w:sz w:val="20"/>
                <w:szCs w:val="20"/>
              </w:rPr>
            </w:pPr>
            <w:r w:rsidRPr="00BB6660">
              <w:rPr>
                <w:rFonts w:cstheme="minorHAnsi"/>
                <w:sz w:val="20"/>
                <w:szCs w:val="20"/>
              </w:rPr>
              <w:t>2</w:t>
            </w:r>
          </w:p>
        </w:tc>
        <w:tc>
          <w:tcPr>
            <w:tcW w:w="2229" w:type="dxa"/>
            <w:tcBorders>
              <w:top w:val="single" w:sz="4" w:space="0" w:color="auto"/>
              <w:left w:val="single" w:sz="4" w:space="0" w:color="auto"/>
              <w:bottom w:val="single" w:sz="4" w:space="0" w:color="auto"/>
              <w:right w:val="single" w:sz="4" w:space="0" w:color="auto"/>
            </w:tcBorders>
            <w:hideMark/>
          </w:tcPr>
          <w:p w14:paraId="5B243181" w14:textId="77777777" w:rsidR="00B81F7B" w:rsidRPr="00BB6660" w:rsidRDefault="00B81F7B" w:rsidP="00BB6660">
            <w:pPr>
              <w:jc w:val="both"/>
              <w:rPr>
                <w:rFonts w:cstheme="minorHAnsi"/>
                <w:sz w:val="20"/>
                <w:szCs w:val="20"/>
              </w:rPr>
            </w:pPr>
            <w:r w:rsidRPr="00BB6660">
              <w:rPr>
                <w:rFonts w:cstheme="minorHAnsi"/>
                <w:sz w:val="20"/>
                <w:szCs w:val="20"/>
              </w:rPr>
              <w:t>1,5</w:t>
            </w:r>
          </w:p>
        </w:tc>
        <w:tc>
          <w:tcPr>
            <w:tcW w:w="2023" w:type="dxa"/>
            <w:tcBorders>
              <w:top w:val="single" w:sz="4" w:space="0" w:color="auto"/>
              <w:left w:val="single" w:sz="4" w:space="0" w:color="auto"/>
              <w:bottom w:val="single" w:sz="4" w:space="0" w:color="auto"/>
              <w:right w:val="single" w:sz="4" w:space="0" w:color="auto"/>
            </w:tcBorders>
            <w:hideMark/>
          </w:tcPr>
          <w:p w14:paraId="168C12EF" w14:textId="77777777" w:rsidR="00B81F7B" w:rsidRPr="00BB6660" w:rsidRDefault="00B81F7B" w:rsidP="00BB6660">
            <w:pPr>
              <w:jc w:val="both"/>
              <w:rPr>
                <w:rFonts w:cstheme="minorHAnsi"/>
                <w:sz w:val="20"/>
                <w:szCs w:val="20"/>
              </w:rPr>
            </w:pPr>
            <w:r w:rsidRPr="00BB6660">
              <w:rPr>
                <w:rFonts w:cstheme="minorHAnsi"/>
                <w:sz w:val="20"/>
                <w:szCs w:val="20"/>
              </w:rPr>
              <w:t>2,0</w:t>
            </w:r>
          </w:p>
        </w:tc>
        <w:tc>
          <w:tcPr>
            <w:tcW w:w="1733" w:type="dxa"/>
            <w:tcBorders>
              <w:top w:val="single" w:sz="4" w:space="0" w:color="auto"/>
              <w:left w:val="single" w:sz="4" w:space="0" w:color="auto"/>
              <w:bottom w:val="single" w:sz="4" w:space="0" w:color="auto"/>
              <w:right w:val="single" w:sz="4" w:space="0" w:color="auto"/>
            </w:tcBorders>
            <w:hideMark/>
          </w:tcPr>
          <w:p w14:paraId="16BF11F9" w14:textId="77777777" w:rsidR="00B81F7B" w:rsidRPr="00BB6660" w:rsidRDefault="00B81F7B" w:rsidP="00BB6660">
            <w:pPr>
              <w:jc w:val="both"/>
              <w:rPr>
                <w:rFonts w:cstheme="minorHAnsi"/>
                <w:sz w:val="20"/>
                <w:szCs w:val="20"/>
              </w:rPr>
            </w:pPr>
            <w:r w:rsidRPr="00BB6660">
              <w:rPr>
                <w:rFonts w:cstheme="minorHAnsi"/>
                <w:sz w:val="20"/>
                <w:szCs w:val="20"/>
              </w:rPr>
              <w:t>C</w:t>
            </w:r>
            <w:r w:rsidRPr="00BB6660">
              <w:rPr>
                <w:rFonts w:cstheme="minorHAnsi"/>
                <w:sz w:val="20"/>
                <w:szCs w:val="20"/>
                <w:vertAlign w:val="subscript"/>
              </w:rPr>
              <w:t>1,5/2,0</w:t>
            </w:r>
          </w:p>
        </w:tc>
      </w:tr>
      <w:tr w:rsidR="00B81F7B" w:rsidRPr="00BB6660" w14:paraId="7913C568" w14:textId="77777777">
        <w:tc>
          <w:tcPr>
            <w:tcW w:w="1526" w:type="dxa"/>
            <w:tcBorders>
              <w:top w:val="single" w:sz="4" w:space="0" w:color="auto"/>
              <w:left w:val="single" w:sz="4" w:space="0" w:color="auto"/>
              <w:bottom w:val="single" w:sz="4" w:space="0" w:color="auto"/>
              <w:right w:val="single" w:sz="4" w:space="0" w:color="auto"/>
            </w:tcBorders>
            <w:hideMark/>
          </w:tcPr>
          <w:p w14:paraId="0752E4FA" w14:textId="77777777" w:rsidR="00B81F7B" w:rsidRPr="00BB6660" w:rsidRDefault="00B81F7B" w:rsidP="00BB6660">
            <w:pPr>
              <w:jc w:val="both"/>
              <w:rPr>
                <w:rFonts w:cstheme="minorHAnsi"/>
                <w:sz w:val="20"/>
                <w:szCs w:val="20"/>
              </w:rPr>
            </w:pPr>
            <w:r w:rsidRPr="00BB6660">
              <w:rPr>
                <w:rFonts w:cstheme="minorHAnsi"/>
                <w:sz w:val="20"/>
                <w:szCs w:val="20"/>
              </w:rPr>
              <w:t>3</w:t>
            </w:r>
          </w:p>
        </w:tc>
        <w:tc>
          <w:tcPr>
            <w:tcW w:w="2229" w:type="dxa"/>
            <w:tcBorders>
              <w:top w:val="single" w:sz="4" w:space="0" w:color="auto"/>
              <w:left w:val="single" w:sz="4" w:space="0" w:color="auto"/>
              <w:bottom w:val="single" w:sz="4" w:space="0" w:color="auto"/>
              <w:right w:val="single" w:sz="4" w:space="0" w:color="auto"/>
            </w:tcBorders>
            <w:hideMark/>
          </w:tcPr>
          <w:p w14:paraId="1227050B" w14:textId="77777777" w:rsidR="00B81F7B" w:rsidRPr="00BB6660" w:rsidRDefault="00B81F7B" w:rsidP="00BB6660">
            <w:pPr>
              <w:jc w:val="both"/>
              <w:rPr>
                <w:rFonts w:cstheme="minorHAnsi"/>
                <w:sz w:val="20"/>
                <w:szCs w:val="20"/>
              </w:rPr>
            </w:pPr>
            <w:r w:rsidRPr="00BB6660">
              <w:rPr>
                <w:rFonts w:cstheme="minorHAnsi"/>
                <w:sz w:val="20"/>
                <w:szCs w:val="20"/>
              </w:rPr>
              <w:t>3,0</w:t>
            </w:r>
          </w:p>
        </w:tc>
        <w:tc>
          <w:tcPr>
            <w:tcW w:w="2023" w:type="dxa"/>
            <w:tcBorders>
              <w:top w:val="single" w:sz="4" w:space="0" w:color="auto"/>
              <w:left w:val="single" w:sz="4" w:space="0" w:color="auto"/>
              <w:bottom w:val="single" w:sz="4" w:space="0" w:color="auto"/>
              <w:right w:val="single" w:sz="4" w:space="0" w:color="auto"/>
            </w:tcBorders>
            <w:hideMark/>
          </w:tcPr>
          <w:p w14:paraId="7DF92FA3" w14:textId="77777777" w:rsidR="00B81F7B" w:rsidRPr="00BB6660" w:rsidRDefault="00B81F7B" w:rsidP="00BB6660">
            <w:pPr>
              <w:jc w:val="both"/>
              <w:rPr>
                <w:rFonts w:cstheme="minorHAnsi"/>
                <w:sz w:val="20"/>
                <w:szCs w:val="20"/>
              </w:rPr>
            </w:pPr>
            <w:r w:rsidRPr="00BB6660">
              <w:rPr>
                <w:rFonts w:cstheme="minorHAnsi"/>
                <w:sz w:val="20"/>
                <w:szCs w:val="20"/>
              </w:rPr>
              <w:t>4,0</w:t>
            </w:r>
          </w:p>
        </w:tc>
        <w:tc>
          <w:tcPr>
            <w:tcW w:w="1733" w:type="dxa"/>
            <w:tcBorders>
              <w:top w:val="single" w:sz="4" w:space="0" w:color="auto"/>
              <w:left w:val="single" w:sz="4" w:space="0" w:color="auto"/>
              <w:bottom w:val="single" w:sz="4" w:space="0" w:color="auto"/>
              <w:right w:val="single" w:sz="4" w:space="0" w:color="auto"/>
            </w:tcBorders>
            <w:hideMark/>
          </w:tcPr>
          <w:p w14:paraId="5BA58CB4" w14:textId="77777777" w:rsidR="00B81F7B" w:rsidRPr="00BB6660" w:rsidRDefault="00B81F7B" w:rsidP="00BB6660">
            <w:pPr>
              <w:jc w:val="both"/>
              <w:rPr>
                <w:rFonts w:cstheme="minorHAnsi"/>
                <w:sz w:val="20"/>
                <w:szCs w:val="20"/>
              </w:rPr>
            </w:pPr>
            <w:r w:rsidRPr="00BB6660">
              <w:rPr>
                <w:rFonts w:cstheme="minorHAnsi"/>
                <w:sz w:val="20"/>
                <w:szCs w:val="20"/>
              </w:rPr>
              <w:t>C</w:t>
            </w:r>
            <w:r w:rsidRPr="00BB6660">
              <w:rPr>
                <w:rFonts w:cstheme="minorHAnsi"/>
                <w:sz w:val="20"/>
                <w:szCs w:val="20"/>
                <w:vertAlign w:val="subscript"/>
              </w:rPr>
              <w:t>3/4</w:t>
            </w:r>
          </w:p>
        </w:tc>
      </w:tr>
      <w:tr w:rsidR="00B81F7B" w:rsidRPr="00BB6660" w14:paraId="16593B84" w14:textId="77777777">
        <w:tc>
          <w:tcPr>
            <w:tcW w:w="7511" w:type="dxa"/>
            <w:gridSpan w:val="4"/>
            <w:tcBorders>
              <w:top w:val="single" w:sz="4" w:space="0" w:color="auto"/>
              <w:left w:val="single" w:sz="4" w:space="0" w:color="auto"/>
              <w:bottom w:val="single" w:sz="4" w:space="0" w:color="auto"/>
              <w:right w:val="single" w:sz="4" w:space="0" w:color="auto"/>
            </w:tcBorders>
            <w:hideMark/>
          </w:tcPr>
          <w:p w14:paraId="068915D4" w14:textId="77777777" w:rsidR="00B81F7B" w:rsidRPr="00BB6660" w:rsidRDefault="00B81F7B" w:rsidP="00BB6660">
            <w:pPr>
              <w:jc w:val="both"/>
              <w:rPr>
                <w:rFonts w:cstheme="minorHAnsi"/>
                <w:sz w:val="20"/>
                <w:szCs w:val="20"/>
              </w:rPr>
            </w:pPr>
            <w:r w:rsidRPr="00BB6660">
              <w:rPr>
                <w:rFonts w:cstheme="minorHAnsi"/>
                <w:sz w:val="20"/>
                <w:szCs w:val="20"/>
                <w:vertAlign w:val="superscript"/>
              </w:rPr>
              <w:t>a</w:t>
            </w:r>
            <w:r w:rsidRPr="00BB6660">
              <w:rPr>
                <w:rFonts w:cstheme="minorHAnsi"/>
                <w:sz w:val="20"/>
                <w:szCs w:val="20"/>
              </w:rPr>
              <w:t xml:space="preserve"> H/D = stosunek wysokości do średnicy próbki</w:t>
            </w:r>
          </w:p>
          <w:p w14:paraId="541720FC" w14:textId="77777777" w:rsidR="00B81F7B" w:rsidRPr="00BB6660" w:rsidRDefault="00B81F7B" w:rsidP="00BB6660">
            <w:pPr>
              <w:jc w:val="both"/>
              <w:rPr>
                <w:rFonts w:cstheme="minorHAnsi"/>
                <w:sz w:val="20"/>
                <w:szCs w:val="20"/>
              </w:rPr>
            </w:pPr>
            <w:r w:rsidRPr="00BB6660">
              <w:rPr>
                <w:rFonts w:cstheme="minorHAnsi"/>
                <w:sz w:val="20"/>
                <w:szCs w:val="20"/>
                <w:vertAlign w:val="superscript"/>
              </w:rPr>
              <w:t>b</w:t>
            </w:r>
            <w:r w:rsidRPr="00BB6660">
              <w:rPr>
                <w:rFonts w:cstheme="minorHAnsi"/>
                <w:sz w:val="20"/>
                <w:szCs w:val="20"/>
              </w:rPr>
              <w:t xml:space="preserve"> H/D = 0,8 do 1,21</w:t>
            </w:r>
          </w:p>
        </w:tc>
      </w:tr>
    </w:tbl>
    <w:p w14:paraId="784CF3DE" w14:textId="77777777" w:rsidR="00B81F7B" w:rsidRPr="00BB6660" w:rsidRDefault="00B81F7B" w:rsidP="00BB6660">
      <w:pPr>
        <w:spacing w:before="120"/>
        <w:jc w:val="both"/>
        <w:rPr>
          <w:rFonts w:cstheme="minorHAnsi"/>
          <w:sz w:val="20"/>
          <w:szCs w:val="20"/>
        </w:rPr>
      </w:pPr>
      <w:r w:rsidRPr="00BB6660">
        <w:rPr>
          <w:rFonts w:cstheme="minorHAnsi"/>
          <w:sz w:val="20"/>
          <w:szCs w:val="20"/>
        </w:rPr>
        <w:tab/>
        <w:t xml:space="preserve">Dopuszcza się podawanie wytrzymałości na ściskanie </w:t>
      </w:r>
      <w:proofErr w:type="spellStart"/>
      <w:r w:rsidRPr="00BB6660">
        <w:rPr>
          <w:rFonts w:cstheme="minorHAnsi"/>
          <w:sz w:val="20"/>
          <w:szCs w:val="20"/>
        </w:rPr>
        <w:t>R</w:t>
      </w:r>
      <w:r w:rsidRPr="00BB6660">
        <w:rPr>
          <w:rFonts w:cstheme="minorHAnsi"/>
          <w:sz w:val="20"/>
          <w:szCs w:val="20"/>
          <w:vertAlign w:val="subscript"/>
        </w:rPr>
        <w:t>c</w:t>
      </w:r>
      <w:proofErr w:type="spellEnd"/>
      <w:r w:rsidRPr="00BB6660">
        <w:rPr>
          <w:rFonts w:cstheme="minorHAnsi"/>
          <w:sz w:val="20"/>
          <w:szCs w:val="20"/>
        </w:rPr>
        <w:t xml:space="preserve"> z dodatkowym indeksem informującym o czasie pielęgnacji, np. R</w:t>
      </w:r>
      <w:r w:rsidRPr="00BB6660">
        <w:rPr>
          <w:rFonts w:cstheme="minorHAnsi"/>
          <w:sz w:val="20"/>
          <w:szCs w:val="20"/>
          <w:vertAlign w:val="subscript"/>
        </w:rPr>
        <w:t>c7</w:t>
      </w:r>
      <w:r w:rsidRPr="00BB6660">
        <w:rPr>
          <w:rFonts w:cstheme="minorHAnsi"/>
          <w:sz w:val="20"/>
          <w:szCs w:val="20"/>
        </w:rPr>
        <w:t>, R</w:t>
      </w:r>
      <w:r w:rsidRPr="00BB6660">
        <w:rPr>
          <w:rFonts w:cstheme="minorHAnsi"/>
          <w:sz w:val="20"/>
          <w:szCs w:val="20"/>
          <w:vertAlign w:val="subscript"/>
        </w:rPr>
        <w:t>c14</w:t>
      </w:r>
      <w:r w:rsidRPr="00BB6660">
        <w:rPr>
          <w:rFonts w:cstheme="minorHAnsi"/>
          <w:sz w:val="20"/>
          <w:szCs w:val="20"/>
        </w:rPr>
        <w:t>, R</w:t>
      </w:r>
      <w:r w:rsidRPr="00BB6660">
        <w:rPr>
          <w:rFonts w:cstheme="minorHAnsi"/>
          <w:sz w:val="20"/>
          <w:szCs w:val="20"/>
          <w:vertAlign w:val="subscript"/>
        </w:rPr>
        <w:t>c28</w:t>
      </w:r>
      <w:r w:rsidRPr="00BB6660">
        <w:rPr>
          <w:rFonts w:cstheme="minorHAnsi"/>
          <w:sz w:val="20"/>
          <w:szCs w:val="20"/>
        </w:rPr>
        <w:t>.</w:t>
      </w:r>
    </w:p>
    <w:p w14:paraId="3B347F57" w14:textId="77777777" w:rsidR="00B81F7B" w:rsidRPr="00BB6660" w:rsidRDefault="00B81F7B" w:rsidP="00BB6660">
      <w:pPr>
        <w:jc w:val="both"/>
        <w:rPr>
          <w:rFonts w:cstheme="minorHAnsi"/>
          <w:sz w:val="20"/>
          <w:szCs w:val="20"/>
        </w:rPr>
      </w:pPr>
      <w:r w:rsidRPr="00BB6660">
        <w:rPr>
          <w:rFonts w:cstheme="minorHAnsi"/>
          <w:sz w:val="20"/>
          <w:szCs w:val="20"/>
        </w:rPr>
        <w:tab/>
        <w:t>Określone w badaniu progowe ilości wody powinny uwzględniać właściwe zagęszczenie i oczekiwane parametry mechaniczne mieszanki. Należy określić procentowy udział składników w stosunku do całkowitej masy mieszanki w stanie suchym oraz uziarnienie i gęstość objętościową. Proporcję należy określić laboratoryjnie lub/i na podstawie praktycznych doświadczeń z mieszankami wykonywanymi z tych samych składników i w tych samych warunkach, spełniające wymagania niniejszej specyfikacji.</w:t>
      </w:r>
    </w:p>
    <w:p w14:paraId="6805F176" w14:textId="4B87C36C" w:rsidR="00B81F7B" w:rsidRPr="00BB6660" w:rsidRDefault="00B81F7B" w:rsidP="00BB6660">
      <w:pPr>
        <w:jc w:val="both"/>
        <w:rPr>
          <w:rFonts w:cstheme="minorHAnsi"/>
          <w:sz w:val="20"/>
          <w:szCs w:val="20"/>
        </w:rPr>
      </w:pPr>
      <w:r w:rsidRPr="00BB6660">
        <w:rPr>
          <w:rFonts w:cstheme="minorHAnsi"/>
          <w:sz w:val="20"/>
          <w:szCs w:val="20"/>
        </w:rPr>
        <w:tab/>
        <w:t xml:space="preserve">Sprawdzenie uziarnienia mieszanki mineralnej należy wykonać zgodnie z metodą wg PN-EN 933-1 [6]. Do analizy stosuje się zestaw sit podstawowy + 1, składający się z następujących sit o oczkach kwadratowych </w:t>
      </w:r>
      <w:r w:rsidR="004F465D">
        <w:rPr>
          <w:rFonts w:cstheme="minorHAnsi"/>
          <w:sz w:val="20"/>
          <w:szCs w:val="20"/>
        </w:rPr>
        <w:br/>
      </w:r>
      <w:r w:rsidRPr="00BB6660">
        <w:rPr>
          <w:rFonts w:cstheme="minorHAnsi"/>
          <w:sz w:val="20"/>
          <w:szCs w:val="20"/>
        </w:rPr>
        <w:t>w mm: 0,063; 0,50; 1,0; 2,0; 4,0; 5,6; 8,0; 11,2; 16,0; 22,4; 31,5; 45,0.</w:t>
      </w:r>
    </w:p>
    <w:p w14:paraId="470D394C" w14:textId="77777777" w:rsidR="00B81F7B" w:rsidRPr="00BB6660" w:rsidRDefault="00B81F7B" w:rsidP="00BB6660">
      <w:pPr>
        <w:jc w:val="both"/>
        <w:rPr>
          <w:rFonts w:cstheme="minorHAnsi"/>
          <w:sz w:val="20"/>
          <w:szCs w:val="20"/>
        </w:rPr>
      </w:pPr>
      <w:r w:rsidRPr="00BB6660">
        <w:rPr>
          <w:rFonts w:cstheme="minorHAnsi"/>
          <w:sz w:val="20"/>
          <w:szCs w:val="20"/>
        </w:rPr>
        <w:tab/>
        <w:t>Krzywa uziarnienia mieszanki powinna zawierać się w obszarze między krzywymi granicznymi uziarnienia przedstawionych na rys. 1.</w:t>
      </w:r>
    </w:p>
    <w:p w14:paraId="615BF4FF" w14:textId="77777777" w:rsidR="00B81F7B" w:rsidRPr="00BB6660" w:rsidRDefault="00B81F7B" w:rsidP="00BB6660">
      <w:pPr>
        <w:jc w:val="both"/>
        <w:rPr>
          <w:rFonts w:cstheme="minorHAnsi"/>
          <w:sz w:val="20"/>
          <w:szCs w:val="20"/>
        </w:rPr>
      </w:pPr>
    </w:p>
    <w:p w14:paraId="1FD2B30E" w14:textId="7A7408DD" w:rsidR="00B81F7B" w:rsidRPr="00BB6660" w:rsidRDefault="00B81F7B" w:rsidP="00BB6660">
      <w:pPr>
        <w:jc w:val="both"/>
        <w:rPr>
          <w:rFonts w:cstheme="minorHAnsi"/>
          <w:sz w:val="20"/>
          <w:szCs w:val="20"/>
        </w:rPr>
      </w:pPr>
      <w:r w:rsidRPr="00BB6660">
        <w:rPr>
          <w:rFonts w:cstheme="minorHAnsi"/>
          <w:noProof/>
          <w:sz w:val="20"/>
          <w:szCs w:val="20"/>
        </w:rPr>
        <w:drawing>
          <wp:inline distT="0" distB="0" distL="0" distR="0" wp14:anchorId="03D37CED" wp14:editId="57A16F0F">
            <wp:extent cx="4171950" cy="3095625"/>
            <wp:effectExtent l="0" t="0" r="0" b="9525"/>
            <wp:docPr id="129717545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71950" cy="3095625"/>
                    </a:xfrm>
                    <a:prstGeom prst="rect">
                      <a:avLst/>
                    </a:prstGeom>
                    <a:noFill/>
                    <a:ln>
                      <a:noFill/>
                    </a:ln>
                  </pic:spPr>
                </pic:pic>
              </a:graphicData>
            </a:graphic>
          </wp:inline>
        </w:drawing>
      </w:r>
    </w:p>
    <w:p w14:paraId="712BE072" w14:textId="77777777" w:rsidR="00B81F7B" w:rsidRPr="00BB6660" w:rsidRDefault="00B81F7B" w:rsidP="00BB6660">
      <w:pPr>
        <w:jc w:val="both"/>
        <w:rPr>
          <w:rFonts w:cstheme="minorHAnsi"/>
          <w:sz w:val="20"/>
          <w:szCs w:val="20"/>
        </w:rPr>
      </w:pPr>
      <w:r w:rsidRPr="00BB6660">
        <w:rPr>
          <w:rFonts w:cstheme="minorHAnsi"/>
          <w:sz w:val="20"/>
          <w:szCs w:val="20"/>
        </w:rPr>
        <w:t>Rys. 1. Krzywe graniczne uziarnienia mieszanki mineralnej 0/11,2 mm</w:t>
      </w:r>
    </w:p>
    <w:p w14:paraId="3B4E76BE" w14:textId="77777777" w:rsidR="00B81F7B" w:rsidRPr="00BB6660" w:rsidRDefault="00B81F7B" w:rsidP="00BB6660">
      <w:pPr>
        <w:jc w:val="both"/>
        <w:rPr>
          <w:rFonts w:cstheme="minorHAnsi"/>
          <w:sz w:val="20"/>
          <w:szCs w:val="20"/>
        </w:rPr>
      </w:pPr>
    </w:p>
    <w:p w14:paraId="4C2E1E48" w14:textId="77777777" w:rsidR="00B81F7B" w:rsidRPr="00BB6660" w:rsidRDefault="00B81F7B" w:rsidP="00BB6660">
      <w:pPr>
        <w:jc w:val="both"/>
        <w:rPr>
          <w:rFonts w:cstheme="minorHAnsi"/>
          <w:sz w:val="20"/>
          <w:szCs w:val="20"/>
        </w:rPr>
      </w:pPr>
    </w:p>
    <w:p w14:paraId="204C8008" w14:textId="77777777" w:rsidR="00B81F7B" w:rsidRPr="00BB6660" w:rsidRDefault="00B81F7B" w:rsidP="00BB6660">
      <w:pPr>
        <w:jc w:val="both"/>
        <w:rPr>
          <w:rFonts w:cstheme="minorHAnsi"/>
          <w:sz w:val="20"/>
          <w:szCs w:val="20"/>
        </w:rPr>
      </w:pPr>
      <w:r w:rsidRPr="00BB6660">
        <w:rPr>
          <w:rFonts w:cstheme="minorHAnsi"/>
          <w:sz w:val="20"/>
          <w:szCs w:val="20"/>
        </w:rPr>
        <w:lastRenderedPageBreak/>
        <w:tab/>
        <w:t>Zawartość spoiwa (cementu) w mieszance powinna być określona na podstawie procedury projektowej i/lub doświadczenia z mieszankami wyprodukowanymi przy użyciu proponowanych składników. Zawartość spoiwa nie powinna być mniejsza od minimalnych wartości przedstawionych w tablicy 3.</w:t>
      </w:r>
    </w:p>
    <w:p w14:paraId="31D87E83" w14:textId="77777777" w:rsidR="00B81F7B" w:rsidRPr="00BB6660" w:rsidRDefault="00B81F7B" w:rsidP="00BB6660">
      <w:pPr>
        <w:spacing w:before="120" w:after="120"/>
        <w:jc w:val="both"/>
        <w:rPr>
          <w:rFonts w:cstheme="minorHAnsi"/>
          <w:sz w:val="20"/>
          <w:szCs w:val="20"/>
        </w:rPr>
      </w:pPr>
      <w:r w:rsidRPr="00BB6660">
        <w:rPr>
          <w:rFonts w:cstheme="minorHAnsi"/>
          <w:sz w:val="20"/>
          <w:szCs w:val="20"/>
        </w:rPr>
        <w:t>Tablica 3. Minimalna zawartość spoiwa (cementu) w mieszance wg PN-EN 14227-1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3434"/>
      </w:tblGrid>
      <w:tr w:rsidR="00B81F7B" w:rsidRPr="00BB6660" w14:paraId="0026ACCF" w14:textId="77777777">
        <w:tc>
          <w:tcPr>
            <w:tcW w:w="4077" w:type="dxa"/>
            <w:tcBorders>
              <w:top w:val="single" w:sz="4" w:space="0" w:color="auto"/>
              <w:left w:val="single" w:sz="4" w:space="0" w:color="auto"/>
              <w:bottom w:val="single" w:sz="4" w:space="0" w:color="auto"/>
              <w:right w:val="single" w:sz="4" w:space="0" w:color="auto"/>
            </w:tcBorders>
            <w:hideMark/>
          </w:tcPr>
          <w:p w14:paraId="597A25A1" w14:textId="77777777" w:rsidR="00B81F7B" w:rsidRPr="00BB6660" w:rsidRDefault="00B81F7B" w:rsidP="00BB6660">
            <w:pPr>
              <w:spacing w:before="60" w:after="60"/>
              <w:jc w:val="both"/>
              <w:rPr>
                <w:rFonts w:cstheme="minorHAnsi"/>
                <w:sz w:val="20"/>
                <w:szCs w:val="20"/>
              </w:rPr>
            </w:pPr>
            <w:r w:rsidRPr="00BB6660">
              <w:rPr>
                <w:rFonts w:cstheme="minorHAnsi"/>
                <w:sz w:val="20"/>
                <w:szCs w:val="20"/>
              </w:rPr>
              <w:t>Maksymalny nominalny wymiar kruszywa, mm</w:t>
            </w:r>
          </w:p>
        </w:tc>
        <w:tc>
          <w:tcPr>
            <w:tcW w:w="3434" w:type="dxa"/>
            <w:tcBorders>
              <w:top w:val="single" w:sz="4" w:space="0" w:color="auto"/>
              <w:left w:val="single" w:sz="4" w:space="0" w:color="auto"/>
              <w:bottom w:val="single" w:sz="4" w:space="0" w:color="auto"/>
              <w:right w:val="single" w:sz="4" w:space="0" w:color="auto"/>
            </w:tcBorders>
            <w:hideMark/>
          </w:tcPr>
          <w:p w14:paraId="3E027A9D" w14:textId="77777777" w:rsidR="00B81F7B" w:rsidRPr="00BB6660" w:rsidRDefault="00B81F7B" w:rsidP="00BB6660">
            <w:pPr>
              <w:spacing w:before="60" w:after="60"/>
              <w:jc w:val="both"/>
              <w:rPr>
                <w:rFonts w:cstheme="minorHAnsi"/>
                <w:sz w:val="20"/>
                <w:szCs w:val="20"/>
              </w:rPr>
            </w:pPr>
            <w:r w:rsidRPr="00BB6660">
              <w:rPr>
                <w:rFonts w:cstheme="minorHAnsi"/>
                <w:sz w:val="20"/>
                <w:szCs w:val="20"/>
              </w:rPr>
              <w:t>Minimalna zawartość spoiwa, % m/m</w:t>
            </w:r>
          </w:p>
        </w:tc>
      </w:tr>
      <w:tr w:rsidR="00B81F7B" w:rsidRPr="00BB6660" w14:paraId="762867EF" w14:textId="77777777">
        <w:tc>
          <w:tcPr>
            <w:tcW w:w="4077" w:type="dxa"/>
            <w:tcBorders>
              <w:top w:val="single" w:sz="4" w:space="0" w:color="auto"/>
              <w:left w:val="single" w:sz="4" w:space="0" w:color="auto"/>
              <w:bottom w:val="single" w:sz="4" w:space="0" w:color="auto"/>
              <w:right w:val="single" w:sz="4" w:space="0" w:color="auto"/>
            </w:tcBorders>
            <w:hideMark/>
          </w:tcPr>
          <w:p w14:paraId="66C03785" w14:textId="77777777" w:rsidR="00B81F7B" w:rsidRPr="00BB6660" w:rsidRDefault="00B81F7B" w:rsidP="00BB6660">
            <w:pPr>
              <w:spacing w:before="60" w:after="60"/>
              <w:jc w:val="both"/>
              <w:rPr>
                <w:rFonts w:cstheme="minorHAnsi"/>
                <w:sz w:val="20"/>
                <w:szCs w:val="20"/>
              </w:rPr>
            </w:pPr>
            <w:r w:rsidRPr="00BB6660">
              <w:rPr>
                <w:rFonts w:cstheme="minorHAnsi"/>
                <w:sz w:val="20"/>
                <w:szCs w:val="20"/>
              </w:rPr>
              <w:t>&gt; 8,0 do 31,5</w:t>
            </w:r>
          </w:p>
        </w:tc>
        <w:tc>
          <w:tcPr>
            <w:tcW w:w="3434" w:type="dxa"/>
            <w:tcBorders>
              <w:top w:val="single" w:sz="4" w:space="0" w:color="auto"/>
              <w:left w:val="single" w:sz="4" w:space="0" w:color="auto"/>
              <w:bottom w:val="single" w:sz="4" w:space="0" w:color="auto"/>
              <w:right w:val="single" w:sz="4" w:space="0" w:color="auto"/>
            </w:tcBorders>
            <w:hideMark/>
          </w:tcPr>
          <w:p w14:paraId="771EDD9B" w14:textId="77777777" w:rsidR="00B81F7B" w:rsidRPr="00BB6660" w:rsidRDefault="00B81F7B" w:rsidP="00BB6660">
            <w:pPr>
              <w:spacing w:before="60" w:after="60"/>
              <w:jc w:val="both"/>
              <w:rPr>
                <w:rFonts w:cstheme="minorHAnsi"/>
                <w:sz w:val="20"/>
                <w:szCs w:val="20"/>
              </w:rPr>
            </w:pPr>
            <w:r w:rsidRPr="00BB6660">
              <w:rPr>
                <w:rFonts w:cstheme="minorHAnsi"/>
                <w:sz w:val="20"/>
                <w:szCs w:val="20"/>
              </w:rPr>
              <w:t>3</w:t>
            </w:r>
          </w:p>
        </w:tc>
      </w:tr>
      <w:tr w:rsidR="00B81F7B" w:rsidRPr="00BB6660" w14:paraId="0545244E" w14:textId="77777777">
        <w:tc>
          <w:tcPr>
            <w:tcW w:w="4077" w:type="dxa"/>
            <w:tcBorders>
              <w:top w:val="single" w:sz="4" w:space="0" w:color="auto"/>
              <w:left w:val="single" w:sz="4" w:space="0" w:color="auto"/>
              <w:bottom w:val="single" w:sz="4" w:space="0" w:color="auto"/>
              <w:right w:val="single" w:sz="4" w:space="0" w:color="auto"/>
            </w:tcBorders>
            <w:hideMark/>
          </w:tcPr>
          <w:p w14:paraId="072839EF" w14:textId="77777777" w:rsidR="00B81F7B" w:rsidRPr="00BB6660" w:rsidRDefault="00B81F7B" w:rsidP="00BB6660">
            <w:pPr>
              <w:spacing w:before="60" w:after="60"/>
              <w:jc w:val="both"/>
              <w:rPr>
                <w:rFonts w:cstheme="minorHAnsi"/>
                <w:sz w:val="20"/>
                <w:szCs w:val="20"/>
              </w:rPr>
            </w:pPr>
            <w:r w:rsidRPr="00BB6660">
              <w:rPr>
                <w:rFonts w:cstheme="minorHAnsi"/>
                <w:sz w:val="20"/>
                <w:szCs w:val="20"/>
              </w:rPr>
              <w:t>2,0 do 8,0</w:t>
            </w:r>
          </w:p>
        </w:tc>
        <w:tc>
          <w:tcPr>
            <w:tcW w:w="3434" w:type="dxa"/>
            <w:tcBorders>
              <w:top w:val="single" w:sz="4" w:space="0" w:color="auto"/>
              <w:left w:val="single" w:sz="4" w:space="0" w:color="auto"/>
              <w:bottom w:val="single" w:sz="4" w:space="0" w:color="auto"/>
              <w:right w:val="single" w:sz="4" w:space="0" w:color="auto"/>
            </w:tcBorders>
            <w:hideMark/>
          </w:tcPr>
          <w:p w14:paraId="2D432DEA" w14:textId="77777777" w:rsidR="00B81F7B" w:rsidRPr="00BB6660" w:rsidRDefault="00B81F7B" w:rsidP="00BB6660">
            <w:pPr>
              <w:spacing w:before="60" w:after="60"/>
              <w:jc w:val="both"/>
              <w:rPr>
                <w:rFonts w:cstheme="minorHAnsi"/>
                <w:sz w:val="20"/>
                <w:szCs w:val="20"/>
              </w:rPr>
            </w:pPr>
            <w:r w:rsidRPr="00BB6660">
              <w:rPr>
                <w:rFonts w:cstheme="minorHAnsi"/>
                <w:sz w:val="20"/>
                <w:szCs w:val="20"/>
              </w:rPr>
              <w:t>4</w:t>
            </w:r>
          </w:p>
        </w:tc>
      </w:tr>
      <w:tr w:rsidR="00B81F7B" w:rsidRPr="00BB6660" w14:paraId="38E43179" w14:textId="77777777">
        <w:tc>
          <w:tcPr>
            <w:tcW w:w="4077" w:type="dxa"/>
            <w:tcBorders>
              <w:top w:val="single" w:sz="4" w:space="0" w:color="auto"/>
              <w:left w:val="single" w:sz="4" w:space="0" w:color="auto"/>
              <w:bottom w:val="single" w:sz="4" w:space="0" w:color="auto"/>
              <w:right w:val="single" w:sz="4" w:space="0" w:color="auto"/>
            </w:tcBorders>
            <w:hideMark/>
          </w:tcPr>
          <w:p w14:paraId="488E83F3" w14:textId="77777777" w:rsidR="00B81F7B" w:rsidRPr="00BB6660" w:rsidRDefault="00B81F7B" w:rsidP="00BB6660">
            <w:pPr>
              <w:spacing w:before="60" w:after="60"/>
              <w:jc w:val="both"/>
              <w:rPr>
                <w:rFonts w:cstheme="minorHAnsi"/>
                <w:sz w:val="20"/>
                <w:szCs w:val="20"/>
              </w:rPr>
            </w:pPr>
            <w:r w:rsidRPr="00BB6660">
              <w:rPr>
                <w:rFonts w:cstheme="minorHAnsi"/>
                <w:sz w:val="20"/>
                <w:szCs w:val="20"/>
              </w:rPr>
              <w:t>&lt; 2,0</w:t>
            </w:r>
          </w:p>
        </w:tc>
        <w:tc>
          <w:tcPr>
            <w:tcW w:w="3434" w:type="dxa"/>
            <w:tcBorders>
              <w:top w:val="single" w:sz="4" w:space="0" w:color="auto"/>
              <w:left w:val="single" w:sz="4" w:space="0" w:color="auto"/>
              <w:bottom w:val="single" w:sz="4" w:space="0" w:color="auto"/>
              <w:right w:val="single" w:sz="4" w:space="0" w:color="auto"/>
            </w:tcBorders>
            <w:hideMark/>
          </w:tcPr>
          <w:p w14:paraId="1E68E349" w14:textId="77777777" w:rsidR="00B81F7B" w:rsidRPr="00BB6660" w:rsidRDefault="00B81F7B" w:rsidP="00BB6660">
            <w:pPr>
              <w:spacing w:before="60" w:after="60"/>
              <w:jc w:val="both"/>
              <w:rPr>
                <w:rFonts w:cstheme="minorHAnsi"/>
                <w:sz w:val="20"/>
                <w:szCs w:val="20"/>
              </w:rPr>
            </w:pPr>
            <w:r w:rsidRPr="00BB6660">
              <w:rPr>
                <w:rFonts w:cstheme="minorHAnsi"/>
                <w:sz w:val="20"/>
                <w:szCs w:val="20"/>
              </w:rPr>
              <w:t>5</w:t>
            </w:r>
          </w:p>
        </w:tc>
      </w:tr>
    </w:tbl>
    <w:p w14:paraId="254AD383" w14:textId="77777777" w:rsidR="00B81F7B" w:rsidRPr="00BB6660" w:rsidRDefault="00B81F7B" w:rsidP="00BB6660">
      <w:pPr>
        <w:jc w:val="both"/>
        <w:rPr>
          <w:rFonts w:cstheme="minorHAnsi"/>
          <w:sz w:val="20"/>
          <w:szCs w:val="20"/>
        </w:rPr>
      </w:pPr>
    </w:p>
    <w:p w14:paraId="42A1194A" w14:textId="77777777" w:rsidR="00B81F7B" w:rsidRPr="00BB6660" w:rsidRDefault="00B81F7B" w:rsidP="00BB6660">
      <w:pPr>
        <w:jc w:val="both"/>
        <w:rPr>
          <w:rFonts w:cstheme="minorHAnsi"/>
          <w:sz w:val="20"/>
          <w:szCs w:val="20"/>
        </w:rPr>
      </w:pPr>
      <w:r w:rsidRPr="00BB6660">
        <w:rPr>
          <w:rFonts w:cstheme="minorHAnsi"/>
          <w:sz w:val="20"/>
          <w:szCs w:val="20"/>
        </w:rPr>
        <w:tab/>
        <w:t>Dopuszczalne jest zastosowanie mniejszej ilości spoiwa niż podano w tablicy 3, jeśli podczas procesu produkcyjnego stwierdzone zostanie, że zachowana jest zgodność z wymaganiami tablic 4÷6 niniejszej specyfikacji.</w:t>
      </w:r>
    </w:p>
    <w:p w14:paraId="3953F769" w14:textId="77777777" w:rsidR="00B81F7B" w:rsidRPr="00BB6660" w:rsidRDefault="00B81F7B" w:rsidP="00BB6660">
      <w:pPr>
        <w:jc w:val="both"/>
        <w:rPr>
          <w:rFonts w:cstheme="minorHAnsi"/>
          <w:sz w:val="20"/>
          <w:szCs w:val="20"/>
        </w:rPr>
      </w:pPr>
      <w:r w:rsidRPr="00BB6660">
        <w:rPr>
          <w:rFonts w:cstheme="minorHAnsi"/>
          <w:sz w:val="20"/>
          <w:szCs w:val="20"/>
        </w:rPr>
        <w:tab/>
        <w:t>Zawartość wody w mieszance powinna być określona na podstawie procedury projektowej wg metody Proctora i/lub doświadczenia z mieszankami wyprodukowanymi przy użyciu proponowanych składników. Zawartość wody należy określić zgodnie z PN-EN 13286-2 [20].</w:t>
      </w:r>
    </w:p>
    <w:p w14:paraId="65475494" w14:textId="77777777" w:rsidR="00B81F7B" w:rsidRPr="00BB6660" w:rsidRDefault="00B81F7B" w:rsidP="00BB6660">
      <w:pPr>
        <w:jc w:val="both"/>
        <w:rPr>
          <w:rFonts w:cstheme="minorHAnsi"/>
          <w:sz w:val="20"/>
          <w:szCs w:val="20"/>
        </w:rPr>
      </w:pPr>
      <w:r w:rsidRPr="00BB6660">
        <w:rPr>
          <w:rFonts w:cstheme="minorHAnsi"/>
          <w:sz w:val="20"/>
          <w:szCs w:val="20"/>
        </w:rPr>
        <w:tab/>
        <w:t>Próbki walcowe zagęszczane ubijakiem Proctora, powinny być przygotowane zgodnie z PN-EN 13286-50 [22]. Próbki należy przechowywać przez 14 dni w temperaturze pokojowej z zabezpieczeniem przed wysychaniem (w komorze o wilgotności powyżej 95% - 100% lub w wilgotnym piasku) i następnie zanurzyć na 14 dni do wody o temperaturze pokojowej. Nasycanie próbek wodą odbywa się pod ciśnieniem normalnym i przy całkowitym ich zanurzeniu w wodzie.</w:t>
      </w:r>
    </w:p>
    <w:p w14:paraId="7C849F02" w14:textId="77777777" w:rsidR="00B81F7B" w:rsidRPr="00BB6660" w:rsidRDefault="00B81F7B" w:rsidP="00BB6660">
      <w:pPr>
        <w:jc w:val="both"/>
        <w:rPr>
          <w:rFonts w:cstheme="minorHAnsi"/>
          <w:sz w:val="20"/>
          <w:szCs w:val="20"/>
        </w:rPr>
      </w:pPr>
      <w:r w:rsidRPr="00BB6660">
        <w:rPr>
          <w:rFonts w:cstheme="minorHAnsi"/>
          <w:sz w:val="20"/>
          <w:szCs w:val="20"/>
        </w:rPr>
        <w:tab/>
        <w:t>Badanie wytrzymałości na ściskanie (system I) należy przeprowadzić na próbkach walcowych przygotowanych metodą Proctora zgodnie z PN-EN 13286-50 [22], przy wykorzystaniu metody badawczej zgodniej z PN-EN 13286-41 [21]. Wytrzymałość na ściskanie określonej mieszanki powinna być oznaczana zgodnie z PN-EN 13286-41 [21], po 28 dniach pielęgnacji. Dopuszcza się w praktyce wykonawczej stosowanie dodatkowo wytrzymałości na ściskanie określonej po innym okresie pielęgnacji, np. po 7 lub 14 dniach. Wymagane właściwości po 28 dniach pielęgnacji pozostają bez zmian.</w:t>
      </w:r>
    </w:p>
    <w:p w14:paraId="06D5097D" w14:textId="77777777" w:rsidR="00B81F7B" w:rsidRPr="00BB6660" w:rsidRDefault="00B81F7B" w:rsidP="00BB6660">
      <w:pPr>
        <w:jc w:val="both"/>
        <w:rPr>
          <w:rFonts w:cstheme="minorHAnsi"/>
          <w:sz w:val="20"/>
          <w:szCs w:val="20"/>
        </w:rPr>
      </w:pPr>
      <w:r w:rsidRPr="00BB6660">
        <w:rPr>
          <w:rFonts w:cstheme="minorHAnsi"/>
          <w:sz w:val="20"/>
          <w:szCs w:val="20"/>
        </w:rPr>
        <w:tab/>
        <w:t xml:space="preserve">Wskaźnik mrozoodporności mieszanki związanej cementem określany jest stosunkiem wytrzymałości na ściskanie </w:t>
      </w:r>
      <w:r w:rsidRPr="00BB6660">
        <w:rPr>
          <w:rFonts w:eastAsia="Times New Roman" w:cstheme="minorHAnsi"/>
          <w:position w:val="-10"/>
          <w:sz w:val="20"/>
          <w:szCs w:val="20"/>
        </w:rPr>
        <w:object w:dxaOrig="480" w:dyaOrig="345" w14:anchorId="636C36D5">
          <v:shape id="_x0000_i1031" type="#_x0000_t75" style="width:24pt;height:17.25pt" o:ole="">
            <v:imagedata r:id="rId24" o:title=""/>
          </v:shape>
          <o:OLEObject Type="Embed" ProgID="Equation.3" ShapeID="_x0000_i1031" DrawAspect="Content" ObjectID="_1838867253" r:id="rId25"/>
        </w:object>
      </w:r>
      <w:r w:rsidRPr="00BB6660">
        <w:rPr>
          <w:rFonts w:cstheme="minorHAnsi"/>
          <w:sz w:val="20"/>
          <w:szCs w:val="20"/>
        </w:rPr>
        <w:t xml:space="preserve"> próbki po 28 dniach pielęgnacji i po 14 cyklach zamrażania i odmrażania do wytrzymałości na ściskanie </w:t>
      </w:r>
      <w:proofErr w:type="spellStart"/>
      <w:r w:rsidRPr="00BB6660">
        <w:rPr>
          <w:rFonts w:cstheme="minorHAnsi"/>
          <w:sz w:val="20"/>
          <w:szCs w:val="20"/>
        </w:rPr>
        <w:t>R</w:t>
      </w:r>
      <w:r w:rsidRPr="00BB6660">
        <w:rPr>
          <w:rFonts w:cstheme="minorHAnsi"/>
          <w:sz w:val="20"/>
          <w:szCs w:val="20"/>
          <w:vertAlign w:val="subscript"/>
        </w:rPr>
        <w:t>c</w:t>
      </w:r>
      <w:proofErr w:type="spellEnd"/>
      <w:r w:rsidRPr="00BB6660">
        <w:rPr>
          <w:rFonts w:cstheme="minorHAnsi"/>
          <w:sz w:val="20"/>
          <w:szCs w:val="20"/>
        </w:rPr>
        <w:t xml:space="preserve"> próbki po 28 dniach pielęgnacji.</w:t>
      </w:r>
    </w:p>
    <w:p w14:paraId="35D9BA55" w14:textId="77777777" w:rsidR="00B81F7B" w:rsidRPr="00BB6660" w:rsidRDefault="00B81F7B" w:rsidP="00BB6660">
      <w:pPr>
        <w:jc w:val="both"/>
        <w:rPr>
          <w:rFonts w:cstheme="minorHAnsi"/>
          <w:sz w:val="20"/>
          <w:szCs w:val="20"/>
        </w:rPr>
      </w:pPr>
      <w:r w:rsidRPr="00BB6660">
        <w:rPr>
          <w:rFonts w:cstheme="minorHAnsi"/>
          <w:sz w:val="20"/>
          <w:szCs w:val="20"/>
        </w:rPr>
        <w:t xml:space="preserve">Wskaźnik mrozoodporności </w:t>
      </w:r>
      <w:r w:rsidRPr="00BB6660">
        <w:rPr>
          <w:rFonts w:eastAsia="Times New Roman" w:cstheme="minorHAnsi"/>
          <w:position w:val="-26"/>
          <w:sz w:val="20"/>
          <w:szCs w:val="20"/>
        </w:rPr>
        <w:object w:dxaOrig="675" w:dyaOrig="645" w14:anchorId="4980860F">
          <v:shape id="_x0000_i1032" type="#_x0000_t75" style="width:33.75pt;height:32.25pt" o:ole="">
            <v:imagedata r:id="rId26" o:title=""/>
          </v:shape>
          <o:OLEObject Type="Embed" ProgID="Equation.3" ShapeID="_x0000_i1032" DrawAspect="Content" ObjectID="_1838867254" r:id="rId27"/>
        </w:object>
      </w:r>
      <w:r w:rsidRPr="00BB6660">
        <w:rPr>
          <w:rFonts w:cstheme="minorHAnsi"/>
          <w:sz w:val="20"/>
          <w:szCs w:val="20"/>
        </w:rPr>
        <w:t xml:space="preserve">. </w:t>
      </w:r>
    </w:p>
    <w:p w14:paraId="7CCE1203" w14:textId="47F45C6C" w:rsidR="00B81F7B" w:rsidRPr="00BB6660" w:rsidRDefault="00B81F7B" w:rsidP="00BB6660">
      <w:pPr>
        <w:ind w:firstLine="709"/>
        <w:jc w:val="both"/>
        <w:rPr>
          <w:rFonts w:cstheme="minorHAnsi"/>
          <w:sz w:val="20"/>
          <w:szCs w:val="20"/>
        </w:rPr>
      </w:pPr>
      <w:r w:rsidRPr="00BB6660">
        <w:rPr>
          <w:rFonts w:cstheme="minorHAnsi"/>
          <w:sz w:val="20"/>
          <w:szCs w:val="20"/>
        </w:rPr>
        <w:t xml:space="preserve">Próbki do oznaczenia wskaźnika mrozoodporności należy przechowywać przez 28 dni w temperaturze pokojowej z zabezpieczeniem przed wysychaniem (w komorze o wilgotności 95% ÷ 100% lub w wilgotnym piasku). Następnie należy je całkowicie zanurzyć na 1 dobę w wodzie, a następnie w ciągu kolejnych 14 dni poddać cyklom zamrażania i odmrażania. Jeden cykl zamrażania i odmrażania polega na zamrażaniu próbki </w:t>
      </w:r>
      <w:r w:rsidR="004F465D">
        <w:rPr>
          <w:rFonts w:cstheme="minorHAnsi"/>
          <w:sz w:val="20"/>
          <w:szCs w:val="20"/>
        </w:rPr>
        <w:br/>
      </w:r>
      <w:r w:rsidRPr="00BB6660">
        <w:rPr>
          <w:rFonts w:cstheme="minorHAnsi"/>
          <w:sz w:val="20"/>
          <w:szCs w:val="20"/>
        </w:rPr>
        <w:t>w temperaturze -23 ±2</w:t>
      </w:r>
      <w:r w:rsidRPr="00BB6660">
        <w:rPr>
          <w:rFonts w:cstheme="minorHAnsi"/>
          <w:sz w:val="20"/>
          <w:szCs w:val="20"/>
          <w:vertAlign w:val="superscript"/>
        </w:rPr>
        <w:t>o</w:t>
      </w:r>
      <w:r w:rsidRPr="00BB6660">
        <w:rPr>
          <w:rFonts w:cstheme="minorHAnsi"/>
          <w:sz w:val="20"/>
          <w:szCs w:val="20"/>
        </w:rPr>
        <w:t>C przez  8 godzin i odmrażania w wodzie o temperaturze +18 ±2</w:t>
      </w:r>
      <w:r w:rsidRPr="00BB6660">
        <w:rPr>
          <w:rFonts w:cstheme="minorHAnsi"/>
          <w:sz w:val="20"/>
          <w:szCs w:val="20"/>
          <w:vertAlign w:val="superscript"/>
        </w:rPr>
        <w:t>o</w:t>
      </w:r>
      <w:r w:rsidRPr="00BB6660">
        <w:rPr>
          <w:rFonts w:cstheme="minorHAnsi"/>
          <w:sz w:val="20"/>
          <w:szCs w:val="20"/>
        </w:rPr>
        <w:t xml:space="preserve">C przez 16 godzin. Oznaczenie wskaźnika mrozoodporności należy przeprowadzać na 3 próbkach i do obliczeń przyjmować średnią. Wynik badania różniący się od średniej o więcej niż 20% należy odrzucić, a jako miarodajną wartość wytrzymałości na ściskanie </w:t>
      </w:r>
      <w:r w:rsidRPr="00BB6660">
        <w:rPr>
          <w:rFonts w:eastAsia="Times New Roman" w:cstheme="minorHAnsi"/>
          <w:position w:val="-10"/>
          <w:sz w:val="20"/>
          <w:szCs w:val="20"/>
        </w:rPr>
        <w:object w:dxaOrig="480" w:dyaOrig="345" w14:anchorId="62A3D0E1">
          <v:shape id="_x0000_i1033" type="#_x0000_t75" style="width:24pt;height:17.25pt" o:ole="">
            <v:imagedata r:id="rId28" o:title=""/>
          </v:shape>
          <o:OLEObject Type="Embed" ProgID="Equation.3" ShapeID="_x0000_i1033" DrawAspect="Content" ObjectID="_1838867255" r:id="rId29"/>
        </w:object>
      </w:r>
      <w:r w:rsidRPr="00BB6660">
        <w:rPr>
          <w:rFonts w:cstheme="minorHAnsi"/>
          <w:sz w:val="20"/>
          <w:szCs w:val="20"/>
        </w:rPr>
        <w:t xml:space="preserve">, </w:t>
      </w:r>
      <w:proofErr w:type="spellStart"/>
      <w:r w:rsidRPr="00BB6660">
        <w:rPr>
          <w:rFonts w:cstheme="minorHAnsi"/>
          <w:sz w:val="20"/>
          <w:szCs w:val="20"/>
        </w:rPr>
        <w:t>R</w:t>
      </w:r>
      <w:r w:rsidRPr="00BB6660">
        <w:rPr>
          <w:rFonts w:cstheme="minorHAnsi"/>
          <w:sz w:val="20"/>
          <w:szCs w:val="20"/>
          <w:vertAlign w:val="subscript"/>
        </w:rPr>
        <w:t>c</w:t>
      </w:r>
      <w:proofErr w:type="spellEnd"/>
      <w:r w:rsidRPr="00BB6660">
        <w:rPr>
          <w:rFonts w:cstheme="minorHAnsi"/>
          <w:sz w:val="20"/>
          <w:szCs w:val="20"/>
        </w:rPr>
        <w:t xml:space="preserve"> należy przyjąć średnią obliczoną z pozostałych dwóch wyników, </w:t>
      </w:r>
      <w:r w:rsidR="004F465D">
        <w:rPr>
          <w:rFonts w:cstheme="minorHAnsi"/>
          <w:sz w:val="20"/>
          <w:szCs w:val="20"/>
        </w:rPr>
        <w:br/>
      </w:r>
      <w:r w:rsidRPr="00BB6660">
        <w:rPr>
          <w:rFonts w:cstheme="minorHAnsi"/>
          <w:sz w:val="20"/>
          <w:szCs w:val="20"/>
        </w:rPr>
        <w:t xml:space="preserve">z dokładnością 0,1. </w:t>
      </w:r>
    </w:p>
    <w:p w14:paraId="0895F3B4" w14:textId="77777777" w:rsidR="00B81F7B" w:rsidRPr="00BB6660" w:rsidRDefault="00B81F7B" w:rsidP="00BB6660">
      <w:pPr>
        <w:jc w:val="both"/>
        <w:rPr>
          <w:rFonts w:cstheme="minorHAnsi"/>
          <w:sz w:val="20"/>
          <w:szCs w:val="20"/>
          <w:u w:val="single"/>
        </w:rPr>
      </w:pPr>
      <w:r w:rsidRPr="00BB6660">
        <w:rPr>
          <w:rFonts w:cstheme="minorHAnsi"/>
          <w:sz w:val="20"/>
          <w:szCs w:val="20"/>
          <w:u w:val="single"/>
        </w:rPr>
        <w:t>Wymagania wobec mieszanek</w:t>
      </w:r>
    </w:p>
    <w:p w14:paraId="7BB3088B" w14:textId="77777777" w:rsidR="00B81F7B" w:rsidRPr="00BB6660" w:rsidRDefault="00B81F7B" w:rsidP="00BB6660">
      <w:pPr>
        <w:jc w:val="both"/>
        <w:rPr>
          <w:rFonts w:cstheme="minorHAnsi"/>
          <w:sz w:val="20"/>
          <w:szCs w:val="20"/>
        </w:rPr>
      </w:pPr>
      <w:r w:rsidRPr="00BB6660">
        <w:rPr>
          <w:rFonts w:cstheme="minorHAnsi"/>
          <w:sz w:val="20"/>
          <w:szCs w:val="20"/>
        </w:rPr>
        <w:tab/>
        <w:t>Mieszanki związane cementem klasyfikuje się pod względem właściwości wytrzymałościowych mieszanki przez wytrzymałość charakterystyczną na ściskanie R</w:t>
      </w:r>
      <w:r w:rsidRPr="00BB6660">
        <w:rPr>
          <w:rFonts w:cstheme="minorHAnsi"/>
          <w:sz w:val="20"/>
          <w:szCs w:val="20"/>
          <w:vertAlign w:val="subscript"/>
        </w:rPr>
        <w:t>c</w:t>
      </w:r>
      <w:r w:rsidRPr="00BB6660">
        <w:rPr>
          <w:rFonts w:cstheme="minorHAnsi"/>
          <w:sz w:val="20"/>
          <w:szCs w:val="20"/>
        </w:rPr>
        <w:t xml:space="preserve"> próbek zgodnie z przyjętym systemem I.</w:t>
      </w:r>
    </w:p>
    <w:p w14:paraId="1E5BB9A1" w14:textId="77777777" w:rsidR="00B81F7B" w:rsidRPr="00BB6660" w:rsidRDefault="00B81F7B" w:rsidP="00BB6660">
      <w:pPr>
        <w:jc w:val="both"/>
        <w:rPr>
          <w:rFonts w:cstheme="minorHAnsi"/>
          <w:sz w:val="20"/>
          <w:szCs w:val="20"/>
        </w:rPr>
      </w:pPr>
      <w:r w:rsidRPr="00BB6660">
        <w:rPr>
          <w:rFonts w:cstheme="minorHAnsi"/>
          <w:sz w:val="20"/>
          <w:szCs w:val="20"/>
        </w:rPr>
        <w:lastRenderedPageBreak/>
        <w:tab/>
        <w:t>W tablicy 4 przedstawia się zbiorcze zestawienia wymagań wobec mieszanek wraz z wymaganymi wytrzymałościami na ściskanie.</w:t>
      </w:r>
    </w:p>
    <w:p w14:paraId="3FED1627" w14:textId="77777777" w:rsidR="00B81F7B" w:rsidRPr="00BB6660" w:rsidRDefault="00B81F7B" w:rsidP="00BB6660">
      <w:pPr>
        <w:ind w:left="992" w:hanging="992"/>
        <w:jc w:val="both"/>
        <w:rPr>
          <w:rFonts w:cstheme="minorHAnsi"/>
          <w:sz w:val="20"/>
          <w:szCs w:val="20"/>
        </w:rPr>
      </w:pPr>
    </w:p>
    <w:p w14:paraId="0577A6A5" w14:textId="77777777" w:rsidR="00B81F7B" w:rsidRPr="00BB6660" w:rsidRDefault="00B81F7B" w:rsidP="00BB6660">
      <w:pPr>
        <w:tabs>
          <w:tab w:val="left" w:pos="993"/>
        </w:tabs>
        <w:spacing w:after="120"/>
        <w:ind w:left="992" w:hanging="992"/>
        <w:jc w:val="both"/>
        <w:rPr>
          <w:rFonts w:cstheme="minorHAnsi"/>
          <w:sz w:val="20"/>
          <w:szCs w:val="20"/>
        </w:rPr>
      </w:pPr>
      <w:r w:rsidRPr="00BB6660">
        <w:rPr>
          <w:rFonts w:cstheme="minorHAnsi"/>
          <w:sz w:val="20"/>
          <w:szCs w:val="20"/>
        </w:rPr>
        <w:t>Tablica 4.</w:t>
      </w:r>
      <w:r w:rsidRPr="00BB6660">
        <w:rPr>
          <w:rFonts w:cstheme="minorHAnsi"/>
          <w:sz w:val="20"/>
          <w:szCs w:val="20"/>
        </w:rPr>
        <w:tab/>
        <w:t>Wymagania wobec mieszanek związanych cementem do warstwy podbudowy zasadniczej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3859"/>
      </w:tblGrid>
      <w:tr w:rsidR="00B81F7B" w:rsidRPr="00BB6660" w14:paraId="3392A535" w14:textId="77777777">
        <w:tc>
          <w:tcPr>
            <w:tcW w:w="817" w:type="dxa"/>
            <w:vMerge w:val="restart"/>
            <w:tcBorders>
              <w:top w:val="single" w:sz="4" w:space="0" w:color="auto"/>
              <w:left w:val="single" w:sz="4" w:space="0" w:color="auto"/>
              <w:bottom w:val="single" w:sz="4" w:space="0" w:color="auto"/>
              <w:right w:val="single" w:sz="4" w:space="0" w:color="auto"/>
            </w:tcBorders>
            <w:hideMark/>
          </w:tcPr>
          <w:p w14:paraId="5A40BE90" w14:textId="77777777" w:rsidR="00B81F7B" w:rsidRPr="00BB6660" w:rsidRDefault="00B81F7B" w:rsidP="00BB6660">
            <w:pPr>
              <w:spacing w:before="120"/>
              <w:jc w:val="both"/>
              <w:rPr>
                <w:rFonts w:cstheme="minorHAnsi"/>
                <w:sz w:val="20"/>
                <w:szCs w:val="20"/>
              </w:rPr>
            </w:pPr>
            <w:r w:rsidRPr="00BB6660">
              <w:rPr>
                <w:rFonts w:cstheme="minorHAnsi"/>
                <w:sz w:val="20"/>
                <w:szCs w:val="20"/>
              </w:rPr>
              <w:t>Lp.</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00DB841E" w14:textId="77777777" w:rsidR="00B81F7B" w:rsidRPr="00BB6660" w:rsidRDefault="00B81F7B" w:rsidP="00BB6660">
            <w:pPr>
              <w:spacing w:before="120"/>
              <w:jc w:val="both"/>
              <w:rPr>
                <w:rFonts w:cstheme="minorHAnsi"/>
                <w:sz w:val="20"/>
                <w:szCs w:val="20"/>
              </w:rPr>
            </w:pPr>
            <w:r w:rsidRPr="00BB6660">
              <w:rPr>
                <w:rFonts w:cstheme="minorHAnsi"/>
                <w:sz w:val="20"/>
                <w:szCs w:val="20"/>
              </w:rPr>
              <w:t>Właściwość</w:t>
            </w:r>
          </w:p>
        </w:tc>
        <w:tc>
          <w:tcPr>
            <w:tcW w:w="3859" w:type="dxa"/>
            <w:tcBorders>
              <w:top w:val="single" w:sz="4" w:space="0" w:color="auto"/>
              <w:left w:val="single" w:sz="4" w:space="0" w:color="auto"/>
              <w:bottom w:val="single" w:sz="4" w:space="0" w:color="auto"/>
              <w:right w:val="single" w:sz="4" w:space="0" w:color="auto"/>
            </w:tcBorders>
            <w:hideMark/>
          </w:tcPr>
          <w:p w14:paraId="0068124C" w14:textId="77777777" w:rsidR="00B81F7B" w:rsidRPr="00BB6660" w:rsidRDefault="00B81F7B" w:rsidP="00BB6660">
            <w:pPr>
              <w:jc w:val="both"/>
              <w:rPr>
                <w:rFonts w:cstheme="minorHAnsi"/>
                <w:sz w:val="20"/>
                <w:szCs w:val="20"/>
              </w:rPr>
            </w:pPr>
            <w:r w:rsidRPr="00BB6660">
              <w:rPr>
                <w:rFonts w:cstheme="minorHAnsi"/>
                <w:sz w:val="20"/>
                <w:szCs w:val="20"/>
              </w:rPr>
              <w:t>Wymagania dla ruchu</w:t>
            </w:r>
          </w:p>
        </w:tc>
      </w:tr>
      <w:tr w:rsidR="00B81F7B" w:rsidRPr="00BB6660" w14:paraId="758FF86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BD8BF0E" w14:textId="77777777" w:rsidR="00B81F7B" w:rsidRPr="00BB6660" w:rsidRDefault="00B81F7B" w:rsidP="00BB6660">
            <w:pPr>
              <w:jc w:val="both"/>
              <w:rPr>
                <w:rFonts w:cstheme="minorHAnsi"/>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2D29" w14:textId="77777777" w:rsidR="00B81F7B" w:rsidRPr="00BB6660" w:rsidRDefault="00B81F7B" w:rsidP="00BB6660">
            <w:pPr>
              <w:jc w:val="both"/>
              <w:rPr>
                <w:rFonts w:cstheme="minorHAnsi"/>
                <w:sz w:val="20"/>
                <w:szCs w:val="20"/>
              </w:rPr>
            </w:pPr>
          </w:p>
        </w:tc>
        <w:tc>
          <w:tcPr>
            <w:tcW w:w="3859" w:type="dxa"/>
            <w:tcBorders>
              <w:top w:val="single" w:sz="4" w:space="0" w:color="auto"/>
              <w:left w:val="single" w:sz="4" w:space="0" w:color="auto"/>
              <w:bottom w:val="single" w:sz="4" w:space="0" w:color="auto"/>
              <w:right w:val="single" w:sz="4" w:space="0" w:color="auto"/>
            </w:tcBorders>
            <w:hideMark/>
          </w:tcPr>
          <w:p w14:paraId="049F7D20" w14:textId="77777777" w:rsidR="00B81F7B" w:rsidRPr="00BB6660" w:rsidRDefault="00B81F7B" w:rsidP="00BB6660">
            <w:pPr>
              <w:jc w:val="both"/>
              <w:rPr>
                <w:rFonts w:cstheme="minorHAnsi"/>
                <w:sz w:val="20"/>
                <w:szCs w:val="20"/>
              </w:rPr>
            </w:pPr>
            <w:r w:rsidRPr="00BB6660">
              <w:rPr>
                <w:rFonts w:cstheme="minorHAnsi"/>
                <w:sz w:val="20"/>
                <w:szCs w:val="20"/>
              </w:rPr>
              <w:t xml:space="preserve">KR1 </w:t>
            </w:r>
          </w:p>
        </w:tc>
      </w:tr>
      <w:tr w:rsidR="00B81F7B" w:rsidRPr="00BB6660" w14:paraId="63BB604F" w14:textId="77777777">
        <w:tc>
          <w:tcPr>
            <w:tcW w:w="817" w:type="dxa"/>
            <w:tcBorders>
              <w:top w:val="single" w:sz="4" w:space="0" w:color="auto"/>
              <w:left w:val="single" w:sz="4" w:space="0" w:color="auto"/>
              <w:bottom w:val="single" w:sz="4" w:space="0" w:color="auto"/>
              <w:right w:val="single" w:sz="4" w:space="0" w:color="auto"/>
            </w:tcBorders>
            <w:hideMark/>
          </w:tcPr>
          <w:p w14:paraId="2F3AA2ED" w14:textId="77777777" w:rsidR="00B81F7B" w:rsidRPr="00BB6660" w:rsidRDefault="00B81F7B" w:rsidP="00BB6660">
            <w:pPr>
              <w:jc w:val="both"/>
              <w:rPr>
                <w:rFonts w:cstheme="minorHAnsi"/>
                <w:sz w:val="20"/>
                <w:szCs w:val="20"/>
              </w:rPr>
            </w:pPr>
            <w:r w:rsidRPr="00BB6660">
              <w:rPr>
                <w:rFonts w:cstheme="minorHAnsi"/>
                <w:sz w:val="20"/>
                <w:szCs w:val="20"/>
              </w:rPr>
              <w:t>1.0</w:t>
            </w:r>
          </w:p>
        </w:tc>
        <w:tc>
          <w:tcPr>
            <w:tcW w:w="6694" w:type="dxa"/>
            <w:gridSpan w:val="2"/>
            <w:tcBorders>
              <w:top w:val="single" w:sz="4" w:space="0" w:color="auto"/>
              <w:left w:val="single" w:sz="4" w:space="0" w:color="auto"/>
              <w:bottom w:val="single" w:sz="4" w:space="0" w:color="auto"/>
              <w:right w:val="single" w:sz="4" w:space="0" w:color="auto"/>
            </w:tcBorders>
            <w:hideMark/>
          </w:tcPr>
          <w:p w14:paraId="77892773" w14:textId="77777777" w:rsidR="00B81F7B" w:rsidRPr="00BB6660" w:rsidRDefault="00B81F7B" w:rsidP="00BB6660">
            <w:pPr>
              <w:jc w:val="both"/>
              <w:rPr>
                <w:rFonts w:cstheme="minorHAnsi"/>
                <w:sz w:val="20"/>
                <w:szCs w:val="20"/>
              </w:rPr>
            </w:pPr>
            <w:r w:rsidRPr="00BB6660">
              <w:rPr>
                <w:rFonts w:cstheme="minorHAnsi"/>
                <w:sz w:val="20"/>
                <w:szCs w:val="20"/>
              </w:rPr>
              <w:t>Składniki</w:t>
            </w:r>
          </w:p>
        </w:tc>
      </w:tr>
      <w:tr w:rsidR="00B81F7B" w:rsidRPr="00BB6660" w14:paraId="10501F2F" w14:textId="77777777">
        <w:tc>
          <w:tcPr>
            <w:tcW w:w="817" w:type="dxa"/>
            <w:tcBorders>
              <w:top w:val="single" w:sz="4" w:space="0" w:color="auto"/>
              <w:left w:val="single" w:sz="4" w:space="0" w:color="auto"/>
              <w:bottom w:val="single" w:sz="4" w:space="0" w:color="auto"/>
              <w:right w:val="single" w:sz="4" w:space="0" w:color="auto"/>
            </w:tcBorders>
            <w:hideMark/>
          </w:tcPr>
          <w:p w14:paraId="266AA884" w14:textId="77777777" w:rsidR="00B81F7B" w:rsidRPr="00BB6660" w:rsidRDefault="00B81F7B" w:rsidP="00BB6660">
            <w:pPr>
              <w:jc w:val="both"/>
              <w:rPr>
                <w:rFonts w:cstheme="minorHAnsi"/>
                <w:sz w:val="20"/>
                <w:szCs w:val="20"/>
              </w:rPr>
            </w:pPr>
            <w:r w:rsidRPr="00BB6660">
              <w:rPr>
                <w:rFonts w:cstheme="minorHAnsi"/>
                <w:sz w:val="20"/>
                <w:szCs w:val="20"/>
              </w:rPr>
              <w:t>1.1</w:t>
            </w:r>
          </w:p>
        </w:tc>
        <w:tc>
          <w:tcPr>
            <w:tcW w:w="2835" w:type="dxa"/>
            <w:tcBorders>
              <w:top w:val="single" w:sz="4" w:space="0" w:color="auto"/>
              <w:left w:val="single" w:sz="4" w:space="0" w:color="auto"/>
              <w:bottom w:val="single" w:sz="4" w:space="0" w:color="auto"/>
              <w:right w:val="single" w:sz="4" w:space="0" w:color="auto"/>
            </w:tcBorders>
            <w:hideMark/>
          </w:tcPr>
          <w:p w14:paraId="64CFA66B" w14:textId="77777777" w:rsidR="00B81F7B" w:rsidRPr="00BB6660" w:rsidRDefault="00B81F7B" w:rsidP="00BB6660">
            <w:pPr>
              <w:jc w:val="both"/>
              <w:rPr>
                <w:rFonts w:cstheme="minorHAnsi"/>
                <w:sz w:val="20"/>
                <w:szCs w:val="20"/>
              </w:rPr>
            </w:pPr>
            <w:r w:rsidRPr="00BB6660">
              <w:rPr>
                <w:rFonts w:cstheme="minorHAnsi"/>
                <w:sz w:val="20"/>
                <w:szCs w:val="20"/>
              </w:rPr>
              <w:t>Cement</w:t>
            </w:r>
          </w:p>
        </w:tc>
        <w:tc>
          <w:tcPr>
            <w:tcW w:w="3859" w:type="dxa"/>
            <w:tcBorders>
              <w:top w:val="single" w:sz="4" w:space="0" w:color="auto"/>
              <w:left w:val="single" w:sz="4" w:space="0" w:color="auto"/>
              <w:bottom w:val="single" w:sz="4" w:space="0" w:color="auto"/>
              <w:right w:val="single" w:sz="4" w:space="0" w:color="auto"/>
            </w:tcBorders>
            <w:hideMark/>
          </w:tcPr>
          <w:p w14:paraId="0D30483E" w14:textId="77777777" w:rsidR="00B81F7B" w:rsidRPr="00BB6660" w:rsidRDefault="00B81F7B" w:rsidP="00BB6660">
            <w:pPr>
              <w:jc w:val="both"/>
              <w:rPr>
                <w:rFonts w:cstheme="minorHAnsi"/>
                <w:sz w:val="20"/>
                <w:szCs w:val="20"/>
              </w:rPr>
            </w:pPr>
            <w:r w:rsidRPr="00BB6660">
              <w:rPr>
                <w:rFonts w:cstheme="minorHAnsi"/>
                <w:sz w:val="20"/>
                <w:szCs w:val="20"/>
              </w:rPr>
              <w:t>wg p. 2.2.4</w:t>
            </w:r>
          </w:p>
        </w:tc>
      </w:tr>
      <w:tr w:rsidR="00B81F7B" w:rsidRPr="00BB6660" w14:paraId="15E685F0" w14:textId="77777777">
        <w:tc>
          <w:tcPr>
            <w:tcW w:w="817" w:type="dxa"/>
            <w:tcBorders>
              <w:top w:val="single" w:sz="4" w:space="0" w:color="auto"/>
              <w:left w:val="single" w:sz="4" w:space="0" w:color="auto"/>
              <w:bottom w:val="single" w:sz="4" w:space="0" w:color="auto"/>
              <w:right w:val="single" w:sz="4" w:space="0" w:color="auto"/>
            </w:tcBorders>
            <w:hideMark/>
          </w:tcPr>
          <w:p w14:paraId="6CC90B70" w14:textId="77777777" w:rsidR="00B81F7B" w:rsidRPr="00BB6660" w:rsidRDefault="00B81F7B" w:rsidP="00BB6660">
            <w:pPr>
              <w:jc w:val="both"/>
              <w:rPr>
                <w:rFonts w:cstheme="minorHAnsi"/>
                <w:sz w:val="20"/>
                <w:szCs w:val="20"/>
              </w:rPr>
            </w:pPr>
            <w:r w:rsidRPr="00BB6660">
              <w:rPr>
                <w:rFonts w:cstheme="minorHAnsi"/>
                <w:sz w:val="20"/>
                <w:szCs w:val="20"/>
              </w:rPr>
              <w:t>1.2</w:t>
            </w:r>
          </w:p>
        </w:tc>
        <w:tc>
          <w:tcPr>
            <w:tcW w:w="2835" w:type="dxa"/>
            <w:tcBorders>
              <w:top w:val="single" w:sz="4" w:space="0" w:color="auto"/>
              <w:left w:val="single" w:sz="4" w:space="0" w:color="auto"/>
              <w:bottom w:val="single" w:sz="4" w:space="0" w:color="auto"/>
              <w:right w:val="single" w:sz="4" w:space="0" w:color="auto"/>
            </w:tcBorders>
            <w:hideMark/>
          </w:tcPr>
          <w:p w14:paraId="77C8BED2" w14:textId="77777777" w:rsidR="00B81F7B" w:rsidRPr="00BB6660" w:rsidRDefault="00B81F7B" w:rsidP="00BB6660">
            <w:pPr>
              <w:jc w:val="both"/>
              <w:rPr>
                <w:rFonts w:cstheme="minorHAnsi"/>
                <w:sz w:val="20"/>
                <w:szCs w:val="20"/>
              </w:rPr>
            </w:pPr>
            <w:r w:rsidRPr="00BB6660">
              <w:rPr>
                <w:rFonts w:cstheme="minorHAnsi"/>
                <w:sz w:val="20"/>
                <w:szCs w:val="20"/>
              </w:rPr>
              <w:t>Kruszywo</w:t>
            </w:r>
          </w:p>
        </w:tc>
        <w:tc>
          <w:tcPr>
            <w:tcW w:w="3859" w:type="dxa"/>
            <w:tcBorders>
              <w:top w:val="single" w:sz="4" w:space="0" w:color="auto"/>
              <w:left w:val="single" w:sz="4" w:space="0" w:color="auto"/>
              <w:bottom w:val="single" w:sz="4" w:space="0" w:color="auto"/>
              <w:right w:val="single" w:sz="4" w:space="0" w:color="auto"/>
            </w:tcBorders>
            <w:hideMark/>
          </w:tcPr>
          <w:p w14:paraId="6B4D774C" w14:textId="77777777" w:rsidR="00B81F7B" w:rsidRPr="00BB6660" w:rsidRDefault="00B81F7B" w:rsidP="00BB6660">
            <w:pPr>
              <w:jc w:val="both"/>
              <w:rPr>
                <w:rFonts w:cstheme="minorHAnsi"/>
                <w:sz w:val="20"/>
                <w:szCs w:val="20"/>
              </w:rPr>
            </w:pPr>
            <w:r w:rsidRPr="00BB6660">
              <w:rPr>
                <w:rFonts w:cstheme="minorHAnsi"/>
                <w:sz w:val="20"/>
                <w:szCs w:val="20"/>
              </w:rPr>
              <w:t>wg tablicy 1</w:t>
            </w:r>
          </w:p>
        </w:tc>
      </w:tr>
      <w:tr w:rsidR="00B81F7B" w:rsidRPr="00BB6660" w14:paraId="7836A834" w14:textId="77777777">
        <w:tc>
          <w:tcPr>
            <w:tcW w:w="817" w:type="dxa"/>
            <w:tcBorders>
              <w:top w:val="single" w:sz="4" w:space="0" w:color="auto"/>
              <w:left w:val="single" w:sz="4" w:space="0" w:color="auto"/>
              <w:bottom w:val="single" w:sz="4" w:space="0" w:color="auto"/>
              <w:right w:val="single" w:sz="4" w:space="0" w:color="auto"/>
            </w:tcBorders>
            <w:hideMark/>
          </w:tcPr>
          <w:p w14:paraId="47AD0E3F" w14:textId="77777777" w:rsidR="00B81F7B" w:rsidRPr="00BB6660" w:rsidRDefault="00B81F7B" w:rsidP="00BB6660">
            <w:pPr>
              <w:jc w:val="both"/>
              <w:rPr>
                <w:rFonts w:cstheme="minorHAnsi"/>
                <w:sz w:val="20"/>
                <w:szCs w:val="20"/>
              </w:rPr>
            </w:pPr>
            <w:r w:rsidRPr="00BB6660">
              <w:rPr>
                <w:rFonts w:cstheme="minorHAnsi"/>
                <w:sz w:val="20"/>
                <w:szCs w:val="20"/>
              </w:rPr>
              <w:t>1.3</w:t>
            </w:r>
          </w:p>
        </w:tc>
        <w:tc>
          <w:tcPr>
            <w:tcW w:w="2835" w:type="dxa"/>
            <w:tcBorders>
              <w:top w:val="single" w:sz="4" w:space="0" w:color="auto"/>
              <w:left w:val="single" w:sz="4" w:space="0" w:color="auto"/>
              <w:bottom w:val="single" w:sz="4" w:space="0" w:color="auto"/>
              <w:right w:val="single" w:sz="4" w:space="0" w:color="auto"/>
            </w:tcBorders>
            <w:hideMark/>
          </w:tcPr>
          <w:p w14:paraId="55085A5B" w14:textId="77777777" w:rsidR="00B81F7B" w:rsidRPr="00BB6660" w:rsidRDefault="00B81F7B" w:rsidP="00BB6660">
            <w:pPr>
              <w:jc w:val="both"/>
              <w:rPr>
                <w:rFonts w:cstheme="minorHAnsi"/>
                <w:sz w:val="20"/>
                <w:szCs w:val="20"/>
              </w:rPr>
            </w:pPr>
            <w:r w:rsidRPr="00BB6660">
              <w:rPr>
                <w:rFonts w:cstheme="minorHAnsi"/>
                <w:sz w:val="20"/>
                <w:szCs w:val="20"/>
              </w:rPr>
              <w:t>Woda zarobowa</w:t>
            </w:r>
          </w:p>
        </w:tc>
        <w:tc>
          <w:tcPr>
            <w:tcW w:w="3859" w:type="dxa"/>
            <w:tcBorders>
              <w:top w:val="single" w:sz="4" w:space="0" w:color="auto"/>
              <w:left w:val="single" w:sz="4" w:space="0" w:color="auto"/>
              <w:bottom w:val="single" w:sz="4" w:space="0" w:color="auto"/>
              <w:right w:val="single" w:sz="4" w:space="0" w:color="auto"/>
            </w:tcBorders>
            <w:hideMark/>
          </w:tcPr>
          <w:p w14:paraId="3C7F3C3C" w14:textId="77777777" w:rsidR="00B81F7B" w:rsidRPr="00BB6660" w:rsidRDefault="00B81F7B" w:rsidP="00BB6660">
            <w:pPr>
              <w:jc w:val="both"/>
              <w:rPr>
                <w:rFonts w:cstheme="minorHAnsi"/>
                <w:sz w:val="20"/>
                <w:szCs w:val="20"/>
              </w:rPr>
            </w:pPr>
            <w:r w:rsidRPr="00BB6660">
              <w:rPr>
                <w:rFonts w:cstheme="minorHAnsi"/>
                <w:sz w:val="20"/>
                <w:szCs w:val="20"/>
              </w:rPr>
              <w:t>wg p. 2.2.5</w:t>
            </w:r>
          </w:p>
        </w:tc>
      </w:tr>
      <w:tr w:rsidR="00B81F7B" w:rsidRPr="00BB6660" w14:paraId="5140372C" w14:textId="77777777">
        <w:tc>
          <w:tcPr>
            <w:tcW w:w="817" w:type="dxa"/>
            <w:tcBorders>
              <w:top w:val="single" w:sz="4" w:space="0" w:color="auto"/>
              <w:left w:val="single" w:sz="4" w:space="0" w:color="auto"/>
              <w:bottom w:val="single" w:sz="4" w:space="0" w:color="auto"/>
              <w:right w:val="single" w:sz="4" w:space="0" w:color="auto"/>
            </w:tcBorders>
            <w:hideMark/>
          </w:tcPr>
          <w:p w14:paraId="63DFCDFF" w14:textId="77777777" w:rsidR="00B81F7B" w:rsidRPr="00BB6660" w:rsidRDefault="00B81F7B" w:rsidP="00BB6660">
            <w:pPr>
              <w:jc w:val="both"/>
              <w:rPr>
                <w:rFonts w:cstheme="minorHAnsi"/>
                <w:sz w:val="20"/>
                <w:szCs w:val="20"/>
              </w:rPr>
            </w:pPr>
            <w:r w:rsidRPr="00BB6660">
              <w:rPr>
                <w:rFonts w:cstheme="minorHAnsi"/>
                <w:sz w:val="20"/>
                <w:szCs w:val="20"/>
              </w:rPr>
              <w:t>1.4</w:t>
            </w:r>
          </w:p>
        </w:tc>
        <w:tc>
          <w:tcPr>
            <w:tcW w:w="2835" w:type="dxa"/>
            <w:tcBorders>
              <w:top w:val="single" w:sz="4" w:space="0" w:color="auto"/>
              <w:left w:val="single" w:sz="4" w:space="0" w:color="auto"/>
              <w:bottom w:val="single" w:sz="4" w:space="0" w:color="auto"/>
              <w:right w:val="single" w:sz="4" w:space="0" w:color="auto"/>
            </w:tcBorders>
            <w:hideMark/>
          </w:tcPr>
          <w:p w14:paraId="1BEE9A43" w14:textId="77777777" w:rsidR="00B81F7B" w:rsidRPr="00BB6660" w:rsidRDefault="00B81F7B" w:rsidP="00BB6660">
            <w:pPr>
              <w:jc w:val="both"/>
              <w:rPr>
                <w:rFonts w:cstheme="minorHAnsi"/>
                <w:sz w:val="20"/>
                <w:szCs w:val="20"/>
              </w:rPr>
            </w:pPr>
            <w:r w:rsidRPr="00BB6660">
              <w:rPr>
                <w:rFonts w:cstheme="minorHAnsi"/>
                <w:sz w:val="20"/>
                <w:szCs w:val="20"/>
              </w:rPr>
              <w:t>Dodatki</w:t>
            </w:r>
          </w:p>
        </w:tc>
        <w:tc>
          <w:tcPr>
            <w:tcW w:w="3859" w:type="dxa"/>
            <w:tcBorders>
              <w:top w:val="single" w:sz="4" w:space="0" w:color="auto"/>
              <w:left w:val="single" w:sz="4" w:space="0" w:color="auto"/>
              <w:bottom w:val="single" w:sz="4" w:space="0" w:color="auto"/>
              <w:right w:val="single" w:sz="4" w:space="0" w:color="auto"/>
            </w:tcBorders>
            <w:hideMark/>
          </w:tcPr>
          <w:p w14:paraId="2BA0C206" w14:textId="77777777" w:rsidR="00B81F7B" w:rsidRPr="00BB6660" w:rsidRDefault="00B81F7B" w:rsidP="00BB6660">
            <w:pPr>
              <w:jc w:val="both"/>
              <w:rPr>
                <w:rFonts w:cstheme="minorHAnsi"/>
                <w:sz w:val="20"/>
                <w:szCs w:val="20"/>
              </w:rPr>
            </w:pPr>
            <w:r w:rsidRPr="00BB6660">
              <w:rPr>
                <w:rFonts w:cstheme="minorHAnsi"/>
                <w:sz w:val="20"/>
                <w:szCs w:val="20"/>
              </w:rPr>
              <w:t>wg p. 2.2.6</w:t>
            </w:r>
          </w:p>
        </w:tc>
      </w:tr>
      <w:tr w:rsidR="00B81F7B" w:rsidRPr="00BB6660" w14:paraId="2A8D5DFF" w14:textId="77777777">
        <w:tc>
          <w:tcPr>
            <w:tcW w:w="817" w:type="dxa"/>
            <w:tcBorders>
              <w:top w:val="single" w:sz="4" w:space="0" w:color="auto"/>
              <w:left w:val="single" w:sz="4" w:space="0" w:color="auto"/>
              <w:bottom w:val="single" w:sz="4" w:space="0" w:color="auto"/>
              <w:right w:val="single" w:sz="4" w:space="0" w:color="auto"/>
            </w:tcBorders>
            <w:hideMark/>
          </w:tcPr>
          <w:p w14:paraId="27916868" w14:textId="77777777" w:rsidR="00B81F7B" w:rsidRPr="00BB6660" w:rsidRDefault="00B81F7B" w:rsidP="00BB6660">
            <w:pPr>
              <w:jc w:val="both"/>
              <w:rPr>
                <w:rFonts w:cstheme="minorHAnsi"/>
                <w:sz w:val="20"/>
                <w:szCs w:val="20"/>
              </w:rPr>
            </w:pPr>
            <w:r w:rsidRPr="00BB6660">
              <w:rPr>
                <w:rFonts w:cstheme="minorHAnsi"/>
                <w:sz w:val="20"/>
                <w:szCs w:val="20"/>
              </w:rPr>
              <w:t>2.0</w:t>
            </w:r>
          </w:p>
        </w:tc>
        <w:tc>
          <w:tcPr>
            <w:tcW w:w="6694" w:type="dxa"/>
            <w:gridSpan w:val="2"/>
            <w:tcBorders>
              <w:top w:val="single" w:sz="4" w:space="0" w:color="auto"/>
              <w:left w:val="single" w:sz="4" w:space="0" w:color="auto"/>
              <w:bottom w:val="single" w:sz="4" w:space="0" w:color="auto"/>
              <w:right w:val="single" w:sz="4" w:space="0" w:color="auto"/>
            </w:tcBorders>
            <w:hideMark/>
          </w:tcPr>
          <w:p w14:paraId="105F13F5" w14:textId="77777777" w:rsidR="00B81F7B" w:rsidRPr="00BB6660" w:rsidRDefault="00B81F7B" w:rsidP="00BB6660">
            <w:pPr>
              <w:jc w:val="both"/>
              <w:rPr>
                <w:rFonts w:cstheme="minorHAnsi"/>
                <w:sz w:val="20"/>
                <w:szCs w:val="20"/>
              </w:rPr>
            </w:pPr>
            <w:r w:rsidRPr="00BB6660">
              <w:rPr>
                <w:rFonts w:cstheme="minorHAnsi"/>
                <w:sz w:val="20"/>
                <w:szCs w:val="20"/>
              </w:rPr>
              <w:t>Mieszanka</w:t>
            </w:r>
          </w:p>
        </w:tc>
      </w:tr>
      <w:tr w:rsidR="00B81F7B" w:rsidRPr="00BB6660" w14:paraId="0148CFBE" w14:textId="77777777">
        <w:tc>
          <w:tcPr>
            <w:tcW w:w="817" w:type="dxa"/>
            <w:tcBorders>
              <w:top w:val="single" w:sz="4" w:space="0" w:color="auto"/>
              <w:left w:val="single" w:sz="4" w:space="0" w:color="auto"/>
              <w:bottom w:val="single" w:sz="4" w:space="0" w:color="auto"/>
              <w:right w:val="single" w:sz="4" w:space="0" w:color="auto"/>
            </w:tcBorders>
            <w:hideMark/>
          </w:tcPr>
          <w:p w14:paraId="0C5BB7C3" w14:textId="77777777" w:rsidR="00B81F7B" w:rsidRPr="00BB6660" w:rsidRDefault="00B81F7B" w:rsidP="00BB6660">
            <w:pPr>
              <w:jc w:val="both"/>
              <w:rPr>
                <w:rFonts w:cstheme="minorHAnsi"/>
                <w:sz w:val="20"/>
                <w:szCs w:val="20"/>
              </w:rPr>
            </w:pPr>
            <w:r w:rsidRPr="00BB6660">
              <w:rPr>
                <w:rFonts w:cstheme="minorHAnsi"/>
                <w:sz w:val="20"/>
                <w:szCs w:val="20"/>
              </w:rPr>
              <w:t>2.1</w:t>
            </w:r>
          </w:p>
        </w:tc>
        <w:tc>
          <w:tcPr>
            <w:tcW w:w="2835" w:type="dxa"/>
            <w:tcBorders>
              <w:top w:val="single" w:sz="4" w:space="0" w:color="auto"/>
              <w:left w:val="single" w:sz="4" w:space="0" w:color="auto"/>
              <w:bottom w:val="single" w:sz="4" w:space="0" w:color="auto"/>
              <w:right w:val="single" w:sz="4" w:space="0" w:color="auto"/>
            </w:tcBorders>
            <w:hideMark/>
          </w:tcPr>
          <w:p w14:paraId="35A56931" w14:textId="77777777" w:rsidR="00B81F7B" w:rsidRPr="00BB6660" w:rsidRDefault="00B81F7B" w:rsidP="00BB6660">
            <w:pPr>
              <w:jc w:val="both"/>
              <w:rPr>
                <w:rFonts w:cstheme="minorHAnsi"/>
                <w:sz w:val="20"/>
                <w:szCs w:val="20"/>
              </w:rPr>
            </w:pPr>
            <w:r w:rsidRPr="00BB6660">
              <w:rPr>
                <w:rFonts w:cstheme="minorHAnsi"/>
                <w:sz w:val="20"/>
                <w:szCs w:val="20"/>
              </w:rPr>
              <w:t>Uziarnienie:</w:t>
            </w:r>
          </w:p>
        </w:tc>
        <w:tc>
          <w:tcPr>
            <w:tcW w:w="3859" w:type="dxa"/>
            <w:tcBorders>
              <w:top w:val="single" w:sz="4" w:space="0" w:color="auto"/>
              <w:left w:val="single" w:sz="4" w:space="0" w:color="auto"/>
              <w:bottom w:val="single" w:sz="4" w:space="0" w:color="auto"/>
              <w:right w:val="single" w:sz="4" w:space="0" w:color="auto"/>
            </w:tcBorders>
            <w:hideMark/>
          </w:tcPr>
          <w:p w14:paraId="25C13CDE" w14:textId="77777777" w:rsidR="00B81F7B" w:rsidRPr="00BB6660" w:rsidRDefault="00B81F7B" w:rsidP="00BB6660">
            <w:pPr>
              <w:jc w:val="both"/>
              <w:rPr>
                <w:rFonts w:cstheme="minorHAnsi"/>
                <w:sz w:val="20"/>
                <w:szCs w:val="20"/>
              </w:rPr>
            </w:pPr>
            <w:r w:rsidRPr="00BB6660">
              <w:rPr>
                <w:rFonts w:cstheme="minorHAnsi"/>
                <w:sz w:val="20"/>
                <w:szCs w:val="20"/>
              </w:rPr>
              <w:t>Krzywe graniczne uziarnienia</w:t>
            </w:r>
          </w:p>
        </w:tc>
      </w:tr>
      <w:tr w:rsidR="00B81F7B" w:rsidRPr="00BB6660" w14:paraId="0CBF7F3C" w14:textId="77777777">
        <w:tc>
          <w:tcPr>
            <w:tcW w:w="817" w:type="dxa"/>
            <w:tcBorders>
              <w:top w:val="single" w:sz="4" w:space="0" w:color="auto"/>
              <w:left w:val="single" w:sz="4" w:space="0" w:color="auto"/>
              <w:bottom w:val="single" w:sz="4" w:space="0" w:color="auto"/>
              <w:right w:val="single" w:sz="4" w:space="0" w:color="auto"/>
            </w:tcBorders>
          </w:tcPr>
          <w:p w14:paraId="61565D40" w14:textId="77777777" w:rsidR="00B81F7B" w:rsidRPr="00BB6660" w:rsidRDefault="00B81F7B" w:rsidP="00BB6660">
            <w:pPr>
              <w:jc w:val="both"/>
              <w:rPr>
                <w:rFonts w:cstheme="minorHAnsi"/>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14:paraId="4944470D" w14:textId="77777777" w:rsidR="00B81F7B" w:rsidRPr="00BB6660" w:rsidRDefault="00B81F7B" w:rsidP="00BB6660">
            <w:pPr>
              <w:jc w:val="both"/>
              <w:rPr>
                <w:rFonts w:cstheme="minorHAnsi"/>
                <w:sz w:val="20"/>
                <w:szCs w:val="20"/>
              </w:rPr>
            </w:pPr>
            <w:r w:rsidRPr="00BB6660">
              <w:rPr>
                <w:rFonts w:cstheme="minorHAnsi"/>
                <w:sz w:val="20"/>
                <w:szCs w:val="20"/>
              </w:rPr>
              <w:t>- mieszanka 0/11,2 mm</w:t>
            </w:r>
          </w:p>
        </w:tc>
        <w:tc>
          <w:tcPr>
            <w:tcW w:w="3859" w:type="dxa"/>
            <w:tcBorders>
              <w:top w:val="single" w:sz="4" w:space="0" w:color="auto"/>
              <w:left w:val="single" w:sz="4" w:space="0" w:color="auto"/>
              <w:bottom w:val="single" w:sz="4" w:space="0" w:color="auto"/>
              <w:right w:val="single" w:sz="4" w:space="0" w:color="auto"/>
            </w:tcBorders>
            <w:hideMark/>
          </w:tcPr>
          <w:p w14:paraId="5B66AB1E" w14:textId="77777777" w:rsidR="00B81F7B" w:rsidRPr="00BB6660" w:rsidRDefault="00B81F7B" w:rsidP="00BB6660">
            <w:pPr>
              <w:jc w:val="both"/>
              <w:rPr>
                <w:rFonts w:cstheme="minorHAnsi"/>
                <w:sz w:val="20"/>
                <w:szCs w:val="20"/>
              </w:rPr>
            </w:pPr>
            <w:r w:rsidRPr="00BB6660">
              <w:rPr>
                <w:rFonts w:cstheme="minorHAnsi"/>
                <w:sz w:val="20"/>
                <w:szCs w:val="20"/>
              </w:rPr>
              <w:t>wg rys. 1</w:t>
            </w:r>
          </w:p>
        </w:tc>
      </w:tr>
      <w:tr w:rsidR="00B81F7B" w:rsidRPr="00BB6660" w14:paraId="36C63BE6" w14:textId="77777777">
        <w:tc>
          <w:tcPr>
            <w:tcW w:w="817" w:type="dxa"/>
            <w:tcBorders>
              <w:top w:val="single" w:sz="4" w:space="0" w:color="auto"/>
              <w:left w:val="single" w:sz="4" w:space="0" w:color="auto"/>
              <w:bottom w:val="single" w:sz="4" w:space="0" w:color="auto"/>
              <w:right w:val="single" w:sz="4" w:space="0" w:color="auto"/>
            </w:tcBorders>
            <w:hideMark/>
          </w:tcPr>
          <w:p w14:paraId="2980D267" w14:textId="77777777" w:rsidR="00B81F7B" w:rsidRPr="00BB6660" w:rsidRDefault="00B81F7B" w:rsidP="00BB6660">
            <w:pPr>
              <w:jc w:val="both"/>
              <w:rPr>
                <w:rFonts w:cstheme="minorHAnsi"/>
                <w:sz w:val="20"/>
                <w:szCs w:val="20"/>
              </w:rPr>
            </w:pPr>
            <w:r w:rsidRPr="00BB6660">
              <w:rPr>
                <w:rFonts w:cstheme="minorHAnsi"/>
                <w:sz w:val="20"/>
                <w:szCs w:val="20"/>
              </w:rPr>
              <w:t>2.2</w:t>
            </w:r>
          </w:p>
        </w:tc>
        <w:tc>
          <w:tcPr>
            <w:tcW w:w="2835" w:type="dxa"/>
            <w:tcBorders>
              <w:top w:val="single" w:sz="4" w:space="0" w:color="auto"/>
              <w:left w:val="single" w:sz="4" w:space="0" w:color="auto"/>
              <w:bottom w:val="single" w:sz="4" w:space="0" w:color="auto"/>
              <w:right w:val="single" w:sz="4" w:space="0" w:color="auto"/>
            </w:tcBorders>
            <w:hideMark/>
          </w:tcPr>
          <w:p w14:paraId="4E147656" w14:textId="77777777" w:rsidR="00B81F7B" w:rsidRPr="00BB6660" w:rsidRDefault="00B81F7B" w:rsidP="00BB6660">
            <w:pPr>
              <w:jc w:val="both"/>
              <w:rPr>
                <w:rFonts w:cstheme="minorHAnsi"/>
                <w:sz w:val="20"/>
                <w:szCs w:val="20"/>
              </w:rPr>
            </w:pPr>
            <w:r w:rsidRPr="00BB6660">
              <w:rPr>
                <w:rFonts w:cstheme="minorHAnsi"/>
                <w:sz w:val="20"/>
                <w:szCs w:val="20"/>
              </w:rPr>
              <w:t>Minimalna zawartość cementu</w:t>
            </w:r>
          </w:p>
        </w:tc>
        <w:tc>
          <w:tcPr>
            <w:tcW w:w="3859" w:type="dxa"/>
            <w:tcBorders>
              <w:top w:val="single" w:sz="4" w:space="0" w:color="auto"/>
              <w:left w:val="single" w:sz="4" w:space="0" w:color="auto"/>
              <w:bottom w:val="single" w:sz="4" w:space="0" w:color="auto"/>
              <w:right w:val="single" w:sz="4" w:space="0" w:color="auto"/>
            </w:tcBorders>
            <w:hideMark/>
          </w:tcPr>
          <w:p w14:paraId="020C8E93" w14:textId="77777777" w:rsidR="00B81F7B" w:rsidRPr="00BB6660" w:rsidRDefault="00B81F7B" w:rsidP="00BB6660">
            <w:pPr>
              <w:jc w:val="both"/>
              <w:rPr>
                <w:rFonts w:cstheme="minorHAnsi"/>
                <w:sz w:val="20"/>
                <w:szCs w:val="20"/>
              </w:rPr>
            </w:pPr>
            <w:r w:rsidRPr="00BB6660">
              <w:rPr>
                <w:rFonts w:cstheme="minorHAnsi"/>
                <w:sz w:val="20"/>
                <w:szCs w:val="20"/>
              </w:rPr>
              <w:t>wg tablicy 3</w:t>
            </w:r>
          </w:p>
        </w:tc>
      </w:tr>
      <w:tr w:rsidR="00B81F7B" w:rsidRPr="00BB6660" w14:paraId="45EC4A81" w14:textId="77777777">
        <w:tc>
          <w:tcPr>
            <w:tcW w:w="817" w:type="dxa"/>
            <w:tcBorders>
              <w:top w:val="single" w:sz="4" w:space="0" w:color="auto"/>
              <w:left w:val="single" w:sz="4" w:space="0" w:color="auto"/>
              <w:bottom w:val="single" w:sz="4" w:space="0" w:color="auto"/>
              <w:right w:val="single" w:sz="4" w:space="0" w:color="auto"/>
            </w:tcBorders>
            <w:hideMark/>
          </w:tcPr>
          <w:p w14:paraId="6DF4BD9F" w14:textId="77777777" w:rsidR="00B81F7B" w:rsidRPr="00BB6660" w:rsidRDefault="00B81F7B" w:rsidP="00BB6660">
            <w:pPr>
              <w:jc w:val="both"/>
              <w:rPr>
                <w:rFonts w:cstheme="minorHAnsi"/>
                <w:sz w:val="20"/>
                <w:szCs w:val="20"/>
              </w:rPr>
            </w:pPr>
            <w:r w:rsidRPr="00BB6660">
              <w:rPr>
                <w:rFonts w:cstheme="minorHAnsi"/>
                <w:sz w:val="20"/>
                <w:szCs w:val="20"/>
              </w:rPr>
              <w:t>2.3</w:t>
            </w:r>
          </w:p>
        </w:tc>
        <w:tc>
          <w:tcPr>
            <w:tcW w:w="2835" w:type="dxa"/>
            <w:tcBorders>
              <w:top w:val="single" w:sz="4" w:space="0" w:color="auto"/>
              <w:left w:val="single" w:sz="4" w:space="0" w:color="auto"/>
              <w:bottom w:val="single" w:sz="4" w:space="0" w:color="auto"/>
              <w:right w:val="single" w:sz="4" w:space="0" w:color="auto"/>
            </w:tcBorders>
            <w:hideMark/>
          </w:tcPr>
          <w:p w14:paraId="611B7026" w14:textId="77777777" w:rsidR="00B81F7B" w:rsidRPr="00BB6660" w:rsidRDefault="00B81F7B" w:rsidP="00BB6660">
            <w:pPr>
              <w:jc w:val="both"/>
              <w:rPr>
                <w:rFonts w:cstheme="minorHAnsi"/>
                <w:sz w:val="20"/>
                <w:szCs w:val="20"/>
              </w:rPr>
            </w:pPr>
            <w:r w:rsidRPr="00BB6660">
              <w:rPr>
                <w:rFonts w:cstheme="minorHAnsi"/>
                <w:sz w:val="20"/>
                <w:szCs w:val="20"/>
              </w:rPr>
              <w:t>Zawartość wody</w:t>
            </w:r>
          </w:p>
        </w:tc>
        <w:tc>
          <w:tcPr>
            <w:tcW w:w="3859" w:type="dxa"/>
            <w:tcBorders>
              <w:top w:val="single" w:sz="4" w:space="0" w:color="auto"/>
              <w:left w:val="single" w:sz="4" w:space="0" w:color="auto"/>
              <w:bottom w:val="single" w:sz="4" w:space="0" w:color="auto"/>
              <w:right w:val="single" w:sz="4" w:space="0" w:color="auto"/>
            </w:tcBorders>
            <w:hideMark/>
          </w:tcPr>
          <w:p w14:paraId="74AA5784" w14:textId="77777777" w:rsidR="00B81F7B" w:rsidRPr="00BB6660" w:rsidRDefault="00B81F7B" w:rsidP="00BB6660">
            <w:pPr>
              <w:jc w:val="both"/>
              <w:rPr>
                <w:rFonts w:cstheme="minorHAnsi"/>
                <w:sz w:val="20"/>
                <w:szCs w:val="20"/>
              </w:rPr>
            </w:pPr>
            <w:r w:rsidRPr="00BB6660">
              <w:rPr>
                <w:rFonts w:cstheme="minorHAnsi"/>
                <w:sz w:val="20"/>
                <w:szCs w:val="20"/>
              </w:rPr>
              <w:t>wg projektu mieszanki</w:t>
            </w:r>
          </w:p>
        </w:tc>
      </w:tr>
      <w:tr w:rsidR="00B81F7B" w:rsidRPr="00BB6660" w14:paraId="0D1A325D" w14:textId="77777777">
        <w:tc>
          <w:tcPr>
            <w:tcW w:w="817" w:type="dxa"/>
            <w:tcBorders>
              <w:top w:val="single" w:sz="4" w:space="0" w:color="auto"/>
              <w:left w:val="single" w:sz="4" w:space="0" w:color="auto"/>
              <w:bottom w:val="single" w:sz="4" w:space="0" w:color="auto"/>
              <w:right w:val="single" w:sz="4" w:space="0" w:color="auto"/>
            </w:tcBorders>
            <w:hideMark/>
          </w:tcPr>
          <w:p w14:paraId="14F311E7" w14:textId="77777777" w:rsidR="00B81F7B" w:rsidRPr="00BB6660" w:rsidRDefault="00B81F7B" w:rsidP="00BB6660">
            <w:pPr>
              <w:jc w:val="both"/>
              <w:rPr>
                <w:rFonts w:cstheme="minorHAnsi"/>
                <w:sz w:val="20"/>
                <w:szCs w:val="20"/>
              </w:rPr>
            </w:pPr>
            <w:r w:rsidRPr="00BB6660">
              <w:rPr>
                <w:rFonts w:cstheme="minorHAnsi"/>
                <w:sz w:val="20"/>
                <w:szCs w:val="20"/>
              </w:rPr>
              <w:t>2.4</w:t>
            </w:r>
          </w:p>
        </w:tc>
        <w:tc>
          <w:tcPr>
            <w:tcW w:w="2835" w:type="dxa"/>
            <w:tcBorders>
              <w:top w:val="single" w:sz="4" w:space="0" w:color="auto"/>
              <w:left w:val="single" w:sz="4" w:space="0" w:color="auto"/>
              <w:bottom w:val="single" w:sz="4" w:space="0" w:color="auto"/>
              <w:right w:val="single" w:sz="4" w:space="0" w:color="auto"/>
            </w:tcBorders>
            <w:hideMark/>
          </w:tcPr>
          <w:p w14:paraId="4C0298FE" w14:textId="77777777" w:rsidR="00B81F7B" w:rsidRPr="00BB6660" w:rsidRDefault="00B81F7B" w:rsidP="00BB6660">
            <w:pPr>
              <w:jc w:val="both"/>
              <w:rPr>
                <w:rFonts w:cstheme="minorHAnsi"/>
                <w:sz w:val="20"/>
                <w:szCs w:val="20"/>
              </w:rPr>
            </w:pPr>
            <w:r w:rsidRPr="00BB6660">
              <w:rPr>
                <w:rFonts w:cstheme="minorHAnsi"/>
                <w:sz w:val="20"/>
                <w:szCs w:val="20"/>
              </w:rPr>
              <w:t>Mrozoodporność</w:t>
            </w:r>
          </w:p>
        </w:tc>
        <w:tc>
          <w:tcPr>
            <w:tcW w:w="3859" w:type="dxa"/>
            <w:tcBorders>
              <w:top w:val="single" w:sz="4" w:space="0" w:color="auto"/>
              <w:left w:val="single" w:sz="4" w:space="0" w:color="auto"/>
              <w:bottom w:val="single" w:sz="4" w:space="0" w:color="auto"/>
              <w:right w:val="single" w:sz="4" w:space="0" w:color="auto"/>
            </w:tcBorders>
            <w:hideMark/>
          </w:tcPr>
          <w:p w14:paraId="1AB42C75" w14:textId="77777777" w:rsidR="00B81F7B" w:rsidRPr="00BB6660" w:rsidRDefault="00B81F7B" w:rsidP="00BB6660">
            <w:pPr>
              <w:jc w:val="both"/>
              <w:rPr>
                <w:rFonts w:cstheme="minorHAnsi"/>
                <w:sz w:val="20"/>
                <w:szCs w:val="20"/>
              </w:rPr>
            </w:pPr>
            <w:r w:rsidRPr="00BB6660">
              <w:rPr>
                <w:rFonts w:cstheme="minorHAnsi"/>
                <w:sz w:val="20"/>
                <w:szCs w:val="20"/>
              </w:rPr>
              <w:t>≥ 0,7</w:t>
            </w:r>
          </w:p>
        </w:tc>
      </w:tr>
    </w:tbl>
    <w:p w14:paraId="410AD38E" w14:textId="77777777" w:rsidR="00B81F7B" w:rsidRPr="00BB6660" w:rsidRDefault="00B81F7B" w:rsidP="00BB6660">
      <w:pPr>
        <w:pStyle w:val="Nagwek2"/>
        <w:rPr>
          <w:rFonts w:asciiTheme="minorHAnsi" w:hAnsiTheme="minorHAnsi" w:cstheme="minorHAnsi"/>
          <w:sz w:val="20"/>
        </w:rPr>
      </w:pPr>
      <w:bookmarkStart w:id="3076" w:name="_Toc227825405"/>
      <w:r w:rsidRPr="00BB6660">
        <w:rPr>
          <w:rFonts w:asciiTheme="minorHAnsi" w:hAnsiTheme="minorHAnsi" w:cstheme="minorHAnsi"/>
          <w:sz w:val="20"/>
        </w:rPr>
        <w:t>5.5. Warunki przystąpienia do robót i przygotowanie podłoża</w:t>
      </w:r>
      <w:bookmarkEnd w:id="3076"/>
    </w:p>
    <w:p w14:paraId="5762CA26" w14:textId="77777777" w:rsidR="00B81F7B" w:rsidRPr="00BB6660" w:rsidRDefault="00B81F7B" w:rsidP="00BB6660">
      <w:pPr>
        <w:jc w:val="both"/>
        <w:rPr>
          <w:rFonts w:cstheme="minorHAnsi"/>
          <w:sz w:val="20"/>
          <w:szCs w:val="20"/>
        </w:rPr>
      </w:pPr>
      <w:r w:rsidRPr="00BB6660">
        <w:rPr>
          <w:rFonts w:cstheme="minorHAnsi"/>
          <w:sz w:val="20"/>
          <w:szCs w:val="20"/>
        </w:rPr>
        <w:tab/>
        <w:t>Podbudowa z mieszanek związanych cementem nie powinny być wykonywane, gdy temperatura powietrza jest niższa od +5</w:t>
      </w:r>
      <w:r w:rsidRPr="00BB6660">
        <w:rPr>
          <w:rFonts w:cstheme="minorHAnsi"/>
          <w:sz w:val="20"/>
          <w:szCs w:val="20"/>
          <w:vertAlign w:val="superscript"/>
        </w:rPr>
        <w:t>o</w:t>
      </w:r>
      <w:r w:rsidRPr="00BB6660">
        <w:rPr>
          <w:rFonts w:cstheme="minorHAnsi"/>
          <w:sz w:val="20"/>
          <w:szCs w:val="20"/>
        </w:rPr>
        <w:t>C oraz gdy podłoże jest zamarznięte.</w:t>
      </w:r>
    </w:p>
    <w:p w14:paraId="03F1EC4D" w14:textId="4DA637FD" w:rsidR="00B81F7B" w:rsidRPr="00BB6660" w:rsidRDefault="00B81F7B" w:rsidP="00BB6660">
      <w:pPr>
        <w:jc w:val="both"/>
        <w:rPr>
          <w:rFonts w:cstheme="minorHAnsi"/>
          <w:sz w:val="20"/>
          <w:szCs w:val="20"/>
        </w:rPr>
      </w:pPr>
      <w:r w:rsidRPr="00BB6660">
        <w:rPr>
          <w:rFonts w:cstheme="minorHAnsi"/>
          <w:sz w:val="20"/>
          <w:szCs w:val="20"/>
        </w:rPr>
        <w:tab/>
        <w:t xml:space="preserve">Podłoże pod mieszankę powinno być przygotowane zgodnie z wymaganiami określonymi </w:t>
      </w:r>
      <w:r w:rsidR="004F465D">
        <w:rPr>
          <w:rFonts w:cstheme="minorHAnsi"/>
          <w:sz w:val="20"/>
          <w:szCs w:val="20"/>
        </w:rPr>
        <w:br/>
      </w:r>
      <w:r w:rsidRPr="00BB6660">
        <w:rPr>
          <w:rFonts w:cstheme="minorHAnsi"/>
          <w:sz w:val="20"/>
          <w:szCs w:val="20"/>
        </w:rPr>
        <w:t xml:space="preserve">w dokumentacji projektowej i ST. Zaleca się do korzystania z ustaleń podanych w SST D-04.01.01 „Koryto wraz </w:t>
      </w:r>
      <w:r w:rsidR="004F465D">
        <w:rPr>
          <w:rFonts w:cstheme="minorHAnsi"/>
          <w:sz w:val="20"/>
          <w:szCs w:val="20"/>
        </w:rPr>
        <w:br/>
      </w:r>
      <w:r w:rsidRPr="00BB6660">
        <w:rPr>
          <w:rFonts w:cstheme="minorHAnsi"/>
          <w:sz w:val="20"/>
          <w:szCs w:val="20"/>
        </w:rPr>
        <w:t>z profilowaniem i zagęszczeniem podłoża” [4] i SST D-02.00.00 „Roboty ziemne” [3].</w:t>
      </w:r>
    </w:p>
    <w:p w14:paraId="7302E6F0" w14:textId="77777777" w:rsidR="00B81F7B" w:rsidRPr="00BB6660" w:rsidRDefault="00B81F7B" w:rsidP="00BB6660">
      <w:pPr>
        <w:pStyle w:val="Nagwek2"/>
        <w:rPr>
          <w:rFonts w:asciiTheme="minorHAnsi" w:hAnsiTheme="minorHAnsi" w:cstheme="minorHAnsi"/>
          <w:sz w:val="20"/>
        </w:rPr>
      </w:pPr>
      <w:bookmarkStart w:id="3077" w:name="_Toc227825406"/>
      <w:r w:rsidRPr="00BB6660">
        <w:rPr>
          <w:rFonts w:asciiTheme="minorHAnsi" w:hAnsiTheme="minorHAnsi" w:cstheme="minorHAnsi"/>
          <w:sz w:val="20"/>
        </w:rPr>
        <w:t>5.7. Wytwarzanie i wbudowanie mieszanki</w:t>
      </w:r>
      <w:bookmarkEnd w:id="3077"/>
    </w:p>
    <w:p w14:paraId="51628264" w14:textId="7F153493" w:rsidR="00B81F7B" w:rsidRPr="00BB6660" w:rsidRDefault="00B81F7B" w:rsidP="00BB6660">
      <w:pPr>
        <w:jc w:val="both"/>
        <w:rPr>
          <w:rFonts w:cstheme="minorHAnsi"/>
          <w:sz w:val="20"/>
          <w:szCs w:val="20"/>
        </w:rPr>
      </w:pPr>
      <w:r w:rsidRPr="00BB6660">
        <w:rPr>
          <w:rFonts w:cstheme="minorHAnsi"/>
          <w:sz w:val="20"/>
          <w:szCs w:val="20"/>
        </w:rPr>
        <w:tab/>
        <w:t xml:space="preserve">Mieszankę kruszywa związanego cementem o ściśle określonym składzie zawartym w recepcie laboratoryjnej należy wytwarzać </w:t>
      </w:r>
      <w:r w:rsidR="004F465D" w:rsidRPr="00BB6660">
        <w:rPr>
          <w:rFonts w:cstheme="minorHAnsi"/>
          <w:sz w:val="20"/>
          <w:szCs w:val="20"/>
        </w:rPr>
        <w:t>w wytwórniach</w:t>
      </w:r>
      <w:r w:rsidRPr="00BB6660">
        <w:rPr>
          <w:rFonts w:cstheme="minorHAnsi"/>
          <w:sz w:val="20"/>
          <w:szCs w:val="20"/>
        </w:rPr>
        <w:t xml:space="preserve"> (mieszarkach) stacjonarnych lub mobilnych zapewniających ciągłość produkcji i gwarantujących otrzymanie jednorodnej mieszanki. Mieszarka powinna być wyposażona </w:t>
      </w:r>
      <w:r w:rsidR="004F465D">
        <w:rPr>
          <w:rFonts w:cstheme="minorHAnsi"/>
          <w:sz w:val="20"/>
          <w:szCs w:val="20"/>
        </w:rPr>
        <w:br/>
      </w:r>
      <w:r w:rsidRPr="00BB6660">
        <w:rPr>
          <w:rFonts w:cstheme="minorHAnsi"/>
          <w:sz w:val="20"/>
          <w:szCs w:val="20"/>
        </w:rPr>
        <w:t>w urządzenia do wagowego dozowania kruszywa i cementu oraz objętościowego dozowania wody.</w:t>
      </w:r>
    </w:p>
    <w:p w14:paraId="4B31243F" w14:textId="77777777" w:rsidR="00B81F7B" w:rsidRPr="00BB6660" w:rsidRDefault="00B81F7B" w:rsidP="00BB6660">
      <w:pPr>
        <w:jc w:val="both"/>
        <w:rPr>
          <w:rFonts w:cstheme="minorHAnsi"/>
          <w:sz w:val="20"/>
          <w:szCs w:val="20"/>
        </w:rPr>
      </w:pPr>
      <w:r w:rsidRPr="00BB6660">
        <w:rPr>
          <w:rFonts w:cstheme="minorHAnsi"/>
          <w:sz w:val="20"/>
          <w:szCs w:val="20"/>
        </w:rPr>
        <w:tab/>
        <w:t>Przy produkcji mieszanek należy prowadzić kontrolę produkcji zgodnie z WT-5 [25] część 5.</w:t>
      </w:r>
    </w:p>
    <w:p w14:paraId="374870A2" w14:textId="3E634982" w:rsidR="00B81F7B" w:rsidRPr="00BB6660" w:rsidRDefault="00B81F7B" w:rsidP="00BB6660">
      <w:pPr>
        <w:jc w:val="both"/>
        <w:rPr>
          <w:rFonts w:cstheme="minorHAnsi"/>
          <w:sz w:val="20"/>
          <w:szCs w:val="20"/>
        </w:rPr>
      </w:pPr>
      <w:r w:rsidRPr="00BB6660">
        <w:rPr>
          <w:rFonts w:cstheme="minorHAnsi"/>
          <w:sz w:val="20"/>
          <w:szCs w:val="20"/>
        </w:rPr>
        <w:tab/>
        <w:t xml:space="preserve">Mieszanka po wyprodukowaniu powinna być od razu transportowana na miejsce wbudowania, </w:t>
      </w:r>
      <w:r w:rsidR="004F465D">
        <w:rPr>
          <w:rFonts w:cstheme="minorHAnsi"/>
          <w:sz w:val="20"/>
          <w:szCs w:val="20"/>
        </w:rPr>
        <w:br/>
      </w:r>
      <w:r w:rsidRPr="00BB6660">
        <w:rPr>
          <w:rFonts w:cstheme="minorHAnsi"/>
          <w:sz w:val="20"/>
          <w:szCs w:val="20"/>
        </w:rPr>
        <w:t>w sposób zabezpieczony przed segregacją i nadmiernym wysychaniem.</w:t>
      </w:r>
    </w:p>
    <w:p w14:paraId="7115D855" w14:textId="7854F59D" w:rsidR="00B81F7B" w:rsidRPr="00BB6660" w:rsidRDefault="00B81F7B" w:rsidP="00BB6660">
      <w:pPr>
        <w:jc w:val="both"/>
        <w:rPr>
          <w:rFonts w:cstheme="minorHAnsi"/>
          <w:sz w:val="20"/>
          <w:szCs w:val="20"/>
        </w:rPr>
      </w:pPr>
      <w:r w:rsidRPr="00BB6660">
        <w:rPr>
          <w:rFonts w:cstheme="minorHAnsi"/>
          <w:sz w:val="20"/>
          <w:szCs w:val="20"/>
        </w:rPr>
        <w:tab/>
        <w:t xml:space="preserve">Przed zagęszczeniem warstwa powinna być wyprofilowana do wymaganych rzędnych, spadków podłużnych i poprzecznych. Natychmiast po wyprofilowaniu mieszanki należy rozpocząć jej zagęszczanie, które należy kontynuować do osiągnięcia wskaźnika zagęszczenia nie mniejszego od 0,98 maksymalnego zagęszczenia określonego według normalnej próby Proctora. Zagęszczenie powinno być zakończone przed rozpoczęciem czasu wiązania cementu. Specjalną uwagę należy poświęcić zagęszczeniu mieszanki w sąsiedztwie spoin roboczych podłużnych i poprzecznych oraz wszelkich urządzeń obcych. Zaleca </w:t>
      </w:r>
      <w:r w:rsidR="004F465D" w:rsidRPr="00BB6660">
        <w:rPr>
          <w:rFonts w:cstheme="minorHAnsi"/>
          <w:sz w:val="20"/>
          <w:szCs w:val="20"/>
        </w:rPr>
        <w:t>się,</w:t>
      </w:r>
      <w:r w:rsidRPr="00BB6660">
        <w:rPr>
          <w:rFonts w:cstheme="minorHAnsi"/>
          <w:sz w:val="20"/>
          <w:szCs w:val="20"/>
        </w:rPr>
        <w:t xml:space="preserve"> aby Wykonawca organizował roboty </w:t>
      </w:r>
      <w:r w:rsidR="004F465D">
        <w:rPr>
          <w:rFonts w:cstheme="minorHAnsi"/>
          <w:sz w:val="20"/>
          <w:szCs w:val="20"/>
        </w:rPr>
        <w:br/>
      </w:r>
      <w:r w:rsidRPr="00BB6660">
        <w:rPr>
          <w:rFonts w:cstheme="minorHAnsi"/>
          <w:sz w:val="20"/>
          <w:szCs w:val="20"/>
        </w:rPr>
        <w:t xml:space="preserve">w sposób unikający podłużnych spoin roboczych.  Jeśli jednak w dolnej warstwie podbudowy występują spoiny </w:t>
      </w:r>
      <w:r w:rsidRPr="00BB6660">
        <w:rPr>
          <w:rFonts w:cstheme="minorHAnsi"/>
          <w:sz w:val="20"/>
          <w:szCs w:val="20"/>
        </w:rPr>
        <w:lastRenderedPageBreak/>
        <w:t>robocze, to spoiny w górnej warstwie podbudowy powinny być względem nich przesunięte o co najmniej 30 cm dla spoiny podłużnej i 1 m dla spoiny poprzecznej.</w:t>
      </w:r>
    </w:p>
    <w:p w14:paraId="6E191AC7" w14:textId="77777777" w:rsidR="00B81F7B" w:rsidRPr="00BB6660" w:rsidRDefault="00B81F7B" w:rsidP="00BB6660">
      <w:pPr>
        <w:jc w:val="both"/>
        <w:rPr>
          <w:rFonts w:cstheme="minorHAnsi"/>
          <w:sz w:val="20"/>
          <w:szCs w:val="20"/>
        </w:rPr>
      </w:pPr>
      <w:r w:rsidRPr="00BB6660">
        <w:rPr>
          <w:rFonts w:cstheme="minorHAnsi"/>
          <w:sz w:val="20"/>
          <w:szCs w:val="20"/>
        </w:rPr>
        <w:tab/>
        <w:t>Jeśli dokumentacja projektowa nie przewiduje wykonanie szczelin pozornych w podbudowie, to zaleca się je wykonać przez wycięcie szczelin np. grubości 3÷5 mm na głębokość około 1/3 jej grubości w początkowej fazie twardnienia betonu, tak aby powierzchnia podbudowy była podzielona na kwadratowe lub prostokątne płyty.</w:t>
      </w:r>
    </w:p>
    <w:p w14:paraId="542545B1" w14:textId="77777777" w:rsidR="00B81F7B" w:rsidRPr="00BB6660" w:rsidRDefault="00B81F7B" w:rsidP="00BB6660">
      <w:pPr>
        <w:pStyle w:val="Nagwek2"/>
        <w:rPr>
          <w:rFonts w:asciiTheme="minorHAnsi" w:hAnsiTheme="minorHAnsi" w:cstheme="minorHAnsi"/>
          <w:sz w:val="20"/>
        </w:rPr>
      </w:pPr>
      <w:bookmarkStart w:id="3078" w:name="_Toc227825407"/>
      <w:r w:rsidRPr="00BB6660">
        <w:rPr>
          <w:rFonts w:asciiTheme="minorHAnsi" w:hAnsiTheme="minorHAnsi" w:cstheme="minorHAnsi"/>
          <w:sz w:val="20"/>
        </w:rPr>
        <w:t>5.8. Pielęgnacja warstwy kruszywa związanego cementem</w:t>
      </w:r>
      <w:bookmarkEnd w:id="3078"/>
    </w:p>
    <w:p w14:paraId="34EF8BD1" w14:textId="77777777" w:rsidR="00B81F7B" w:rsidRPr="00BB6660" w:rsidRDefault="00B81F7B" w:rsidP="00BB6660">
      <w:pPr>
        <w:jc w:val="both"/>
        <w:rPr>
          <w:rFonts w:cstheme="minorHAnsi"/>
          <w:sz w:val="20"/>
          <w:szCs w:val="20"/>
        </w:rPr>
      </w:pPr>
      <w:r w:rsidRPr="00BB6660">
        <w:rPr>
          <w:rFonts w:cstheme="minorHAnsi"/>
          <w:sz w:val="20"/>
          <w:szCs w:val="20"/>
        </w:rPr>
        <w:tab/>
        <w:t>Warstwa kruszywa związanego cementem powinna być natychmiast po zagęszczeniu poddana pielęgnacji według jednego z następujących sposobów:</w:t>
      </w:r>
    </w:p>
    <w:p w14:paraId="64D395B5" w14:textId="77777777" w:rsidR="00B81F7B" w:rsidRPr="00BB6660" w:rsidRDefault="00B81F7B">
      <w:pPr>
        <w:numPr>
          <w:ilvl w:val="0"/>
          <w:numId w:val="175"/>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przykryciem na okres 7 do 10 dni nieprzepuszczalną folią z tworzywa sztucznego, ułożoną na zakład co najmniej 30 cm i zabezpieczoną przed zerwaniem przez wiatr,</w:t>
      </w:r>
    </w:p>
    <w:p w14:paraId="24233738" w14:textId="77777777" w:rsidR="00B81F7B" w:rsidRPr="00BB6660" w:rsidRDefault="00B81F7B">
      <w:pPr>
        <w:numPr>
          <w:ilvl w:val="0"/>
          <w:numId w:val="175"/>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przykryciem matami lub włókninami i spryskanie wodą przez okres 7÷10 dni,</w:t>
      </w:r>
    </w:p>
    <w:p w14:paraId="760A197C" w14:textId="77777777" w:rsidR="00B81F7B" w:rsidRPr="00BB6660" w:rsidRDefault="00B81F7B">
      <w:pPr>
        <w:numPr>
          <w:ilvl w:val="0"/>
          <w:numId w:val="175"/>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przykryciem warstwą piasku i utrzymanie jej w stanie wilgotnym przez okres 7÷10 dni,</w:t>
      </w:r>
    </w:p>
    <w:p w14:paraId="7C80A873" w14:textId="77777777" w:rsidR="00B81F7B" w:rsidRPr="00BB6660" w:rsidRDefault="00B81F7B">
      <w:pPr>
        <w:numPr>
          <w:ilvl w:val="0"/>
          <w:numId w:val="175"/>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innymi środkami zaakceptowanymi przez Inżyniera.</w:t>
      </w:r>
    </w:p>
    <w:p w14:paraId="6ECB2E19" w14:textId="77777777" w:rsidR="00B81F7B" w:rsidRPr="00BB6660" w:rsidRDefault="00B81F7B" w:rsidP="00BB6660">
      <w:pPr>
        <w:ind w:firstLine="709"/>
        <w:jc w:val="both"/>
        <w:rPr>
          <w:rFonts w:cstheme="minorHAnsi"/>
          <w:sz w:val="20"/>
          <w:szCs w:val="20"/>
        </w:rPr>
      </w:pPr>
      <w:r w:rsidRPr="00BB6660">
        <w:rPr>
          <w:rFonts w:cstheme="minorHAnsi"/>
          <w:sz w:val="20"/>
          <w:szCs w:val="20"/>
        </w:rPr>
        <w:t>Nie należy dopuszczać ruchu pojazdów i maszyn po warstwie kruszywa związanej cementem w okresie od 7 do 10 dni pielęgnacji, a po tym okresie ruch technologiczny może odbywać się wyłącznie za zgodą Inżyniera.</w:t>
      </w:r>
    </w:p>
    <w:p w14:paraId="03B46BB3" w14:textId="77777777" w:rsidR="00B81F7B" w:rsidRPr="00BB6660" w:rsidRDefault="00B81F7B" w:rsidP="00BB6660">
      <w:pPr>
        <w:pStyle w:val="Nagwek2"/>
        <w:rPr>
          <w:rFonts w:asciiTheme="minorHAnsi" w:hAnsiTheme="minorHAnsi" w:cstheme="minorHAnsi"/>
          <w:sz w:val="20"/>
        </w:rPr>
      </w:pPr>
      <w:bookmarkStart w:id="3079" w:name="_Toc227825408"/>
      <w:r w:rsidRPr="00BB6660">
        <w:rPr>
          <w:rFonts w:asciiTheme="minorHAnsi" w:hAnsiTheme="minorHAnsi" w:cstheme="minorHAnsi"/>
          <w:sz w:val="20"/>
        </w:rPr>
        <w:t>5.9. Roboty wykończeniowe</w:t>
      </w:r>
      <w:bookmarkEnd w:id="3079"/>
    </w:p>
    <w:p w14:paraId="3B9453D2" w14:textId="6330CFF0" w:rsidR="00B81F7B" w:rsidRPr="00BB6660" w:rsidRDefault="00B81F7B" w:rsidP="00BB6660">
      <w:pPr>
        <w:ind w:firstLine="709"/>
        <w:jc w:val="both"/>
        <w:rPr>
          <w:rFonts w:cstheme="minorHAnsi"/>
          <w:sz w:val="20"/>
          <w:szCs w:val="20"/>
        </w:rPr>
      </w:pPr>
      <w:r w:rsidRPr="00BB6660">
        <w:rPr>
          <w:rFonts w:cstheme="minorHAnsi"/>
          <w:sz w:val="20"/>
          <w:szCs w:val="20"/>
        </w:rPr>
        <w:t xml:space="preserve">Roboty wykończeniowe, zgodne z dokumentacją projektową, ST, dokumentacją wiaty i wskazaniami Inżyniera dotyczą prac związanych z dostosowaniem </w:t>
      </w:r>
      <w:r w:rsidR="004F465D" w:rsidRPr="00BB6660">
        <w:rPr>
          <w:rFonts w:cstheme="minorHAnsi"/>
          <w:sz w:val="20"/>
          <w:szCs w:val="20"/>
        </w:rPr>
        <w:t>wykonanych robót</w:t>
      </w:r>
      <w:r w:rsidRPr="00BB6660">
        <w:rPr>
          <w:rFonts w:cstheme="minorHAnsi"/>
          <w:sz w:val="20"/>
          <w:szCs w:val="20"/>
        </w:rPr>
        <w:t xml:space="preserve"> do istniejących warunków terenowych, takie jak:</w:t>
      </w:r>
    </w:p>
    <w:p w14:paraId="4460760E" w14:textId="77777777" w:rsidR="00B81F7B" w:rsidRPr="00BB6660" w:rsidRDefault="00B81F7B">
      <w:pPr>
        <w:numPr>
          <w:ilvl w:val="0"/>
          <w:numId w:val="176"/>
        </w:numPr>
        <w:tabs>
          <w:tab w:val="num" w:pos="284"/>
        </w:tabs>
        <w:overflowPunct w:val="0"/>
        <w:autoSpaceDE w:val="0"/>
        <w:autoSpaceDN w:val="0"/>
        <w:adjustRightInd w:val="0"/>
        <w:spacing w:after="0" w:line="240" w:lineRule="auto"/>
        <w:ind w:left="284" w:hanging="284"/>
        <w:jc w:val="both"/>
        <w:rPr>
          <w:rFonts w:cstheme="minorHAnsi"/>
          <w:sz w:val="20"/>
          <w:szCs w:val="20"/>
        </w:rPr>
      </w:pPr>
      <w:r w:rsidRPr="00BB6660">
        <w:rPr>
          <w:rFonts w:cstheme="minorHAnsi"/>
          <w:sz w:val="20"/>
          <w:szCs w:val="20"/>
        </w:rPr>
        <w:t>odtworzenie przeszkód czasowo usuniętych,</w:t>
      </w:r>
    </w:p>
    <w:p w14:paraId="439DDDF6" w14:textId="77777777" w:rsidR="00B81F7B" w:rsidRPr="00BB6660" w:rsidRDefault="00B81F7B">
      <w:pPr>
        <w:numPr>
          <w:ilvl w:val="0"/>
          <w:numId w:val="177"/>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uzupełnienie zniszczonych w czasie robót istniejących elementów drogowych lub terenowych,</w:t>
      </w:r>
    </w:p>
    <w:p w14:paraId="1A590F45"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roboty porządkujące otoczenie terenu robót,</w:t>
      </w:r>
    </w:p>
    <w:p w14:paraId="65AB88EE"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usunięcie oznakowania drogi wprowadzonego na okres robót.</w:t>
      </w:r>
    </w:p>
    <w:p w14:paraId="00B0FB84" w14:textId="77777777" w:rsidR="00B81F7B" w:rsidRPr="00BB6660" w:rsidRDefault="00B81F7B" w:rsidP="00BB6660">
      <w:pPr>
        <w:pStyle w:val="Nagwek1"/>
        <w:rPr>
          <w:rFonts w:asciiTheme="minorHAnsi" w:hAnsiTheme="minorHAnsi" w:cstheme="minorHAnsi"/>
          <w:sz w:val="20"/>
        </w:rPr>
      </w:pPr>
      <w:bookmarkStart w:id="3080" w:name="_Toc216843088"/>
      <w:bookmarkStart w:id="3081" w:name="_Toc257193991"/>
      <w:bookmarkStart w:id="3082" w:name="_Toc284409958"/>
      <w:bookmarkStart w:id="3083" w:name="_Toc295205110"/>
      <w:bookmarkStart w:id="3084" w:name="_Toc332010316"/>
      <w:bookmarkStart w:id="3085" w:name="_Toc227825409"/>
      <w:r w:rsidRPr="00BB6660">
        <w:rPr>
          <w:rFonts w:asciiTheme="minorHAnsi" w:hAnsiTheme="minorHAnsi" w:cstheme="minorHAnsi"/>
          <w:sz w:val="20"/>
        </w:rPr>
        <w:t xml:space="preserve">6. </w:t>
      </w:r>
      <w:bookmarkEnd w:id="3080"/>
      <w:bookmarkEnd w:id="3081"/>
      <w:bookmarkEnd w:id="3082"/>
      <w:bookmarkEnd w:id="3083"/>
      <w:r w:rsidRPr="00BB6660">
        <w:rPr>
          <w:rFonts w:asciiTheme="minorHAnsi" w:hAnsiTheme="minorHAnsi" w:cstheme="minorHAnsi"/>
          <w:sz w:val="20"/>
        </w:rPr>
        <w:t>KONTROLA JAKOŚCI ROBÓT</w:t>
      </w:r>
      <w:bookmarkEnd w:id="3084"/>
      <w:bookmarkEnd w:id="3085"/>
    </w:p>
    <w:p w14:paraId="20AD9D65" w14:textId="77777777" w:rsidR="00B81F7B" w:rsidRPr="00BB6660" w:rsidRDefault="00B81F7B" w:rsidP="00BB6660">
      <w:pPr>
        <w:pStyle w:val="Nagwek2"/>
        <w:numPr>
          <w:ilvl w:val="12"/>
          <w:numId w:val="0"/>
        </w:numPr>
        <w:rPr>
          <w:rFonts w:asciiTheme="minorHAnsi" w:hAnsiTheme="minorHAnsi" w:cstheme="minorHAnsi"/>
          <w:sz w:val="20"/>
        </w:rPr>
      </w:pPr>
      <w:bookmarkStart w:id="3086" w:name="_Toc227825410"/>
      <w:r w:rsidRPr="00BB6660">
        <w:rPr>
          <w:rFonts w:asciiTheme="minorHAnsi" w:hAnsiTheme="minorHAnsi" w:cstheme="minorHAnsi"/>
          <w:sz w:val="20"/>
        </w:rPr>
        <w:t>6.1. Ogólne zasady kontroli jakości robót</w:t>
      </w:r>
      <w:bookmarkEnd w:id="3086"/>
    </w:p>
    <w:p w14:paraId="3F7BE623" w14:textId="77777777" w:rsidR="00B81F7B" w:rsidRPr="00BB6660" w:rsidRDefault="00B81F7B" w:rsidP="00BB6660">
      <w:pPr>
        <w:numPr>
          <w:ilvl w:val="12"/>
          <w:numId w:val="0"/>
        </w:numPr>
        <w:jc w:val="both"/>
        <w:rPr>
          <w:rFonts w:cstheme="minorHAnsi"/>
          <w:sz w:val="20"/>
          <w:szCs w:val="20"/>
        </w:rPr>
      </w:pPr>
      <w:r w:rsidRPr="00BB6660">
        <w:rPr>
          <w:rFonts w:cstheme="minorHAnsi"/>
          <w:sz w:val="20"/>
          <w:szCs w:val="20"/>
        </w:rPr>
        <w:tab/>
        <w:t>Ogólne zasady kontroli jakości robót podano w SST   D-00.00.00 „Wymagania ogólne” [1] pkt 6.</w:t>
      </w:r>
    </w:p>
    <w:p w14:paraId="0F38A5C5" w14:textId="77777777" w:rsidR="00B81F7B" w:rsidRPr="00BB6660" w:rsidRDefault="00B81F7B" w:rsidP="00BB6660">
      <w:pPr>
        <w:pStyle w:val="Nagwek2"/>
        <w:numPr>
          <w:ilvl w:val="12"/>
          <w:numId w:val="0"/>
        </w:numPr>
        <w:rPr>
          <w:rFonts w:asciiTheme="minorHAnsi" w:hAnsiTheme="minorHAnsi" w:cstheme="minorHAnsi"/>
          <w:sz w:val="20"/>
        </w:rPr>
      </w:pPr>
      <w:bookmarkStart w:id="3087" w:name="_Toc227825411"/>
      <w:r w:rsidRPr="00BB6660">
        <w:rPr>
          <w:rFonts w:asciiTheme="minorHAnsi" w:hAnsiTheme="minorHAnsi" w:cstheme="minorHAnsi"/>
          <w:sz w:val="20"/>
        </w:rPr>
        <w:t>6.2. Badania przed przystąpieniem do robót</w:t>
      </w:r>
      <w:bookmarkEnd w:id="3087"/>
    </w:p>
    <w:p w14:paraId="0B3C38A8" w14:textId="77777777" w:rsidR="00B81F7B" w:rsidRPr="00BB6660" w:rsidRDefault="00B81F7B" w:rsidP="00BB6660">
      <w:pPr>
        <w:numPr>
          <w:ilvl w:val="12"/>
          <w:numId w:val="0"/>
        </w:numPr>
        <w:jc w:val="both"/>
        <w:rPr>
          <w:rFonts w:cstheme="minorHAnsi"/>
          <w:sz w:val="20"/>
          <w:szCs w:val="20"/>
        </w:rPr>
      </w:pPr>
      <w:r w:rsidRPr="00BB6660">
        <w:rPr>
          <w:rFonts w:cstheme="minorHAnsi"/>
          <w:sz w:val="20"/>
          <w:szCs w:val="20"/>
        </w:rPr>
        <w:tab/>
        <w:t>Przed przystąpieniem do robót Wykonawca powinien:</w:t>
      </w:r>
    </w:p>
    <w:p w14:paraId="20564074"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27F35731"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ew. wykonać własne badania właściwości materiałów przeznaczonych do wykonania robót, określone przez Inżyniera.</w:t>
      </w:r>
    </w:p>
    <w:p w14:paraId="3D64BD5B" w14:textId="77777777" w:rsidR="00B81F7B" w:rsidRPr="00BB6660" w:rsidRDefault="00B81F7B" w:rsidP="00BB6660">
      <w:pPr>
        <w:jc w:val="both"/>
        <w:rPr>
          <w:rFonts w:cstheme="minorHAnsi"/>
          <w:sz w:val="20"/>
          <w:szCs w:val="20"/>
        </w:rPr>
      </w:pPr>
      <w:r w:rsidRPr="00BB6660">
        <w:rPr>
          <w:rFonts w:cstheme="minorHAnsi"/>
          <w:sz w:val="20"/>
          <w:szCs w:val="20"/>
        </w:rPr>
        <w:tab/>
        <w:t>Wszystkie dokumenty oraz wyniki badań Wykonawca przedstawia Inżynierowi do akceptacji.</w:t>
      </w:r>
    </w:p>
    <w:p w14:paraId="5CC11BA2" w14:textId="77777777" w:rsidR="00B81F7B" w:rsidRPr="00BB6660" w:rsidRDefault="00B81F7B" w:rsidP="00BB6660">
      <w:pPr>
        <w:pStyle w:val="Nagwek2"/>
        <w:numPr>
          <w:ilvl w:val="12"/>
          <w:numId w:val="0"/>
        </w:numPr>
        <w:rPr>
          <w:rFonts w:asciiTheme="minorHAnsi" w:hAnsiTheme="minorHAnsi" w:cstheme="minorHAnsi"/>
          <w:sz w:val="20"/>
        </w:rPr>
      </w:pPr>
      <w:bookmarkStart w:id="3088" w:name="_Toc227825412"/>
      <w:r w:rsidRPr="00BB6660">
        <w:rPr>
          <w:rFonts w:asciiTheme="minorHAnsi" w:hAnsiTheme="minorHAnsi" w:cstheme="minorHAnsi"/>
          <w:sz w:val="20"/>
        </w:rPr>
        <w:t>6.3. Badania w czasie robót</w:t>
      </w:r>
      <w:bookmarkEnd w:id="3088"/>
    </w:p>
    <w:p w14:paraId="774DEBF1" w14:textId="77777777" w:rsidR="00B81F7B" w:rsidRPr="00BB6660" w:rsidRDefault="00B81F7B" w:rsidP="00BB6660">
      <w:pPr>
        <w:numPr>
          <w:ilvl w:val="12"/>
          <w:numId w:val="0"/>
        </w:numPr>
        <w:jc w:val="both"/>
        <w:rPr>
          <w:rFonts w:cstheme="minorHAnsi"/>
          <w:sz w:val="20"/>
          <w:szCs w:val="20"/>
        </w:rPr>
      </w:pPr>
      <w:r w:rsidRPr="00BB6660">
        <w:rPr>
          <w:rFonts w:cstheme="minorHAnsi"/>
          <w:sz w:val="20"/>
          <w:szCs w:val="20"/>
        </w:rPr>
        <w:tab/>
        <w:t xml:space="preserve">Częstotliwość oraz zakres badań i pomiarów, które należy wykonać w czasie robót podaje tablica 6. </w:t>
      </w:r>
    </w:p>
    <w:p w14:paraId="03617171" w14:textId="77777777" w:rsidR="00B81F7B" w:rsidRPr="00BB6660" w:rsidRDefault="00B81F7B" w:rsidP="00BB6660">
      <w:pPr>
        <w:numPr>
          <w:ilvl w:val="12"/>
          <w:numId w:val="0"/>
        </w:numPr>
        <w:spacing w:before="120" w:after="120"/>
        <w:jc w:val="both"/>
        <w:rPr>
          <w:rFonts w:cstheme="minorHAnsi"/>
          <w:sz w:val="20"/>
          <w:szCs w:val="20"/>
        </w:rPr>
      </w:pPr>
      <w:r w:rsidRPr="00BB6660">
        <w:rPr>
          <w:rFonts w:cstheme="minorHAnsi"/>
          <w:sz w:val="20"/>
          <w:szCs w:val="20"/>
        </w:rPr>
        <w:t>Tablica 6. Częstotliwość oraz zakres badań i pomiarów w czasie robót</w:t>
      </w:r>
    </w:p>
    <w:tbl>
      <w:tblPr>
        <w:tblW w:w="75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7"/>
        <w:gridCol w:w="3121"/>
        <w:gridCol w:w="1277"/>
        <w:gridCol w:w="2695"/>
      </w:tblGrid>
      <w:tr w:rsidR="00B81F7B" w:rsidRPr="00BB6660" w14:paraId="2E16B8CF" w14:textId="77777777">
        <w:tc>
          <w:tcPr>
            <w:tcW w:w="496" w:type="dxa"/>
            <w:tcBorders>
              <w:top w:val="single" w:sz="6" w:space="0" w:color="auto"/>
              <w:left w:val="single" w:sz="6" w:space="0" w:color="auto"/>
              <w:bottom w:val="single" w:sz="4" w:space="0" w:color="auto"/>
              <w:right w:val="single" w:sz="6" w:space="0" w:color="auto"/>
            </w:tcBorders>
            <w:hideMark/>
          </w:tcPr>
          <w:p w14:paraId="4C49BD50" w14:textId="77777777" w:rsidR="00B81F7B" w:rsidRPr="00BB6660" w:rsidRDefault="00B81F7B" w:rsidP="00BB6660">
            <w:pPr>
              <w:numPr>
                <w:ilvl w:val="12"/>
                <w:numId w:val="0"/>
              </w:numPr>
              <w:spacing w:before="180" w:after="60"/>
              <w:jc w:val="both"/>
              <w:rPr>
                <w:rFonts w:cstheme="minorHAnsi"/>
                <w:sz w:val="20"/>
                <w:szCs w:val="20"/>
              </w:rPr>
            </w:pPr>
            <w:r w:rsidRPr="00BB6660">
              <w:rPr>
                <w:rFonts w:cstheme="minorHAnsi"/>
                <w:sz w:val="20"/>
                <w:szCs w:val="20"/>
              </w:rPr>
              <w:t>Lp.</w:t>
            </w:r>
          </w:p>
        </w:tc>
        <w:tc>
          <w:tcPr>
            <w:tcW w:w="3118" w:type="dxa"/>
            <w:tcBorders>
              <w:top w:val="single" w:sz="6" w:space="0" w:color="auto"/>
              <w:left w:val="single" w:sz="6" w:space="0" w:color="auto"/>
              <w:bottom w:val="single" w:sz="4" w:space="0" w:color="auto"/>
              <w:right w:val="single" w:sz="6" w:space="0" w:color="auto"/>
            </w:tcBorders>
            <w:hideMark/>
          </w:tcPr>
          <w:p w14:paraId="43F087EB" w14:textId="77777777" w:rsidR="00B81F7B" w:rsidRPr="00BB6660" w:rsidRDefault="00B81F7B" w:rsidP="00BB6660">
            <w:pPr>
              <w:numPr>
                <w:ilvl w:val="12"/>
                <w:numId w:val="0"/>
              </w:numPr>
              <w:spacing w:before="180" w:after="60"/>
              <w:jc w:val="both"/>
              <w:rPr>
                <w:rFonts w:cstheme="minorHAnsi"/>
                <w:sz w:val="20"/>
                <w:szCs w:val="20"/>
              </w:rPr>
            </w:pPr>
            <w:r w:rsidRPr="00BB6660">
              <w:rPr>
                <w:rFonts w:cstheme="minorHAnsi"/>
                <w:sz w:val="20"/>
                <w:szCs w:val="20"/>
              </w:rPr>
              <w:t>Wyszczególnienie robót</w:t>
            </w:r>
          </w:p>
        </w:tc>
        <w:tc>
          <w:tcPr>
            <w:tcW w:w="1276" w:type="dxa"/>
            <w:tcBorders>
              <w:top w:val="single" w:sz="6" w:space="0" w:color="auto"/>
              <w:left w:val="single" w:sz="6" w:space="0" w:color="auto"/>
              <w:bottom w:val="single" w:sz="4" w:space="0" w:color="auto"/>
              <w:right w:val="single" w:sz="6" w:space="0" w:color="auto"/>
            </w:tcBorders>
            <w:hideMark/>
          </w:tcPr>
          <w:p w14:paraId="7D9B24C0"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Częstotliwość badań</w:t>
            </w:r>
          </w:p>
        </w:tc>
        <w:tc>
          <w:tcPr>
            <w:tcW w:w="2693" w:type="dxa"/>
            <w:tcBorders>
              <w:top w:val="single" w:sz="6" w:space="0" w:color="auto"/>
              <w:left w:val="single" w:sz="6" w:space="0" w:color="auto"/>
              <w:bottom w:val="single" w:sz="4" w:space="0" w:color="auto"/>
              <w:right w:val="single" w:sz="6" w:space="0" w:color="auto"/>
            </w:tcBorders>
            <w:hideMark/>
          </w:tcPr>
          <w:p w14:paraId="43DDC68C" w14:textId="77777777" w:rsidR="00B81F7B" w:rsidRPr="00BB6660" w:rsidRDefault="00B81F7B" w:rsidP="00BB6660">
            <w:pPr>
              <w:numPr>
                <w:ilvl w:val="12"/>
                <w:numId w:val="0"/>
              </w:numPr>
              <w:spacing w:before="180" w:after="60"/>
              <w:jc w:val="both"/>
              <w:rPr>
                <w:rFonts w:cstheme="minorHAnsi"/>
                <w:sz w:val="20"/>
                <w:szCs w:val="20"/>
              </w:rPr>
            </w:pPr>
            <w:r w:rsidRPr="00BB6660">
              <w:rPr>
                <w:rFonts w:cstheme="minorHAnsi"/>
                <w:sz w:val="20"/>
                <w:szCs w:val="20"/>
              </w:rPr>
              <w:t>Wartości dopuszczalne</w:t>
            </w:r>
          </w:p>
        </w:tc>
      </w:tr>
      <w:tr w:rsidR="00B81F7B" w:rsidRPr="00BB6660" w14:paraId="7E89677C" w14:textId="77777777">
        <w:tc>
          <w:tcPr>
            <w:tcW w:w="496" w:type="dxa"/>
            <w:tcBorders>
              <w:top w:val="single" w:sz="4" w:space="0" w:color="auto"/>
              <w:left w:val="single" w:sz="6" w:space="0" w:color="auto"/>
              <w:bottom w:val="single" w:sz="6" w:space="0" w:color="auto"/>
              <w:right w:val="single" w:sz="6" w:space="0" w:color="auto"/>
            </w:tcBorders>
            <w:vAlign w:val="center"/>
            <w:hideMark/>
          </w:tcPr>
          <w:p w14:paraId="38BCAFC5" w14:textId="77777777" w:rsidR="00B81F7B" w:rsidRPr="00BB6660" w:rsidRDefault="00B81F7B" w:rsidP="00BB6660">
            <w:pPr>
              <w:numPr>
                <w:ilvl w:val="12"/>
                <w:numId w:val="0"/>
              </w:numPr>
              <w:jc w:val="both"/>
              <w:rPr>
                <w:rFonts w:cstheme="minorHAnsi"/>
                <w:sz w:val="20"/>
                <w:szCs w:val="20"/>
              </w:rPr>
            </w:pPr>
            <w:r w:rsidRPr="00BB6660">
              <w:rPr>
                <w:rFonts w:cstheme="minorHAnsi"/>
                <w:sz w:val="20"/>
                <w:szCs w:val="20"/>
              </w:rPr>
              <w:t>1</w:t>
            </w:r>
          </w:p>
        </w:tc>
        <w:tc>
          <w:tcPr>
            <w:tcW w:w="3118" w:type="dxa"/>
            <w:tcBorders>
              <w:top w:val="single" w:sz="4" w:space="0" w:color="auto"/>
              <w:left w:val="single" w:sz="6" w:space="0" w:color="auto"/>
              <w:bottom w:val="single" w:sz="6" w:space="0" w:color="auto"/>
              <w:right w:val="single" w:sz="6" w:space="0" w:color="auto"/>
            </w:tcBorders>
            <w:vAlign w:val="center"/>
            <w:hideMark/>
          </w:tcPr>
          <w:p w14:paraId="39AFF8DA" w14:textId="77777777" w:rsidR="00B81F7B" w:rsidRPr="00BB6660" w:rsidRDefault="00B81F7B" w:rsidP="00BB6660">
            <w:pPr>
              <w:numPr>
                <w:ilvl w:val="12"/>
                <w:numId w:val="0"/>
              </w:numPr>
              <w:jc w:val="both"/>
              <w:rPr>
                <w:rFonts w:cstheme="minorHAnsi"/>
                <w:sz w:val="20"/>
                <w:szCs w:val="20"/>
              </w:rPr>
            </w:pPr>
            <w:r w:rsidRPr="00BB6660">
              <w:rPr>
                <w:rFonts w:cstheme="minorHAnsi"/>
                <w:sz w:val="20"/>
                <w:szCs w:val="20"/>
              </w:rPr>
              <w:t>Lokalizacja i zgodność granic terenu robót z dokumentacją projektową</w:t>
            </w:r>
          </w:p>
        </w:tc>
        <w:tc>
          <w:tcPr>
            <w:tcW w:w="1276" w:type="dxa"/>
            <w:tcBorders>
              <w:top w:val="single" w:sz="4" w:space="0" w:color="auto"/>
              <w:left w:val="single" w:sz="6" w:space="0" w:color="auto"/>
              <w:bottom w:val="single" w:sz="6" w:space="0" w:color="auto"/>
              <w:right w:val="single" w:sz="6" w:space="0" w:color="auto"/>
            </w:tcBorders>
            <w:vAlign w:val="center"/>
            <w:hideMark/>
          </w:tcPr>
          <w:p w14:paraId="2EEA8655" w14:textId="77777777" w:rsidR="00B81F7B" w:rsidRPr="00BB6660" w:rsidRDefault="00B81F7B" w:rsidP="00BB6660">
            <w:pPr>
              <w:numPr>
                <w:ilvl w:val="12"/>
                <w:numId w:val="0"/>
              </w:numPr>
              <w:jc w:val="both"/>
              <w:rPr>
                <w:rFonts w:cstheme="minorHAnsi"/>
                <w:sz w:val="20"/>
                <w:szCs w:val="20"/>
              </w:rPr>
            </w:pPr>
            <w:r w:rsidRPr="00BB6660">
              <w:rPr>
                <w:rFonts w:cstheme="minorHAnsi"/>
                <w:sz w:val="20"/>
                <w:szCs w:val="20"/>
              </w:rPr>
              <w:t>1 raz</w:t>
            </w:r>
          </w:p>
        </w:tc>
        <w:tc>
          <w:tcPr>
            <w:tcW w:w="2693" w:type="dxa"/>
            <w:tcBorders>
              <w:top w:val="single" w:sz="4" w:space="0" w:color="auto"/>
              <w:left w:val="single" w:sz="6" w:space="0" w:color="auto"/>
              <w:bottom w:val="single" w:sz="6" w:space="0" w:color="auto"/>
              <w:right w:val="single" w:sz="6" w:space="0" w:color="auto"/>
            </w:tcBorders>
            <w:vAlign w:val="center"/>
            <w:hideMark/>
          </w:tcPr>
          <w:p w14:paraId="76303B20" w14:textId="77777777" w:rsidR="00B81F7B" w:rsidRPr="00BB6660" w:rsidRDefault="00B81F7B" w:rsidP="00BB6660">
            <w:pPr>
              <w:numPr>
                <w:ilvl w:val="12"/>
                <w:numId w:val="0"/>
              </w:numPr>
              <w:jc w:val="both"/>
              <w:rPr>
                <w:rFonts w:cstheme="minorHAnsi"/>
                <w:sz w:val="20"/>
                <w:szCs w:val="20"/>
              </w:rPr>
            </w:pPr>
            <w:r w:rsidRPr="00BB6660">
              <w:rPr>
                <w:rFonts w:cstheme="minorHAnsi"/>
                <w:sz w:val="20"/>
                <w:szCs w:val="20"/>
              </w:rPr>
              <w:t xml:space="preserve">Wg pktu 5 </w:t>
            </w:r>
          </w:p>
          <w:p w14:paraId="33592912" w14:textId="77777777" w:rsidR="00B81F7B" w:rsidRPr="00BB6660" w:rsidRDefault="00B81F7B" w:rsidP="00BB6660">
            <w:pPr>
              <w:numPr>
                <w:ilvl w:val="12"/>
                <w:numId w:val="0"/>
              </w:numPr>
              <w:jc w:val="both"/>
              <w:rPr>
                <w:rFonts w:cstheme="minorHAnsi"/>
                <w:sz w:val="20"/>
                <w:szCs w:val="20"/>
              </w:rPr>
            </w:pPr>
            <w:r w:rsidRPr="00BB6660">
              <w:rPr>
                <w:rFonts w:cstheme="minorHAnsi"/>
                <w:sz w:val="20"/>
                <w:szCs w:val="20"/>
              </w:rPr>
              <w:t xml:space="preserve">i dokumentacji projektowej </w:t>
            </w:r>
          </w:p>
        </w:tc>
      </w:tr>
      <w:tr w:rsidR="00B81F7B" w:rsidRPr="00BB6660" w14:paraId="42EFB29A" w14:textId="77777777">
        <w:tc>
          <w:tcPr>
            <w:tcW w:w="496" w:type="dxa"/>
            <w:tcBorders>
              <w:top w:val="single" w:sz="6" w:space="0" w:color="auto"/>
              <w:left w:val="single" w:sz="6" w:space="0" w:color="auto"/>
              <w:bottom w:val="single" w:sz="6" w:space="0" w:color="auto"/>
              <w:right w:val="single" w:sz="6" w:space="0" w:color="auto"/>
            </w:tcBorders>
            <w:vAlign w:val="center"/>
            <w:hideMark/>
          </w:tcPr>
          <w:p w14:paraId="7853F8FA"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lastRenderedPageBreak/>
              <w:t>2</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883959E"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Roboty przygotowawcze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B0F9F8B"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Ocena ciągła</w:t>
            </w:r>
          </w:p>
        </w:tc>
        <w:tc>
          <w:tcPr>
            <w:tcW w:w="2693" w:type="dxa"/>
            <w:tcBorders>
              <w:top w:val="single" w:sz="6" w:space="0" w:color="auto"/>
              <w:left w:val="single" w:sz="6" w:space="0" w:color="auto"/>
              <w:bottom w:val="single" w:sz="6" w:space="0" w:color="auto"/>
              <w:right w:val="single" w:sz="6" w:space="0" w:color="auto"/>
            </w:tcBorders>
            <w:vAlign w:val="center"/>
            <w:hideMark/>
          </w:tcPr>
          <w:p w14:paraId="21688CD6"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Wg pktu 5.3</w:t>
            </w:r>
          </w:p>
        </w:tc>
      </w:tr>
      <w:tr w:rsidR="00B81F7B" w:rsidRPr="00BB6660" w14:paraId="3A0F3454" w14:textId="77777777">
        <w:tc>
          <w:tcPr>
            <w:tcW w:w="496" w:type="dxa"/>
            <w:tcBorders>
              <w:top w:val="single" w:sz="6" w:space="0" w:color="auto"/>
              <w:left w:val="single" w:sz="6" w:space="0" w:color="auto"/>
              <w:bottom w:val="single" w:sz="6" w:space="0" w:color="auto"/>
              <w:right w:val="single" w:sz="6" w:space="0" w:color="auto"/>
            </w:tcBorders>
            <w:vAlign w:val="center"/>
            <w:hideMark/>
          </w:tcPr>
          <w:p w14:paraId="00A39504"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3</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E98707B"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Właściwości kruszywa</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91FD0BC"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Dla każdej partii kruszywa i przy każdej zmianie kruszywa</w:t>
            </w:r>
          </w:p>
        </w:tc>
        <w:tc>
          <w:tcPr>
            <w:tcW w:w="2693" w:type="dxa"/>
            <w:tcBorders>
              <w:top w:val="single" w:sz="6" w:space="0" w:color="auto"/>
              <w:left w:val="single" w:sz="6" w:space="0" w:color="auto"/>
              <w:bottom w:val="single" w:sz="6" w:space="0" w:color="auto"/>
              <w:right w:val="single" w:sz="6" w:space="0" w:color="auto"/>
            </w:tcBorders>
            <w:vAlign w:val="center"/>
            <w:hideMark/>
          </w:tcPr>
          <w:p w14:paraId="3497AE87"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Tablica 1</w:t>
            </w:r>
          </w:p>
        </w:tc>
      </w:tr>
      <w:tr w:rsidR="00B81F7B" w:rsidRPr="00BB6660" w14:paraId="7FE19564" w14:textId="77777777">
        <w:tc>
          <w:tcPr>
            <w:tcW w:w="496" w:type="dxa"/>
            <w:tcBorders>
              <w:top w:val="single" w:sz="6" w:space="0" w:color="auto"/>
              <w:left w:val="single" w:sz="6" w:space="0" w:color="auto"/>
              <w:bottom w:val="single" w:sz="6" w:space="0" w:color="auto"/>
              <w:right w:val="single" w:sz="6" w:space="0" w:color="auto"/>
            </w:tcBorders>
            <w:vAlign w:val="center"/>
            <w:hideMark/>
          </w:tcPr>
          <w:p w14:paraId="745758B3" w14:textId="77777777" w:rsidR="00B81F7B" w:rsidRPr="00BB6660" w:rsidRDefault="00B81F7B" w:rsidP="00BB6660">
            <w:pPr>
              <w:numPr>
                <w:ilvl w:val="12"/>
                <w:numId w:val="0"/>
              </w:numPr>
              <w:jc w:val="both"/>
              <w:rPr>
                <w:rFonts w:cstheme="minorHAnsi"/>
                <w:sz w:val="20"/>
                <w:szCs w:val="20"/>
              </w:rPr>
            </w:pPr>
            <w:r w:rsidRPr="00BB6660">
              <w:rPr>
                <w:rFonts w:cstheme="minorHAnsi"/>
                <w:sz w:val="20"/>
                <w:szCs w:val="20"/>
              </w:rPr>
              <w:t>4</w:t>
            </w:r>
          </w:p>
        </w:tc>
        <w:tc>
          <w:tcPr>
            <w:tcW w:w="3118" w:type="dxa"/>
            <w:tcBorders>
              <w:top w:val="single" w:sz="6" w:space="0" w:color="auto"/>
              <w:left w:val="single" w:sz="6" w:space="0" w:color="auto"/>
              <w:bottom w:val="single" w:sz="6" w:space="0" w:color="auto"/>
              <w:right w:val="single" w:sz="6" w:space="0" w:color="auto"/>
            </w:tcBorders>
            <w:vAlign w:val="center"/>
            <w:hideMark/>
          </w:tcPr>
          <w:p w14:paraId="55F2B13B" w14:textId="77777777" w:rsidR="00B81F7B" w:rsidRPr="00BB6660" w:rsidRDefault="00B81F7B" w:rsidP="00BB6660">
            <w:pPr>
              <w:numPr>
                <w:ilvl w:val="12"/>
                <w:numId w:val="0"/>
              </w:numPr>
              <w:jc w:val="both"/>
              <w:rPr>
                <w:rFonts w:cstheme="minorHAnsi"/>
                <w:sz w:val="20"/>
                <w:szCs w:val="20"/>
              </w:rPr>
            </w:pPr>
            <w:r w:rsidRPr="00BB6660">
              <w:rPr>
                <w:rFonts w:cstheme="minorHAnsi"/>
                <w:sz w:val="20"/>
                <w:szCs w:val="20"/>
              </w:rPr>
              <w:t>Właściwości wody</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A85F4FB" w14:textId="77777777" w:rsidR="00B81F7B" w:rsidRPr="00BB6660" w:rsidRDefault="00B81F7B" w:rsidP="00BB6660">
            <w:pPr>
              <w:numPr>
                <w:ilvl w:val="12"/>
                <w:numId w:val="0"/>
              </w:numPr>
              <w:jc w:val="both"/>
              <w:rPr>
                <w:rFonts w:cstheme="minorHAnsi"/>
                <w:sz w:val="20"/>
                <w:szCs w:val="20"/>
              </w:rPr>
            </w:pPr>
            <w:r w:rsidRPr="00BB6660">
              <w:rPr>
                <w:rFonts w:cstheme="minorHAnsi"/>
                <w:sz w:val="20"/>
                <w:szCs w:val="20"/>
              </w:rPr>
              <w:t>Dla każdego wątpliwego źródła</w:t>
            </w:r>
          </w:p>
        </w:tc>
        <w:tc>
          <w:tcPr>
            <w:tcW w:w="2693" w:type="dxa"/>
            <w:tcBorders>
              <w:top w:val="single" w:sz="6" w:space="0" w:color="auto"/>
              <w:left w:val="single" w:sz="6" w:space="0" w:color="auto"/>
              <w:bottom w:val="single" w:sz="6" w:space="0" w:color="auto"/>
              <w:right w:val="single" w:sz="6" w:space="0" w:color="auto"/>
            </w:tcBorders>
            <w:vAlign w:val="center"/>
            <w:hideMark/>
          </w:tcPr>
          <w:p w14:paraId="60142523" w14:textId="77777777" w:rsidR="00B81F7B" w:rsidRPr="00BB6660" w:rsidRDefault="00B81F7B" w:rsidP="00BB6660">
            <w:pPr>
              <w:numPr>
                <w:ilvl w:val="12"/>
                <w:numId w:val="0"/>
              </w:numPr>
              <w:jc w:val="both"/>
              <w:rPr>
                <w:rFonts w:cstheme="minorHAnsi"/>
                <w:sz w:val="20"/>
                <w:szCs w:val="20"/>
              </w:rPr>
            </w:pPr>
            <w:r w:rsidRPr="00BB6660">
              <w:rPr>
                <w:rFonts w:cstheme="minorHAnsi"/>
                <w:sz w:val="20"/>
                <w:szCs w:val="20"/>
              </w:rPr>
              <w:t>PN-EN 1008 [11]</w:t>
            </w:r>
          </w:p>
        </w:tc>
      </w:tr>
      <w:tr w:rsidR="00B81F7B" w:rsidRPr="00BB6660" w14:paraId="1DCDE0B0" w14:textId="77777777">
        <w:tc>
          <w:tcPr>
            <w:tcW w:w="496" w:type="dxa"/>
            <w:tcBorders>
              <w:top w:val="single" w:sz="6" w:space="0" w:color="auto"/>
              <w:left w:val="single" w:sz="6" w:space="0" w:color="auto"/>
              <w:bottom w:val="single" w:sz="6" w:space="0" w:color="auto"/>
              <w:right w:val="single" w:sz="6" w:space="0" w:color="auto"/>
            </w:tcBorders>
            <w:vAlign w:val="center"/>
            <w:hideMark/>
          </w:tcPr>
          <w:p w14:paraId="0C2D09D4"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5</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6DEBE17"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Właściwości cementu</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A2F5B6A"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Dla każdej partii</w:t>
            </w:r>
          </w:p>
        </w:tc>
        <w:tc>
          <w:tcPr>
            <w:tcW w:w="2693" w:type="dxa"/>
            <w:tcBorders>
              <w:top w:val="single" w:sz="6" w:space="0" w:color="auto"/>
              <w:left w:val="single" w:sz="6" w:space="0" w:color="auto"/>
              <w:bottom w:val="single" w:sz="6" w:space="0" w:color="auto"/>
              <w:right w:val="single" w:sz="6" w:space="0" w:color="auto"/>
            </w:tcBorders>
            <w:vAlign w:val="center"/>
            <w:hideMark/>
          </w:tcPr>
          <w:p w14:paraId="25D2A9EE"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PN-EN 197-1 [5]</w:t>
            </w:r>
          </w:p>
        </w:tc>
      </w:tr>
      <w:tr w:rsidR="00B81F7B" w:rsidRPr="00BB6660" w14:paraId="224442D5" w14:textId="77777777">
        <w:tc>
          <w:tcPr>
            <w:tcW w:w="496" w:type="dxa"/>
            <w:tcBorders>
              <w:top w:val="single" w:sz="6" w:space="0" w:color="auto"/>
              <w:left w:val="single" w:sz="6" w:space="0" w:color="auto"/>
              <w:bottom w:val="single" w:sz="6" w:space="0" w:color="auto"/>
              <w:right w:val="single" w:sz="6" w:space="0" w:color="auto"/>
            </w:tcBorders>
            <w:vAlign w:val="center"/>
            <w:hideMark/>
          </w:tcPr>
          <w:p w14:paraId="7E316F83"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6</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99001E8"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Uziarnienie mieszanki</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5EAF0"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2 razy dziennie</w:t>
            </w:r>
          </w:p>
        </w:tc>
        <w:tc>
          <w:tcPr>
            <w:tcW w:w="2693" w:type="dxa"/>
            <w:tcBorders>
              <w:top w:val="single" w:sz="6" w:space="0" w:color="auto"/>
              <w:left w:val="single" w:sz="6" w:space="0" w:color="auto"/>
              <w:bottom w:val="single" w:sz="6" w:space="0" w:color="auto"/>
              <w:right w:val="single" w:sz="6" w:space="0" w:color="auto"/>
            </w:tcBorders>
            <w:vAlign w:val="center"/>
            <w:hideMark/>
          </w:tcPr>
          <w:p w14:paraId="5C32C1DE"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Rys. 1 ÷ 5</w:t>
            </w:r>
          </w:p>
        </w:tc>
      </w:tr>
      <w:tr w:rsidR="00B81F7B" w:rsidRPr="00BB6660" w14:paraId="155270A3" w14:textId="77777777">
        <w:tc>
          <w:tcPr>
            <w:tcW w:w="496" w:type="dxa"/>
            <w:tcBorders>
              <w:top w:val="single" w:sz="6" w:space="0" w:color="auto"/>
              <w:left w:val="single" w:sz="6" w:space="0" w:color="auto"/>
              <w:bottom w:val="single" w:sz="6" w:space="0" w:color="auto"/>
              <w:right w:val="single" w:sz="6" w:space="0" w:color="auto"/>
            </w:tcBorders>
            <w:vAlign w:val="center"/>
            <w:hideMark/>
          </w:tcPr>
          <w:p w14:paraId="2FC4AF69"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7</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A144E"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Wilgotność mieszanki</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739C0E9"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Jw.</w:t>
            </w:r>
          </w:p>
        </w:tc>
        <w:tc>
          <w:tcPr>
            <w:tcW w:w="2693" w:type="dxa"/>
            <w:tcBorders>
              <w:top w:val="single" w:sz="6" w:space="0" w:color="auto"/>
              <w:left w:val="single" w:sz="6" w:space="0" w:color="auto"/>
              <w:bottom w:val="single" w:sz="6" w:space="0" w:color="auto"/>
              <w:right w:val="single" w:sz="6" w:space="0" w:color="auto"/>
            </w:tcBorders>
            <w:vAlign w:val="center"/>
            <w:hideMark/>
          </w:tcPr>
          <w:p w14:paraId="7DAA9CE8"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Wilgotność optymalna z tolerancją +10%, -20%</w:t>
            </w:r>
          </w:p>
        </w:tc>
      </w:tr>
      <w:tr w:rsidR="00B81F7B" w:rsidRPr="00BB6660" w14:paraId="2CFE84FC" w14:textId="77777777">
        <w:tc>
          <w:tcPr>
            <w:tcW w:w="496" w:type="dxa"/>
            <w:tcBorders>
              <w:top w:val="single" w:sz="6" w:space="0" w:color="auto"/>
              <w:left w:val="single" w:sz="6" w:space="0" w:color="auto"/>
              <w:bottom w:val="single" w:sz="6" w:space="0" w:color="auto"/>
              <w:right w:val="single" w:sz="6" w:space="0" w:color="auto"/>
            </w:tcBorders>
            <w:vAlign w:val="center"/>
            <w:hideMark/>
          </w:tcPr>
          <w:p w14:paraId="16B7D68A"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8</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5AE1DE3"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Grubość warstwy podbudowy</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3BD5852"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Jw.</w:t>
            </w:r>
          </w:p>
        </w:tc>
        <w:tc>
          <w:tcPr>
            <w:tcW w:w="2693" w:type="dxa"/>
            <w:tcBorders>
              <w:top w:val="single" w:sz="6" w:space="0" w:color="auto"/>
              <w:left w:val="single" w:sz="6" w:space="0" w:color="auto"/>
              <w:bottom w:val="single" w:sz="6" w:space="0" w:color="auto"/>
              <w:right w:val="single" w:sz="6" w:space="0" w:color="auto"/>
            </w:tcBorders>
            <w:vAlign w:val="center"/>
            <w:hideMark/>
          </w:tcPr>
          <w:p w14:paraId="31F206E0"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Tolerancja ± 1 cm</w:t>
            </w:r>
          </w:p>
        </w:tc>
      </w:tr>
      <w:tr w:rsidR="00B81F7B" w:rsidRPr="00BB6660" w14:paraId="3C1BA02F" w14:textId="77777777">
        <w:tc>
          <w:tcPr>
            <w:tcW w:w="496" w:type="dxa"/>
            <w:tcBorders>
              <w:top w:val="single" w:sz="6" w:space="0" w:color="auto"/>
              <w:left w:val="single" w:sz="6" w:space="0" w:color="auto"/>
              <w:bottom w:val="single" w:sz="6" w:space="0" w:color="auto"/>
              <w:right w:val="single" w:sz="6" w:space="0" w:color="auto"/>
            </w:tcBorders>
            <w:vAlign w:val="center"/>
            <w:hideMark/>
          </w:tcPr>
          <w:p w14:paraId="3B408792"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9</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9DC594"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Zagęszczenie warstwy mieszanki</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0B19AEE"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Jw.</w:t>
            </w:r>
          </w:p>
        </w:tc>
        <w:tc>
          <w:tcPr>
            <w:tcW w:w="2693" w:type="dxa"/>
            <w:tcBorders>
              <w:top w:val="single" w:sz="6" w:space="0" w:color="auto"/>
              <w:left w:val="single" w:sz="6" w:space="0" w:color="auto"/>
              <w:bottom w:val="single" w:sz="6" w:space="0" w:color="auto"/>
              <w:right w:val="single" w:sz="6" w:space="0" w:color="auto"/>
            </w:tcBorders>
            <w:vAlign w:val="center"/>
            <w:hideMark/>
          </w:tcPr>
          <w:p w14:paraId="38915FF9"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0,98 Proctora (p. 5.7)</w:t>
            </w:r>
          </w:p>
        </w:tc>
      </w:tr>
      <w:tr w:rsidR="00B81F7B" w:rsidRPr="00BB6660" w14:paraId="64202F31" w14:textId="77777777">
        <w:tc>
          <w:tcPr>
            <w:tcW w:w="496" w:type="dxa"/>
            <w:tcBorders>
              <w:top w:val="single" w:sz="6" w:space="0" w:color="auto"/>
              <w:left w:val="single" w:sz="6" w:space="0" w:color="auto"/>
              <w:bottom w:val="single" w:sz="6" w:space="0" w:color="auto"/>
              <w:right w:val="single" w:sz="6" w:space="0" w:color="auto"/>
            </w:tcBorders>
            <w:vAlign w:val="center"/>
            <w:hideMark/>
          </w:tcPr>
          <w:p w14:paraId="0ADD1061"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10</w:t>
            </w:r>
          </w:p>
        </w:tc>
        <w:tc>
          <w:tcPr>
            <w:tcW w:w="3118" w:type="dxa"/>
            <w:tcBorders>
              <w:top w:val="single" w:sz="6" w:space="0" w:color="auto"/>
              <w:left w:val="single" w:sz="6" w:space="0" w:color="auto"/>
              <w:bottom w:val="single" w:sz="6" w:space="0" w:color="auto"/>
              <w:right w:val="single" w:sz="6" w:space="0" w:color="auto"/>
            </w:tcBorders>
            <w:vAlign w:val="center"/>
            <w:hideMark/>
          </w:tcPr>
          <w:p w14:paraId="5DCA22E4"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Oznaczenie wytrzymałości na ściskanie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EA973E0"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3 próbki dziennie</w:t>
            </w:r>
          </w:p>
        </w:tc>
        <w:tc>
          <w:tcPr>
            <w:tcW w:w="2693" w:type="dxa"/>
            <w:tcBorders>
              <w:top w:val="single" w:sz="6" w:space="0" w:color="auto"/>
              <w:left w:val="single" w:sz="6" w:space="0" w:color="auto"/>
              <w:bottom w:val="single" w:sz="6" w:space="0" w:color="auto"/>
              <w:right w:val="single" w:sz="6" w:space="0" w:color="auto"/>
            </w:tcBorders>
            <w:vAlign w:val="center"/>
            <w:hideMark/>
          </w:tcPr>
          <w:p w14:paraId="35CF1332"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PN-EN 13286-41 [21]</w:t>
            </w:r>
          </w:p>
        </w:tc>
      </w:tr>
      <w:tr w:rsidR="00B81F7B" w:rsidRPr="00BB6660" w14:paraId="24DFDFAC" w14:textId="77777777">
        <w:tc>
          <w:tcPr>
            <w:tcW w:w="496" w:type="dxa"/>
            <w:tcBorders>
              <w:top w:val="single" w:sz="6" w:space="0" w:color="auto"/>
              <w:left w:val="single" w:sz="6" w:space="0" w:color="auto"/>
              <w:bottom w:val="single" w:sz="6" w:space="0" w:color="auto"/>
              <w:right w:val="single" w:sz="6" w:space="0" w:color="auto"/>
            </w:tcBorders>
            <w:vAlign w:val="center"/>
            <w:hideMark/>
          </w:tcPr>
          <w:p w14:paraId="41BF5653"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11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645F7ABA"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Oznaczenie mrozoodporności</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DF423D6"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Na zlecenie Inżyniera</w:t>
            </w:r>
          </w:p>
        </w:tc>
        <w:tc>
          <w:tcPr>
            <w:tcW w:w="2693" w:type="dxa"/>
            <w:tcBorders>
              <w:top w:val="single" w:sz="6" w:space="0" w:color="auto"/>
              <w:left w:val="single" w:sz="6" w:space="0" w:color="auto"/>
              <w:bottom w:val="single" w:sz="6" w:space="0" w:color="auto"/>
              <w:right w:val="single" w:sz="6" w:space="0" w:color="auto"/>
            </w:tcBorders>
            <w:vAlign w:val="center"/>
            <w:hideMark/>
          </w:tcPr>
          <w:p w14:paraId="5A0FA2A8"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p. 5.4</w:t>
            </w:r>
          </w:p>
        </w:tc>
      </w:tr>
      <w:tr w:rsidR="00B81F7B" w:rsidRPr="00BB6660" w14:paraId="59F0B8F3" w14:textId="77777777">
        <w:tc>
          <w:tcPr>
            <w:tcW w:w="496" w:type="dxa"/>
            <w:tcBorders>
              <w:top w:val="single" w:sz="6" w:space="0" w:color="auto"/>
              <w:left w:val="single" w:sz="6" w:space="0" w:color="auto"/>
              <w:bottom w:val="single" w:sz="6" w:space="0" w:color="auto"/>
              <w:right w:val="single" w:sz="6" w:space="0" w:color="auto"/>
            </w:tcBorders>
            <w:vAlign w:val="center"/>
            <w:hideMark/>
          </w:tcPr>
          <w:p w14:paraId="3B949EC1"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12</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F9B20B6"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Wykonanie robót wykończeniowych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D42D4B7"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Ocena ciągła</w:t>
            </w:r>
          </w:p>
        </w:tc>
        <w:tc>
          <w:tcPr>
            <w:tcW w:w="2693" w:type="dxa"/>
            <w:tcBorders>
              <w:top w:val="single" w:sz="6" w:space="0" w:color="auto"/>
              <w:left w:val="single" w:sz="6" w:space="0" w:color="auto"/>
              <w:bottom w:val="single" w:sz="6" w:space="0" w:color="auto"/>
              <w:right w:val="single" w:sz="6" w:space="0" w:color="auto"/>
            </w:tcBorders>
            <w:vAlign w:val="center"/>
            <w:hideMark/>
          </w:tcPr>
          <w:p w14:paraId="57E727DA" w14:textId="77777777" w:rsidR="00B81F7B" w:rsidRPr="00BB6660" w:rsidRDefault="00B81F7B" w:rsidP="00BB6660">
            <w:pPr>
              <w:numPr>
                <w:ilvl w:val="12"/>
                <w:numId w:val="0"/>
              </w:numPr>
              <w:spacing w:before="60" w:after="60"/>
              <w:jc w:val="both"/>
              <w:rPr>
                <w:rFonts w:cstheme="minorHAnsi"/>
                <w:sz w:val="20"/>
                <w:szCs w:val="20"/>
              </w:rPr>
            </w:pPr>
            <w:r w:rsidRPr="00BB6660">
              <w:rPr>
                <w:rFonts w:cstheme="minorHAnsi"/>
                <w:sz w:val="20"/>
                <w:szCs w:val="20"/>
              </w:rPr>
              <w:t>Według punktu 5.9</w:t>
            </w:r>
          </w:p>
        </w:tc>
      </w:tr>
    </w:tbl>
    <w:p w14:paraId="02F42B8E" w14:textId="77777777" w:rsidR="00B81F7B" w:rsidRPr="00BB6660" w:rsidRDefault="00B81F7B" w:rsidP="00BB6660">
      <w:pPr>
        <w:pStyle w:val="Nagwek2"/>
        <w:ind w:left="426" w:hanging="426"/>
        <w:rPr>
          <w:rFonts w:asciiTheme="minorHAnsi" w:hAnsiTheme="minorHAnsi" w:cstheme="minorHAnsi"/>
          <w:sz w:val="20"/>
        </w:rPr>
      </w:pPr>
      <w:bookmarkStart w:id="3089" w:name="_Toc227825413"/>
      <w:bookmarkStart w:id="3090" w:name="_Toc216843089"/>
      <w:bookmarkStart w:id="3091" w:name="_Toc257193992"/>
      <w:bookmarkStart w:id="3092" w:name="_Toc284409959"/>
      <w:bookmarkStart w:id="3093" w:name="_Toc295205111"/>
      <w:r w:rsidRPr="00BB6660">
        <w:rPr>
          <w:rFonts w:asciiTheme="minorHAnsi" w:hAnsiTheme="minorHAnsi" w:cstheme="minorHAnsi"/>
          <w:sz w:val="20"/>
        </w:rPr>
        <w:t>6.4. Wymagania dotyczące cech geometrycznych i wytrzymałościowych podbudowy lub ulepszonego podłoża</w:t>
      </w:r>
      <w:bookmarkEnd w:id="3089"/>
    </w:p>
    <w:p w14:paraId="6C37A1ED" w14:textId="77777777" w:rsidR="00B81F7B" w:rsidRPr="00BB6660" w:rsidRDefault="00B81F7B" w:rsidP="00BB6660">
      <w:pPr>
        <w:ind w:firstLine="709"/>
        <w:jc w:val="both"/>
        <w:rPr>
          <w:rFonts w:cstheme="minorHAnsi"/>
          <w:sz w:val="20"/>
          <w:szCs w:val="20"/>
        </w:rPr>
      </w:pPr>
      <w:r w:rsidRPr="00BB6660">
        <w:rPr>
          <w:rFonts w:cstheme="minorHAnsi"/>
          <w:sz w:val="20"/>
          <w:szCs w:val="20"/>
        </w:rPr>
        <w:t>Częstotliwość oraz zakres badań i pomiarów dotyczących cech geometrycznych podaje tablica 7.</w:t>
      </w:r>
    </w:p>
    <w:p w14:paraId="2D4BFBE9" w14:textId="77777777" w:rsidR="00B81F7B" w:rsidRPr="00BB6660" w:rsidRDefault="00B81F7B" w:rsidP="00BB6660">
      <w:pPr>
        <w:keepNext/>
        <w:spacing w:before="60" w:after="120"/>
        <w:jc w:val="both"/>
        <w:rPr>
          <w:rFonts w:cstheme="minorHAnsi"/>
          <w:sz w:val="20"/>
          <w:szCs w:val="20"/>
        </w:rPr>
      </w:pPr>
      <w:r w:rsidRPr="00BB6660">
        <w:rPr>
          <w:rFonts w:cstheme="minorHAnsi"/>
          <w:sz w:val="20"/>
          <w:szCs w:val="20"/>
        </w:rPr>
        <w:t>Tablica 7. Częstotliwość oraz zakres badań i pomiarów warstwy odsączającej i odcinającej</w:t>
      </w:r>
    </w:p>
    <w:tbl>
      <w:tblPr>
        <w:tblW w:w="78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2142"/>
        <w:gridCol w:w="2390"/>
        <w:gridCol w:w="2832"/>
      </w:tblGrid>
      <w:tr w:rsidR="00B81F7B" w:rsidRPr="00BB6660" w14:paraId="23260A2E" w14:textId="77777777">
        <w:tc>
          <w:tcPr>
            <w:tcW w:w="496" w:type="dxa"/>
            <w:tcBorders>
              <w:top w:val="single" w:sz="4" w:space="0" w:color="auto"/>
              <w:left w:val="single" w:sz="4" w:space="0" w:color="auto"/>
              <w:bottom w:val="single" w:sz="4" w:space="0" w:color="auto"/>
              <w:right w:val="single" w:sz="6" w:space="0" w:color="auto"/>
            </w:tcBorders>
            <w:hideMark/>
          </w:tcPr>
          <w:p w14:paraId="570BD8F5" w14:textId="77777777" w:rsidR="00B81F7B" w:rsidRPr="00BB6660" w:rsidRDefault="00B81F7B" w:rsidP="00BB6660">
            <w:pPr>
              <w:spacing w:before="120"/>
              <w:jc w:val="both"/>
              <w:rPr>
                <w:rFonts w:cstheme="minorHAnsi"/>
                <w:sz w:val="20"/>
                <w:szCs w:val="20"/>
              </w:rPr>
            </w:pPr>
            <w:r w:rsidRPr="00BB6660">
              <w:rPr>
                <w:rFonts w:cstheme="minorHAnsi"/>
                <w:sz w:val="20"/>
                <w:szCs w:val="20"/>
              </w:rPr>
              <w:t>Lp.</w:t>
            </w:r>
          </w:p>
        </w:tc>
        <w:tc>
          <w:tcPr>
            <w:tcW w:w="2144" w:type="dxa"/>
            <w:tcBorders>
              <w:top w:val="single" w:sz="4" w:space="0" w:color="auto"/>
              <w:left w:val="single" w:sz="6" w:space="0" w:color="auto"/>
              <w:bottom w:val="single" w:sz="4" w:space="0" w:color="auto"/>
              <w:right w:val="single" w:sz="4" w:space="0" w:color="auto"/>
            </w:tcBorders>
            <w:hideMark/>
          </w:tcPr>
          <w:p w14:paraId="7C8F1B7F" w14:textId="77777777" w:rsidR="00B81F7B" w:rsidRPr="00BB6660" w:rsidRDefault="00B81F7B" w:rsidP="00BB6660">
            <w:pPr>
              <w:ind w:left="215" w:right="312"/>
              <w:jc w:val="both"/>
              <w:rPr>
                <w:rFonts w:cstheme="minorHAnsi"/>
                <w:sz w:val="20"/>
                <w:szCs w:val="20"/>
              </w:rPr>
            </w:pPr>
            <w:r w:rsidRPr="00BB6660">
              <w:rPr>
                <w:rFonts w:cstheme="minorHAnsi"/>
                <w:sz w:val="20"/>
                <w:szCs w:val="20"/>
              </w:rPr>
              <w:t>Wyszczególnienie badań i pomiarów</w:t>
            </w:r>
          </w:p>
        </w:tc>
        <w:tc>
          <w:tcPr>
            <w:tcW w:w="2392" w:type="dxa"/>
            <w:tcBorders>
              <w:top w:val="single" w:sz="6" w:space="0" w:color="auto"/>
              <w:left w:val="single" w:sz="4" w:space="0" w:color="auto"/>
              <w:bottom w:val="single" w:sz="6" w:space="0" w:color="auto"/>
              <w:right w:val="single" w:sz="6" w:space="0" w:color="auto"/>
            </w:tcBorders>
            <w:hideMark/>
          </w:tcPr>
          <w:p w14:paraId="191ED7F1" w14:textId="77777777" w:rsidR="00B81F7B" w:rsidRPr="00BB6660" w:rsidRDefault="00B81F7B" w:rsidP="00BB6660">
            <w:pPr>
              <w:jc w:val="both"/>
              <w:rPr>
                <w:rFonts w:cstheme="minorHAnsi"/>
                <w:sz w:val="20"/>
                <w:szCs w:val="20"/>
              </w:rPr>
            </w:pPr>
            <w:r w:rsidRPr="00BB6660">
              <w:rPr>
                <w:rFonts w:cstheme="minorHAnsi"/>
                <w:sz w:val="20"/>
                <w:szCs w:val="20"/>
              </w:rPr>
              <w:t>Minimalna częstotliwość badań i pomiarów</w:t>
            </w:r>
          </w:p>
        </w:tc>
        <w:tc>
          <w:tcPr>
            <w:tcW w:w="2835" w:type="dxa"/>
            <w:tcBorders>
              <w:top w:val="single" w:sz="6" w:space="0" w:color="auto"/>
              <w:left w:val="single" w:sz="6" w:space="0" w:color="auto"/>
              <w:bottom w:val="single" w:sz="6" w:space="0" w:color="auto"/>
              <w:right w:val="single" w:sz="6" w:space="0" w:color="auto"/>
            </w:tcBorders>
            <w:hideMark/>
          </w:tcPr>
          <w:p w14:paraId="4F4EF551" w14:textId="77777777" w:rsidR="00B81F7B" w:rsidRPr="00BB6660" w:rsidRDefault="00B81F7B" w:rsidP="00BB6660">
            <w:pPr>
              <w:spacing w:before="120"/>
              <w:jc w:val="both"/>
              <w:rPr>
                <w:rFonts w:cstheme="minorHAnsi"/>
                <w:sz w:val="20"/>
                <w:szCs w:val="20"/>
              </w:rPr>
            </w:pPr>
            <w:r w:rsidRPr="00BB6660">
              <w:rPr>
                <w:rFonts w:cstheme="minorHAnsi"/>
                <w:sz w:val="20"/>
                <w:szCs w:val="20"/>
              </w:rPr>
              <w:t>Dopuszczalne odchyłki</w:t>
            </w:r>
          </w:p>
        </w:tc>
      </w:tr>
      <w:tr w:rsidR="00B81F7B" w:rsidRPr="00BB6660" w14:paraId="5BFDEF14" w14:textId="77777777">
        <w:tc>
          <w:tcPr>
            <w:tcW w:w="496" w:type="dxa"/>
            <w:tcBorders>
              <w:top w:val="single" w:sz="4" w:space="0" w:color="auto"/>
              <w:left w:val="single" w:sz="6" w:space="0" w:color="auto"/>
              <w:bottom w:val="single" w:sz="6" w:space="0" w:color="auto"/>
              <w:right w:val="single" w:sz="6" w:space="0" w:color="auto"/>
            </w:tcBorders>
            <w:hideMark/>
          </w:tcPr>
          <w:p w14:paraId="056153D1" w14:textId="77777777" w:rsidR="00B81F7B" w:rsidRPr="00BB6660" w:rsidRDefault="00B81F7B" w:rsidP="00BB6660">
            <w:pPr>
              <w:jc w:val="both"/>
              <w:rPr>
                <w:rFonts w:cstheme="minorHAnsi"/>
                <w:sz w:val="20"/>
                <w:szCs w:val="20"/>
              </w:rPr>
            </w:pPr>
            <w:r w:rsidRPr="00BB6660">
              <w:rPr>
                <w:rFonts w:cstheme="minorHAnsi"/>
                <w:sz w:val="20"/>
                <w:szCs w:val="20"/>
              </w:rPr>
              <w:t>1</w:t>
            </w:r>
          </w:p>
        </w:tc>
        <w:tc>
          <w:tcPr>
            <w:tcW w:w="2144" w:type="dxa"/>
            <w:tcBorders>
              <w:top w:val="single" w:sz="4" w:space="0" w:color="auto"/>
              <w:left w:val="single" w:sz="6" w:space="0" w:color="auto"/>
              <w:bottom w:val="single" w:sz="6" w:space="0" w:color="auto"/>
              <w:right w:val="single" w:sz="6" w:space="0" w:color="auto"/>
            </w:tcBorders>
            <w:hideMark/>
          </w:tcPr>
          <w:p w14:paraId="01D928E2" w14:textId="77777777" w:rsidR="00B81F7B" w:rsidRPr="00BB6660" w:rsidRDefault="00B81F7B" w:rsidP="00BB6660">
            <w:pPr>
              <w:jc w:val="both"/>
              <w:rPr>
                <w:rFonts w:cstheme="minorHAnsi"/>
                <w:sz w:val="20"/>
                <w:szCs w:val="20"/>
              </w:rPr>
            </w:pPr>
            <w:r w:rsidRPr="00BB6660">
              <w:rPr>
                <w:rFonts w:cstheme="minorHAnsi"/>
                <w:sz w:val="20"/>
                <w:szCs w:val="20"/>
              </w:rPr>
              <w:t xml:space="preserve">Szerokość </w:t>
            </w:r>
          </w:p>
        </w:tc>
        <w:tc>
          <w:tcPr>
            <w:tcW w:w="2392" w:type="dxa"/>
            <w:tcBorders>
              <w:top w:val="single" w:sz="6" w:space="0" w:color="auto"/>
              <w:left w:val="single" w:sz="6" w:space="0" w:color="auto"/>
              <w:bottom w:val="single" w:sz="6" w:space="0" w:color="auto"/>
              <w:right w:val="single" w:sz="6" w:space="0" w:color="auto"/>
            </w:tcBorders>
            <w:hideMark/>
          </w:tcPr>
          <w:p w14:paraId="0302232C" w14:textId="77777777" w:rsidR="00B81F7B" w:rsidRPr="00BB6660" w:rsidRDefault="00B81F7B" w:rsidP="00BB6660">
            <w:pPr>
              <w:jc w:val="both"/>
              <w:rPr>
                <w:rFonts w:cstheme="minorHAnsi"/>
                <w:sz w:val="20"/>
                <w:szCs w:val="20"/>
              </w:rPr>
            </w:pPr>
            <w:r w:rsidRPr="00BB6660">
              <w:rPr>
                <w:rFonts w:cstheme="minorHAnsi"/>
                <w:sz w:val="20"/>
                <w:szCs w:val="20"/>
              </w:rPr>
              <w:t>co 100 m</w:t>
            </w:r>
          </w:p>
        </w:tc>
        <w:tc>
          <w:tcPr>
            <w:tcW w:w="2835" w:type="dxa"/>
            <w:tcBorders>
              <w:top w:val="single" w:sz="6" w:space="0" w:color="auto"/>
              <w:left w:val="single" w:sz="6" w:space="0" w:color="auto"/>
              <w:bottom w:val="single" w:sz="6" w:space="0" w:color="auto"/>
              <w:right w:val="single" w:sz="6" w:space="0" w:color="auto"/>
            </w:tcBorders>
            <w:hideMark/>
          </w:tcPr>
          <w:p w14:paraId="040C03E4" w14:textId="77777777" w:rsidR="00B81F7B" w:rsidRPr="00BB6660" w:rsidRDefault="00B81F7B" w:rsidP="00BB6660">
            <w:pPr>
              <w:jc w:val="both"/>
              <w:rPr>
                <w:rFonts w:cstheme="minorHAnsi"/>
                <w:sz w:val="20"/>
                <w:szCs w:val="20"/>
              </w:rPr>
            </w:pPr>
            <w:r w:rsidRPr="00BB6660">
              <w:rPr>
                <w:rFonts w:cstheme="minorHAnsi"/>
                <w:sz w:val="20"/>
                <w:szCs w:val="20"/>
              </w:rPr>
              <w:t>+10 cm, -5 cm: różnice od szerokości projektowanej</w:t>
            </w:r>
          </w:p>
        </w:tc>
      </w:tr>
      <w:tr w:rsidR="00B81F7B" w:rsidRPr="00BB6660" w14:paraId="6981DDB5" w14:textId="77777777">
        <w:tc>
          <w:tcPr>
            <w:tcW w:w="496" w:type="dxa"/>
            <w:tcBorders>
              <w:top w:val="single" w:sz="6" w:space="0" w:color="auto"/>
              <w:left w:val="single" w:sz="6" w:space="0" w:color="auto"/>
              <w:bottom w:val="single" w:sz="6" w:space="0" w:color="auto"/>
              <w:right w:val="single" w:sz="6" w:space="0" w:color="auto"/>
            </w:tcBorders>
            <w:hideMark/>
          </w:tcPr>
          <w:p w14:paraId="37C9BFC0" w14:textId="77777777" w:rsidR="00B81F7B" w:rsidRPr="00BB6660" w:rsidRDefault="00B81F7B" w:rsidP="00BB6660">
            <w:pPr>
              <w:jc w:val="both"/>
              <w:rPr>
                <w:rFonts w:cstheme="minorHAnsi"/>
                <w:sz w:val="20"/>
                <w:szCs w:val="20"/>
              </w:rPr>
            </w:pPr>
            <w:r w:rsidRPr="00BB6660">
              <w:rPr>
                <w:rFonts w:cstheme="minorHAnsi"/>
                <w:sz w:val="20"/>
                <w:szCs w:val="20"/>
              </w:rPr>
              <w:t>2</w:t>
            </w:r>
          </w:p>
        </w:tc>
        <w:tc>
          <w:tcPr>
            <w:tcW w:w="2144" w:type="dxa"/>
            <w:tcBorders>
              <w:top w:val="single" w:sz="6" w:space="0" w:color="auto"/>
              <w:left w:val="single" w:sz="6" w:space="0" w:color="auto"/>
              <w:bottom w:val="single" w:sz="6" w:space="0" w:color="auto"/>
              <w:right w:val="single" w:sz="6" w:space="0" w:color="auto"/>
            </w:tcBorders>
            <w:hideMark/>
          </w:tcPr>
          <w:p w14:paraId="51CE018A" w14:textId="77777777" w:rsidR="00B81F7B" w:rsidRPr="00BB6660" w:rsidRDefault="00B81F7B" w:rsidP="00BB6660">
            <w:pPr>
              <w:jc w:val="both"/>
              <w:rPr>
                <w:rFonts w:cstheme="minorHAnsi"/>
                <w:sz w:val="20"/>
                <w:szCs w:val="20"/>
              </w:rPr>
            </w:pPr>
            <w:r w:rsidRPr="00BB6660">
              <w:rPr>
                <w:rFonts w:cstheme="minorHAnsi"/>
                <w:sz w:val="20"/>
                <w:szCs w:val="20"/>
              </w:rPr>
              <w:t>Równość podłużna</w:t>
            </w:r>
          </w:p>
        </w:tc>
        <w:tc>
          <w:tcPr>
            <w:tcW w:w="2392" w:type="dxa"/>
            <w:tcBorders>
              <w:top w:val="single" w:sz="6" w:space="0" w:color="auto"/>
              <w:left w:val="single" w:sz="6" w:space="0" w:color="auto"/>
              <w:bottom w:val="single" w:sz="6" w:space="0" w:color="auto"/>
              <w:right w:val="single" w:sz="6" w:space="0" w:color="auto"/>
            </w:tcBorders>
            <w:hideMark/>
          </w:tcPr>
          <w:p w14:paraId="671DEE56" w14:textId="77777777" w:rsidR="00B81F7B" w:rsidRPr="00BB6660" w:rsidRDefault="00B81F7B" w:rsidP="00BB6660">
            <w:pPr>
              <w:jc w:val="both"/>
              <w:rPr>
                <w:rFonts w:cstheme="minorHAnsi"/>
                <w:sz w:val="20"/>
                <w:szCs w:val="20"/>
              </w:rPr>
            </w:pPr>
            <w:r w:rsidRPr="00BB6660">
              <w:rPr>
                <w:rFonts w:cstheme="minorHAnsi"/>
                <w:sz w:val="20"/>
                <w:szCs w:val="20"/>
              </w:rPr>
              <w:t>wg [26]</w:t>
            </w:r>
          </w:p>
        </w:tc>
        <w:tc>
          <w:tcPr>
            <w:tcW w:w="2835" w:type="dxa"/>
            <w:tcBorders>
              <w:top w:val="single" w:sz="6" w:space="0" w:color="auto"/>
              <w:left w:val="single" w:sz="6" w:space="0" w:color="auto"/>
              <w:bottom w:val="single" w:sz="6" w:space="0" w:color="auto"/>
              <w:right w:val="single" w:sz="6" w:space="0" w:color="auto"/>
            </w:tcBorders>
            <w:hideMark/>
          </w:tcPr>
          <w:p w14:paraId="024D45F8" w14:textId="77777777" w:rsidR="00B81F7B" w:rsidRPr="00BB6660" w:rsidRDefault="00B81F7B" w:rsidP="00BB6660">
            <w:pPr>
              <w:jc w:val="both"/>
              <w:rPr>
                <w:rFonts w:cstheme="minorHAnsi"/>
                <w:sz w:val="20"/>
                <w:szCs w:val="20"/>
              </w:rPr>
            </w:pPr>
            <w:r w:rsidRPr="00BB6660">
              <w:rPr>
                <w:rFonts w:cstheme="minorHAnsi"/>
                <w:sz w:val="20"/>
                <w:szCs w:val="20"/>
              </w:rPr>
              <w:t>wg [26]</w:t>
            </w:r>
          </w:p>
        </w:tc>
      </w:tr>
      <w:tr w:rsidR="00B81F7B" w:rsidRPr="00BB6660" w14:paraId="01B86A8C" w14:textId="77777777">
        <w:tc>
          <w:tcPr>
            <w:tcW w:w="496" w:type="dxa"/>
            <w:tcBorders>
              <w:top w:val="single" w:sz="6" w:space="0" w:color="auto"/>
              <w:left w:val="single" w:sz="6" w:space="0" w:color="auto"/>
              <w:bottom w:val="single" w:sz="6" w:space="0" w:color="auto"/>
              <w:right w:val="single" w:sz="6" w:space="0" w:color="auto"/>
            </w:tcBorders>
            <w:hideMark/>
          </w:tcPr>
          <w:p w14:paraId="362365D0" w14:textId="77777777" w:rsidR="00B81F7B" w:rsidRPr="00BB6660" w:rsidRDefault="00B81F7B" w:rsidP="00BB6660">
            <w:pPr>
              <w:jc w:val="both"/>
              <w:rPr>
                <w:rFonts w:cstheme="minorHAnsi"/>
                <w:sz w:val="20"/>
                <w:szCs w:val="20"/>
              </w:rPr>
            </w:pPr>
            <w:r w:rsidRPr="00BB6660">
              <w:rPr>
                <w:rFonts w:cstheme="minorHAnsi"/>
                <w:sz w:val="20"/>
                <w:szCs w:val="20"/>
              </w:rPr>
              <w:t>3</w:t>
            </w:r>
          </w:p>
        </w:tc>
        <w:tc>
          <w:tcPr>
            <w:tcW w:w="2144" w:type="dxa"/>
            <w:tcBorders>
              <w:top w:val="single" w:sz="6" w:space="0" w:color="auto"/>
              <w:left w:val="single" w:sz="6" w:space="0" w:color="auto"/>
              <w:bottom w:val="single" w:sz="6" w:space="0" w:color="auto"/>
              <w:right w:val="single" w:sz="6" w:space="0" w:color="auto"/>
            </w:tcBorders>
            <w:hideMark/>
          </w:tcPr>
          <w:p w14:paraId="0705AD1D" w14:textId="77777777" w:rsidR="00B81F7B" w:rsidRPr="00BB6660" w:rsidRDefault="00B81F7B" w:rsidP="00BB6660">
            <w:pPr>
              <w:jc w:val="both"/>
              <w:rPr>
                <w:rFonts w:cstheme="minorHAnsi"/>
                <w:sz w:val="20"/>
                <w:szCs w:val="20"/>
              </w:rPr>
            </w:pPr>
            <w:r w:rsidRPr="00BB6660">
              <w:rPr>
                <w:rFonts w:cstheme="minorHAnsi"/>
                <w:sz w:val="20"/>
                <w:szCs w:val="20"/>
              </w:rPr>
              <w:t>Równość poprzeczna</w:t>
            </w:r>
          </w:p>
        </w:tc>
        <w:tc>
          <w:tcPr>
            <w:tcW w:w="2392" w:type="dxa"/>
            <w:tcBorders>
              <w:top w:val="single" w:sz="6" w:space="0" w:color="auto"/>
              <w:left w:val="single" w:sz="6" w:space="0" w:color="auto"/>
              <w:bottom w:val="single" w:sz="6" w:space="0" w:color="auto"/>
              <w:right w:val="single" w:sz="6" w:space="0" w:color="auto"/>
            </w:tcBorders>
            <w:hideMark/>
          </w:tcPr>
          <w:p w14:paraId="7FCEEF1F" w14:textId="77777777" w:rsidR="00B81F7B" w:rsidRPr="00BB6660" w:rsidRDefault="00B81F7B" w:rsidP="00BB6660">
            <w:pPr>
              <w:jc w:val="both"/>
              <w:rPr>
                <w:rFonts w:cstheme="minorHAnsi"/>
                <w:sz w:val="20"/>
                <w:szCs w:val="20"/>
              </w:rPr>
            </w:pPr>
            <w:r w:rsidRPr="00BB6660">
              <w:rPr>
                <w:rFonts w:cstheme="minorHAnsi"/>
                <w:sz w:val="20"/>
                <w:szCs w:val="20"/>
              </w:rPr>
              <w:t>wg [26]</w:t>
            </w:r>
          </w:p>
        </w:tc>
        <w:tc>
          <w:tcPr>
            <w:tcW w:w="2835" w:type="dxa"/>
            <w:tcBorders>
              <w:top w:val="single" w:sz="6" w:space="0" w:color="auto"/>
              <w:left w:val="single" w:sz="6" w:space="0" w:color="auto"/>
              <w:bottom w:val="single" w:sz="6" w:space="0" w:color="auto"/>
              <w:right w:val="single" w:sz="6" w:space="0" w:color="auto"/>
            </w:tcBorders>
            <w:hideMark/>
          </w:tcPr>
          <w:p w14:paraId="40B8844E" w14:textId="77777777" w:rsidR="00B81F7B" w:rsidRPr="00BB6660" w:rsidRDefault="00B81F7B" w:rsidP="00BB6660">
            <w:pPr>
              <w:jc w:val="both"/>
              <w:rPr>
                <w:rFonts w:cstheme="minorHAnsi"/>
                <w:sz w:val="20"/>
                <w:szCs w:val="20"/>
              </w:rPr>
            </w:pPr>
            <w:r w:rsidRPr="00BB6660">
              <w:rPr>
                <w:rFonts w:cstheme="minorHAnsi"/>
                <w:sz w:val="20"/>
                <w:szCs w:val="20"/>
              </w:rPr>
              <w:t>wg [26]</w:t>
            </w:r>
          </w:p>
        </w:tc>
      </w:tr>
      <w:tr w:rsidR="00B81F7B" w:rsidRPr="00BB6660" w14:paraId="4730539C" w14:textId="77777777">
        <w:tc>
          <w:tcPr>
            <w:tcW w:w="496" w:type="dxa"/>
            <w:tcBorders>
              <w:top w:val="single" w:sz="6" w:space="0" w:color="auto"/>
              <w:left w:val="single" w:sz="6" w:space="0" w:color="auto"/>
              <w:bottom w:val="single" w:sz="6" w:space="0" w:color="auto"/>
              <w:right w:val="single" w:sz="6" w:space="0" w:color="auto"/>
            </w:tcBorders>
            <w:hideMark/>
          </w:tcPr>
          <w:p w14:paraId="1ADC37E8" w14:textId="77777777" w:rsidR="00B81F7B" w:rsidRPr="00BB6660" w:rsidRDefault="00B81F7B" w:rsidP="00BB6660">
            <w:pPr>
              <w:jc w:val="both"/>
              <w:rPr>
                <w:rFonts w:cstheme="minorHAnsi"/>
                <w:sz w:val="20"/>
                <w:szCs w:val="20"/>
              </w:rPr>
            </w:pPr>
            <w:r w:rsidRPr="00BB6660">
              <w:rPr>
                <w:rFonts w:cstheme="minorHAnsi"/>
                <w:sz w:val="20"/>
                <w:szCs w:val="20"/>
              </w:rPr>
              <w:t>4</w:t>
            </w:r>
          </w:p>
        </w:tc>
        <w:tc>
          <w:tcPr>
            <w:tcW w:w="2144" w:type="dxa"/>
            <w:tcBorders>
              <w:top w:val="single" w:sz="6" w:space="0" w:color="auto"/>
              <w:left w:val="single" w:sz="6" w:space="0" w:color="auto"/>
              <w:bottom w:val="single" w:sz="6" w:space="0" w:color="auto"/>
              <w:right w:val="single" w:sz="6" w:space="0" w:color="auto"/>
            </w:tcBorders>
            <w:hideMark/>
          </w:tcPr>
          <w:p w14:paraId="0D5977DC" w14:textId="77777777" w:rsidR="00B81F7B" w:rsidRPr="00BB6660" w:rsidRDefault="00B81F7B" w:rsidP="00BB6660">
            <w:pPr>
              <w:jc w:val="both"/>
              <w:rPr>
                <w:rFonts w:cstheme="minorHAnsi"/>
                <w:sz w:val="20"/>
                <w:szCs w:val="20"/>
              </w:rPr>
            </w:pPr>
            <w:r w:rsidRPr="00BB6660">
              <w:rPr>
                <w:rFonts w:cstheme="minorHAnsi"/>
                <w:sz w:val="20"/>
                <w:szCs w:val="20"/>
              </w:rPr>
              <w:t xml:space="preserve">Spadki poprzeczne </w:t>
            </w:r>
          </w:p>
        </w:tc>
        <w:tc>
          <w:tcPr>
            <w:tcW w:w="2392" w:type="dxa"/>
            <w:tcBorders>
              <w:top w:val="single" w:sz="6" w:space="0" w:color="auto"/>
              <w:left w:val="single" w:sz="6" w:space="0" w:color="auto"/>
              <w:bottom w:val="single" w:sz="6" w:space="0" w:color="auto"/>
              <w:right w:val="single" w:sz="6" w:space="0" w:color="auto"/>
            </w:tcBorders>
            <w:hideMark/>
          </w:tcPr>
          <w:p w14:paraId="3C57DC5C" w14:textId="77777777" w:rsidR="00B81F7B" w:rsidRPr="00BB6660" w:rsidRDefault="00B81F7B" w:rsidP="00BB6660">
            <w:pPr>
              <w:jc w:val="both"/>
              <w:rPr>
                <w:rFonts w:cstheme="minorHAnsi"/>
                <w:sz w:val="20"/>
                <w:szCs w:val="20"/>
              </w:rPr>
            </w:pPr>
            <w:r w:rsidRPr="00BB6660">
              <w:rPr>
                <w:rFonts w:cstheme="minorHAnsi"/>
                <w:sz w:val="20"/>
                <w:szCs w:val="20"/>
              </w:rPr>
              <w:t>co 100 m</w:t>
            </w:r>
          </w:p>
        </w:tc>
        <w:tc>
          <w:tcPr>
            <w:tcW w:w="2835" w:type="dxa"/>
            <w:tcBorders>
              <w:top w:val="single" w:sz="6" w:space="0" w:color="auto"/>
              <w:left w:val="single" w:sz="6" w:space="0" w:color="auto"/>
              <w:bottom w:val="single" w:sz="6" w:space="0" w:color="auto"/>
              <w:right w:val="single" w:sz="6" w:space="0" w:color="auto"/>
            </w:tcBorders>
            <w:hideMark/>
          </w:tcPr>
          <w:p w14:paraId="11AD7A0F" w14:textId="77777777" w:rsidR="00B81F7B" w:rsidRPr="00BB6660" w:rsidRDefault="00B81F7B" w:rsidP="00BB6660">
            <w:pPr>
              <w:jc w:val="both"/>
              <w:rPr>
                <w:rFonts w:cstheme="minorHAnsi"/>
                <w:sz w:val="20"/>
                <w:szCs w:val="20"/>
              </w:rPr>
            </w:pPr>
            <w:r w:rsidRPr="00BB6660">
              <w:rPr>
                <w:rFonts w:cstheme="minorHAnsi"/>
                <w:sz w:val="20"/>
                <w:szCs w:val="20"/>
              </w:rPr>
              <w:t>± 0,5% dopuszczalna tolerancja od dokumentacji projektowej</w:t>
            </w:r>
          </w:p>
        </w:tc>
      </w:tr>
      <w:tr w:rsidR="00B81F7B" w:rsidRPr="00BB6660" w14:paraId="2C0B0A14" w14:textId="77777777">
        <w:tc>
          <w:tcPr>
            <w:tcW w:w="496" w:type="dxa"/>
            <w:tcBorders>
              <w:top w:val="single" w:sz="6" w:space="0" w:color="auto"/>
              <w:left w:val="single" w:sz="6" w:space="0" w:color="auto"/>
              <w:bottom w:val="single" w:sz="6" w:space="0" w:color="auto"/>
              <w:right w:val="single" w:sz="6" w:space="0" w:color="auto"/>
            </w:tcBorders>
            <w:hideMark/>
          </w:tcPr>
          <w:p w14:paraId="2404706C" w14:textId="77777777" w:rsidR="00B81F7B" w:rsidRPr="00BB6660" w:rsidRDefault="00B81F7B" w:rsidP="00BB6660">
            <w:pPr>
              <w:jc w:val="both"/>
              <w:rPr>
                <w:rFonts w:cstheme="minorHAnsi"/>
                <w:sz w:val="20"/>
                <w:szCs w:val="20"/>
              </w:rPr>
            </w:pPr>
            <w:r w:rsidRPr="00BB6660">
              <w:rPr>
                <w:rFonts w:cstheme="minorHAnsi"/>
                <w:sz w:val="20"/>
                <w:szCs w:val="20"/>
              </w:rPr>
              <w:t>5</w:t>
            </w:r>
          </w:p>
        </w:tc>
        <w:tc>
          <w:tcPr>
            <w:tcW w:w="2144" w:type="dxa"/>
            <w:tcBorders>
              <w:top w:val="single" w:sz="6" w:space="0" w:color="auto"/>
              <w:left w:val="single" w:sz="6" w:space="0" w:color="auto"/>
              <w:bottom w:val="single" w:sz="6" w:space="0" w:color="auto"/>
              <w:right w:val="single" w:sz="6" w:space="0" w:color="auto"/>
            </w:tcBorders>
            <w:hideMark/>
          </w:tcPr>
          <w:p w14:paraId="5959B686" w14:textId="77777777" w:rsidR="00B81F7B" w:rsidRPr="00BB6660" w:rsidRDefault="00B81F7B" w:rsidP="00BB6660">
            <w:pPr>
              <w:jc w:val="both"/>
              <w:rPr>
                <w:rFonts w:cstheme="minorHAnsi"/>
                <w:sz w:val="20"/>
                <w:szCs w:val="20"/>
              </w:rPr>
            </w:pPr>
            <w:r w:rsidRPr="00BB6660">
              <w:rPr>
                <w:rFonts w:cstheme="minorHAnsi"/>
                <w:sz w:val="20"/>
                <w:szCs w:val="20"/>
              </w:rPr>
              <w:t>Rzędne wysokościowe</w:t>
            </w:r>
          </w:p>
        </w:tc>
        <w:tc>
          <w:tcPr>
            <w:tcW w:w="2392" w:type="dxa"/>
            <w:tcBorders>
              <w:top w:val="single" w:sz="6" w:space="0" w:color="auto"/>
              <w:left w:val="single" w:sz="6" w:space="0" w:color="auto"/>
              <w:bottom w:val="single" w:sz="6" w:space="0" w:color="auto"/>
              <w:right w:val="single" w:sz="6" w:space="0" w:color="auto"/>
            </w:tcBorders>
            <w:hideMark/>
          </w:tcPr>
          <w:p w14:paraId="61BC23F8" w14:textId="77777777" w:rsidR="00B81F7B" w:rsidRPr="00BB6660" w:rsidRDefault="00B81F7B" w:rsidP="00BB6660">
            <w:pPr>
              <w:jc w:val="both"/>
              <w:rPr>
                <w:rFonts w:cstheme="minorHAnsi"/>
                <w:sz w:val="20"/>
                <w:szCs w:val="20"/>
              </w:rPr>
            </w:pPr>
            <w:r w:rsidRPr="00BB6660">
              <w:rPr>
                <w:rFonts w:cstheme="minorHAnsi"/>
                <w:sz w:val="20"/>
                <w:szCs w:val="20"/>
              </w:rPr>
              <w:t>wg [26]</w:t>
            </w:r>
          </w:p>
        </w:tc>
        <w:tc>
          <w:tcPr>
            <w:tcW w:w="2835" w:type="dxa"/>
            <w:tcBorders>
              <w:top w:val="single" w:sz="6" w:space="0" w:color="auto"/>
              <w:left w:val="single" w:sz="6" w:space="0" w:color="auto"/>
              <w:bottom w:val="single" w:sz="6" w:space="0" w:color="auto"/>
              <w:right w:val="single" w:sz="6" w:space="0" w:color="auto"/>
            </w:tcBorders>
            <w:hideMark/>
          </w:tcPr>
          <w:p w14:paraId="09BCD383" w14:textId="77777777" w:rsidR="00B81F7B" w:rsidRPr="00BB6660" w:rsidRDefault="00B81F7B" w:rsidP="00BB6660">
            <w:pPr>
              <w:jc w:val="both"/>
              <w:rPr>
                <w:rFonts w:cstheme="minorHAnsi"/>
                <w:sz w:val="20"/>
                <w:szCs w:val="20"/>
              </w:rPr>
            </w:pPr>
            <w:r w:rsidRPr="00BB6660">
              <w:rPr>
                <w:rFonts w:cstheme="minorHAnsi"/>
                <w:sz w:val="20"/>
                <w:szCs w:val="20"/>
              </w:rPr>
              <w:t>wg [26]</w:t>
            </w:r>
          </w:p>
        </w:tc>
      </w:tr>
      <w:tr w:rsidR="00B81F7B" w:rsidRPr="00BB6660" w14:paraId="3BE78C1E" w14:textId="77777777">
        <w:tc>
          <w:tcPr>
            <w:tcW w:w="496" w:type="dxa"/>
            <w:tcBorders>
              <w:top w:val="single" w:sz="6" w:space="0" w:color="auto"/>
              <w:left w:val="single" w:sz="6" w:space="0" w:color="auto"/>
              <w:bottom w:val="single" w:sz="6" w:space="0" w:color="auto"/>
              <w:right w:val="single" w:sz="6" w:space="0" w:color="auto"/>
            </w:tcBorders>
            <w:hideMark/>
          </w:tcPr>
          <w:p w14:paraId="3E8E71AA" w14:textId="77777777" w:rsidR="00B81F7B" w:rsidRPr="00BB6660" w:rsidRDefault="00B81F7B" w:rsidP="00BB6660">
            <w:pPr>
              <w:jc w:val="both"/>
              <w:rPr>
                <w:rFonts w:cstheme="minorHAnsi"/>
                <w:sz w:val="20"/>
                <w:szCs w:val="20"/>
              </w:rPr>
            </w:pPr>
            <w:r w:rsidRPr="00BB6660">
              <w:rPr>
                <w:rFonts w:cstheme="minorHAnsi"/>
                <w:sz w:val="20"/>
                <w:szCs w:val="20"/>
              </w:rPr>
              <w:t>6</w:t>
            </w:r>
          </w:p>
        </w:tc>
        <w:tc>
          <w:tcPr>
            <w:tcW w:w="2144" w:type="dxa"/>
            <w:tcBorders>
              <w:top w:val="single" w:sz="6" w:space="0" w:color="auto"/>
              <w:left w:val="single" w:sz="6" w:space="0" w:color="auto"/>
              <w:bottom w:val="single" w:sz="6" w:space="0" w:color="auto"/>
              <w:right w:val="single" w:sz="6" w:space="0" w:color="auto"/>
            </w:tcBorders>
            <w:hideMark/>
          </w:tcPr>
          <w:p w14:paraId="79AB5CC6" w14:textId="77777777" w:rsidR="00B81F7B" w:rsidRPr="00BB6660" w:rsidRDefault="00B81F7B" w:rsidP="00BB6660">
            <w:pPr>
              <w:jc w:val="both"/>
              <w:rPr>
                <w:rFonts w:cstheme="minorHAnsi"/>
                <w:sz w:val="20"/>
                <w:szCs w:val="20"/>
              </w:rPr>
            </w:pPr>
            <w:r w:rsidRPr="00BB6660">
              <w:rPr>
                <w:rFonts w:cstheme="minorHAnsi"/>
                <w:sz w:val="20"/>
                <w:szCs w:val="20"/>
              </w:rPr>
              <w:t xml:space="preserve">Ukształtowanie osi w planie </w:t>
            </w:r>
          </w:p>
        </w:tc>
        <w:tc>
          <w:tcPr>
            <w:tcW w:w="2392" w:type="dxa"/>
            <w:tcBorders>
              <w:top w:val="single" w:sz="6" w:space="0" w:color="auto"/>
              <w:left w:val="single" w:sz="6" w:space="0" w:color="auto"/>
              <w:bottom w:val="single" w:sz="6" w:space="0" w:color="auto"/>
              <w:right w:val="single" w:sz="6" w:space="0" w:color="auto"/>
            </w:tcBorders>
            <w:hideMark/>
          </w:tcPr>
          <w:p w14:paraId="3E1305DA" w14:textId="77777777" w:rsidR="00B81F7B" w:rsidRPr="00BB6660" w:rsidRDefault="00B81F7B" w:rsidP="00BB6660">
            <w:pPr>
              <w:jc w:val="both"/>
              <w:rPr>
                <w:rFonts w:cstheme="minorHAnsi"/>
                <w:sz w:val="20"/>
                <w:szCs w:val="20"/>
              </w:rPr>
            </w:pPr>
            <w:r w:rsidRPr="00BB6660">
              <w:rPr>
                <w:rFonts w:cstheme="minorHAnsi"/>
                <w:sz w:val="20"/>
                <w:szCs w:val="20"/>
              </w:rPr>
              <w:t>co 100 m</w:t>
            </w:r>
          </w:p>
        </w:tc>
        <w:tc>
          <w:tcPr>
            <w:tcW w:w="2835" w:type="dxa"/>
            <w:tcBorders>
              <w:top w:val="single" w:sz="6" w:space="0" w:color="auto"/>
              <w:left w:val="single" w:sz="6" w:space="0" w:color="auto"/>
              <w:bottom w:val="single" w:sz="6" w:space="0" w:color="auto"/>
              <w:right w:val="single" w:sz="6" w:space="0" w:color="auto"/>
            </w:tcBorders>
            <w:hideMark/>
          </w:tcPr>
          <w:p w14:paraId="7AD441A7" w14:textId="77777777" w:rsidR="00B81F7B" w:rsidRPr="00BB6660" w:rsidRDefault="00B81F7B" w:rsidP="00BB6660">
            <w:pPr>
              <w:jc w:val="both"/>
              <w:rPr>
                <w:rFonts w:cstheme="minorHAnsi"/>
                <w:sz w:val="20"/>
                <w:szCs w:val="20"/>
              </w:rPr>
            </w:pPr>
            <w:r w:rsidRPr="00BB6660">
              <w:rPr>
                <w:rFonts w:cstheme="minorHAnsi"/>
                <w:sz w:val="20"/>
                <w:szCs w:val="20"/>
              </w:rPr>
              <w:t>Przesunięcie od osi projektowanej ± 5 cm</w:t>
            </w:r>
          </w:p>
        </w:tc>
      </w:tr>
      <w:tr w:rsidR="00B81F7B" w:rsidRPr="00BB6660" w14:paraId="6D0F1F96" w14:textId="77777777">
        <w:tc>
          <w:tcPr>
            <w:tcW w:w="496" w:type="dxa"/>
            <w:tcBorders>
              <w:top w:val="single" w:sz="6" w:space="0" w:color="auto"/>
              <w:left w:val="single" w:sz="6" w:space="0" w:color="auto"/>
              <w:bottom w:val="single" w:sz="6" w:space="0" w:color="auto"/>
              <w:right w:val="single" w:sz="6" w:space="0" w:color="auto"/>
            </w:tcBorders>
            <w:hideMark/>
          </w:tcPr>
          <w:p w14:paraId="3CF73CD5" w14:textId="77777777" w:rsidR="00B81F7B" w:rsidRPr="00BB6660" w:rsidRDefault="00B81F7B" w:rsidP="00BB6660">
            <w:pPr>
              <w:jc w:val="both"/>
              <w:rPr>
                <w:rFonts w:cstheme="minorHAnsi"/>
                <w:sz w:val="20"/>
                <w:szCs w:val="20"/>
              </w:rPr>
            </w:pPr>
            <w:r w:rsidRPr="00BB6660">
              <w:rPr>
                <w:rFonts w:cstheme="minorHAnsi"/>
                <w:sz w:val="20"/>
                <w:szCs w:val="20"/>
              </w:rPr>
              <w:t>7</w:t>
            </w:r>
          </w:p>
        </w:tc>
        <w:tc>
          <w:tcPr>
            <w:tcW w:w="2144" w:type="dxa"/>
            <w:tcBorders>
              <w:top w:val="single" w:sz="6" w:space="0" w:color="auto"/>
              <w:left w:val="single" w:sz="6" w:space="0" w:color="auto"/>
              <w:bottom w:val="single" w:sz="6" w:space="0" w:color="auto"/>
              <w:right w:val="single" w:sz="6" w:space="0" w:color="auto"/>
            </w:tcBorders>
            <w:hideMark/>
          </w:tcPr>
          <w:p w14:paraId="73E57A5D" w14:textId="77777777" w:rsidR="00B81F7B" w:rsidRPr="00BB6660" w:rsidRDefault="00B81F7B" w:rsidP="00BB6660">
            <w:pPr>
              <w:jc w:val="both"/>
              <w:rPr>
                <w:rFonts w:cstheme="minorHAnsi"/>
                <w:sz w:val="20"/>
                <w:szCs w:val="20"/>
              </w:rPr>
            </w:pPr>
            <w:r w:rsidRPr="00BB6660">
              <w:rPr>
                <w:rFonts w:cstheme="minorHAnsi"/>
                <w:sz w:val="20"/>
                <w:szCs w:val="20"/>
              </w:rPr>
              <w:t xml:space="preserve">Grubość podbudowy </w:t>
            </w:r>
          </w:p>
          <w:p w14:paraId="45942A76" w14:textId="77777777" w:rsidR="00B81F7B" w:rsidRPr="00BB6660" w:rsidRDefault="00B81F7B" w:rsidP="00BB6660">
            <w:pPr>
              <w:jc w:val="both"/>
              <w:rPr>
                <w:rFonts w:cstheme="minorHAnsi"/>
                <w:sz w:val="20"/>
                <w:szCs w:val="20"/>
              </w:rPr>
            </w:pPr>
            <w:r w:rsidRPr="00BB6660">
              <w:rPr>
                <w:rFonts w:cstheme="minorHAnsi"/>
                <w:sz w:val="20"/>
                <w:szCs w:val="20"/>
              </w:rPr>
              <w:t>i ulepszonego podłoża</w:t>
            </w:r>
          </w:p>
        </w:tc>
        <w:tc>
          <w:tcPr>
            <w:tcW w:w="2392" w:type="dxa"/>
            <w:tcBorders>
              <w:top w:val="single" w:sz="6" w:space="0" w:color="auto"/>
              <w:left w:val="single" w:sz="6" w:space="0" w:color="auto"/>
              <w:bottom w:val="single" w:sz="6" w:space="0" w:color="auto"/>
              <w:right w:val="single" w:sz="6" w:space="0" w:color="auto"/>
            </w:tcBorders>
            <w:hideMark/>
          </w:tcPr>
          <w:p w14:paraId="602DC143" w14:textId="77777777" w:rsidR="00B81F7B" w:rsidRPr="00BB6660" w:rsidRDefault="00B81F7B" w:rsidP="00BB6660">
            <w:pPr>
              <w:jc w:val="both"/>
              <w:rPr>
                <w:rFonts w:cstheme="minorHAnsi"/>
                <w:sz w:val="20"/>
                <w:szCs w:val="20"/>
              </w:rPr>
            </w:pPr>
            <w:r w:rsidRPr="00BB6660">
              <w:rPr>
                <w:rFonts w:cstheme="minorHAnsi"/>
                <w:sz w:val="20"/>
                <w:szCs w:val="20"/>
              </w:rPr>
              <w:t>w 3 punktach, lecz nie rzadziej niż raz na 1000 m</w:t>
            </w:r>
            <w:r w:rsidRPr="00BB6660">
              <w:rPr>
                <w:rFonts w:cstheme="minorHAnsi"/>
                <w:sz w:val="20"/>
                <w:szCs w:val="20"/>
                <w:vertAlign w:val="superscript"/>
              </w:rPr>
              <w:t>2</w:t>
            </w:r>
          </w:p>
        </w:tc>
        <w:tc>
          <w:tcPr>
            <w:tcW w:w="2835" w:type="dxa"/>
            <w:tcBorders>
              <w:top w:val="single" w:sz="6" w:space="0" w:color="auto"/>
              <w:left w:val="single" w:sz="6" w:space="0" w:color="auto"/>
              <w:bottom w:val="single" w:sz="6" w:space="0" w:color="auto"/>
              <w:right w:val="single" w:sz="6" w:space="0" w:color="auto"/>
            </w:tcBorders>
            <w:hideMark/>
          </w:tcPr>
          <w:p w14:paraId="565C23B8" w14:textId="77777777" w:rsidR="00B81F7B" w:rsidRPr="00BB6660" w:rsidRDefault="00B81F7B" w:rsidP="00BB6660">
            <w:pPr>
              <w:jc w:val="both"/>
              <w:rPr>
                <w:rFonts w:cstheme="minorHAnsi"/>
                <w:sz w:val="20"/>
                <w:szCs w:val="20"/>
              </w:rPr>
            </w:pPr>
            <w:r w:rsidRPr="00BB6660">
              <w:rPr>
                <w:rFonts w:cstheme="minorHAnsi"/>
                <w:sz w:val="20"/>
                <w:szCs w:val="20"/>
              </w:rPr>
              <w:t>Różnice od grubości projekto-wanej dla:</w:t>
            </w:r>
          </w:p>
          <w:p w14:paraId="27D337C4" w14:textId="77777777" w:rsidR="00B81F7B" w:rsidRPr="00BB6660" w:rsidRDefault="00B81F7B">
            <w:pPr>
              <w:numPr>
                <w:ilvl w:val="0"/>
                <w:numId w:val="178"/>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podbudowy zasadniczej ±10%</w:t>
            </w:r>
          </w:p>
        </w:tc>
      </w:tr>
    </w:tbl>
    <w:p w14:paraId="783B9EF9" w14:textId="77777777" w:rsidR="00B81F7B" w:rsidRPr="00BB6660" w:rsidRDefault="00B81F7B" w:rsidP="00BB6660">
      <w:pPr>
        <w:pStyle w:val="Nagwek1"/>
        <w:rPr>
          <w:rFonts w:asciiTheme="minorHAnsi" w:hAnsiTheme="minorHAnsi" w:cstheme="minorHAnsi"/>
          <w:sz w:val="20"/>
        </w:rPr>
      </w:pPr>
      <w:bookmarkStart w:id="3094" w:name="_Toc332010317"/>
      <w:bookmarkStart w:id="3095" w:name="_Toc227825414"/>
      <w:r w:rsidRPr="00BB6660">
        <w:rPr>
          <w:rFonts w:asciiTheme="minorHAnsi" w:hAnsiTheme="minorHAnsi" w:cstheme="minorHAnsi"/>
          <w:sz w:val="20"/>
        </w:rPr>
        <w:lastRenderedPageBreak/>
        <w:t xml:space="preserve">7. </w:t>
      </w:r>
      <w:bookmarkEnd w:id="3090"/>
      <w:bookmarkEnd w:id="3091"/>
      <w:bookmarkEnd w:id="3092"/>
      <w:bookmarkEnd w:id="3093"/>
      <w:r w:rsidRPr="00BB6660">
        <w:rPr>
          <w:rFonts w:asciiTheme="minorHAnsi" w:hAnsiTheme="minorHAnsi" w:cstheme="minorHAnsi"/>
          <w:sz w:val="20"/>
        </w:rPr>
        <w:t>OBMIAR ROBOT</w:t>
      </w:r>
      <w:bookmarkEnd w:id="3094"/>
      <w:bookmarkEnd w:id="3095"/>
    </w:p>
    <w:p w14:paraId="224E9C70" w14:textId="77777777" w:rsidR="00B81F7B" w:rsidRPr="00BB6660" w:rsidRDefault="00B81F7B" w:rsidP="00BB6660">
      <w:pPr>
        <w:pStyle w:val="Nagwek2"/>
        <w:numPr>
          <w:ilvl w:val="12"/>
          <w:numId w:val="0"/>
        </w:numPr>
        <w:rPr>
          <w:rFonts w:asciiTheme="minorHAnsi" w:hAnsiTheme="minorHAnsi" w:cstheme="minorHAnsi"/>
          <w:sz w:val="20"/>
        </w:rPr>
      </w:pPr>
      <w:bookmarkStart w:id="3096" w:name="_Toc227825415"/>
      <w:r w:rsidRPr="00BB6660">
        <w:rPr>
          <w:rFonts w:asciiTheme="minorHAnsi" w:hAnsiTheme="minorHAnsi" w:cstheme="minorHAnsi"/>
          <w:sz w:val="20"/>
        </w:rPr>
        <w:t>7.1. Ogólne zasady obmiaru robót</w:t>
      </w:r>
      <w:bookmarkEnd w:id="3096"/>
    </w:p>
    <w:p w14:paraId="3CD43068" w14:textId="193CAC74" w:rsidR="00B81F7B" w:rsidRPr="00BB6660" w:rsidRDefault="00B81F7B" w:rsidP="00BB6660">
      <w:pPr>
        <w:numPr>
          <w:ilvl w:val="12"/>
          <w:numId w:val="0"/>
        </w:numPr>
        <w:jc w:val="both"/>
        <w:rPr>
          <w:rFonts w:cstheme="minorHAnsi"/>
          <w:sz w:val="20"/>
          <w:szCs w:val="20"/>
        </w:rPr>
      </w:pPr>
      <w:r w:rsidRPr="00BB6660">
        <w:rPr>
          <w:rFonts w:cstheme="minorHAnsi"/>
          <w:sz w:val="20"/>
          <w:szCs w:val="20"/>
        </w:rPr>
        <w:tab/>
        <w:t xml:space="preserve">Ogólne zasady obmiaru robót podano w </w:t>
      </w:r>
      <w:r w:rsidR="004F465D" w:rsidRPr="00BB6660">
        <w:rPr>
          <w:rFonts w:cstheme="minorHAnsi"/>
          <w:sz w:val="20"/>
          <w:szCs w:val="20"/>
        </w:rPr>
        <w:t>SST D</w:t>
      </w:r>
      <w:r w:rsidRPr="00BB6660">
        <w:rPr>
          <w:rFonts w:cstheme="minorHAnsi"/>
          <w:sz w:val="20"/>
          <w:szCs w:val="20"/>
        </w:rPr>
        <w:t>-00.00.00 „Wymagania ogólne” [1] pkt 7.</w:t>
      </w:r>
    </w:p>
    <w:p w14:paraId="3351D6B4" w14:textId="77777777" w:rsidR="00B81F7B" w:rsidRPr="00BB6660" w:rsidRDefault="00B81F7B" w:rsidP="00BB6660">
      <w:pPr>
        <w:pStyle w:val="Nagwek2"/>
        <w:numPr>
          <w:ilvl w:val="12"/>
          <w:numId w:val="0"/>
        </w:numPr>
        <w:rPr>
          <w:rFonts w:asciiTheme="minorHAnsi" w:hAnsiTheme="minorHAnsi" w:cstheme="minorHAnsi"/>
          <w:sz w:val="20"/>
        </w:rPr>
      </w:pPr>
      <w:bookmarkStart w:id="3097" w:name="_Toc227825416"/>
      <w:r w:rsidRPr="00BB6660">
        <w:rPr>
          <w:rFonts w:asciiTheme="minorHAnsi" w:hAnsiTheme="minorHAnsi" w:cstheme="minorHAnsi"/>
          <w:sz w:val="20"/>
        </w:rPr>
        <w:t>7.2. Jednostka obmiarowa</w:t>
      </w:r>
      <w:bookmarkEnd w:id="3097"/>
    </w:p>
    <w:p w14:paraId="65A697D2" w14:textId="77777777" w:rsidR="00B81F7B" w:rsidRPr="00BB6660" w:rsidRDefault="00B81F7B" w:rsidP="00BB6660">
      <w:pPr>
        <w:jc w:val="both"/>
        <w:rPr>
          <w:rFonts w:cstheme="minorHAnsi"/>
          <w:sz w:val="20"/>
          <w:szCs w:val="20"/>
        </w:rPr>
      </w:pPr>
      <w:r w:rsidRPr="00BB6660">
        <w:rPr>
          <w:rFonts w:cstheme="minorHAnsi"/>
          <w:sz w:val="20"/>
          <w:szCs w:val="20"/>
        </w:rPr>
        <w:tab/>
        <w:t>Jednostką obmiarową jest m</w:t>
      </w:r>
      <w:r w:rsidRPr="00BB6660">
        <w:rPr>
          <w:rFonts w:cstheme="minorHAnsi"/>
          <w:sz w:val="20"/>
          <w:szCs w:val="20"/>
          <w:vertAlign w:val="superscript"/>
        </w:rPr>
        <w:t>2</w:t>
      </w:r>
      <w:r w:rsidRPr="00BB6660">
        <w:rPr>
          <w:rFonts w:cstheme="minorHAnsi"/>
          <w:sz w:val="20"/>
          <w:szCs w:val="20"/>
        </w:rPr>
        <w:t xml:space="preserve"> (metr kwadratowy) wykonanej podbudowy.</w:t>
      </w:r>
    </w:p>
    <w:p w14:paraId="431B4ABA" w14:textId="77777777" w:rsidR="00B81F7B" w:rsidRPr="00BB6660" w:rsidRDefault="00B81F7B" w:rsidP="00BB6660">
      <w:pPr>
        <w:pStyle w:val="Nagwek1"/>
        <w:numPr>
          <w:ilvl w:val="12"/>
          <w:numId w:val="0"/>
        </w:numPr>
        <w:rPr>
          <w:rFonts w:asciiTheme="minorHAnsi" w:hAnsiTheme="minorHAnsi" w:cstheme="minorHAnsi"/>
          <w:sz w:val="20"/>
        </w:rPr>
      </w:pPr>
      <w:r w:rsidRPr="00BB6660">
        <w:rPr>
          <w:rFonts w:asciiTheme="minorHAnsi" w:hAnsiTheme="minorHAnsi" w:cstheme="minorHAnsi"/>
          <w:sz w:val="20"/>
        </w:rPr>
        <w:t xml:space="preserve"> </w:t>
      </w:r>
      <w:bookmarkStart w:id="3098" w:name="_Toc216843090"/>
      <w:bookmarkStart w:id="3099" w:name="_Toc257193993"/>
      <w:bookmarkStart w:id="3100" w:name="_Toc284409960"/>
      <w:bookmarkStart w:id="3101" w:name="_Toc295205112"/>
      <w:bookmarkStart w:id="3102" w:name="_Toc332010318"/>
      <w:bookmarkStart w:id="3103" w:name="_Toc227825417"/>
      <w:r w:rsidRPr="00BB6660">
        <w:rPr>
          <w:rFonts w:asciiTheme="minorHAnsi" w:hAnsiTheme="minorHAnsi" w:cstheme="minorHAnsi"/>
          <w:sz w:val="20"/>
        </w:rPr>
        <w:t xml:space="preserve">8. </w:t>
      </w:r>
      <w:bookmarkEnd w:id="3098"/>
      <w:bookmarkEnd w:id="3099"/>
      <w:bookmarkEnd w:id="3100"/>
      <w:bookmarkEnd w:id="3101"/>
      <w:r w:rsidRPr="00BB6660">
        <w:rPr>
          <w:rFonts w:asciiTheme="minorHAnsi" w:hAnsiTheme="minorHAnsi" w:cstheme="minorHAnsi"/>
          <w:sz w:val="20"/>
        </w:rPr>
        <w:t>ODBIÓR ROBÓT</w:t>
      </w:r>
      <w:bookmarkEnd w:id="3102"/>
      <w:bookmarkEnd w:id="3103"/>
    </w:p>
    <w:p w14:paraId="090E8995" w14:textId="5F6142F1" w:rsidR="00B81F7B" w:rsidRPr="00BB6660" w:rsidRDefault="00B81F7B" w:rsidP="00BB6660">
      <w:pPr>
        <w:numPr>
          <w:ilvl w:val="12"/>
          <w:numId w:val="0"/>
        </w:numPr>
        <w:jc w:val="both"/>
        <w:rPr>
          <w:rFonts w:cstheme="minorHAnsi"/>
          <w:sz w:val="20"/>
          <w:szCs w:val="20"/>
        </w:rPr>
      </w:pPr>
      <w:r w:rsidRPr="00BB6660">
        <w:rPr>
          <w:rFonts w:cstheme="minorHAnsi"/>
          <w:sz w:val="20"/>
          <w:szCs w:val="20"/>
        </w:rPr>
        <w:tab/>
        <w:t xml:space="preserve">Ogólne zasady odbioru robót podano w </w:t>
      </w:r>
      <w:r w:rsidR="004F465D" w:rsidRPr="00BB6660">
        <w:rPr>
          <w:rFonts w:cstheme="minorHAnsi"/>
          <w:sz w:val="20"/>
          <w:szCs w:val="20"/>
        </w:rPr>
        <w:t>SST D</w:t>
      </w:r>
      <w:r w:rsidRPr="00BB6660">
        <w:rPr>
          <w:rFonts w:cstheme="minorHAnsi"/>
          <w:sz w:val="20"/>
          <w:szCs w:val="20"/>
        </w:rPr>
        <w:t>-00.00.00 „Wymagania ogólne” [1] pkt 8.</w:t>
      </w:r>
    </w:p>
    <w:p w14:paraId="0DC0BB99" w14:textId="77777777" w:rsidR="00B81F7B" w:rsidRPr="00BB6660" w:rsidRDefault="00B81F7B" w:rsidP="00BB6660">
      <w:pPr>
        <w:numPr>
          <w:ilvl w:val="12"/>
          <w:numId w:val="0"/>
        </w:numPr>
        <w:jc w:val="both"/>
        <w:rPr>
          <w:rFonts w:cstheme="minorHAnsi"/>
          <w:sz w:val="20"/>
          <w:szCs w:val="20"/>
        </w:rPr>
      </w:pPr>
      <w:r w:rsidRPr="00BB6660">
        <w:rPr>
          <w:rFonts w:cstheme="minorHAnsi"/>
          <w:sz w:val="20"/>
          <w:szCs w:val="20"/>
        </w:rPr>
        <w:tab/>
        <w:t>Roboty uznaje się za wykonane zgodnie z dokumentacją projektową, ST i wymaganiami Inżyniera, jeżeli wszystkie pomiary i badania z zachowaniem tolerancji według punktu 6 dały wyniki pozytywne.</w:t>
      </w:r>
    </w:p>
    <w:p w14:paraId="35E9A557" w14:textId="77777777" w:rsidR="00B81F7B" w:rsidRPr="00BB6660" w:rsidRDefault="00B81F7B" w:rsidP="00BB6660">
      <w:pPr>
        <w:pStyle w:val="Nagwek1"/>
        <w:numPr>
          <w:ilvl w:val="12"/>
          <w:numId w:val="0"/>
        </w:numPr>
        <w:rPr>
          <w:rFonts w:asciiTheme="minorHAnsi" w:hAnsiTheme="minorHAnsi" w:cstheme="minorHAnsi"/>
          <w:sz w:val="20"/>
        </w:rPr>
      </w:pPr>
      <w:bookmarkStart w:id="3104" w:name="_Toc216843091"/>
      <w:bookmarkStart w:id="3105" w:name="_Toc257193994"/>
      <w:bookmarkStart w:id="3106" w:name="_Toc284409961"/>
      <w:bookmarkStart w:id="3107" w:name="_Toc295205113"/>
      <w:bookmarkStart w:id="3108" w:name="_Toc332010319"/>
      <w:bookmarkStart w:id="3109" w:name="_Toc227825418"/>
      <w:r w:rsidRPr="00BB6660">
        <w:rPr>
          <w:rFonts w:asciiTheme="minorHAnsi" w:hAnsiTheme="minorHAnsi" w:cstheme="minorHAnsi"/>
          <w:sz w:val="20"/>
        </w:rPr>
        <w:t xml:space="preserve">9. </w:t>
      </w:r>
      <w:bookmarkEnd w:id="3104"/>
      <w:bookmarkEnd w:id="3105"/>
      <w:bookmarkEnd w:id="3106"/>
      <w:bookmarkEnd w:id="3107"/>
      <w:r w:rsidRPr="00BB6660">
        <w:rPr>
          <w:rFonts w:asciiTheme="minorHAnsi" w:hAnsiTheme="minorHAnsi" w:cstheme="minorHAnsi"/>
          <w:sz w:val="20"/>
        </w:rPr>
        <w:t>PODSTAWA PŁATNOŚCI</w:t>
      </w:r>
      <w:bookmarkEnd w:id="3108"/>
      <w:bookmarkEnd w:id="3109"/>
    </w:p>
    <w:p w14:paraId="5F78BC64" w14:textId="77777777" w:rsidR="00B81F7B" w:rsidRPr="00BB6660" w:rsidRDefault="00B81F7B" w:rsidP="00BB6660">
      <w:pPr>
        <w:pStyle w:val="Nagwek2"/>
        <w:numPr>
          <w:ilvl w:val="12"/>
          <w:numId w:val="0"/>
        </w:numPr>
        <w:rPr>
          <w:rFonts w:asciiTheme="minorHAnsi" w:hAnsiTheme="minorHAnsi" w:cstheme="minorHAnsi"/>
          <w:sz w:val="20"/>
        </w:rPr>
      </w:pPr>
      <w:bookmarkStart w:id="3110" w:name="_Toc227825419"/>
      <w:r w:rsidRPr="00BB6660">
        <w:rPr>
          <w:rFonts w:asciiTheme="minorHAnsi" w:hAnsiTheme="minorHAnsi" w:cstheme="minorHAnsi"/>
          <w:sz w:val="20"/>
        </w:rPr>
        <w:t>9.1. Ogólne ustalenia dotyczące podstawy płatności</w:t>
      </w:r>
      <w:bookmarkEnd w:id="3110"/>
    </w:p>
    <w:p w14:paraId="35E0349A" w14:textId="77777777" w:rsidR="00B81F7B" w:rsidRPr="00BB6660" w:rsidRDefault="00B81F7B" w:rsidP="00BB6660">
      <w:pPr>
        <w:numPr>
          <w:ilvl w:val="12"/>
          <w:numId w:val="0"/>
        </w:numPr>
        <w:jc w:val="both"/>
        <w:rPr>
          <w:rFonts w:cstheme="minorHAnsi"/>
          <w:sz w:val="20"/>
          <w:szCs w:val="20"/>
        </w:rPr>
      </w:pPr>
      <w:r w:rsidRPr="00BB6660">
        <w:rPr>
          <w:rFonts w:cstheme="minorHAnsi"/>
          <w:sz w:val="20"/>
          <w:szCs w:val="20"/>
        </w:rPr>
        <w:tab/>
        <w:t>Ogólne ustalenia dotyczące podstawy płatności podano w SST D-00.00.00 „Wymagania ogólne” [1] pkt 9.</w:t>
      </w:r>
    </w:p>
    <w:p w14:paraId="754EBD7A" w14:textId="77777777" w:rsidR="00B81F7B" w:rsidRPr="00BB6660" w:rsidRDefault="00B81F7B" w:rsidP="00BB6660">
      <w:pPr>
        <w:pStyle w:val="Nagwek2"/>
        <w:numPr>
          <w:ilvl w:val="12"/>
          <w:numId w:val="0"/>
        </w:numPr>
        <w:rPr>
          <w:rFonts w:asciiTheme="minorHAnsi" w:hAnsiTheme="minorHAnsi" w:cstheme="minorHAnsi"/>
          <w:sz w:val="20"/>
        </w:rPr>
      </w:pPr>
      <w:bookmarkStart w:id="3111" w:name="_Toc227825420"/>
      <w:r w:rsidRPr="00BB6660">
        <w:rPr>
          <w:rFonts w:asciiTheme="minorHAnsi" w:hAnsiTheme="minorHAnsi" w:cstheme="minorHAnsi"/>
          <w:sz w:val="20"/>
        </w:rPr>
        <w:t>9.2. Cena jednostki obmiarowej</w:t>
      </w:r>
      <w:bookmarkEnd w:id="3111"/>
    </w:p>
    <w:p w14:paraId="68C7E0BD" w14:textId="3469242B" w:rsidR="00B81F7B" w:rsidRPr="00BB6660" w:rsidRDefault="00B81F7B" w:rsidP="00BB6660">
      <w:pPr>
        <w:numPr>
          <w:ilvl w:val="12"/>
          <w:numId w:val="0"/>
        </w:numPr>
        <w:jc w:val="both"/>
        <w:rPr>
          <w:rFonts w:cstheme="minorHAnsi"/>
          <w:sz w:val="20"/>
          <w:szCs w:val="20"/>
        </w:rPr>
      </w:pPr>
      <w:r w:rsidRPr="00BB6660">
        <w:rPr>
          <w:rFonts w:cstheme="minorHAnsi"/>
          <w:sz w:val="20"/>
          <w:szCs w:val="20"/>
        </w:rPr>
        <w:tab/>
        <w:t xml:space="preserve">Cena </w:t>
      </w:r>
      <w:r w:rsidR="004F465D" w:rsidRPr="00BB6660">
        <w:rPr>
          <w:rFonts w:cstheme="minorHAnsi"/>
          <w:sz w:val="20"/>
          <w:szCs w:val="20"/>
        </w:rPr>
        <w:t>wykonania jednostki</w:t>
      </w:r>
      <w:r w:rsidRPr="00BB6660">
        <w:rPr>
          <w:rFonts w:cstheme="minorHAnsi"/>
          <w:sz w:val="20"/>
          <w:szCs w:val="20"/>
        </w:rPr>
        <w:t xml:space="preserve"> obmiarowej (1 m</w:t>
      </w:r>
      <w:r w:rsidRPr="00BB6660">
        <w:rPr>
          <w:rFonts w:cstheme="minorHAnsi"/>
          <w:sz w:val="20"/>
          <w:szCs w:val="20"/>
          <w:vertAlign w:val="superscript"/>
        </w:rPr>
        <w:t>2</w:t>
      </w:r>
      <w:r w:rsidRPr="00BB6660">
        <w:rPr>
          <w:rFonts w:cstheme="minorHAnsi"/>
          <w:sz w:val="20"/>
          <w:szCs w:val="20"/>
        </w:rPr>
        <w:t>) obejmuje:</w:t>
      </w:r>
    </w:p>
    <w:p w14:paraId="57059065"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prace pomiarowe i roboty przygotowawcze,</w:t>
      </w:r>
    </w:p>
    <w:p w14:paraId="0B815573"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oznakowanie robót,</w:t>
      </w:r>
    </w:p>
    <w:p w14:paraId="7BB7DFAF"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dostarczenie materiałów i sprzętu,</w:t>
      </w:r>
    </w:p>
    <w:p w14:paraId="580D44A5"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wyprodukowanie mieszanki i jej transport na miejsce wbudowania,</w:t>
      </w:r>
    </w:p>
    <w:p w14:paraId="100F4264"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dostarczenie, ustawienie, rozebranie i odwiezienie prowadnic oraz innych materiałów i urządzeń pomocniczych,</w:t>
      </w:r>
    </w:p>
    <w:p w14:paraId="34729EA4"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rozłożenie i zagęszczenie mieszanki,</w:t>
      </w:r>
    </w:p>
    <w:p w14:paraId="2C3CC8C7"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ew. nacięcie szczelin i wykonanie technologii przeciwspękaniowych,</w:t>
      </w:r>
    </w:p>
    <w:p w14:paraId="32EF53E9"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pielęgnacja wykonanej warstwy,</w:t>
      </w:r>
    </w:p>
    <w:p w14:paraId="2272CE6A" w14:textId="6D2DE886"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 xml:space="preserve">przeprowadzenie </w:t>
      </w:r>
      <w:r w:rsidR="004F465D" w:rsidRPr="00BB6660">
        <w:rPr>
          <w:rFonts w:cstheme="minorHAnsi"/>
          <w:sz w:val="20"/>
          <w:szCs w:val="20"/>
        </w:rPr>
        <w:t>wymaganych pomiarów</w:t>
      </w:r>
      <w:r w:rsidRPr="00BB6660">
        <w:rPr>
          <w:rFonts w:cstheme="minorHAnsi"/>
          <w:sz w:val="20"/>
          <w:szCs w:val="20"/>
        </w:rPr>
        <w:t xml:space="preserve"> i badań,</w:t>
      </w:r>
    </w:p>
    <w:p w14:paraId="296577E6"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uporządkowanie terenu robót i jego otoczenia,</w:t>
      </w:r>
    </w:p>
    <w:p w14:paraId="34B57FA8"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roboty wykończeniowe,</w:t>
      </w:r>
    </w:p>
    <w:p w14:paraId="31EF265A"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b/>
          <w:sz w:val="20"/>
          <w:szCs w:val="20"/>
        </w:rPr>
      </w:pPr>
      <w:r w:rsidRPr="00BB6660">
        <w:rPr>
          <w:rFonts w:cstheme="minorHAnsi"/>
          <w:sz w:val="20"/>
          <w:szCs w:val="20"/>
        </w:rPr>
        <w:t>odwiezienie sprzętu.</w:t>
      </w:r>
    </w:p>
    <w:p w14:paraId="3E9F07C3" w14:textId="77777777" w:rsidR="00B81F7B" w:rsidRPr="00BB6660" w:rsidRDefault="00B81F7B" w:rsidP="00BB6660">
      <w:pPr>
        <w:ind w:firstLine="709"/>
        <w:jc w:val="both"/>
        <w:rPr>
          <w:rFonts w:cstheme="minorHAnsi"/>
          <w:sz w:val="20"/>
          <w:szCs w:val="20"/>
        </w:rPr>
      </w:pPr>
      <w:r w:rsidRPr="00BB6660">
        <w:rPr>
          <w:rFonts w:cstheme="minorHAnsi"/>
          <w:sz w:val="20"/>
          <w:szCs w:val="20"/>
        </w:rPr>
        <w:t>Wszystkie roboty powinny być wykonane według wymagań dokumentacji projektowej, ST, specyfikacji technicznej i postanowień Inżyniera.</w:t>
      </w:r>
    </w:p>
    <w:p w14:paraId="75F99F19" w14:textId="77777777" w:rsidR="00B81F7B" w:rsidRPr="00BB6660" w:rsidRDefault="00B81F7B" w:rsidP="00BB6660">
      <w:pPr>
        <w:pStyle w:val="Nagwek2"/>
        <w:rPr>
          <w:rFonts w:asciiTheme="minorHAnsi" w:hAnsiTheme="minorHAnsi" w:cstheme="minorHAnsi"/>
          <w:sz w:val="20"/>
        </w:rPr>
      </w:pPr>
      <w:bookmarkStart w:id="3112" w:name="_Toc227825421"/>
      <w:r w:rsidRPr="00BB6660">
        <w:rPr>
          <w:rFonts w:asciiTheme="minorHAnsi" w:hAnsiTheme="minorHAnsi" w:cstheme="minorHAnsi"/>
          <w:sz w:val="20"/>
        </w:rPr>
        <w:t>9.3. Sposób rozliczenia robót tymczasowych i prac towarzyszących</w:t>
      </w:r>
      <w:bookmarkEnd w:id="3112"/>
    </w:p>
    <w:p w14:paraId="04598B6E" w14:textId="77777777" w:rsidR="00B81F7B" w:rsidRPr="00BB6660" w:rsidRDefault="00B81F7B" w:rsidP="00BB6660">
      <w:pPr>
        <w:jc w:val="both"/>
        <w:rPr>
          <w:rFonts w:cstheme="minorHAnsi"/>
          <w:sz w:val="20"/>
          <w:szCs w:val="20"/>
        </w:rPr>
      </w:pPr>
      <w:r w:rsidRPr="00BB6660">
        <w:rPr>
          <w:rFonts w:cstheme="minorHAnsi"/>
          <w:sz w:val="20"/>
          <w:szCs w:val="20"/>
        </w:rPr>
        <w:tab/>
        <w:t>Cena wykonania robót określonych niniejszą SST obejmuje:</w:t>
      </w:r>
    </w:p>
    <w:p w14:paraId="7A46AC7C"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roboty tymczasowe, które są potrzebne do wykonania robót podstawowych, ale nie są przekazywane Zamawiającemu i są usuwane po wykonaniu robót podstawowych,</w:t>
      </w:r>
    </w:p>
    <w:p w14:paraId="045413BA" w14:textId="77777777" w:rsidR="00B81F7B" w:rsidRPr="00BB6660" w:rsidRDefault="00B81F7B">
      <w:pPr>
        <w:numPr>
          <w:ilvl w:val="0"/>
          <w:numId w:val="172"/>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prace towarzyszące, które są niezbędne do wykonania robót podstawowych, niezaliczane do robót tymczasowych, jak geodezyjne wytyczenie robót itd.</w:t>
      </w:r>
    </w:p>
    <w:p w14:paraId="288571A8" w14:textId="77777777" w:rsidR="00B81F7B" w:rsidRPr="00BB6660" w:rsidRDefault="00B81F7B" w:rsidP="00BB6660">
      <w:pPr>
        <w:pStyle w:val="Nagwek1"/>
        <w:rPr>
          <w:rFonts w:asciiTheme="minorHAnsi" w:hAnsiTheme="minorHAnsi" w:cstheme="minorHAnsi"/>
          <w:sz w:val="20"/>
        </w:rPr>
      </w:pPr>
      <w:bookmarkStart w:id="3113" w:name="_Toc216843092"/>
      <w:bookmarkStart w:id="3114" w:name="_Toc257193995"/>
      <w:bookmarkStart w:id="3115" w:name="_Toc284409962"/>
      <w:bookmarkStart w:id="3116" w:name="_Toc295205114"/>
      <w:bookmarkStart w:id="3117" w:name="_Toc332010320"/>
      <w:bookmarkStart w:id="3118" w:name="_Toc227825422"/>
      <w:r w:rsidRPr="00BB6660">
        <w:rPr>
          <w:rFonts w:asciiTheme="minorHAnsi" w:hAnsiTheme="minorHAnsi" w:cstheme="minorHAnsi"/>
          <w:sz w:val="20"/>
        </w:rPr>
        <w:t xml:space="preserve">10. </w:t>
      </w:r>
      <w:bookmarkEnd w:id="3113"/>
      <w:bookmarkEnd w:id="3114"/>
      <w:bookmarkEnd w:id="3115"/>
      <w:bookmarkEnd w:id="3116"/>
      <w:r w:rsidRPr="00BB6660">
        <w:rPr>
          <w:rFonts w:asciiTheme="minorHAnsi" w:hAnsiTheme="minorHAnsi" w:cstheme="minorHAnsi"/>
          <w:sz w:val="20"/>
        </w:rPr>
        <w:t>PRZEPISY ZWIĄZANE</w:t>
      </w:r>
      <w:bookmarkEnd w:id="3117"/>
      <w:bookmarkEnd w:id="3118"/>
    </w:p>
    <w:p w14:paraId="2265FE85" w14:textId="77777777" w:rsidR="00B81F7B" w:rsidRPr="00BB6660" w:rsidRDefault="00B81F7B" w:rsidP="00BB6660">
      <w:pPr>
        <w:pStyle w:val="Nagwek2"/>
        <w:rPr>
          <w:rFonts w:asciiTheme="minorHAnsi" w:hAnsiTheme="minorHAnsi" w:cstheme="minorHAnsi"/>
          <w:sz w:val="20"/>
        </w:rPr>
      </w:pPr>
      <w:bookmarkStart w:id="3119" w:name="_Toc227825423"/>
      <w:r w:rsidRPr="00BB6660">
        <w:rPr>
          <w:rFonts w:asciiTheme="minorHAnsi" w:hAnsiTheme="minorHAnsi" w:cstheme="minorHAnsi"/>
          <w:sz w:val="20"/>
        </w:rPr>
        <w:t>10.1. Ogólne specyfikacje techniczne (SST)</w:t>
      </w:r>
      <w:bookmarkEnd w:id="3119"/>
    </w:p>
    <w:tbl>
      <w:tblPr>
        <w:tblW w:w="0" w:type="auto"/>
        <w:tblLayout w:type="fixed"/>
        <w:tblCellMar>
          <w:left w:w="70" w:type="dxa"/>
          <w:right w:w="70" w:type="dxa"/>
        </w:tblCellMar>
        <w:tblLook w:val="04A0" w:firstRow="1" w:lastRow="0" w:firstColumn="1" w:lastColumn="0" w:noHBand="0" w:noVBand="1"/>
      </w:tblPr>
      <w:tblGrid>
        <w:gridCol w:w="637"/>
        <w:gridCol w:w="1701"/>
        <w:gridCol w:w="5172"/>
      </w:tblGrid>
      <w:tr w:rsidR="00B81F7B" w:rsidRPr="00BB6660" w14:paraId="39F97C98" w14:textId="77777777">
        <w:tc>
          <w:tcPr>
            <w:tcW w:w="637" w:type="dxa"/>
            <w:hideMark/>
          </w:tcPr>
          <w:p w14:paraId="3DE1E88B" w14:textId="77777777" w:rsidR="00B81F7B" w:rsidRPr="00BB6660" w:rsidRDefault="00B81F7B" w:rsidP="004F465D">
            <w:pPr>
              <w:spacing w:after="0" w:line="240" w:lineRule="auto"/>
              <w:jc w:val="both"/>
              <w:rPr>
                <w:rFonts w:cstheme="minorHAnsi"/>
                <w:sz w:val="20"/>
                <w:szCs w:val="20"/>
              </w:rPr>
            </w:pPr>
            <w:r w:rsidRPr="00BB6660">
              <w:rPr>
                <w:rFonts w:cstheme="minorHAnsi"/>
                <w:sz w:val="20"/>
                <w:szCs w:val="20"/>
              </w:rPr>
              <w:t>1.</w:t>
            </w:r>
          </w:p>
        </w:tc>
        <w:tc>
          <w:tcPr>
            <w:tcW w:w="1701" w:type="dxa"/>
            <w:hideMark/>
          </w:tcPr>
          <w:p w14:paraId="1EA2E721" w14:textId="77777777" w:rsidR="00B81F7B" w:rsidRPr="00BB6660" w:rsidRDefault="00B81F7B" w:rsidP="004F465D">
            <w:pPr>
              <w:spacing w:after="0" w:line="240" w:lineRule="auto"/>
              <w:jc w:val="both"/>
              <w:rPr>
                <w:rFonts w:cstheme="minorHAnsi"/>
                <w:sz w:val="20"/>
                <w:szCs w:val="20"/>
              </w:rPr>
            </w:pPr>
            <w:r w:rsidRPr="00BB6660">
              <w:rPr>
                <w:rFonts w:cstheme="minorHAnsi"/>
                <w:sz w:val="20"/>
                <w:szCs w:val="20"/>
              </w:rPr>
              <w:t xml:space="preserve"> D-00.00.00</w:t>
            </w:r>
          </w:p>
        </w:tc>
        <w:tc>
          <w:tcPr>
            <w:tcW w:w="5172" w:type="dxa"/>
            <w:hideMark/>
          </w:tcPr>
          <w:p w14:paraId="6A898D2A" w14:textId="77777777" w:rsidR="00B81F7B" w:rsidRPr="00BB6660" w:rsidRDefault="00B81F7B" w:rsidP="004F465D">
            <w:pPr>
              <w:spacing w:after="0" w:line="240" w:lineRule="auto"/>
              <w:jc w:val="both"/>
              <w:rPr>
                <w:rFonts w:cstheme="minorHAnsi"/>
                <w:sz w:val="20"/>
                <w:szCs w:val="20"/>
              </w:rPr>
            </w:pPr>
            <w:r w:rsidRPr="00BB6660">
              <w:rPr>
                <w:rFonts w:cstheme="minorHAnsi"/>
                <w:sz w:val="20"/>
                <w:szCs w:val="20"/>
              </w:rPr>
              <w:t>Wymagania ogólne</w:t>
            </w:r>
          </w:p>
        </w:tc>
      </w:tr>
      <w:tr w:rsidR="00B81F7B" w:rsidRPr="00BB6660" w14:paraId="7B1C975C" w14:textId="77777777">
        <w:tc>
          <w:tcPr>
            <w:tcW w:w="637" w:type="dxa"/>
            <w:hideMark/>
          </w:tcPr>
          <w:p w14:paraId="332DA21F" w14:textId="77777777" w:rsidR="00B81F7B" w:rsidRPr="00BB6660" w:rsidRDefault="00B81F7B" w:rsidP="004F465D">
            <w:pPr>
              <w:spacing w:after="0" w:line="240" w:lineRule="auto"/>
              <w:jc w:val="both"/>
              <w:rPr>
                <w:rFonts w:cstheme="minorHAnsi"/>
                <w:sz w:val="20"/>
                <w:szCs w:val="20"/>
              </w:rPr>
            </w:pPr>
            <w:r w:rsidRPr="00BB6660">
              <w:rPr>
                <w:rFonts w:cstheme="minorHAnsi"/>
                <w:sz w:val="20"/>
                <w:szCs w:val="20"/>
              </w:rPr>
              <w:t>2.</w:t>
            </w:r>
          </w:p>
        </w:tc>
        <w:tc>
          <w:tcPr>
            <w:tcW w:w="1701" w:type="dxa"/>
            <w:hideMark/>
          </w:tcPr>
          <w:p w14:paraId="78B13D00" w14:textId="77777777" w:rsidR="00B81F7B" w:rsidRPr="00BB6660" w:rsidRDefault="00B81F7B" w:rsidP="004F465D">
            <w:pPr>
              <w:spacing w:after="0" w:line="240" w:lineRule="auto"/>
              <w:jc w:val="both"/>
              <w:rPr>
                <w:rFonts w:cstheme="minorHAnsi"/>
                <w:sz w:val="20"/>
                <w:szCs w:val="20"/>
              </w:rPr>
            </w:pPr>
            <w:r w:rsidRPr="00BB6660">
              <w:rPr>
                <w:rFonts w:cstheme="minorHAnsi"/>
                <w:sz w:val="20"/>
                <w:szCs w:val="20"/>
              </w:rPr>
              <w:t xml:space="preserve"> D-01.00.00</w:t>
            </w:r>
          </w:p>
        </w:tc>
        <w:tc>
          <w:tcPr>
            <w:tcW w:w="5172" w:type="dxa"/>
            <w:hideMark/>
          </w:tcPr>
          <w:p w14:paraId="427E1C9D" w14:textId="77777777" w:rsidR="00B81F7B" w:rsidRPr="00BB6660" w:rsidRDefault="00B81F7B" w:rsidP="004F465D">
            <w:pPr>
              <w:spacing w:after="0" w:line="240" w:lineRule="auto"/>
              <w:jc w:val="both"/>
              <w:rPr>
                <w:rFonts w:cstheme="minorHAnsi"/>
                <w:sz w:val="20"/>
                <w:szCs w:val="20"/>
              </w:rPr>
            </w:pPr>
            <w:r w:rsidRPr="00BB6660">
              <w:rPr>
                <w:rFonts w:cstheme="minorHAnsi"/>
                <w:sz w:val="20"/>
                <w:szCs w:val="20"/>
              </w:rPr>
              <w:t>Roboty przygotowawcze</w:t>
            </w:r>
          </w:p>
        </w:tc>
      </w:tr>
      <w:tr w:rsidR="00B81F7B" w:rsidRPr="00BB6660" w14:paraId="27D40D04" w14:textId="77777777">
        <w:tc>
          <w:tcPr>
            <w:tcW w:w="637" w:type="dxa"/>
            <w:hideMark/>
          </w:tcPr>
          <w:p w14:paraId="12E7ACF2" w14:textId="77777777" w:rsidR="00B81F7B" w:rsidRPr="00BB6660" w:rsidRDefault="00B81F7B" w:rsidP="004F465D">
            <w:pPr>
              <w:spacing w:after="0" w:line="240" w:lineRule="auto"/>
              <w:jc w:val="both"/>
              <w:rPr>
                <w:rFonts w:cstheme="minorHAnsi"/>
                <w:sz w:val="20"/>
                <w:szCs w:val="20"/>
              </w:rPr>
            </w:pPr>
            <w:r w:rsidRPr="00BB6660">
              <w:rPr>
                <w:rFonts w:cstheme="minorHAnsi"/>
                <w:sz w:val="20"/>
                <w:szCs w:val="20"/>
              </w:rPr>
              <w:t>3.</w:t>
            </w:r>
          </w:p>
        </w:tc>
        <w:tc>
          <w:tcPr>
            <w:tcW w:w="1701" w:type="dxa"/>
            <w:hideMark/>
          </w:tcPr>
          <w:p w14:paraId="5CE27197" w14:textId="77777777" w:rsidR="00B81F7B" w:rsidRPr="00BB6660" w:rsidRDefault="00B81F7B" w:rsidP="004F465D">
            <w:pPr>
              <w:spacing w:after="0" w:line="240" w:lineRule="auto"/>
              <w:jc w:val="both"/>
              <w:rPr>
                <w:rFonts w:cstheme="minorHAnsi"/>
                <w:sz w:val="20"/>
                <w:szCs w:val="20"/>
              </w:rPr>
            </w:pPr>
            <w:r w:rsidRPr="00BB6660">
              <w:rPr>
                <w:rFonts w:cstheme="minorHAnsi"/>
                <w:sz w:val="20"/>
                <w:szCs w:val="20"/>
              </w:rPr>
              <w:t xml:space="preserve"> D-02.00.00</w:t>
            </w:r>
          </w:p>
        </w:tc>
        <w:tc>
          <w:tcPr>
            <w:tcW w:w="5172" w:type="dxa"/>
            <w:hideMark/>
          </w:tcPr>
          <w:p w14:paraId="762C981A" w14:textId="77777777" w:rsidR="00B81F7B" w:rsidRPr="00BB6660" w:rsidRDefault="00B81F7B" w:rsidP="004F465D">
            <w:pPr>
              <w:spacing w:after="0" w:line="240" w:lineRule="auto"/>
              <w:jc w:val="both"/>
              <w:rPr>
                <w:rFonts w:cstheme="minorHAnsi"/>
                <w:sz w:val="20"/>
                <w:szCs w:val="20"/>
              </w:rPr>
            </w:pPr>
            <w:r w:rsidRPr="00BB6660">
              <w:rPr>
                <w:rFonts w:cstheme="minorHAnsi"/>
                <w:sz w:val="20"/>
                <w:szCs w:val="20"/>
              </w:rPr>
              <w:t>Roboty ziemne</w:t>
            </w:r>
          </w:p>
        </w:tc>
      </w:tr>
      <w:tr w:rsidR="00B81F7B" w:rsidRPr="00BB6660" w14:paraId="57FFD995" w14:textId="77777777">
        <w:tc>
          <w:tcPr>
            <w:tcW w:w="637" w:type="dxa"/>
            <w:hideMark/>
          </w:tcPr>
          <w:p w14:paraId="0D0417C4" w14:textId="77777777" w:rsidR="00B81F7B" w:rsidRPr="00BB6660" w:rsidRDefault="00B81F7B" w:rsidP="004F465D">
            <w:pPr>
              <w:spacing w:after="0" w:line="240" w:lineRule="auto"/>
              <w:jc w:val="both"/>
              <w:rPr>
                <w:rFonts w:cstheme="minorHAnsi"/>
                <w:sz w:val="20"/>
                <w:szCs w:val="20"/>
              </w:rPr>
            </w:pPr>
            <w:r w:rsidRPr="00BB6660">
              <w:rPr>
                <w:rFonts w:cstheme="minorHAnsi"/>
                <w:sz w:val="20"/>
                <w:szCs w:val="20"/>
              </w:rPr>
              <w:t>4.</w:t>
            </w:r>
          </w:p>
        </w:tc>
        <w:tc>
          <w:tcPr>
            <w:tcW w:w="1701" w:type="dxa"/>
            <w:hideMark/>
          </w:tcPr>
          <w:p w14:paraId="71106E5A" w14:textId="77777777" w:rsidR="00B81F7B" w:rsidRPr="00BB6660" w:rsidRDefault="00B81F7B" w:rsidP="004F465D">
            <w:pPr>
              <w:spacing w:after="0" w:line="240" w:lineRule="auto"/>
              <w:jc w:val="both"/>
              <w:rPr>
                <w:rFonts w:cstheme="minorHAnsi"/>
                <w:sz w:val="20"/>
                <w:szCs w:val="20"/>
              </w:rPr>
            </w:pPr>
            <w:r w:rsidRPr="00BB6660">
              <w:rPr>
                <w:rFonts w:cstheme="minorHAnsi"/>
                <w:sz w:val="20"/>
                <w:szCs w:val="20"/>
              </w:rPr>
              <w:t xml:space="preserve"> D-04.01.01</w:t>
            </w:r>
          </w:p>
        </w:tc>
        <w:tc>
          <w:tcPr>
            <w:tcW w:w="5172" w:type="dxa"/>
            <w:hideMark/>
          </w:tcPr>
          <w:p w14:paraId="1E665CB9" w14:textId="77777777" w:rsidR="00B81F7B" w:rsidRPr="00BB6660" w:rsidRDefault="00B81F7B" w:rsidP="004F465D">
            <w:pPr>
              <w:spacing w:after="0" w:line="240" w:lineRule="auto"/>
              <w:jc w:val="both"/>
              <w:rPr>
                <w:rFonts w:cstheme="minorHAnsi"/>
                <w:sz w:val="20"/>
                <w:szCs w:val="20"/>
              </w:rPr>
            </w:pPr>
            <w:r w:rsidRPr="00BB6660">
              <w:rPr>
                <w:rFonts w:cstheme="minorHAnsi"/>
                <w:sz w:val="20"/>
                <w:szCs w:val="20"/>
              </w:rPr>
              <w:t>Koryto wraz z profilowaniem i zagęszczeniem podłoża</w:t>
            </w:r>
          </w:p>
        </w:tc>
      </w:tr>
    </w:tbl>
    <w:p w14:paraId="0D4B01B3" w14:textId="77777777" w:rsidR="00B81F7B" w:rsidRPr="00BB6660" w:rsidRDefault="00B81F7B" w:rsidP="00BB6660">
      <w:pPr>
        <w:pStyle w:val="Nagwek2"/>
        <w:rPr>
          <w:rFonts w:asciiTheme="minorHAnsi" w:hAnsiTheme="minorHAnsi" w:cstheme="minorHAnsi"/>
          <w:sz w:val="20"/>
        </w:rPr>
      </w:pPr>
      <w:bookmarkStart w:id="3120" w:name="_Toc227825424"/>
      <w:r w:rsidRPr="00BB6660">
        <w:rPr>
          <w:rFonts w:asciiTheme="minorHAnsi" w:hAnsiTheme="minorHAnsi" w:cstheme="minorHAnsi"/>
          <w:sz w:val="20"/>
        </w:rPr>
        <w:lastRenderedPageBreak/>
        <w:t>10.2. Normy</w:t>
      </w:r>
      <w:bookmarkEnd w:id="3120"/>
    </w:p>
    <w:tbl>
      <w:tblPr>
        <w:tblW w:w="9214" w:type="dxa"/>
        <w:tblLook w:val="01E0" w:firstRow="1" w:lastRow="1" w:firstColumn="1" w:lastColumn="1" w:noHBand="0" w:noVBand="0"/>
      </w:tblPr>
      <w:tblGrid>
        <w:gridCol w:w="675"/>
        <w:gridCol w:w="1701"/>
        <w:gridCol w:w="6838"/>
      </w:tblGrid>
      <w:tr w:rsidR="00B81F7B" w:rsidRPr="00BB6660" w14:paraId="6FC16330" w14:textId="77777777" w:rsidTr="004F465D">
        <w:tc>
          <w:tcPr>
            <w:tcW w:w="675" w:type="dxa"/>
            <w:hideMark/>
          </w:tcPr>
          <w:p w14:paraId="118CD7F8"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5.</w:t>
            </w:r>
          </w:p>
        </w:tc>
        <w:tc>
          <w:tcPr>
            <w:tcW w:w="1701" w:type="dxa"/>
            <w:hideMark/>
          </w:tcPr>
          <w:p w14:paraId="6345F173"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197-1</w:t>
            </w:r>
          </w:p>
        </w:tc>
        <w:tc>
          <w:tcPr>
            <w:tcW w:w="6838" w:type="dxa"/>
            <w:hideMark/>
          </w:tcPr>
          <w:p w14:paraId="531535E5" w14:textId="464CE29D" w:rsidR="00B81F7B" w:rsidRPr="00BB6660" w:rsidRDefault="00B81F7B" w:rsidP="004F465D">
            <w:pPr>
              <w:spacing w:after="0"/>
              <w:ind w:right="-109"/>
              <w:jc w:val="both"/>
              <w:rPr>
                <w:rFonts w:cstheme="minorHAnsi"/>
                <w:sz w:val="20"/>
                <w:szCs w:val="20"/>
              </w:rPr>
            </w:pPr>
            <w:r w:rsidRPr="00BB6660">
              <w:rPr>
                <w:rFonts w:cstheme="minorHAnsi"/>
                <w:sz w:val="20"/>
                <w:szCs w:val="20"/>
              </w:rPr>
              <w:t>Cement – Część 1: Skład, wymagania i kryteria zgodności dotyczące cementów powszechnego</w:t>
            </w:r>
            <w:r w:rsidR="004F465D">
              <w:rPr>
                <w:rFonts w:cstheme="minorHAnsi"/>
                <w:sz w:val="20"/>
                <w:szCs w:val="20"/>
              </w:rPr>
              <w:t xml:space="preserve"> </w:t>
            </w:r>
            <w:r w:rsidRPr="00BB6660">
              <w:rPr>
                <w:rFonts w:cstheme="minorHAnsi"/>
                <w:sz w:val="20"/>
                <w:szCs w:val="20"/>
              </w:rPr>
              <w:t>użytku</w:t>
            </w:r>
          </w:p>
        </w:tc>
      </w:tr>
      <w:tr w:rsidR="00B81F7B" w:rsidRPr="00BB6660" w14:paraId="669173B0" w14:textId="77777777" w:rsidTr="004F465D">
        <w:tc>
          <w:tcPr>
            <w:tcW w:w="675" w:type="dxa"/>
            <w:hideMark/>
          </w:tcPr>
          <w:p w14:paraId="69070FD6"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6.</w:t>
            </w:r>
          </w:p>
        </w:tc>
        <w:tc>
          <w:tcPr>
            <w:tcW w:w="1701" w:type="dxa"/>
            <w:hideMark/>
          </w:tcPr>
          <w:p w14:paraId="4EF7780E"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933-1</w:t>
            </w:r>
          </w:p>
        </w:tc>
        <w:tc>
          <w:tcPr>
            <w:tcW w:w="6838" w:type="dxa"/>
            <w:hideMark/>
          </w:tcPr>
          <w:p w14:paraId="06C59FD5" w14:textId="77777777" w:rsidR="00B81F7B" w:rsidRPr="00BB6660" w:rsidRDefault="00B81F7B" w:rsidP="00336D00">
            <w:pPr>
              <w:spacing w:after="0"/>
              <w:ind w:right="-102"/>
              <w:jc w:val="both"/>
              <w:rPr>
                <w:rFonts w:cstheme="minorHAnsi"/>
                <w:sz w:val="20"/>
                <w:szCs w:val="20"/>
              </w:rPr>
            </w:pPr>
            <w:r w:rsidRPr="00BB6660">
              <w:rPr>
                <w:rFonts w:cstheme="minorHAnsi"/>
                <w:sz w:val="20"/>
                <w:szCs w:val="20"/>
              </w:rPr>
              <w:t>Badania geometrycznych właściwości kruszyw – Oznaczanie składu ziarnowego – Metoda przesiewania</w:t>
            </w:r>
          </w:p>
        </w:tc>
      </w:tr>
      <w:tr w:rsidR="00B81F7B" w:rsidRPr="00BB6660" w14:paraId="35CF6930" w14:textId="77777777" w:rsidTr="004F465D">
        <w:tc>
          <w:tcPr>
            <w:tcW w:w="675" w:type="dxa"/>
            <w:hideMark/>
          </w:tcPr>
          <w:p w14:paraId="75100173"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7.</w:t>
            </w:r>
          </w:p>
        </w:tc>
        <w:tc>
          <w:tcPr>
            <w:tcW w:w="1701" w:type="dxa"/>
            <w:hideMark/>
          </w:tcPr>
          <w:p w14:paraId="021482CE"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933-3</w:t>
            </w:r>
          </w:p>
        </w:tc>
        <w:tc>
          <w:tcPr>
            <w:tcW w:w="6838" w:type="dxa"/>
            <w:hideMark/>
          </w:tcPr>
          <w:p w14:paraId="67EACD35" w14:textId="77777777" w:rsidR="00B81F7B" w:rsidRPr="00BB6660" w:rsidRDefault="00B81F7B" w:rsidP="00336D00">
            <w:pPr>
              <w:spacing w:after="0"/>
              <w:ind w:right="-102"/>
              <w:jc w:val="both"/>
              <w:rPr>
                <w:rFonts w:cstheme="minorHAnsi"/>
                <w:sz w:val="20"/>
                <w:szCs w:val="20"/>
              </w:rPr>
            </w:pPr>
            <w:r w:rsidRPr="00BB6660">
              <w:rPr>
                <w:rFonts w:cstheme="minorHAnsi"/>
                <w:sz w:val="20"/>
                <w:szCs w:val="20"/>
              </w:rPr>
              <w:t>Badania geometrycznych właściwości kruszyw – Oznaczanie kształtu ziarn za pomocą wskaźnika płaskości</w:t>
            </w:r>
          </w:p>
        </w:tc>
      </w:tr>
      <w:tr w:rsidR="00B81F7B" w:rsidRPr="00BB6660" w14:paraId="07780C11" w14:textId="77777777" w:rsidTr="004F465D">
        <w:tc>
          <w:tcPr>
            <w:tcW w:w="675" w:type="dxa"/>
            <w:hideMark/>
          </w:tcPr>
          <w:p w14:paraId="71031560"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8.</w:t>
            </w:r>
          </w:p>
        </w:tc>
        <w:tc>
          <w:tcPr>
            <w:tcW w:w="1701" w:type="dxa"/>
            <w:hideMark/>
          </w:tcPr>
          <w:p w14:paraId="1E57F3E5"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933-4</w:t>
            </w:r>
          </w:p>
        </w:tc>
        <w:tc>
          <w:tcPr>
            <w:tcW w:w="6838" w:type="dxa"/>
            <w:hideMark/>
          </w:tcPr>
          <w:p w14:paraId="2F3460F3" w14:textId="77777777" w:rsidR="00B81F7B" w:rsidRPr="00BB6660" w:rsidRDefault="00B81F7B" w:rsidP="00336D00">
            <w:pPr>
              <w:spacing w:after="0"/>
              <w:ind w:right="-102"/>
              <w:jc w:val="both"/>
              <w:rPr>
                <w:rFonts w:cstheme="minorHAnsi"/>
                <w:sz w:val="20"/>
                <w:szCs w:val="20"/>
              </w:rPr>
            </w:pPr>
            <w:r w:rsidRPr="00BB6660">
              <w:rPr>
                <w:rFonts w:cstheme="minorHAnsi"/>
                <w:sz w:val="20"/>
                <w:szCs w:val="20"/>
              </w:rPr>
              <w:t>Badania geometrycznych właściwości kruszyw – Oznaczanie kształtu ziarn – Wskaźnik kształtu</w:t>
            </w:r>
          </w:p>
        </w:tc>
      </w:tr>
      <w:tr w:rsidR="00B81F7B" w:rsidRPr="00BB6660" w14:paraId="2303CFBF" w14:textId="77777777" w:rsidTr="004F465D">
        <w:tc>
          <w:tcPr>
            <w:tcW w:w="675" w:type="dxa"/>
            <w:hideMark/>
          </w:tcPr>
          <w:p w14:paraId="2373AE16"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9.</w:t>
            </w:r>
          </w:p>
        </w:tc>
        <w:tc>
          <w:tcPr>
            <w:tcW w:w="1701" w:type="dxa"/>
            <w:hideMark/>
          </w:tcPr>
          <w:p w14:paraId="27EA4787"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933-5</w:t>
            </w:r>
          </w:p>
        </w:tc>
        <w:tc>
          <w:tcPr>
            <w:tcW w:w="6838" w:type="dxa"/>
            <w:hideMark/>
          </w:tcPr>
          <w:p w14:paraId="61C6CF19" w14:textId="77777777" w:rsidR="00B81F7B" w:rsidRPr="00BB6660" w:rsidRDefault="00B81F7B" w:rsidP="00336D00">
            <w:pPr>
              <w:spacing w:after="0"/>
              <w:ind w:right="-102"/>
              <w:jc w:val="both"/>
              <w:rPr>
                <w:rFonts w:cstheme="minorHAnsi"/>
                <w:sz w:val="20"/>
                <w:szCs w:val="20"/>
              </w:rPr>
            </w:pPr>
            <w:r w:rsidRPr="00BB6660">
              <w:rPr>
                <w:rFonts w:cstheme="minorHAnsi"/>
                <w:sz w:val="20"/>
                <w:szCs w:val="20"/>
              </w:rPr>
              <w:t>Badania geometrycznych właściwości kruszyw – Oznaczanie procentowej zawartości ziarn o powierzchniach powstałych w wyniku przekruszenia lub łamania kruszyw grubych</w:t>
            </w:r>
          </w:p>
        </w:tc>
      </w:tr>
      <w:tr w:rsidR="00B81F7B" w:rsidRPr="00BB6660" w14:paraId="2304A631" w14:textId="77777777" w:rsidTr="004F465D">
        <w:tc>
          <w:tcPr>
            <w:tcW w:w="675" w:type="dxa"/>
            <w:hideMark/>
          </w:tcPr>
          <w:p w14:paraId="644587CF"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10.</w:t>
            </w:r>
          </w:p>
        </w:tc>
        <w:tc>
          <w:tcPr>
            <w:tcW w:w="1701" w:type="dxa"/>
            <w:hideMark/>
          </w:tcPr>
          <w:p w14:paraId="5A77FD98"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934-2</w:t>
            </w:r>
          </w:p>
        </w:tc>
        <w:tc>
          <w:tcPr>
            <w:tcW w:w="6838" w:type="dxa"/>
            <w:hideMark/>
          </w:tcPr>
          <w:p w14:paraId="4848918D" w14:textId="52615BC8" w:rsidR="00B81F7B" w:rsidRPr="00BB6660" w:rsidRDefault="00B81F7B" w:rsidP="00336D00">
            <w:pPr>
              <w:spacing w:after="0"/>
              <w:ind w:right="-102"/>
              <w:jc w:val="both"/>
              <w:rPr>
                <w:rFonts w:cstheme="minorHAnsi"/>
                <w:sz w:val="20"/>
                <w:szCs w:val="20"/>
              </w:rPr>
            </w:pPr>
            <w:r w:rsidRPr="00BB6660">
              <w:rPr>
                <w:rFonts w:cstheme="minorHAnsi"/>
                <w:sz w:val="20"/>
                <w:szCs w:val="20"/>
              </w:rPr>
              <w:t xml:space="preserve">Domieszki do betonu, zaprawy i zaczynu – Domieszki do betonu – Definicje </w:t>
            </w:r>
            <w:r w:rsidR="004F465D">
              <w:rPr>
                <w:rFonts w:cstheme="minorHAnsi"/>
                <w:sz w:val="20"/>
                <w:szCs w:val="20"/>
              </w:rPr>
              <w:br/>
            </w:r>
            <w:r w:rsidRPr="00BB6660">
              <w:rPr>
                <w:rFonts w:cstheme="minorHAnsi"/>
                <w:sz w:val="20"/>
                <w:szCs w:val="20"/>
              </w:rPr>
              <w:t>i wymagania</w:t>
            </w:r>
          </w:p>
        </w:tc>
      </w:tr>
      <w:tr w:rsidR="00B81F7B" w:rsidRPr="00BB6660" w14:paraId="7B0AEB88" w14:textId="77777777" w:rsidTr="004F465D">
        <w:tc>
          <w:tcPr>
            <w:tcW w:w="675" w:type="dxa"/>
            <w:hideMark/>
          </w:tcPr>
          <w:p w14:paraId="046862B9"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11.</w:t>
            </w:r>
          </w:p>
        </w:tc>
        <w:tc>
          <w:tcPr>
            <w:tcW w:w="1701" w:type="dxa"/>
            <w:hideMark/>
          </w:tcPr>
          <w:p w14:paraId="339FFA2C"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1008</w:t>
            </w:r>
          </w:p>
        </w:tc>
        <w:tc>
          <w:tcPr>
            <w:tcW w:w="6838" w:type="dxa"/>
            <w:hideMark/>
          </w:tcPr>
          <w:p w14:paraId="1B4D2ED9" w14:textId="77777777" w:rsidR="00B81F7B" w:rsidRPr="00BB6660" w:rsidRDefault="00B81F7B" w:rsidP="00336D00">
            <w:pPr>
              <w:spacing w:after="0"/>
              <w:ind w:right="-102"/>
              <w:jc w:val="both"/>
              <w:rPr>
                <w:rFonts w:cstheme="minorHAnsi"/>
                <w:sz w:val="20"/>
                <w:szCs w:val="20"/>
              </w:rPr>
            </w:pPr>
            <w:r w:rsidRPr="00BB6660">
              <w:rPr>
                <w:rFonts w:cstheme="minorHAnsi"/>
                <w:sz w:val="20"/>
                <w:szCs w:val="20"/>
              </w:rPr>
              <w:t>Woda zarobowa do betonu – Specyfikacja pobierania próbek, badanie i ocena przydatności wody zarobowej do betonu, w tym wody odzyskanej z procesów produkcji betonu</w:t>
            </w:r>
          </w:p>
        </w:tc>
      </w:tr>
      <w:tr w:rsidR="00B81F7B" w:rsidRPr="00BB6660" w14:paraId="4C8CCF60" w14:textId="77777777" w:rsidTr="004F465D">
        <w:tc>
          <w:tcPr>
            <w:tcW w:w="675" w:type="dxa"/>
            <w:hideMark/>
          </w:tcPr>
          <w:p w14:paraId="6CFAC327"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12.</w:t>
            </w:r>
          </w:p>
        </w:tc>
        <w:tc>
          <w:tcPr>
            <w:tcW w:w="1701" w:type="dxa"/>
            <w:hideMark/>
          </w:tcPr>
          <w:p w14:paraId="6B1DAE05"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1097-1</w:t>
            </w:r>
          </w:p>
        </w:tc>
        <w:tc>
          <w:tcPr>
            <w:tcW w:w="6838" w:type="dxa"/>
            <w:hideMark/>
          </w:tcPr>
          <w:p w14:paraId="6CA9E395" w14:textId="77777777" w:rsidR="00B81F7B" w:rsidRPr="00BB6660" w:rsidRDefault="00B81F7B" w:rsidP="00336D00">
            <w:pPr>
              <w:spacing w:after="0"/>
              <w:ind w:right="-102"/>
              <w:jc w:val="both"/>
              <w:rPr>
                <w:rFonts w:cstheme="minorHAnsi"/>
                <w:sz w:val="20"/>
                <w:szCs w:val="20"/>
              </w:rPr>
            </w:pPr>
            <w:r w:rsidRPr="00BB6660">
              <w:rPr>
                <w:rFonts w:cstheme="minorHAnsi"/>
                <w:sz w:val="20"/>
                <w:szCs w:val="20"/>
              </w:rPr>
              <w:t>Badania mechanicznych i fizycznych właściwości kruszyw – Oznaczanie odporności na ścieranie (mikro-Deval)</w:t>
            </w:r>
          </w:p>
        </w:tc>
      </w:tr>
      <w:tr w:rsidR="00B81F7B" w:rsidRPr="00BB6660" w14:paraId="3B6F4039" w14:textId="77777777" w:rsidTr="004F465D">
        <w:tc>
          <w:tcPr>
            <w:tcW w:w="675" w:type="dxa"/>
            <w:hideMark/>
          </w:tcPr>
          <w:p w14:paraId="50FC86A4"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13.</w:t>
            </w:r>
          </w:p>
        </w:tc>
        <w:tc>
          <w:tcPr>
            <w:tcW w:w="1701" w:type="dxa"/>
            <w:hideMark/>
          </w:tcPr>
          <w:p w14:paraId="02C62995"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1097-2</w:t>
            </w:r>
          </w:p>
        </w:tc>
        <w:tc>
          <w:tcPr>
            <w:tcW w:w="6838" w:type="dxa"/>
            <w:hideMark/>
          </w:tcPr>
          <w:p w14:paraId="0735F11B" w14:textId="77777777" w:rsidR="00B81F7B" w:rsidRPr="00BB6660" w:rsidRDefault="00B81F7B" w:rsidP="00336D00">
            <w:pPr>
              <w:spacing w:after="0"/>
              <w:ind w:right="-102"/>
              <w:jc w:val="both"/>
              <w:rPr>
                <w:rFonts w:cstheme="minorHAnsi"/>
                <w:sz w:val="20"/>
                <w:szCs w:val="20"/>
              </w:rPr>
            </w:pPr>
            <w:r w:rsidRPr="00BB6660">
              <w:rPr>
                <w:rFonts w:cstheme="minorHAnsi"/>
                <w:sz w:val="20"/>
                <w:szCs w:val="20"/>
              </w:rPr>
              <w:t>Badania mechanicznych i fizycznych właściwości kruszyw – Metody oznaczania odporności na rozdrabnianie</w:t>
            </w:r>
          </w:p>
        </w:tc>
      </w:tr>
      <w:tr w:rsidR="00B81F7B" w:rsidRPr="00BB6660" w14:paraId="431BBF67" w14:textId="77777777" w:rsidTr="004F465D">
        <w:tc>
          <w:tcPr>
            <w:tcW w:w="675" w:type="dxa"/>
            <w:hideMark/>
          </w:tcPr>
          <w:p w14:paraId="35FFAA02"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14.</w:t>
            </w:r>
          </w:p>
        </w:tc>
        <w:tc>
          <w:tcPr>
            <w:tcW w:w="1701" w:type="dxa"/>
            <w:hideMark/>
          </w:tcPr>
          <w:p w14:paraId="2C29DB14"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1097-6</w:t>
            </w:r>
          </w:p>
        </w:tc>
        <w:tc>
          <w:tcPr>
            <w:tcW w:w="6838" w:type="dxa"/>
            <w:hideMark/>
          </w:tcPr>
          <w:p w14:paraId="5CC66BA0" w14:textId="77777777" w:rsidR="00B81F7B" w:rsidRPr="00BB6660" w:rsidRDefault="00B81F7B" w:rsidP="00336D00">
            <w:pPr>
              <w:spacing w:after="0"/>
              <w:ind w:right="-102"/>
              <w:jc w:val="both"/>
              <w:rPr>
                <w:rFonts w:cstheme="minorHAnsi"/>
                <w:sz w:val="20"/>
                <w:szCs w:val="20"/>
              </w:rPr>
            </w:pPr>
            <w:r w:rsidRPr="00BB6660">
              <w:rPr>
                <w:rFonts w:cstheme="minorHAnsi"/>
                <w:sz w:val="20"/>
                <w:szCs w:val="20"/>
              </w:rPr>
              <w:t>Badania mechanicznych i fizycznych właściwości kruszyw – Część 6: Oznaczanie gęstości ziarn i nasiąkliwości</w:t>
            </w:r>
          </w:p>
        </w:tc>
      </w:tr>
      <w:tr w:rsidR="00B81F7B" w:rsidRPr="00BB6660" w14:paraId="5D9E729A" w14:textId="77777777" w:rsidTr="004F465D">
        <w:tc>
          <w:tcPr>
            <w:tcW w:w="675" w:type="dxa"/>
            <w:hideMark/>
          </w:tcPr>
          <w:p w14:paraId="1A8AA9F0"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15.</w:t>
            </w:r>
          </w:p>
        </w:tc>
        <w:tc>
          <w:tcPr>
            <w:tcW w:w="1701" w:type="dxa"/>
            <w:hideMark/>
          </w:tcPr>
          <w:p w14:paraId="54A615A8"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1367-1</w:t>
            </w:r>
          </w:p>
        </w:tc>
        <w:tc>
          <w:tcPr>
            <w:tcW w:w="6838" w:type="dxa"/>
            <w:hideMark/>
          </w:tcPr>
          <w:p w14:paraId="0299B416" w14:textId="77777777" w:rsidR="00B81F7B" w:rsidRPr="00BB6660" w:rsidRDefault="00B81F7B" w:rsidP="00336D00">
            <w:pPr>
              <w:spacing w:after="0"/>
              <w:ind w:right="-102"/>
              <w:jc w:val="both"/>
              <w:rPr>
                <w:rFonts w:cstheme="minorHAnsi"/>
                <w:sz w:val="20"/>
                <w:szCs w:val="20"/>
              </w:rPr>
            </w:pPr>
            <w:r w:rsidRPr="00BB6660">
              <w:rPr>
                <w:rFonts w:cstheme="minorHAnsi"/>
                <w:sz w:val="20"/>
                <w:szCs w:val="20"/>
              </w:rPr>
              <w:t>Badania właściwości cieplnych i odporności kruszyw na działanie czynników atmosferycznych – Część 1: Oznaczanie mrozoodporności</w:t>
            </w:r>
          </w:p>
        </w:tc>
      </w:tr>
      <w:tr w:rsidR="00B81F7B" w:rsidRPr="00BB6660" w14:paraId="2D03B8A4" w14:textId="77777777" w:rsidTr="004F465D">
        <w:tc>
          <w:tcPr>
            <w:tcW w:w="675" w:type="dxa"/>
            <w:hideMark/>
          </w:tcPr>
          <w:p w14:paraId="229F6A25"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16.</w:t>
            </w:r>
          </w:p>
        </w:tc>
        <w:tc>
          <w:tcPr>
            <w:tcW w:w="1701" w:type="dxa"/>
            <w:hideMark/>
          </w:tcPr>
          <w:p w14:paraId="58B7E302"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1367-3</w:t>
            </w:r>
          </w:p>
        </w:tc>
        <w:tc>
          <w:tcPr>
            <w:tcW w:w="6838" w:type="dxa"/>
            <w:hideMark/>
          </w:tcPr>
          <w:p w14:paraId="218CAE34" w14:textId="77777777" w:rsidR="00B81F7B" w:rsidRPr="00BB6660" w:rsidRDefault="00B81F7B" w:rsidP="00336D00">
            <w:pPr>
              <w:spacing w:after="0"/>
              <w:ind w:right="-102"/>
              <w:jc w:val="both"/>
              <w:rPr>
                <w:rFonts w:cstheme="minorHAnsi"/>
                <w:sz w:val="20"/>
                <w:szCs w:val="20"/>
              </w:rPr>
            </w:pPr>
            <w:r w:rsidRPr="00BB6660">
              <w:rPr>
                <w:rFonts w:cstheme="minorHAnsi"/>
                <w:sz w:val="20"/>
                <w:szCs w:val="20"/>
              </w:rPr>
              <w:t>Badania właściwości cieplnych i odporności kruszyw na działanie czynników atmosferycznych – Część 3: Badanie bazaltowej zgorzeli słonecznej metodą gotowania</w:t>
            </w:r>
          </w:p>
        </w:tc>
      </w:tr>
      <w:tr w:rsidR="00B81F7B" w:rsidRPr="00BB6660" w14:paraId="627C6C79" w14:textId="77777777" w:rsidTr="004F465D">
        <w:tc>
          <w:tcPr>
            <w:tcW w:w="675" w:type="dxa"/>
            <w:hideMark/>
          </w:tcPr>
          <w:p w14:paraId="02CF2474"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17.</w:t>
            </w:r>
          </w:p>
        </w:tc>
        <w:tc>
          <w:tcPr>
            <w:tcW w:w="1701" w:type="dxa"/>
            <w:hideMark/>
          </w:tcPr>
          <w:p w14:paraId="5FB62472"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1744-1</w:t>
            </w:r>
          </w:p>
        </w:tc>
        <w:tc>
          <w:tcPr>
            <w:tcW w:w="6838" w:type="dxa"/>
            <w:hideMark/>
          </w:tcPr>
          <w:p w14:paraId="69A10CFE" w14:textId="77777777" w:rsidR="00B81F7B" w:rsidRPr="00BB6660" w:rsidRDefault="00B81F7B" w:rsidP="00336D00">
            <w:pPr>
              <w:spacing w:after="0"/>
              <w:ind w:right="-102"/>
              <w:jc w:val="both"/>
              <w:rPr>
                <w:rFonts w:cstheme="minorHAnsi"/>
                <w:sz w:val="20"/>
                <w:szCs w:val="20"/>
              </w:rPr>
            </w:pPr>
            <w:r w:rsidRPr="00BB6660">
              <w:rPr>
                <w:rFonts w:cstheme="minorHAnsi"/>
                <w:sz w:val="20"/>
                <w:szCs w:val="20"/>
              </w:rPr>
              <w:t>Badania chemicznych właściwości kruszyw – Analiza chemiczna</w:t>
            </w:r>
          </w:p>
        </w:tc>
      </w:tr>
      <w:tr w:rsidR="00B81F7B" w:rsidRPr="00BB6660" w14:paraId="53CDF44C" w14:textId="77777777" w:rsidTr="004F465D">
        <w:tc>
          <w:tcPr>
            <w:tcW w:w="675" w:type="dxa"/>
            <w:hideMark/>
          </w:tcPr>
          <w:p w14:paraId="5A5A55FE"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18.</w:t>
            </w:r>
          </w:p>
        </w:tc>
        <w:tc>
          <w:tcPr>
            <w:tcW w:w="1701" w:type="dxa"/>
            <w:hideMark/>
          </w:tcPr>
          <w:p w14:paraId="56A1CAA9"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1744-3</w:t>
            </w:r>
          </w:p>
        </w:tc>
        <w:tc>
          <w:tcPr>
            <w:tcW w:w="6838" w:type="dxa"/>
            <w:hideMark/>
          </w:tcPr>
          <w:p w14:paraId="17E8A9FC" w14:textId="77777777" w:rsidR="00B81F7B" w:rsidRPr="00BB6660" w:rsidRDefault="00B81F7B" w:rsidP="00336D00">
            <w:pPr>
              <w:spacing w:after="0"/>
              <w:ind w:right="-102"/>
              <w:jc w:val="both"/>
              <w:rPr>
                <w:rFonts w:cstheme="minorHAnsi"/>
                <w:sz w:val="20"/>
                <w:szCs w:val="20"/>
              </w:rPr>
            </w:pPr>
            <w:r w:rsidRPr="00BB6660">
              <w:rPr>
                <w:rFonts w:cstheme="minorHAnsi"/>
                <w:sz w:val="20"/>
                <w:szCs w:val="20"/>
              </w:rPr>
              <w:t>Badania chemicznych właściwości kruszyw – Część 3: Przygotowanie wyciągów przez wymywanie kruszyw</w:t>
            </w:r>
          </w:p>
        </w:tc>
      </w:tr>
      <w:tr w:rsidR="00B81F7B" w:rsidRPr="00BB6660" w14:paraId="563BED26" w14:textId="77777777" w:rsidTr="004F465D">
        <w:tc>
          <w:tcPr>
            <w:tcW w:w="675" w:type="dxa"/>
            <w:hideMark/>
          </w:tcPr>
          <w:p w14:paraId="1F21F9F4"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19.</w:t>
            </w:r>
          </w:p>
        </w:tc>
        <w:tc>
          <w:tcPr>
            <w:tcW w:w="1701" w:type="dxa"/>
            <w:hideMark/>
          </w:tcPr>
          <w:p w14:paraId="757EC028"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13242</w:t>
            </w:r>
          </w:p>
        </w:tc>
        <w:tc>
          <w:tcPr>
            <w:tcW w:w="6838" w:type="dxa"/>
            <w:hideMark/>
          </w:tcPr>
          <w:p w14:paraId="1A9EB96B" w14:textId="29635456" w:rsidR="00B81F7B" w:rsidRPr="00BB6660" w:rsidRDefault="00B81F7B" w:rsidP="00336D00">
            <w:pPr>
              <w:spacing w:after="0"/>
              <w:ind w:right="-102"/>
              <w:jc w:val="both"/>
              <w:rPr>
                <w:rFonts w:cstheme="minorHAnsi"/>
                <w:sz w:val="20"/>
                <w:szCs w:val="20"/>
              </w:rPr>
            </w:pPr>
            <w:r w:rsidRPr="00BB6660">
              <w:rPr>
                <w:rFonts w:cstheme="minorHAnsi"/>
                <w:sz w:val="20"/>
                <w:szCs w:val="20"/>
              </w:rPr>
              <w:t xml:space="preserve">Kruszywa do niezwiązanych i związanych hydraulicznie materiałów stosowanych </w:t>
            </w:r>
            <w:r w:rsidR="00336D00">
              <w:rPr>
                <w:rFonts w:cstheme="minorHAnsi"/>
                <w:sz w:val="20"/>
                <w:szCs w:val="20"/>
              </w:rPr>
              <w:br/>
            </w:r>
            <w:r w:rsidRPr="00BB6660">
              <w:rPr>
                <w:rFonts w:cstheme="minorHAnsi"/>
                <w:sz w:val="20"/>
                <w:szCs w:val="20"/>
              </w:rPr>
              <w:t>w obiektach budowlanych i budownictwie drogowym</w:t>
            </w:r>
          </w:p>
        </w:tc>
      </w:tr>
      <w:tr w:rsidR="00B81F7B" w:rsidRPr="00BB6660" w14:paraId="61D00AB1" w14:textId="77777777" w:rsidTr="004F465D">
        <w:tc>
          <w:tcPr>
            <w:tcW w:w="675" w:type="dxa"/>
            <w:hideMark/>
          </w:tcPr>
          <w:p w14:paraId="5405BC3F"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20.</w:t>
            </w:r>
          </w:p>
        </w:tc>
        <w:tc>
          <w:tcPr>
            <w:tcW w:w="1701" w:type="dxa"/>
            <w:hideMark/>
          </w:tcPr>
          <w:p w14:paraId="7B1396DF"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13286-2</w:t>
            </w:r>
          </w:p>
        </w:tc>
        <w:tc>
          <w:tcPr>
            <w:tcW w:w="6838" w:type="dxa"/>
            <w:hideMark/>
          </w:tcPr>
          <w:p w14:paraId="398FEEFC" w14:textId="77777777" w:rsidR="00B81F7B" w:rsidRPr="00BB6660" w:rsidRDefault="00B81F7B" w:rsidP="00336D00">
            <w:pPr>
              <w:spacing w:after="0"/>
              <w:ind w:right="-102"/>
              <w:jc w:val="both"/>
              <w:rPr>
                <w:rFonts w:cstheme="minorHAnsi"/>
                <w:sz w:val="20"/>
                <w:szCs w:val="20"/>
              </w:rPr>
            </w:pPr>
            <w:r w:rsidRPr="00BB6660">
              <w:rPr>
                <w:rFonts w:cstheme="minorHAnsi"/>
                <w:sz w:val="20"/>
                <w:szCs w:val="20"/>
              </w:rPr>
              <w:t>Mieszanki niezwiązane i związane spoiwem hydraulicznym – Część 2: Metody określania gęstości i zawartości wody – Zagęszczanie metodą Proctora</w:t>
            </w:r>
          </w:p>
        </w:tc>
      </w:tr>
      <w:tr w:rsidR="00B81F7B" w:rsidRPr="00BB6660" w14:paraId="17FF60B9" w14:textId="77777777" w:rsidTr="004F465D">
        <w:tc>
          <w:tcPr>
            <w:tcW w:w="675" w:type="dxa"/>
            <w:hideMark/>
          </w:tcPr>
          <w:p w14:paraId="05371DA4"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21.</w:t>
            </w:r>
          </w:p>
        </w:tc>
        <w:tc>
          <w:tcPr>
            <w:tcW w:w="1701" w:type="dxa"/>
            <w:hideMark/>
          </w:tcPr>
          <w:p w14:paraId="2E78E14A"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13286-41</w:t>
            </w:r>
          </w:p>
        </w:tc>
        <w:tc>
          <w:tcPr>
            <w:tcW w:w="6838" w:type="dxa"/>
            <w:hideMark/>
          </w:tcPr>
          <w:p w14:paraId="6E679D03" w14:textId="77777777" w:rsidR="00B81F7B" w:rsidRPr="00BB6660" w:rsidRDefault="00B81F7B" w:rsidP="00336D00">
            <w:pPr>
              <w:spacing w:after="0"/>
              <w:ind w:right="-102"/>
              <w:jc w:val="both"/>
              <w:rPr>
                <w:rFonts w:cstheme="minorHAnsi"/>
                <w:sz w:val="20"/>
                <w:szCs w:val="20"/>
              </w:rPr>
            </w:pPr>
            <w:r w:rsidRPr="00BB6660">
              <w:rPr>
                <w:rFonts w:cstheme="minorHAnsi"/>
                <w:sz w:val="20"/>
                <w:szCs w:val="20"/>
              </w:rPr>
              <w:t>Mieszanki niezwiązane i związane spoiwem hydraulicznym – Część 41: Metoda oznaczania wytrzymałości na ściskanie mieszanek związanych spoiwem hydraulicznym</w:t>
            </w:r>
          </w:p>
        </w:tc>
      </w:tr>
      <w:tr w:rsidR="00B81F7B" w:rsidRPr="00BB6660" w14:paraId="35E1AD6B" w14:textId="77777777" w:rsidTr="004F465D">
        <w:tc>
          <w:tcPr>
            <w:tcW w:w="675" w:type="dxa"/>
            <w:hideMark/>
          </w:tcPr>
          <w:p w14:paraId="3B2E4A96"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22.</w:t>
            </w:r>
          </w:p>
        </w:tc>
        <w:tc>
          <w:tcPr>
            <w:tcW w:w="1701" w:type="dxa"/>
            <w:hideMark/>
          </w:tcPr>
          <w:p w14:paraId="79F02ADD"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13286-50</w:t>
            </w:r>
          </w:p>
        </w:tc>
        <w:tc>
          <w:tcPr>
            <w:tcW w:w="6838" w:type="dxa"/>
            <w:hideMark/>
          </w:tcPr>
          <w:p w14:paraId="0DA96057" w14:textId="77777777" w:rsidR="00B81F7B" w:rsidRPr="00BB6660" w:rsidRDefault="00B81F7B" w:rsidP="00336D00">
            <w:pPr>
              <w:spacing w:after="0"/>
              <w:ind w:right="-102"/>
              <w:jc w:val="both"/>
              <w:rPr>
                <w:rFonts w:cstheme="minorHAnsi"/>
                <w:sz w:val="20"/>
                <w:szCs w:val="20"/>
              </w:rPr>
            </w:pPr>
            <w:r w:rsidRPr="00BB6660">
              <w:rPr>
                <w:rFonts w:cstheme="minorHAnsi"/>
                <w:sz w:val="20"/>
                <w:szCs w:val="20"/>
              </w:rPr>
              <w:t>Mieszanki niezwiązane i związane spoiwem hydraulicznym – Część 50: Metoda sporządzania próbek związanych hydraulicznie za pomocą aparatu Proctora lub zagęszczania na stole wibracyjnym</w:t>
            </w:r>
          </w:p>
        </w:tc>
      </w:tr>
      <w:tr w:rsidR="00B81F7B" w:rsidRPr="00BB6660" w14:paraId="2DD06649" w14:textId="77777777" w:rsidTr="004F465D">
        <w:tc>
          <w:tcPr>
            <w:tcW w:w="675" w:type="dxa"/>
            <w:hideMark/>
          </w:tcPr>
          <w:p w14:paraId="2DC6A41C"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23.</w:t>
            </w:r>
          </w:p>
        </w:tc>
        <w:tc>
          <w:tcPr>
            <w:tcW w:w="1701" w:type="dxa"/>
            <w:hideMark/>
          </w:tcPr>
          <w:p w14:paraId="38928F87"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14227-1</w:t>
            </w:r>
          </w:p>
        </w:tc>
        <w:tc>
          <w:tcPr>
            <w:tcW w:w="6838" w:type="dxa"/>
            <w:hideMark/>
          </w:tcPr>
          <w:p w14:paraId="69990136" w14:textId="77777777" w:rsidR="00B81F7B" w:rsidRPr="00BB6660" w:rsidRDefault="00B81F7B" w:rsidP="00336D00">
            <w:pPr>
              <w:spacing w:after="0"/>
              <w:ind w:right="-102"/>
              <w:jc w:val="both"/>
              <w:rPr>
                <w:rFonts w:cstheme="minorHAnsi"/>
                <w:sz w:val="20"/>
                <w:szCs w:val="20"/>
              </w:rPr>
            </w:pPr>
            <w:r w:rsidRPr="00BB6660">
              <w:rPr>
                <w:rFonts w:cstheme="minorHAnsi"/>
                <w:sz w:val="20"/>
                <w:szCs w:val="20"/>
              </w:rPr>
              <w:t>Mieszanki związane spoiwem hydraulicznym – Wymagania – Część 1: Mieszanki związane cementem</w:t>
            </w:r>
          </w:p>
        </w:tc>
      </w:tr>
      <w:tr w:rsidR="00B81F7B" w:rsidRPr="00BB6660" w14:paraId="13E0F690" w14:textId="77777777" w:rsidTr="004F465D">
        <w:tc>
          <w:tcPr>
            <w:tcW w:w="675" w:type="dxa"/>
            <w:hideMark/>
          </w:tcPr>
          <w:p w14:paraId="2EF0C70D"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24.</w:t>
            </w:r>
          </w:p>
        </w:tc>
        <w:tc>
          <w:tcPr>
            <w:tcW w:w="1701" w:type="dxa"/>
            <w:hideMark/>
          </w:tcPr>
          <w:p w14:paraId="661110F7" w14:textId="77777777" w:rsidR="00B81F7B" w:rsidRPr="00BB6660" w:rsidRDefault="00B81F7B" w:rsidP="004F465D">
            <w:pPr>
              <w:spacing w:after="0"/>
              <w:ind w:right="-424"/>
              <w:jc w:val="both"/>
              <w:rPr>
                <w:rFonts w:cstheme="minorHAnsi"/>
                <w:sz w:val="20"/>
                <w:szCs w:val="20"/>
              </w:rPr>
            </w:pPr>
            <w:r w:rsidRPr="00BB6660">
              <w:rPr>
                <w:rFonts w:cstheme="minorHAnsi"/>
                <w:sz w:val="20"/>
                <w:szCs w:val="20"/>
              </w:rPr>
              <w:t>PN-EN 14227-10</w:t>
            </w:r>
          </w:p>
        </w:tc>
        <w:tc>
          <w:tcPr>
            <w:tcW w:w="6838" w:type="dxa"/>
            <w:hideMark/>
          </w:tcPr>
          <w:p w14:paraId="37C4CC5E" w14:textId="77777777" w:rsidR="00B81F7B" w:rsidRPr="00BB6660" w:rsidRDefault="00B81F7B" w:rsidP="00336D00">
            <w:pPr>
              <w:spacing w:after="0"/>
              <w:ind w:right="-102"/>
              <w:jc w:val="both"/>
              <w:rPr>
                <w:rFonts w:cstheme="minorHAnsi"/>
                <w:sz w:val="20"/>
                <w:szCs w:val="20"/>
              </w:rPr>
            </w:pPr>
            <w:r w:rsidRPr="00BB6660">
              <w:rPr>
                <w:rFonts w:cstheme="minorHAnsi"/>
                <w:sz w:val="20"/>
                <w:szCs w:val="20"/>
              </w:rPr>
              <w:t>Mieszanki związane spoiwem hydraulicznym – Specyfikacja – Część 10: Grunty stabilizowane cementem</w:t>
            </w:r>
          </w:p>
        </w:tc>
      </w:tr>
    </w:tbl>
    <w:p w14:paraId="385F9F92" w14:textId="77777777" w:rsidR="00B81F7B" w:rsidRPr="00BB6660" w:rsidRDefault="00B81F7B" w:rsidP="004F465D">
      <w:pPr>
        <w:pStyle w:val="Nagwek2"/>
        <w:spacing w:after="0"/>
        <w:ind w:right="-424"/>
        <w:rPr>
          <w:rFonts w:asciiTheme="minorHAnsi" w:hAnsiTheme="minorHAnsi" w:cstheme="minorHAnsi"/>
          <w:sz w:val="20"/>
        </w:rPr>
      </w:pPr>
      <w:bookmarkStart w:id="3121" w:name="_Toc227825425"/>
      <w:r w:rsidRPr="00BB6660">
        <w:rPr>
          <w:rFonts w:asciiTheme="minorHAnsi" w:hAnsiTheme="minorHAnsi" w:cstheme="minorHAnsi"/>
          <w:sz w:val="20"/>
        </w:rPr>
        <w:t>10.3. Inne dokumenty</w:t>
      </w:r>
      <w:bookmarkEnd w:id="3121"/>
    </w:p>
    <w:p w14:paraId="477972CA" w14:textId="77777777" w:rsidR="00B81F7B" w:rsidRPr="00BB6660" w:rsidRDefault="00B81F7B">
      <w:pPr>
        <w:numPr>
          <w:ilvl w:val="0"/>
          <w:numId w:val="179"/>
        </w:numPr>
        <w:overflowPunct w:val="0"/>
        <w:autoSpaceDE w:val="0"/>
        <w:autoSpaceDN w:val="0"/>
        <w:adjustRightInd w:val="0"/>
        <w:spacing w:after="0" w:line="240" w:lineRule="auto"/>
        <w:ind w:hanging="425"/>
        <w:jc w:val="both"/>
        <w:rPr>
          <w:rFonts w:cstheme="minorHAnsi"/>
          <w:sz w:val="20"/>
          <w:szCs w:val="20"/>
        </w:rPr>
      </w:pPr>
      <w:r w:rsidRPr="00BB6660">
        <w:rPr>
          <w:rFonts w:cstheme="minorHAnsi"/>
          <w:sz w:val="20"/>
          <w:szCs w:val="20"/>
        </w:rPr>
        <w:t>Mieszanki związane spoiwem hydraulicznym do dróg krajowych – WT-5 2010 Wymagania techniczne (zalecone do stosowania w specyfikacji technicznej na roboty budowlane na drogach krajowych wg zarządzenia nr 102 GDDKiA z dnia 19.11.2010 r.)</w:t>
      </w:r>
    </w:p>
    <w:p w14:paraId="1935858E" w14:textId="77777777" w:rsidR="00B81F7B" w:rsidRPr="00BB6660" w:rsidRDefault="00B81F7B">
      <w:pPr>
        <w:numPr>
          <w:ilvl w:val="0"/>
          <w:numId w:val="179"/>
        </w:numPr>
        <w:overflowPunct w:val="0"/>
        <w:autoSpaceDE w:val="0"/>
        <w:autoSpaceDN w:val="0"/>
        <w:adjustRightInd w:val="0"/>
        <w:spacing w:after="0" w:line="240" w:lineRule="auto"/>
        <w:ind w:hanging="425"/>
        <w:jc w:val="both"/>
        <w:rPr>
          <w:rFonts w:cstheme="minorHAnsi"/>
          <w:sz w:val="20"/>
          <w:szCs w:val="20"/>
        </w:rPr>
      </w:pPr>
      <w:r w:rsidRPr="00BB6660">
        <w:rPr>
          <w:rFonts w:cstheme="minorHAnsi"/>
          <w:sz w:val="20"/>
          <w:szCs w:val="20"/>
        </w:rPr>
        <w:t>Rozporządzenie Ministra Transportu i Gospodarki Morskiej z dnia 2 marca 1999 r. w sprawie warunków technicznych, jakim powinny odpowiadać drogi publiczne i ich usytuowanie (Dz.U. nr 43, poz. 430)</w:t>
      </w:r>
    </w:p>
    <w:p w14:paraId="355147B8" w14:textId="77777777" w:rsidR="00B81F7B" w:rsidRPr="00BB6660" w:rsidRDefault="00B81F7B">
      <w:pPr>
        <w:numPr>
          <w:ilvl w:val="0"/>
          <w:numId w:val="179"/>
        </w:numPr>
        <w:overflowPunct w:val="0"/>
        <w:autoSpaceDE w:val="0"/>
        <w:autoSpaceDN w:val="0"/>
        <w:adjustRightInd w:val="0"/>
        <w:spacing w:after="0" w:line="240" w:lineRule="auto"/>
        <w:ind w:hanging="425"/>
        <w:jc w:val="both"/>
        <w:rPr>
          <w:rFonts w:cstheme="minorHAnsi"/>
          <w:sz w:val="20"/>
          <w:szCs w:val="20"/>
        </w:rPr>
      </w:pPr>
      <w:r w:rsidRPr="00BB6660">
        <w:rPr>
          <w:rFonts w:cstheme="minorHAnsi"/>
          <w:sz w:val="20"/>
          <w:szCs w:val="20"/>
        </w:rPr>
        <w:lastRenderedPageBreak/>
        <w:t>Katalog typowych konstrukcji nawierzchni podatnych i półsztywnych. Generalna Dyrekcja Dróg Publicznych – Instytut Badawczy Dróg i Mostów, Warszawa 1997</w:t>
      </w:r>
    </w:p>
    <w:p w14:paraId="0A391AFD" w14:textId="77777777" w:rsidR="00B81F7B" w:rsidRDefault="00B81F7B" w:rsidP="004F465D">
      <w:pPr>
        <w:spacing w:after="0"/>
        <w:jc w:val="both"/>
        <w:rPr>
          <w:rFonts w:cstheme="minorHAnsi"/>
          <w:sz w:val="20"/>
          <w:szCs w:val="20"/>
        </w:rPr>
      </w:pPr>
    </w:p>
    <w:p w14:paraId="3AC9E8D7" w14:textId="77777777" w:rsidR="00BB6660" w:rsidRDefault="00BB6660" w:rsidP="004F465D">
      <w:pPr>
        <w:spacing w:after="0"/>
        <w:jc w:val="both"/>
        <w:rPr>
          <w:rFonts w:cstheme="minorHAnsi"/>
          <w:sz w:val="20"/>
          <w:szCs w:val="20"/>
        </w:rPr>
      </w:pPr>
    </w:p>
    <w:p w14:paraId="4BCD17C7" w14:textId="00300112" w:rsidR="00B81F7B" w:rsidRPr="00BB6660" w:rsidRDefault="00B81F7B" w:rsidP="00336D00">
      <w:pPr>
        <w:pStyle w:val="Nagwek1"/>
        <w:spacing w:after="0"/>
        <w:jc w:val="center"/>
        <w:rPr>
          <w:rFonts w:asciiTheme="minorHAnsi" w:hAnsiTheme="minorHAnsi" w:cstheme="minorHAnsi"/>
          <w:sz w:val="20"/>
        </w:rPr>
      </w:pPr>
      <w:bookmarkStart w:id="3122" w:name="_Toc332010321"/>
      <w:bookmarkStart w:id="3123" w:name="_Toc227825426"/>
      <w:r w:rsidRPr="00BB6660">
        <w:rPr>
          <w:rFonts w:asciiTheme="minorHAnsi" w:hAnsiTheme="minorHAnsi" w:cstheme="minorHAnsi"/>
          <w:sz w:val="20"/>
        </w:rPr>
        <w:t>11. ZAŁĄCZNIK</w:t>
      </w:r>
      <w:bookmarkEnd w:id="3122"/>
      <w:bookmarkEnd w:id="3123"/>
    </w:p>
    <w:p w14:paraId="16160C28" w14:textId="1D744369" w:rsidR="00B81F7B" w:rsidRPr="00BB6660" w:rsidRDefault="00336D00" w:rsidP="00336D00">
      <w:pPr>
        <w:spacing w:before="120" w:after="0"/>
        <w:jc w:val="center"/>
        <w:rPr>
          <w:rFonts w:cstheme="minorHAnsi"/>
          <w:b/>
          <w:sz w:val="20"/>
          <w:szCs w:val="20"/>
        </w:rPr>
      </w:pPr>
      <w:r w:rsidRPr="00BB6660">
        <w:rPr>
          <w:rFonts w:cstheme="minorHAnsi"/>
          <w:b/>
          <w:sz w:val="20"/>
          <w:szCs w:val="20"/>
        </w:rPr>
        <w:t>PODSTAWY FORMALNE OPRACOWANIA SST</w:t>
      </w:r>
    </w:p>
    <w:p w14:paraId="66DD0C5B" w14:textId="77777777" w:rsidR="00B81F7B" w:rsidRPr="00BB6660" w:rsidRDefault="00B81F7B" w:rsidP="004F465D">
      <w:pPr>
        <w:spacing w:after="0"/>
        <w:jc w:val="both"/>
        <w:rPr>
          <w:rFonts w:cstheme="minorHAnsi"/>
          <w:sz w:val="20"/>
          <w:szCs w:val="20"/>
        </w:rPr>
      </w:pPr>
      <w:r w:rsidRPr="00BB6660">
        <w:rPr>
          <w:rFonts w:cstheme="minorHAnsi"/>
          <w:sz w:val="20"/>
          <w:szCs w:val="20"/>
        </w:rPr>
        <w:tab/>
        <w:t>W 2007 r. wprowadzono do zbioru Polskich Norm normę PN-EN 14227-1 „Mieszanki związane spoiwem hydraulicznym – Wymagania – Część 1: Mieszanki związane cementem” [23], opublikowaną w języku polskim. Norma jest normą klasyfikacyjną, nie określającą bezpośrednio wymagań wobec mieszanek do konkretnych zastosowań. Wprowadzenie normy do praktycznego stosowania umożliwia krajowy dokument aplikacyjny „Mieszanki związane spoiwem hydraulicznym do dróg krajowych – WT-5 2010 Wymagania techniczne” [25] zalecony do stosowania w specyfikacjach technicznych wykonania i odbioru robót budowlanych, zarządzeniem nr 102 Generalnego Dyrektora Dróg Krajowych i Autostrad z 19 listopada 2010 r.</w:t>
      </w:r>
    </w:p>
    <w:p w14:paraId="492FF73E" w14:textId="77777777" w:rsidR="00B81F7B" w:rsidRPr="00BB6660" w:rsidRDefault="00B81F7B" w:rsidP="004F465D">
      <w:pPr>
        <w:spacing w:after="0"/>
        <w:jc w:val="both"/>
        <w:rPr>
          <w:rFonts w:cstheme="minorHAnsi"/>
          <w:sz w:val="20"/>
          <w:szCs w:val="20"/>
        </w:rPr>
      </w:pPr>
      <w:r w:rsidRPr="00BB6660">
        <w:rPr>
          <w:rFonts w:cstheme="minorHAnsi"/>
          <w:sz w:val="20"/>
          <w:szCs w:val="20"/>
        </w:rPr>
        <w:tab/>
        <w:t>Wyżej wymienione dwa dokumenty są podstawą do opracowania niniejszej SST.</w:t>
      </w:r>
    </w:p>
    <w:p w14:paraId="502CECD9" w14:textId="77777777" w:rsidR="00B81F7B" w:rsidRPr="00BB6660" w:rsidRDefault="00B81F7B" w:rsidP="004F465D">
      <w:pPr>
        <w:spacing w:after="0"/>
        <w:jc w:val="both"/>
        <w:rPr>
          <w:rFonts w:cstheme="minorHAnsi"/>
          <w:sz w:val="20"/>
          <w:szCs w:val="20"/>
        </w:rPr>
      </w:pPr>
      <w:r w:rsidRPr="00BB6660">
        <w:rPr>
          <w:rFonts w:cstheme="minorHAnsi"/>
          <w:sz w:val="20"/>
          <w:szCs w:val="20"/>
        </w:rPr>
        <w:tab/>
        <w:t>Norma PN-EN 14227-1 wprowadza stosowanie kruszyw zgodnych z normą PN-EN 13242 [19]. Nowością jest dopuszczenie kruszyw sztucznych oraz kruszyw z recyklingu, a także oznaczenia pozaklasowe, o parametrach deklarowanych.</w:t>
      </w:r>
    </w:p>
    <w:p w14:paraId="66872D2D" w14:textId="77777777" w:rsidR="00B81F7B" w:rsidRPr="00BB6660" w:rsidRDefault="00B81F7B" w:rsidP="004F465D">
      <w:pPr>
        <w:spacing w:after="0"/>
        <w:jc w:val="both"/>
        <w:rPr>
          <w:rFonts w:cstheme="minorHAnsi"/>
          <w:sz w:val="20"/>
          <w:szCs w:val="20"/>
        </w:rPr>
      </w:pPr>
      <w:r w:rsidRPr="00BB6660">
        <w:rPr>
          <w:rFonts w:cstheme="minorHAnsi"/>
          <w:sz w:val="20"/>
          <w:szCs w:val="20"/>
        </w:rPr>
        <w:tab/>
        <w:t>Określony normą PN-EN 14227-1 [23] zakres wytrzymałości na ściskanie mieszanek z kruszyw związanych cementem wynosi od 1,5 do 20 MPa. W tym przedziale mieszczą się wytrzymałości na ściskanie, charakteryzujące dotychczas stosowane w kraju mieszanki z chudego betonu (6÷9 MPa).</w:t>
      </w:r>
    </w:p>
    <w:p w14:paraId="6ADD0A36" w14:textId="77777777" w:rsidR="00B81F7B" w:rsidRPr="00BB6660" w:rsidRDefault="00B81F7B" w:rsidP="004F465D">
      <w:pPr>
        <w:spacing w:after="0"/>
        <w:jc w:val="both"/>
        <w:rPr>
          <w:rFonts w:cstheme="minorHAnsi"/>
          <w:sz w:val="20"/>
          <w:szCs w:val="20"/>
        </w:rPr>
      </w:pPr>
      <w:r w:rsidRPr="00BB6660">
        <w:rPr>
          <w:rFonts w:cstheme="minorHAnsi"/>
          <w:sz w:val="20"/>
          <w:szCs w:val="20"/>
        </w:rPr>
        <w:tab/>
        <w:t>Dotychczasowa normalizacja polska nie przewidywała oddzielnych norm PN dla kruszyw i gruntów stabilizowanych cementem. Obecnie w normach europejskich problem ten ujęto w dwóch normach:</w:t>
      </w:r>
    </w:p>
    <w:p w14:paraId="3CDDA4EA" w14:textId="77777777" w:rsidR="00B81F7B" w:rsidRPr="00BB6660" w:rsidRDefault="00B81F7B">
      <w:pPr>
        <w:numPr>
          <w:ilvl w:val="0"/>
          <w:numId w:val="180"/>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PN-EN 14227-1 [23], dotyczącej kruszyw związanych cementem,</w:t>
      </w:r>
    </w:p>
    <w:p w14:paraId="1E0C830C" w14:textId="77777777" w:rsidR="00B81F7B" w:rsidRPr="00BB6660" w:rsidRDefault="00B81F7B">
      <w:pPr>
        <w:numPr>
          <w:ilvl w:val="0"/>
          <w:numId w:val="180"/>
        </w:numPr>
        <w:overflowPunct w:val="0"/>
        <w:autoSpaceDE w:val="0"/>
        <w:autoSpaceDN w:val="0"/>
        <w:adjustRightInd w:val="0"/>
        <w:spacing w:after="0" w:line="240" w:lineRule="auto"/>
        <w:jc w:val="both"/>
        <w:rPr>
          <w:rFonts w:cstheme="minorHAnsi"/>
          <w:sz w:val="20"/>
          <w:szCs w:val="20"/>
        </w:rPr>
      </w:pPr>
      <w:r w:rsidRPr="00BB6660">
        <w:rPr>
          <w:rFonts w:cstheme="minorHAnsi"/>
          <w:sz w:val="20"/>
          <w:szCs w:val="20"/>
        </w:rPr>
        <w:t>PN-EN 14227-10 [24], dotyczącej gruntów ulepszonych cementem.</w:t>
      </w:r>
    </w:p>
    <w:p w14:paraId="610C1543" w14:textId="104AD72F" w:rsidR="00B81F7B" w:rsidRPr="00BB6660" w:rsidRDefault="00B81F7B" w:rsidP="004F465D">
      <w:pPr>
        <w:spacing w:after="0"/>
        <w:ind w:firstLine="709"/>
        <w:jc w:val="both"/>
        <w:rPr>
          <w:rFonts w:cstheme="minorHAnsi"/>
          <w:sz w:val="20"/>
          <w:szCs w:val="20"/>
        </w:rPr>
      </w:pPr>
      <w:r w:rsidRPr="00BB6660">
        <w:rPr>
          <w:rFonts w:cstheme="minorHAnsi"/>
          <w:sz w:val="20"/>
          <w:szCs w:val="20"/>
        </w:rPr>
        <w:t xml:space="preserve">Niniejsza SST nie dotyczy gruntów, lecz dotyczy tylko kruszyw związanych cementem, zastosowanych </w:t>
      </w:r>
      <w:r w:rsidR="00336D00">
        <w:rPr>
          <w:rFonts w:cstheme="minorHAnsi"/>
          <w:sz w:val="20"/>
          <w:szCs w:val="20"/>
        </w:rPr>
        <w:br/>
      </w:r>
      <w:r w:rsidRPr="00BB6660">
        <w:rPr>
          <w:rFonts w:cstheme="minorHAnsi"/>
          <w:sz w:val="20"/>
          <w:szCs w:val="20"/>
        </w:rPr>
        <w:t>w podbudowie zasadniczej i pomocniczej oraz w podłożu ulepszonym. Warstwy nawierzchni ujęte w SST przedstawiono na rysunku warstw konstrukcji nawierzchni drogowej podatnej i półsztywnej.</w:t>
      </w:r>
    </w:p>
    <w:p w14:paraId="27988422" w14:textId="77777777" w:rsidR="00B81F7B" w:rsidRPr="00BB6660" w:rsidRDefault="00B81F7B" w:rsidP="004F465D">
      <w:pPr>
        <w:tabs>
          <w:tab w:val="left" w:pos="709"/>
        </w:tabs>
        <w:spacing w:before="120" w:after="0"/>
        <w:ind w:left="709" w:hanging="709"/>
        <w:jc w:val="both"/>
        <w:rPr>
          <w:rFonts w:cstheme="minorHAnsi"/>
          <w:sz w:val="20"/>
          <w:szCs w:val="20"/>
        </w:rPr>
      </w:pPr>
      <w:r w:rsidRPr="00BB6660">
        <w:rPr>
          <w:rFonts w:cstheme="minorHAnsi"/>
          <w:sz w:val="20"/>
          <w:szCs w:val="20"/>
        </w:rPr>
        <w:t>Rys. 6.</w:t>
      </w:r>
      <w:r w:rsidRPr="00BB6660">
        <w:rPr>
          <w:rFonts w:cstheme="minorHAnsi"/>
          <w:sz w:val="20"/>
          <w:szCs w:val="20"/>
        </w:rPr>
        <w:tab/>
        <w:t xml:space="preserve">Układ warstw w konstrukcji nawierzchni drogowej podatnej i półsztywnej </w:t>
      </w:r>
    </w:p>
    <w:p w14:paraId="2111C932" w14:textId="77777777" w:rsidR="00B81F7B" w:rsidRPr="00BB6660" w:rsidRDefault="00B81F7B" w:rsidP="004F465D">
      <w:pPr>
        <w:spacing w:after="0"/>
        <w:ind w:left="709"/>
        <w:jc w:val="both"/>
        <w:rPr>
          <w:rFonts w:cstheme="minorHAnsi"/>
          <w:sz w:val="20"/>
          <w:szCs w:val="20"/>
        </w:rPr>
      </w:pPr>
      <w:r w:rsidRPr="00BB6660">
        <w:rPr>
          <w:rFonts w:cstheme="minorHAnsi"/>
          <w:sz w:val="20"/>
          <w:szCs w:val="20"/>
        </w:rPr>
        <w:t>(wg [25])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3652"/>
        <w:gridCol w:w="1985"/>
        <w:gridCol w:w="1842"/>
      </w:tblGrid>
      <w:tr w:rsidR="00B81F7B" w:rsidRPr="00BB6660" w14:paraId="45095FE7" w14:textId="77777777">
        <w:tc>
          <w:tcPr>
            <w:tcW w:w="563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604986" w14:textId="77777777" w:rsidR="00B81F7B" w:rsidRPr="00BB6660" w:rsidRDefault="00B81F7B">
            <w:pPr>
              <w:rPr>
                <w:rFonts w:cstheme="minorHAnsi"/>
                <w:sz w:val="20"/>
                <w:szCs w:val="20"/>
              </w:rPr>
            </w:pPr>
            <w:r w:rsidRPr="00BB6660">
              <w:rPr>
                <w:rFonts w:cstheme="minorHAnsi"/>
                <w:sz w:val="20"/>
                <w:szCs w:val="20"/>
              </w:rPr>
              <w:t>warstwa ścieralna</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D9D9D9"/>
          </w:tcPr>
          <w:p w14:paraId="02F162AA" w14:textId="77777777" w:rsidR="00B81F7B" w:rsidRPr="00BB6660" w:rsidRDefault="00B81F7B">
            <w:pPr>
              <w:jc w:val="center"/>
              <w:rPr>
                <w:rFonts w:cstheme="minorHAnsi"/>
                <w:sz w:val="20"/>
                <w:szCs w:val="20"/>
              </w:rPr>
            </w:pPr>
          </w:p>
          <w:p w14:paraId="0162C417" w14:textId="77777777" w:rsidR="00B81F7B" w:rsidRPr="00BB6660" w:rsidRDefault="00B81F7B">
            <w:pPr>
              <w:jc w:val="center"/>
              <w:rPr>
                <w:rFonts w:cstheme="minorHAnsi"/>
                <w:sz w:val="20"/>
                <w:szCs w:val="20"/>
              </w:rPr>
            </w:pPr>
            <w:r w:rsidRPr="00BB6660">
              <w:rPr>
                <w:rFonts w:cstheme="minorHAnsi"/>
                <w:sz w:val="20"/>
                <w:szCs w:val="20"/>
              </w:rPr>
              <w:t>nawierzchnia</w:t>
            </w:r>
          </w:p>
        </w:tc>
      </w:tr>
      <w:tr w:rsidR="00B81F7B" w:rsidRPr="00BB6660" w14:paraId="451304D0" w14:textId="77777777">
        <w:tc>
          <w:tcPr>
            <w:tcW w:w="563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3B0FE93" w14:textId="77777777" w:rsidR="00B81F7B" w:rsidRPr="00BB6660" w:rsidRDefault="00B81F7B">
            <w:pPr>
              <w:rPr>
                <w:rFonts w:cstheme="minorHAnsi"/>
                <w:sz w:val="20"/>
                <w:szCs w:val="20"/>
              </w:rPr>
            </w:pPr>
            <w:r w:rsidRPr="00BB6660">
              <w:rPr>
                <w:rFonts w:cstheme="minorHAnsi"/>
                <w:sz w:val="20"/>
                <w:szCs w:val="20"/>
              </w:rPr>
              <w:t>warstwa wiążąca</w:t>
            </w:r>
          </w:p>
        </w:tc>
        <w:tc>
          <w:tcPr>
            <w:tcW w:w="0" w:type="auto"/>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8231616" w14:textId="77777777" w:rsidR="00B81F7B" w:rsidRPr="00BB6660" w:rsidRDefault="00B81F7B">
            <w:pPr>
              <w:rPr>
                <w:rFonts w:cstheme="minorHAnsi"/>
                <w:sz w:val="20"/>
                <w:szCs w:val="20"/>
              </w:rPr>
            </w:pPr>
          </w:p>
        </w:tc>
      </w:tr>
      <w:tr w:rsidR="00B81F7B" w:rsidRPr="00BB6660" w14:paraId="5D62F7D4" w14:textId="77777777">
        <w:tc>
          <w:tcPr>
            <w:tcW w:w="3652" w:type="dxa"/>
            <w:tcBorders>
              <w:top w:val="single" w:sz="4" w:space="0" w:color="auto"/>
              <w:left w:val="single" w:sz="4" w:space="0" w:color="auto"/>
              <w:bottom w:val="single" w:sz="4" w:space="0" w:color="auto"/>
              <w:right w:val="single" w:sz="4" w:space="0" w:color="auto"/>
            </w:tcBorders>
            <w:shd w:val="clear" w:color="auto" w:fill="D9D9D9"/>
            <w:hideMark/>
          </w:tcPr>
          <w:p w14:paraId="05AC6998" w14:textId="77777777" w:rsidR="00B81F7B" w:rsidRPr="00BB6660" w:rsidRDefault="00B81F7B">
            <w:pPr>
              <w:rPr>
                <w:rFonts w:cstheme="minorHAnsi"/>
                <w:sz w:val="20"/>
                <w:szCs w:val="20"/>
              </w:rPr>
            </w:pPr>
            <w:r w:rsidRPr="00BB6660">
              <w:rPr>
                <w:rFonts w:cstheme="minorHAnsi"/>
                <w:sz w:val="20"/>
                <w:szCs w:val="20"/>
              </w:rPr>
              <w:t>podbudowa zasadnicza</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425BB161" w14:textId="77777777" w:rsidR="00B81F7B" w:rsidRPr="00BB6660" w:rsidRDefault="00B81F7B">
            <w:pPr>
              <w:spacing w:before="120"/>
              <w:jc w:val="center"/>
              <w:rPr>
                <w:rFonts w:cstheme="minorHAnsi"/>
                <w:sz w:val="20"/>
                <w:szCs w:val="20"/>
              </w:rPr>
            </w:pPr>
            <w:r w:rsidRPr="00BB6660">
              <w:rPr>
                <w:rFonts w:cstheme="minorHAnsi"/>
                <w:sz w:val="20"/>
                <w:szCs w:val="20"/>
              </w:rPr>
              <w:t>podbudowa</w:t>
            </w:r>
          </w:p>
        </w:tc>
        <w:tc>
          <w:tcPr>
            <w:tcW w:w="0" w:type="auto"/>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52B0A2D0" w14:textId="77777777" w:rsidR="00B81F7B" w:rsidRPr="00BB6660" w:rsidRDefault="00B81F7B">
            <w:pPr>
              <w:rPr>
                <w:rFonts w:cstheme="minorHAnsi"/>
                <w:sz w:val="20"/>
                <w:szCs w:val="20"/>
              </w:rPr>
            </w:pPr>
          </w:p>
        </w:tc>
      </w:tr>
      <w:tr w:rsidR="00B81F7B" w:rsidRPr="00BB6660" w14:paraId="5F216514" w14:textId="77777777">
        <w:tc>
          <w:tcPr>
            <w:tcW w:w="3652" w:type="dxa"/>
            <w:tcBorders>
              <w:top w:val="single" w:sz="4" w:space="0" w:color="auto"/>
              <w:left w:val="single" w:sz="4" w:space="0" w:color="auto"/>
              <w:bottom w:val="single" w:sz="4" w:space="0" w:color="auto"/>
              <w:right w:val="single" w:sz="4" w:space="0" w:color="auto"/>
            </w:tcBorders>
            <w:shd w:val="clear" w:color="auto" w:fill="D9D9D9"/>
            <w:hideMark/>
          </w:tcPr>
          <w:p w14:paraId="38CA59EE" w14:textId="77777777" w:rsidR="00B81F7B" w:rsidRPr="00BB6660" w:rsidRDefault="00B81F7B">
            <w:pPr>
              <w:rPr>
                <w:rFonts w:cstheme="minorHAnsi"/>
                <w:sz w:val="20"/>
                <w:szCs w:val="20"/>
              </w:rPr>
            </w:pPr>
            <w:r w:rsidRPr="00BB6660">
              <w:rPr>
                <w:rFonts w:cstheme="minorHAnsi"/>
                <w:sz w:val="20"/>
                <w:szCs w:val="20"/>
              </w:rPr>
              <w:t>podbudowa pomocnicza</w:t>
            </w:r>
          </w:p>
        </w:tc>
        <w:tc>
          <w:tcPr>
            <w:tcW w:w="0" w:type="auto"/>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5E8D81A" w14:textId="77777777" w:rsidR="00B81F7B" w:rsidRPr="00BB6660" w:rsidRDefault="00B81F7B">
            <w:pPr>
              <w:rPr>
                <w:rFonts w:cstheme="minorHAnsi"/>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0B732B8" w14:textId="77777777" w:rsidR="00B81F7B" w:rsidRPr="00BB6660" w:rsidRDefault="00B81F7B">
            <w:pPr>
              <w:rPr>
                <w:rFonts w:cstheme="minorHAnsi"/>
                <w:sz w:val="20"/>
                <w:szCs w:val="20"/>
              </w:rPr>
            </w:pPr>
          </w:p>
        </w:tc>
      </w:tr>
      <w:tr w:rsidR="00B81F7B" w:rsidRPr="00BB6660" w14:paraId="4E737EC9" w14:textId="77777777">
        <w:tc>
          <w:tcPr>
            <w:tcW w:w="563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F2F9EDD" w14:textId="77777777" w:rsidR="00B81F7B" w:rsidRPr="00BB6660" w:rsidRDefault="00B81F7B">
            <w:pPr>
              <w:rPr>
                <w:rFonts w:cstheme="minorHAnsi"/>
                <w:sz w:val="20"/>
                <w:szCs w:val="20"/>
              </w:rPr>
            </w:pPr>
            <w:r w:rsidRPr="00BB6660">
              <w:rPr>
                <w:rFonts w:cstheme="minorHAnsi"/>
                <w:sz w:val="20"/>
                <w:szCs w:val="20"/>
              </w:rPr>
              <w:t>podłoże ulepszone (warstwa mrozoochronna, odcinająca, wzmacniająca)</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0EE3BA9" w14:textId="77777777" w:rsidR="00B81F7B" w:rsidRPr="00BB6660" w:rsidRDefault="00B81F7B">
            <w:pPr>
              <w:spacing w:before="120"/>
              <w:jc w:val="center"/>
              <w:rPr>
                <w:rFonts w:cstheme="minorHAnsi"/>
                <w:sz w:val="20"/>
                <w:szCs w:val="20"/>
              </w:rPr>
            </w:pPr>
            <w:r w:rsidRPr="00BB6660">
              <w:rPr>
                <w:rFonts w:cstheme="minorHAnsi"/>
                <w:sz w:val="20"/>
                <w:szCs w:val="20"/>
              </w:rPr>
              <w:t>podłoże</w:t>
            </w:r>
          </w:p>
        </w:tc>
      </w:tr>
      <w:tr w:rsidR="00B81F7B" w:rsidRPr="00BB6660" w14:paraId="3782D54C" w14:textId="77777777">
        <w:tc>
          <w:tcPr>
            <w:tcW w:w="563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D3CE4C" w14:textId="77777777" w:rsidR="00B81F7B" w:rsidRPr="00BB6660" w:rsidRDefault="00B81F7B">
            <w:pPr>
              <w:rPr>
                <w:rFonts w:cstheme="minorHAnsi"/>
                <w:sz w:val="20"/>
                <w:szCs w:val="20"/>
              </w:rPr>
            </w:pPr>
            <w:r w:rsidRPr="00BB6660">
              <w:rPr>
                <w:rFonts w:cstheme="minorHAnsi"/>
                <w:sz w:val="20"/>
                <w:szCs w:val="20"/>
              </w:rPr>
              <w:t>podłoże gruntowe</w:t>
            </w:r>
          </w:p>
        </w:tc>
        <w:tc>
          <w:tcPr>
            <w:tcW w:w="0" w:type="auto"/>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3B9E006B" w14:textId="77777777" w:rsidR="00B81F7B" w:rsidRPr="00BB6660" w:rsidRDefault="00B81F7B">
            <w:pPr>
              <w:rPr>
                <w:rFonts w:cstheme="minorHAnsi"/>
                <w:sz w:val="20"/>
                <w:szCs w:val="20"/>
              </w:rPr>
            </w:pPr>
          </w:p>
        </w:tc>
      </w:tr>
    </w:tbl>
    <w:p w14:paraId="313DA8F1" w14:textId="77777777" w:rsidR="00B81F7B" w:rsidRPr="00BB6660" w:rsidRDefault="00B81F7B" w:rsidP="00B81F7B">
      <w:pPr>
        <w:rPr>
          <w:rFonts w:cstheme="minorHAnsi"/>
          <w:b/>
          <w:sz w:val="20"/>
          <w:szCs w:val="20"/>
        </w:rPr>
      </w:pPr>
    </w:p>
    <w:p w14:paraId="50AD0719" w14:textId="77777777" w:rsidR="00B81F7B" w:rsidRPr="00BB6660" w:rsidRDefault="00B81F7B" w:rsidP="00B81F7B">
      <w:pPr>
        <w:rPr>
          <w:rFonts w:cstheme="minorHAnsi"/>
          <w:b/>
          <w:sz w:val="20"/>
          <w:szCs w:val="20"/>
        </w:rPr>
      </w:pPr>
    </w:p>
    <w:p w14:paraId="18F63B14" w14:textId="1FA32896" w:rsidR="00B81F7B" w:rsidRPr="00BB6660" w:rsidRDefault="00B81F7B" w:rsidP="00B81F7B">
      <w:pPr>
        <w:rPr>
          <w:rFonts w:cstheme="minorHAnsi"/>
          <w:b/>
          <w:sz w:val="20"/>
          <w:szCs w:val="20"/>
        </w:rPr>
      </w:pPr>
      <w:r w:rsidRPr="00BB6660">
        <w:rPr>
          <w:rFonts w:cstheme="minorHAnsi"/>
          <w:b/>
          <w:noProof/>
          <w:sz w:val="20"/>
          <w:szCs w:val="20"/>
        </w:rPr>
        <w:lastRenderedPageBreak/>
        <w:drawing>
          <wp:inline distT="0" distB="0" distL="0" distR="0" wp14:anchorId="41912300" wp14:editId="687124E6">
            <wp:extent cx="4305300" cy="2095500"/>
            <wp:effectExtent l="0" t="0" r="0" b="0"/>
            <wp:docPr id="197906875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305300" cy="2095500"/>
                    </a:xfrm>
                    <a:prstGeom prst="rect">
                      <a:avLst/>
                    </a:prstGeom>
                    <a:noFill/>
                    <a:ln>
                      <a:noFill/>
                    </a:ln>
                  </pic:spPr>
                </pic:pic>
              </a:graphicData>
            </a:graphic>
          </wp:inline>
        </w:drawing>
      </w:r>
    </w:p>
    <w:p w14:paraId="39451E72" w14:textId="77777777" w:rsidR="00B81F7B" w:rsidRPr="00BB6660" w:rsidRDefault="00B81F7B" w:rsidP="00336D00">
      <w:pPr>
        <w:tabs>
          <w:tab w:val="left" w:pos="709"/>
        </w:tabs>
        <w:spacing w:before="120"/>
        <w:ind w:left="709" w:hanging="709"/>
        <w:jc w:val="both"/>
        <w:rPr>
          <w:rFonts w:cstheme="minorHAnsi"/>
          <w:sz w:val="20"/>
          <w:szCs w:val="20"/>
        </w:rPr>
      </w:pPr>
      <w:r w:rsidRPr="00BB6660">
        <w:rPr>
          <w:rFonts w:cstheme="minorHAnsi"/>
          <w:sz w:val="20"/>
          <w:szCs w:val="20"/>
        </w:rPr>
        <w:t>Rys. 7.</w:t>
      </w:r>
      <w:r w:rsidRPr="00BB6660">
        <w:rPr>
          <w:rFonts w:cstheme="minorHAnsi"/>
          <w:sz w:val="20"/>
          <w:szCs w:val="20"/>
        </w:rPr>
        <w:tab/>
        <w:t>Schemat technologiczny wytwarzania mieszanki kruszywa związanej cementem w mieszarce o działaniu ciągłym (wg: S. Rolla, M. Rolla i W. Żarnoch – Budowa dróg cz. 1. Wyd. Szkolne i Pedagogiczne, 1993)</w:t>
      </w:r>
    </w:p>
    <w:p w14:paraId="1BCCEF78" w14:textId="77777777" w:rsidR="003A11E0" w:rsidRDefault="003A11E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64643D60"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5A71D872"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217595D1"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462A610D"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6037FBCC"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10D7310E"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4C2E957B"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78D09636"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57D4AA42"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230063AF"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60AE996D"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459C563B"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699889C9"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1C117E17"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4D720338"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52D165B1"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49A4E33B"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1881F21E"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3AFE4EF6"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1CFD650E" w14:textId="77777777" w:rsidR="00336D0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542A4528" w14:textId="77777777" w:rsidR="00336D00" w:rsidRPr="00BB6660" w:rsidRDefault="00336D00"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5610503D" w14:textId="77777777" w:rsidR="00B81F7B" w:rsidRPr="00BB6660" w:rsidRDefault="00B81F7B"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0496FC6D" w14:textId="77777777" w:rsidR="00B81F7B" w:rsidRPr="00BB6660" w:rsidRDefault="00B81F7B" w:rsidP="00B81F7B">
      <w:pPr>
        <w:overflowPunct w:val="0"/>
        <w:autoSpaceDE w:val="0"/>
        <w:autoSpaceDN w:val="0"/>
        <w:adjustRightInd w:val="0"/>
        <w:spacing w:after="0" w:line="240" w:lineRule="auto"/>
        <w:textAlignment w:val="baseline"/>
        <w:rPr>
          <w:rFonts w:eastAsia="Times New Roman" w:cstheme="minorHAnsi"/>
          <w:b/>
          <w:sz w:val="20"/>
          <w:szCs w:val="20"/>
          <w:lang w:eastAsia="pl-PL"/>
        </w:rPr>
      </w:pPr>
    </w:p>
    <w:p w14:paraId="587BC33D" w14:textId="77777777" w:rsidR="00B81F7B" w:rsidRPr="004853EB" w:rsidRDefault="00B81F7B" w:rsidP="00B81F7B">
      <w:pPr>
        <w:overflowPunct w:val="0"/>
        <w:autoSpaceDE w:val="0"/>
        <w:autoSpaceDN w:val="0"/>
        <w:adjustRightInd w:val="0"/>
        <w:spacing w:after="0" w:line="240" w:lineRule="auto"/>
        <w:textAlignment w:val="baseline"/>
        <w:rPr>
          <w:rFonts w:eastAsia="Times New Roman" w:cstheme="minorHAnsi"/>
          <w:b/>
          <w:lang w:eastAsia="pl-PL"/>
        </w:rPr>
      </w:pPr>
    </w:p>
    <w:p w14:paraId="0E98A7DE" w14:textId="77777777" w:rsidR="00B81F7B" w:rsidRPr="004853EB" w:rsidRDefault="00B81F7B" w:rsidP="00B81F7B">
      <w:pPr>
        <w:overflowPunct w:val="0"/>
        <w:autoSpaceDE w:val="0"/>
        <w:autoSpaceDN w:val="0"/>
        <w:adjustRightInd w:val="0"/>
        <w:spacing w:after="0" w:line="240" w:lineRule="auto"/>
        <w:textAlignment w:val="baseline"/>
        <w:rPr>
          <w:rFonts w:eastAsia="Times New Roman" w:cstheme="minorHAnsi"/>
          <w:b/>
          <w:lang w:eastAsia="pl-PL"/>
        </w:rPr>
      </w:pPr>
    </w:p>
    <w:p w14:paraId="123617B8" w14:textId="77777777" w:rsidR="00B81F7B" w:rsidRPr="004853EB" w:rsidRDefault="00B81F7B" w:rsidP="00B81F7B">
      <w:pPr>
        <w:overflowPunct w:val="0"/>
        <w:autoSpaceDE w:val="0"/>
        <w:autoSpaceDN w:val="0"/>
        <w:adjustRightInd w:val="0"/>
        <w:spacing w:after="0" w:line="240" w:lineRule="auto"/>
        <w:textAlignment w:val="baseline"/>
        <w:rPr>
          <w:rFonts w:eastAsia="Times New Roman" w:cstheme="minorHAnsi"/>
          <w:b/>
          <w:lang w:eastAsia="pl-PL"/>
        </w:rPr>
      </w:pPr>
    </w:p>
    <w:p w14:paraId="58FEA809" w14:textId="77777777" w:rsidR="00B81F7B" w:rsidRPr="004853EB" w:rsidRDefault="00B81F7B" w:rsidP="00B81F7B">
      <w:pPr>
        <w:overflowPunct w:val="0"/>
        <w:autoSpaceDE w:val="0"/>
        <w:autoSpaceDN w:val="0"/>
        <w:adjustRightInd w:val="0"/>
        <w:spacing w:after="0" w:line="240" w:lineRule="auto"/>
        <w:textAlignment w:val="baseline"/>
        <w:rPr>
          <w:rFonts w:eastAsia="Times New Roman" w:cstheme="minorHAnsi"/>
          <w:b/>
          <w:lang w:eastAsia="pl-PL"/>
        </w:rPr>
      </w:pPr>
    </w:p>
    <w:p w14:paraId="46C23BF4" w14:textId="77777777" w:rsidR="00B81F7B" w:rsidRPr="004853EB" w:rsidRDefault="00B81F7B" w:rsidP="00B81F7B">
      <w:pPr>
        <w:overflowPunct w:val="0"/>
        <w:autoSpaceDE w:val="0"/>
        <w:autoSpaceDN w:val="0"/>
        <w:adjustRightInd w:val="0"/>
        <w:spacing w:after="0" w:line="240" w:lineRule="auto"/>
        <w:textAlignment w:val="baseline"/>
        <w:rPr>
          <w:rFonts w:eastAsia="Times New Roman" w:cstheme="minorHAnsi"/>
          <w:b/>
          <w:lang w:eastAsia="pl-PL"/>
        </w:rPr>
      </w:pPr>
    </w:p>
    <w:p w14:paraId="4AB8B709" w14:textId="77777777" w:rsidR="00B81F7B" w:rsidRPr="004853EB" w:rsidRDefault="00B81F7B" w:rsidP="00B81F7B">
      <w:pPr>
        <w:overflowPunct w:val="0"/>
        <w:autoSpaceDE w:val="0"/>
        <w:autoSpaceDN w:val="0"/>
        <w:adjustRightInd w:val="0"/>
        <w:spacing w:after="0" w:line="240" w:lineRule="auto"/>
        <w:textAlignment w:val="baseline"/>
        <w:rPr>
          <w:rFonts w:eastAsia="Times New Roman" w:cstheme="minorHAnsi"/>
          <w:b/>
          <w:lang w:eastAsia="pl-PL"/>
        </w:rPr>
      </w:pPr>
    </w:p>
    <w:p w14:paraId="200B9999"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78105599" w14:textId="77777777" w:rsidR="003A11E0" w:rsidRPr="004853EB" w:rsidRDefault="003A11E0" w:rsidP="00CC1EF4">
      <w:pPr>
        <w:overflowPunct w:val="0"/>
        <w:autoSpaceDE w:val="0"/>
        <w:autoSpaceDN w:val="0"/>
        <w:adjustRightInd w:val="0"/>
        <w:spacing w:after="0" w:line="240" w:lineRule="auto"/>
        <w:jc w:val="center"/>
        <w:textAlignment w:val="baseline"/>
        <w:rPr>
          <w:rFonts w:eastAsia="Times New Roman" w:cstheme="minorHAnsi"/>
          <w:b/>
          <w:lang w:eastAsia="pl-PL"/>
        </w:rPr>
      </w:pPr>
    </w:p>
    <w:p w14:paraId="6BA95849" w14:textId="77777777" w:rsidR="00CC1EF4" w:rsidRPr="004853EB" w:rsidRDefault="00CC1EF4" w:rsidP="003A11E0">
      <w:pPr>
        <w:pStyle w:val="Nagwek1"/>
        <w:rPr>
          <w:rFonts w:asciiTheme="minorHAnsi" w:hAnsiTheme="minorHAnsi" w:cstheme="minorHAnsi"/>
          <w:sz w:val="22"/>
          <w:szCs w:val="22"/>
        </w:rPr>
      </w:pPr>
      <w:bookmarkStart w:id="3124" w:name="_Toc227825427"/>
      <w:r w:rsidRPr="004853EB">
        <w:rPr>
          <w:rFonts w:asciiTheme="minorHAnsi" w:hAnsiTheme="minorHAnsi" w:cstheme="minorHAnsi"/>
          <w:sz w:val="22"/>
          <w:szCs w:val="22"/>
        </w:rPr>
        <w:lastRenderedPageBreak/>
        <w:t>D</w:t>
      </w:r>
      <w:r w:rsidR="003A11E0" w:rsidRPr="004853EB">
        <w:rPr>
          <w:rFonts w:asciiTheme="minorHAnsi" w:hAnsiTheme="minorHAnsi" w:cstheme="minorHAnsi"/>
          <w:sz w:val="22"/>
          <w:szCs w:val="22"/>
        </w:rPr>
        <w:t xml:space="preserve"> - </w:t>
      </w:r>
      <w:r w:rsidRPr="004853EB">
        <w:rPr>
          <w:rFonts w:asciiTheme="minorHAnsi" w:hAnsiTheme="minorHAnsi" w:cstheme="minorHAnsi"/>
          <w:sz w:val="22"/>
          <w:szCs w:val="22"/>
        </w:rPr>
        <w:t>05.03.05a WARSTWA ŚCIERALNA Z BETONU ASFALTOWEGO</w:t>
      </w:r>
      <w:bookmarkEnd w:id="3124"/>
    </w:p>
    <w:p w14:paraId="5AACD4CA"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125" w:name="_Toc462133144"/>
      <w:bookmarkStart w:id="3126" w:name="_Toc68686960"/>
      <w:bookmarkStart w:id="3127" w:name="_Toc68690558"/>
      <w:bookmarkStart w:id="3128" w:name="_Toc97034663"/>
      <w:bookmarkStart w:id="3129" w:name="_Toc97035351"/>
      <w:bookmarkStart w:id="3130" w:name="_Toc194476946"/>
      <w:bookmarkStart w:id="3131" w:name="_Toc227825428"/>
      <w:bookmarkEnd w:id="3045"/>
      <w:bookmarkEnd w:id="3046"/>
      <w:r w:rsidRPr="004853EB">
        <w:rPr>
          <w:rFonts w:eastAsia="Times New Roman" w:cstheme="minorHAnsi"/>
          <w:b/>
          <w:caps/>
          <w:kern w:val="28"/>
          <w:sz w:val="20"/>
          <w:szCs w:val="20"/>
          <w:lang w:eastAsia="pl-PL"/>
        </w:rPr>
        <w:t>1. Wstęp</w:t>
      </w:r>
      <w:bookmarkEnd w:id="3125"/>
      <w:bookmarkEnd w:id="3126"/>
      <w:bookmarkEnd w:id="3127"/>
      <w:bookmarkEnd w:id="3128"/>
      <w:bookmarkEnd w:id="3129"/>
      <w:bookmarkEnd w:id="3130"/>
      <w:bookmarkEnd w:id="3131"/>
    </w:p>
    <w:p w14:paraId="336C355B"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132" w:name="_Toc97034664"/>
      <w:bookmarkStart w:id="3133" w:name="_Toc97035352"/>
      <w:bookmarkStart w:id="3134" w:name="_Toc194476947"/>
      <w:bookmarkStart w:id="3135" w:name="_Toc227825429"/>
      <w:r w:rsidRPr="004853EB">
        <w:rPr>
          <w:rFonts w:eastAsia="Times New Roman" w:cstheme="minorHAnsi"/>
          <w:b/>
          <w:sz w:val="20"/>
          <w:szCs w:val="20"/>
          <w:lang w:eastAsia="pl-PL"/>
        </w:rPr>
        <w:t>1.1. Przedmiot SST</w:t>
      </w:r>
      <w:bookmarkEnd w:id="3132"/>
      <w:bookmarkEnd w:id="3133"/>
      <w:bookmarkEnd w:id="3134"/>
      <w:bookmarkEnd w:id="3135"/>
    </w:p>
    <w:p w14:paraId="5947B415" w14:textId="74ABE2A0" w:rsidR="00CC1EF4" w:rsidRPr="004853EB" w:rsidRDefault="00CC1EF4" w:rsidP="00CC1EF4">
      <w:pPr>
        <w:overflowPunct w:val="0"/>
        <w:autoSpaceDE w:val="0"/>
        <w:autoSpaceDN w:val="0"/>
        <w:adjustRightInd w:val="0"/>
        <w:jc w:val="both"/>
        <w:textAlignment w:val="baseline"/>
        <w:rPr>
          <w:rFonts w:eastAsia="Times New Roman" w:cstheme="minorHAnsi"/>
          <w:color w:val="000000"/>
          <w:sz w:val="20"/>
          <w:szCs w:val="20"/>
          <w:lang w:eastAsia="pl-PL"/>
        </w:rPr>
      </w:pPr>
      <w:r w:rsidRPr="004853EB">
        <w:rPr>
          <w:rFonts w:eastAsia="Times New Roman" w:cstheme="minorHAnsi"/>
          <w:sz w:val="20"/>
          <w:szCs w:val="20"/>
          <w:lang w:eastAsia="pl-PL"/>
        </w:rPr>
        <w:tab/>
      </w:r>
      <w:r w:rsidRPr="004853EB">
        <w:rPr>
          <w:rFonts w:eastAsia="Times New Roman" w:cstheme="minorHAnsi"/>
          <w:color w:val="000000"/>
          <w:sz w:val="20"/>
          <w:szCs w:val="20"/>
          <w:lang w:eastAsia="pl-PL"/>
        </w:rPr>
        <w:t xml:space="preserve">Przedmiotem niniejszej </w:t>
      </w:r>
      <w:r w:rsidRPr="004853EB">
        <w:rPr>
          <w:rFonts w:eastAsia="Times New Roman" w:cstheme="minorHAnsi"/>
          <w:sz w:val="19"/>
          <w:szCs w:val="19"/>
          <w:lang w:eastAsia="pl-PL"/>
        </w:rPr>
        <w:t>Szczegółowej specyfikacji technicznej (SST)</w:t>
      </w:r>
      <w:r w:rsidRPr="004853EB">
        <w:rPr>
          <w:rFonts w:eastAsia="Times New Roman" w:cstheme="minorHAnsi"/>
          <w:color w:val="000000"/>
          <w:sz w:val="20"/>
          <w:szCs w:val="20"/>
          <w:lang w:eastAsia="pl-PL"/>
        </w:rPr>
        <w:t xml:space="preserve"> są wymagania dotyczące wykonania </w:t>
      </w:r>
      <w:r w:rsidR="00336D00">
        <w:rPr>
          <w:rFonts w:eastAsia="Times New Roman" w:cstheme="minorHAnsi"/>
          <w:color w:val="000000"/>
          <w:sz w:val="20"/>
          <w:szCs w:val="20"/>
          <w:lang w:eastAsia="pl-PL"/>
        </w:rPr>
        <w:br/>
      </w:r>
      <w:r w:rsidRPr="004853EB">
        <w:rPr>
          <w:rFonts w:eastAsia="Times New Roman" w:cstheme="minorHAnsi"/>
          <w:color w:val="000000"/>
          <w:sz w:val="20"/>
          <w:szCs w:val="20"/>
          <w:lang w:eastAsia="pl-PL"/>
        </w:rPr>
        <w:t>i odbioru robót związanych z wykonaniem warstwy ścieralnej z betonu asfaltowego dla zadania pt.:</w:t>
      </w:r>
      <w:r w:rsidRPr="004853EB">
        <w:rPr>
          <w:rFonts w:eastAsia="Times New Roman" w:cstheme="minorHAnsi"/>
          <w:sz w:val="20"/>
          <w:szCs w:val="20"/>
          <w:lang w:eastAsia="pl-PL"/>
        </w:rPr>
        <w:t xml:space="preserve"> </w:t>
      </w:r>
      <w:r w:rsidRPr="004853EB">
        <w:rPr>
          <w:rFonts w:eastAsia="Times New Roman" w:cstheme="minorHAnsi"/>
          <w:b/>
          <w:sz w:val="20"/>
          <w:szCs w:val="20"/>
          <w:lang w:eastAsia="pl-PL"/>
        </w:rPr>
        <w:t xml:space="preserve">Przebudowa </w:t>
      </w:r>
      <w:r w:rsidRPr="004853EB">
        <w:rPr>
          <w:rFonts w:eastAsia="Times New Roman" w:cstheme="minorHAnsi"/>
          <w:b/>
          <w:color w:val="000000"/>
          <w:sz w:val="20"/>
          <w:szCs w:val="20"/>
          <w:lang w:eastAsia="pl-PL"/>
        </w:rPr>
        <w:t xml:space="preserve">drogi powiatowej nr </w:t>
      </w:r>
      <w:r w:rsidR="00BB6660" w:rsidRPr="00BB6660">
        <w:rPr>
          <w:rFonts w:eastAsia="Times New Roman" w:cstheme="minorHAnsi"/>
          <w:b/>
          <w:bCs/>
          <w:color w:val="000000"/>
          <w:sz w:val="20"/>
          <w:szCs w:val="20"/>
          <w:lang w:eastAsia="pl-PL"/>
        </w:rPr>
        <w:t>4506W Zwoleń – Sarnów w miejscowości Łuczynów</w:t>
      </w:r>
      <w:r w:rsidRPr="004853EB">
        <w:rPr>
          <w:rFonts w:eastAsia="Times New Roman" w:cstheme="minorHAnsi"/>
          <w:b/>
          <w:color w:val="000000"/>
          <w:sz w:val="20"/>
          <w:szCs w:val="20"/>
          <w:lang w:eastAsia="pl-PL"/>
        </w:rPr>
        <w:t>.</w:t>
      </w:r>
    </w:p>
    <w:p w14:paraId="2ED4632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b/>
          <w:color w:val="000000"/>
          <w:sz w:val="20"/>
          <w:szCs w:val="20"/>
          <w:lang w:eastAsia="pl-PL"/>
        </w:rPr>
      </w:pPr>
      <w:r w:rsidRPr="004853EB">
        <w:rPr>
          <w:rFonts w:eastAsia="Times New Roman" w:cstheme="minorHAnsi"/>
          <w:b/>
          <w:color w:val="000000"/>
          <w:sz w:val="20"/>
          <w:szCs w:val="20"/>
          <w:lang w:eastAsia="pl-PL"/>
        </w:rPr>
        <w:t>1.2.</w:t>
      </w:r>
      <w:r w:rsidRPr="004853EB">
        <w:rPr>
          <w:rFonts w:eastAsia="Times New Roman" w:cstheme="minorHAnsi"/>
          <w:b/>
          <w:color w:val="000000"/>
          <w:sz w:val="20"/>
          <w:szCs w:val="20"/>
          <w:lang w:eastAsia="pl-PL"/>
        </w:rPr>
        <w:tab/>
        <w:t>Zakres stosowania SST</w:t>
      </w:r>
    </w:p>
    <w:p w14:paraId="24ED44C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sz w:val="19"/>
          <w:szCs w:val="19"/>
          <w:lang w:eastAsia="pl-PL"/>
        </w:rPr>
        <w:t>Szczegółowa specyfikacja techniczna (SST)</w:t>
      </w:r>
      <w:r w:rsidRPr="004853EB">
        <w:rPr>
          <w:rFonts w:eastAsia="Times New Roman" w:cstheme="minorHAnsi"/>
          <w:color w:val="000000"/>
          <w:sz w:val="20"/>
          <w:szCs w:val="20"/>
          <w:lang w:eastAsia="pl-PL"/>
        </w:rPr>
        <w:t xml:space="preserve"> jest stosowana do wykonania i odbioru robót budowlanych oraz jako dokument kontraktowy przy zlecaniu i realizacji zadania wymienionego w pkt. 1.1.</w:t>
      </w:r>
    </w:p>
    <w:p w14:paraId="3D749688"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3CBFAC22"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136" w:name="_Toc97034665"/>
      <w:bookmarkStart w:id="3137" w:name="_Toc97035353"/>
      <w:bookmarkStart w:id="3138" w:name="_Toc194476948"/>
      <w:bookmarkStart w:id="3139" w:name="_Toc227825430"/>
      <w:r w:rsidRPr="004853EB">
        <w:rPr>
          <w:rFonts w:eastAsia="Times New Roman" w:cstheme="minorHAnsi"/>
          <w:b/>
          <w:bCs/>
          <w:color w:val="000000"/>
          <w:sz w:val="20"/>
          <w:szCs w:val="20"/>
          <w:lang w:eastAsia="pl-PL"/>
        </w:rPr>
        <w:t>1.3. Zakres robót objętych SST</w:t>
      </w:r>
      <w:bookmarkEnd w:id="3136"/>
      <w:bookmarkEnd w:id="3137"/>
      <w:bookmarkEnd w:id="3138"/>
      <w:bookmarkEnd w:id="3139"/>
    </w:p>
    <w:p w14:paraId="203B6E31" w14:textId="1039B14F"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Ustalenia zawarte w niniejszej specyfikacji dotyczą zasad prowadzenia robót związanych z wykonaniem </w:t>
      </w:r>
      <w:r w:rsidRPr="004853EB">
        <w:rPr>
          <w:rFonts w:eastAsia="Times New Roman" w:cstheme="minorHAnsi"/>
          <w:color w:val="000000"/>
          <w:sz w:val="20"/>
          <w:szCs w:val="20"/>
          <w:lang w:eastAsia="pl-PL"/>
        </w:rPr>
        <w:br/>
        <w:t xml:space="preserve">i odbiorem warstwy ścieralnej z betonu asfaltowego wg PN-EN 13108-1 [50] i WT-2 Mieszanki mineralno-asfaltowe 2014 [70] z mieszanki mineralno-asfaltowej dostarczonej od producenta. W przypadku produkcji mieszanki mineralno-asfaltowej przez Wykonawcę dla potrzeb budowy, Wykonawca zobowiązany jest prowadzić zakładową kontrolę produkcji (ZKP) zgodnie </w:t>
      </w:r>
      <w:r w:rsidR="00336D00" w:rsidRPr="004853EB">
        <w:rPr>
          <w:rFonts w:eastAsia="Times New Roman" w:cstheme="minorHAnsi"/>
          <w:color w:val="000000"/>
          <w:sz w:val="20"/>
          <w:szCs w:val="20"/>
          <w:lang w:eastAsia="pl-PL"/>
        </w:rPr>
        <w:t>z PN</w:t>
      </w:r>
      <w:r w:rsidRPr="004853EB">
        <w:rPr>
          <w:rFonts w:eastAsia="Times New Roman" w:cstheme="minorHAnsi"/>
          <w:color w:val="000000"/>
          <w:sz w:val="20"/>
          <w:szCs w:val="20"/>
          <w:lang w:eastAsia="pl-PL"/>
        </w:rPr>
        <w:t>-EN 13108-21 [53].</w:t>
      </w:r>
    </w:p>
    <w:p w14:paraId="22FF1F7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Warstwę ścieralną z betonu asfaltowego można wykonywać dla dróg kategorii ruchu od KR3 do KR4 (określenie kategorii ruchu podano w punkcie 1.4.7). Dopuszcza się stosowanie warstwy ścieralnej betonu asfaltowego AC11S na obiektach mostowych, jeżeli nawierzchnia dojazdów do mostu jest wykonana z betonu asfaltowego.</w:t>
      </w:r>
    </w:p>
    <w:p w14:paraId="30673E59" w14:textId="7A67628C"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Stosowane </w:t>
      </w:r>
      <w:r w:rsidR="00336D00" w:rsidRPr="004853EB">
        <w:rPr>
          <w:rFonts w:eastAsia="Times New Roman" w:cstheme="minorHAnsi"/>
          <w:color w:val="000000"/>
          <w:sz w:val="20"/>
          <w:szCs w:val="20"/>
          <w:lang w:eastAsia="pl-PL"/>
        </w:rPr>
        <w:t>mieszanki betonu</w:t>
      </w:r>
      <w:r w:rsidRPr="004853EB">
        <w:rPr>
          <w:rFonts w:eastAsia="Times New Roman" w:cstheme="minorHAnsi"/>
          <w:color w:val="000000"/>
          <w:sz w:val="20"/>
          <w:szCs w:val="20"/>
          <w:lang w:eastAsia="pl-PL"/>
        </w:rPr>
        <w:t xml:space="preserve"> asfaltowego o wymiarze D podano w tablicy 1.</w:t>
      </w:r>
    </w:p>
    <w:p w14:paraId="03CFAA90" w14:textId="77777777" w:rsidR="00CC1EF4" w:rsidRPr="004853EB" w:rsidRDefault="00CC1EF4" w:rsidP="00CC1EF4">
      <w:pPr>
        <w:spacing w:before="60" w:after="6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CC1EF4" w:rsidRPr="004853EB" w14:paraId="4751566D" w14:textId="77777777" w:rsidTr="00E95D02">
        <w:trPr>
          <w:trHeight w:val="590"/>
        </w:trPr>
        <w:tc>
          <w:tcPr>
            <w:tcW w:w="1276" w:type="dxa"/>
            <w:vAlign w:val="center"/>
          </w:tcPr>
          <w:p w14:paraId="50CEFBB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Kategoria</w:t>
            </w:r>
          </w:p>
          <w:p w14:paraId="2F9AF45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Ruchu</w:t>
            </w:r>
          </w:p>
        </w:tc>
        <w:tc>
          <w:tcPr>
            <w:tcW w:w="6132" w:type="dxa"/>
            <w:vAlign w:val="center"/>
          </w:tcPr>
          <w:p w14:paraId="669D9B07" w14:textId="6BEC7D67" w:rsidR="00CC1EF4" w:rsidRPr="004853EB" w:rsidRDefault="00336D00"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Mieszanki o</w:t>
            </w:r>
            <w:r w:rsidR="00CC1EF4" w:rsidRPr="004853EB">
              <w:rPr>
                <w:rFonts w:eastAsia="Times New Roman" w:cstheme="minorHAnsi"/>
                <w:color w:val="000000"/>
                <w:sz w:val="18"/>
                <w:szCs w:val="18"/>
                <w:lang w:eastAsia="pl-PL"/>
              </w:rPr>
              <w:t xml:space="preserve"> wymiarze D</w:t>
            </w:r>
            <w:r w:rsidR="00CC1EF4" w:rsidRPr="004853EB">
              <w:rPr>
                <w:rFonts w:eastAsia="Times New Roman" w:cstheme="minorHAnsi"/>
                <w:color w:val="000000"/>
                <w:sz w:val="18"/>
                <w:szCs w:val="18"/>
                <w:vertAlign w:val="superscript"/>
                <w:lang w:eastAsia="pl-PL"/>
              </w:rPr>
              <w:t>1</w:t>
            </w:r>
            <w:r w:rsidRPr="004853EB">
              <w:rPr>
                <w:rFonts w:eastAsia="Times New Roman" w:cstheme="minorHAnsi"/>
                <w:color w:val="000000"/>
                <w:sz w:val="18"/>
                <w:szCs w:val="18"/>
                <w:vertAlign w:val="superscript"/>
                <w:lang w:eastAsia="pl-PL"/>
              </w:rPr>
              <w:t>)</w:t>
            </w:r>
            <w:r w:rsidRPr="004853EB">
              <w:rPr>
                <w:rFonts w:eastAsia="Times New Roman" w:cstheme="minorHAnsi"/>
                <w:color w:val="000000"/>
                <w:sz w:val="18"/>
                <w:szCs w:val="18"/>
                <w:lang w:eastAsia="pl-PL"/>
              </w:rPr>
              <w:t>, mm</w:t>
            </w:r>
          </w:p>
        </w:tc>
      </w:tr>
      <w:tr w:rsidR="00CC1EF4" w:rsidRPr="004853EB" w14:paraId="72B3FFEE" w14:textId="77777777" w:rsidTr="00E95D02">
        <w:tc>
          <w:tcPr>
            <w:tcW w:w="1276" w:type="dxa"/>
          </w:tcPr>
          <w:p w14:paraId="166D693E"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KR 3-4</w:t>
            </w:r>
          </w:p>
        </w:tc>
        <w:tc>
          <w:tcPr>
            <w:tcW w:w="6132" w:type="dxa"/>
          </w:tcPr>
          <w:p w14:paraId="7E6B3A99"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AC8S, AC11S</w:t>
            </w:r>
          </w:p>
        </w:tc>
      </w:tr>
    </w:tbl>
    <w:p w14:paraId="7E6E538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vertAlign w:val="superscript"/>
          <w:lang w:eastAsia="pl-PL"/>
        </w:rPr>
        <w:t xml:space="preserve">1) </w:t>
      </w:r>
      <w:r w:rsidRPr="004853EB">
        <w:rPr>
          <w:rFonts w:eastAsia="Times New Roman" w:cstheme="minorHAnsi"/>
          <w:color w:val="000000"/>
          <w:sz w:val="20"/>
          <w:szCs w:val="20"/>
          <w:lang w:eastAsia="pl-PL"/>
        </w:rPr>
        <w:t>Podział ze względu na wymiar największego kruszywa w mieszance – patrz punkt 1.4.4.</w:t>
      </w:r>
    </w:p>
    <w:p w14:paraId="69867A6A"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67132CC4"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140" w:name="_Toc97034666"/>
      <w:bookmarkStart w:id="3141" w:name="_Toc97035354"/>
      <w:bookmarkStart w:id="3142" w:name="_Toc194476949"/>
      <w:bookmarkStart w:id="3143" w:name="_Toc227825431"/>
      <w:r w:rsidRPr="004853EB">
        <w:rPr>
          <w:rFonts w:eastAsia="Times New Roman" w:cstheme="minorHAnsi"/>
          <w:b/>
          <w:bCs/>
          <w:color w:val="000000"/>
          <w:sz w:val="20"/>
          <w:szCs w:val="20"/>
          <w:lang w:eastAsia="pl-PL"/>
        </w:rPr>
        <w:t>1.4. Określenia podstawowe</w:t>
      </w:r>
      <w:bookmarkEnd w:id="3140"/>
      <w:bookmarkEnd w:id="3141"/>
      <w:bookmarkEnd w:id="3142"/>
      <w:bookmarkEnd w:id="3143"/>
    </w:p>
    <w:p w14:paraId="65A9497F" w14:textId="6A93D8D8"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1.4.1. </w:t>
      </w:r>
      <w:r w:rsidRPr="004853EB">
        <w:rPr>
          <w:rFonts w:eastAsia="Times New Roman" w:cstheme="minorHAnsi"/>
          <w:color w:val="000000"/>
          <w:sz w:val="20"/>
          <w:szCs w:val="20"/>
          <w:lang w:eastAsia="pl-PL"/>
        </w:rPr>
        <w:t xml:space="preserve">Nawierzchnia – konstrukcja składająca się z jednej lub kilku warstw służących do przejmowania </w:t>
      </w:r>
      <w:r w:rsidR="00336D00">
        <w:rPr>
          <w:rFonts w:eastAsia="Times New Roman" w:cstheme="minorHAnsi"/>
          <w:color w:val="000000"/>
          <w:sz w:val="20"/>
          <w:szCs w:val="20"/>
          <w:lang w:eastAsia="pl-PL"/>
        </w:rPr>
        <w:br/>
      </w:r>
      <w:r w:rsidRPr="004853EB">
        <w:rPr>
          <w:rFonts w:eastAsia="Times New Roman" w:cstheme="minorHAnsi"/>
          <w:color w:val="000000"/>
          <w:sz w:val="20"/>
          <w:szCs w:val="20"/>
          <w:lang w:eastAsia="pl-PL"/>
        </w:rPr>
        <w:t>i rozkładania obciążeń od ruchu pojazdów na podłoże.</w:t>
      </w:r>
    </w:p>
    <w:p w14:paraId="2A75755D"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1.4.2. </w:t>
      </w:r>
      <w:r w:rsidRPr="004853EB">
        <w:rPr>
          <w:rFonts w:eastAsia="Times New Roman" w:cstheme="minorHAnsi"/>
          <w:color w:val="000000"/>
          <w:sz w:val="20"/>
          <w:szCs w:val="20"/>
          <w:lang w:eastAsia="pl-PL"/>
        </w:rPr>
        <w:t>Warstwa ścieralna – górna warstwa nawierzchni będąca w bezpośrednim kontakcie z kołami pojazdów.</w:t>
      </w:r>
    </w:p>
    <w:p w14:paraId="77243DA9"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1.4.3. </w:t>
      </w:r>
      <w:r w:rsidRPr="004853EB">
        <w:rPr>
          <w:rFonts w:eastAsia="Times New Roman" w:cstheme="minorHAnsi"/>
          <w:color w:val="000000"/>
          <w:sz w:val="20"/>
          <w:szCs w:val="20"/>
          <w:lang w:eastAsia="pl-PL"/>
        </w:rPr>
        <w:t>Mieszanka mineralno-asfaltowa – mieszanka kruszyw i lepiszcza asfaltowego.</w:t>
      </w:r>
    </w:p>
    <w:p w14:paraId="445E642C"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1.4.4. </w:t>
      </w:r>
      <w:r w:rsidRPr="004853EB">
        <w:rPr>
          <w:rFonts w:eastAsia="Times New Roman" w:cstheme="minorHAnsi"/>
          <w:color w:val="000000"/>
          <w:sz w:val="20"/>
          <w:szCs w:val="20"/>
          <w:lang w:eastAsia="pl-PL"/>
        </w:rPr>
        <w:t>Wymiar mieszanki mineralno-asfaltowej – określenie mieszanki mineralno-asfaltowej, ze względu na największy wymiar kruszywa D, np. wymiar 5, 8, 11.</w:t>
      </w:r>
    </w:p>
    <w:p w14:paraId="7435B57C"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1.4.5. </w:t>
      </w:r>
      <w:r w:rsidRPr="004853EB">
        <w:rPr>
          <w:rFonts w:eastAsia="Times New Roman" w:cstheme="minorHAnsi"/>
          <w:color w:val="000000"/>
          <w:sz w:val="20"/>
          <w:szCs w:val="20"/>
          <w:lang w:eastAsia="pl-PL"/>
        </w:rPr>
        <w:t>Beton asfaltowy – mieszanka mineralno-asfaltowa, w której kruszywo o uziarnieniu ciągłym lub nieciągłym tworzy strukturę wzajemnie klinującą się.</w:t>
      </w:r>
    </w:p>
    <w:p w14:paraId="4B805D84"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1.4.6. </w:t>
      </w:r>
      <w:r w:rsidRPr="004853EB">
        <w:rPr>
          <w:rFonts w:eastAsia="Times New Roman" w:cstheme="minorHAnsi"/>
          <w:color w:val="000000"/>
          <w:sz w:val="20"/>
          <w:szCs w:val="20"/>
          <w:lang w:eastAsia="pl-PL"/>
        </w:rPr>
        <w:t>Uziarnienie – skład ziarnowy kruszywa, wyrażony w procentach masy ziaren przechodzących przez określony zestaw sit.</w:t>
      </w:r>
    </w:p>
    <w:p w14:paraId="16907A61"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1.4.7. </w:t>
      </w:r>
      <w:r w:rsidRPr="004853EB">
        <w:rPr>
          <w:rFonts w:eastAsia="Times New Roman" w:cstheme="minorHAnsi"/>
          <w:color w:val="000000"/>
          <w:sz w:val="20"/>
          <w:szCs w:val="20"/>
          <w:lang w:eastAsia="pl-PL"/>
        </w:rPr>
        <w:t xml:space="preserve">Kategoria ruchu – obciążenie drogi ruchem samochodowym, wyrażone w osiach obliczeniowych (100 kN) </w:t>
      </w:r>
      <w:r w:rsidRPr="004853EB">
        <w:rPr>
          <w:rFonts w:eastAsia="Times New Roman" w:cstheme="minorHAnsi"/>
          <w:color w:val="000000"/>
          <w:sz w:val="20"/>
          <w:szCs w:val="20"/>
          <w:lang w:eastAsia="pl-PL"/>
        </w:rPr>
        <w:br/>
        <w:t>wg „Katalogu typowych konstrukcji nawierzchni podatnych i półsztywnych” GDDKiA [71].</w:t>
      </w:r>
    </w:p>
    <w:p w14:paraId="3FB3A485"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1.4.8. </w:t>
      </w:r>
      <w:r w:rsidRPr="004853EB">
        <w:rPr>
          <w:rFonts w:eastAsia="Times New Roman" w:cstheme="minorHAnsi"/>
          <w:color w:val="000000"/>
          <w:sz w:val="20"/>
          <w:szCs w:val="20"/>
          <w:lang w:eastAsia="pl-PL"/>
        </w:rPr>
        <w:t>Wymiar kruszywa – wielkość ziaren kruszywa, określona przez dolny (d) i górny (D) wymiar sita.</w:t>
      </w:r>
    </w:p>
    <w:p w14:paraId="69BB4E84"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1.4.9. </w:t>
      </w:r>
      <w:r w:rsidRPr="004853EB">
        <w:rPr>
          <w:rFonts w:eastAsia="Times New Roman" w:cstheme="minorHAnsi"/>
          <w:color w:val="000000"/>
          <w:sz w:val="20"/>
          <w:szCs w:val="20"/>
          <w:lang w:eastAsia="pl-PL"/>
        </w:rPr>
        <w:t>Kruszywo grube – kruszywo z ziaren o wymiarze: D ≤ 45 mm oraz d &gt; 2 mm.</w:t>
      </w:r>
    </w:p>
    <w:p w14:paraId="51C013BD"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1.4.10. </w:t>
      </w:r>
      <w:r w:rsidRPr="004853EB">
        <w:rPr>
          <w:rFonts w:eastAsia="Times New Roman" w:cstheme="minorHAnsi"/>
          <w:color w:val="000000"/>
          <w:sz w:val="20"/>
          <w:szCs w:val="20"/>
          <w:lang w:eastAsia="pl-PL"/>
        </w:rPr>
        <w:t>Kruszywo drobne – kruszywo z ziaren o wymiarze: D ≤ 2 mm, którego większa część pozostaje na sicie 0,063 mm.</w:t>
      </w:r>
    </w:p>
    <w:p w14:paraId="50C2282E"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1.4.11. </w:t>
      </w:r>
      <w:r w:rsidRPr="004853EB">
        <w:rPr>
          <w:rFonts w:eastAsia="Times New Roman" w:cstheme="minorHAnsi"/>
          <w:color w:val="000000"/>
          <w:sz w:val="20"/>
          <w:szCs w:val="20"/>
          <w:lang w:eastAsia="pl-PL"/>
        </w:rPr>
        <w:t>Pył – kruszywo z ziaren przechodzących przez sito 0,063 mm.</w:t>
      </w:r>
    </w:p>
    <w:p w14:paraId="438C437A"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lastRenderedPageBreak/>
        <w:t xml:space="preserve">1.4.12. </w:t>
      </w:r>
      <w:r w:rsidRPr="004853EB">
        <w:rPr>
          <w:rFonts w:eastAsia="Times New Roman" w:cstheme="minorHAnsi"/>
          <w:color w:val="000000"/>
          <w:sz w:val="20"/>
          <w:szCs w:val="20"/>
          <w:lang w:eastAsia="pl-PL"/>
        </w:rPr>
        <w:t>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14:paraId="77058632"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1.4.13. </w:t>
      </w:r>
      <w:r w:rsidRPr="004853EB">
        <w:rPr>
          <w:rFonts w:eastAsia="Times New Roman" w:cstheme="minorHAnsi"/>
          <w:color w:val="000000"/>
          <w:sz w:val="20"/>
          <w:szCs w:val="20"/>
          <w:lang w:eastAsia="pl-PL"/>
        </w:rPr>
        <w:t>Kationowa emulsja asfaltowa – emulsja, w której emulgator nadaje dodatnie ładunki cząstkom zdyspergowanego asfaltu.</w:t>
      </w:r>
    </w:p>
    <w:p w14:paraId="29FA1511"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1.4.14. </w:t>
      </w:r>
      <w:r w:rsidRPr="004853EB">
        <w:rPr>
          <w:rFonts w:eastAsia="Times New Roman" w:cstheme="minorHAnsi"/>
          <w:color w:val="000000"/>
          <w:sz w:val="20"/>
          <w:szCs w:val="20"/>
          <w:lang w:eastAsia="pl-PL"/>
        </w:rPr>
        <w:t xml:space="preserve">Pozostałe określenia podstawowe są zgodne z obowiązującymi, odpowiednimi polskimi normami </w:t>
      </w:r>
      <w:r w:rsidRPr="004853EB">
        <w:rPr>
          <w:rFonts w:eastAsia="Times New Roman" w:cstheme="minorHAnsi"/>
          <w:color w:val="000000"/>
          <w:sz w:val="20"/>
          <w:szCs w:val="20"/>
          <w:lang w:eastAsia="pl-PL"/>
        </w:rPr>
        <w:br/>
        <w:t>i z definicjami podanymi w OST D-M-00.00.00 „Wymagania ogólne” pkt 1.4.</w:t>
      </w:r>
    </w:p>
    <w:p w14:paraId="7A06EC0A"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1.4.15. </w:t>
      </w:r>
      <w:r w:rsidRPr="004853EB">
        <w:rPr>
          <w:rFonts w:eastAsia="Times New Roman" w:cstheme="minorHAnsi"/>
          <w:color w:val="000000"/>
          <w:sz w:val="20"/>
          <w:szCs w:val="20"/>
          <w:lang w:eastAsia="pl-PL"/>
        </w:rPr>
        <w:t>Symbole i skróty dodatkowe</w:t>
      </w:r>
    </w:p>
    <w:tbl>
      <w:tblPr>
        <w:tblW w:w="0" w:type="auto"/>
        <w:tblLook w:val="04A0" w:firstRow="1" w:lastRow="0" w:firstColumn="1" w:lastColumn="0" w:noHBand="0" w:noVBand="1"/>
      </w:tblPr>
      <w:tblGrid>
        <w:gridCol w:w="737"/>
        <w:gridCol w:w="8131"/>
      </w:tblGrid>
      <w:tr w:rsidR="00CC1EF4" w:rsidRPr="004853EB" w14:paraId="0ACC7581" w14:textId="77777777" w:rsidTr="00E95D02">
        <w:tc>
          <w:tcPr>
            <w:tcW w:w="737" w:type="dxa"/>
          </w:tcPr>
          <w:p w14:paraId="769A24A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AC_S</w:t>
            </w:r>
          </w:p>
        </w:tc>
        <w:tc>
          <w:tcPr>
            <w:tcW w:w="8131" w:type="dxa"/>
          </w:tcPr>
          <w:p w14:paraId="127E1A87" w14:textId="77777777" w:rsidR="00CC1EF4" w:rsidRPr="004853EB" w:rsidRDefault="00CC1EF4">
            <w:pPr>
              <w:numPr>
                <w:ilvl w:val="0"/>
                <w:numId w:val="99"/>
              </w:numPr>
              <w:overflowPunct w:val="0"/>
              <w:autoSpaceDE w:val="0"/>
              <w:autoSpaceDN w:val="0"/>
              <w:adjustRightInd w:val="0"/>
              <w:spacing w:after="0" w:line="240" w:lineRule="auto"/>
              <w:ind w:left="318" w:hanging="219"/>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beton asfaltowy do warstwy ścieralnej</w:t>
            </w:r>
          </w:p>
        </w:tc>
      </w:tr>
      <w:tr w:rsidR="00CC1EF4" w:rsidRPr="004853EB" w14:paraId="1CA9BEFA" w14:textId="77777777" w:rsidTr="00E95D02">
        <w:tc>
          <w:tcPr>
            <w:tcW w:w="737" w:type="dxa"/>
          </w:tcPr>
          <w:p w14:paraId="60C47BC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PMB</w:t>
            </w:r>
          </w:p>
        </w:tc>
        <w:tc>
          <w:tcPr>
            <w:tcW w:w="8131" w:type="dxa"/>
          </w:tcPr>
          <w:p w14:paraId="6CCD57AF" w14:textId="77777777" w:rsidR="00CC1EF4" w:rsidRPr="004853EB" w:rsidRDefault="00CC1EF4">
            <w:pPr>
              <w:numPr>
                <w:ilvl w:val="0"/>
                <w:numId w:val="100"/>
              </w:numPr>
              <w:overflowPunct w:val="0"/>
              <w:autoSpaceDE w:val="0"/>
              <w:autoSpaceDN w:val="0"/>
              <w:adjustRightInd w:val="0"/>
              <w:spacing w:after="0" w:line="240" w:lineRule="auto"/>
              <w:ind w:left="318" w:hanging="219"/>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polimeroasfalt (ang. polymer modified bitumen),</w:t>
            </w:r>
          </w:p>
        </w:tc>
      </w:tr>
      <w:tr w:rsidR="00CC1EF4" w:rsidRPr="004853EB" w14:paraId="07FFB07C" w14:textId="77777777" w:rsidTr="00E95D02">
        <w:tc>
          <w:tcPr>
            <w:tcW w:w="737" w:type="dxa"/>
          </w:tcPr>
          <w:p w14:paraId="37102D9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MG</w:t>
            </w:r>
          </w:p>
        </w:tc>
        <w:tc>
          <w:tcPr>
            <w:tcW w:w="8131" w:type="dxa"/>
          </w:tcPr>
          <w:p w14:paraId="02B229F1" w14:textId="77777777" w:rsidR="00CC1EF4" w:rsidRPr="004853EB" w:rsidRDefault="00CC1EF4">
            <w:pPr>
              <w:numPr>
                <w:ilvl w:val="0"/>
                <w:numId w:val="100"/>
              </w:numPr>
              <w:overflowPunct w:val="0"/>
              <w:autoSpaceDE w:val="0"/>
              <w:autoSpaceDN w:val="0"/>
              <w:adjustRightInd w:val="0"/>
              <w:spacing w:after="0" w:line="240" w:lineRule="auto"/>
              <w:ind w:left="318" w:hanging="219"/>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 wielorodzajowy (ang. multigrade),</w:t>
            </w:r>
          </w:p>
        </w:tc>
      </w:tr>
      <w:tr w:rsidR="00CC1EF4" w:rsidRPr="004853EB" w14:paraId="2F892F2B" w14:textId="77777777" w:rsidTr="00E95D02">
        <w:tc>
          <w:tcPr>
            <w:tcW w:w="737" w:type="dxa"/>
          </w:tcPr>
          <w:p w14:paraId="772245C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D</w:t>
            </w:r>
          </w:p>
        </w:tc>
        <w:tc>
          <w:tcPr>
            <w:tcW w:w="8131" w:type="dxa"/>
          </w:tcPr>
          <w:p w14:paraId="78DC1E74" w14:textId="77777777" w:rsidR="00CC1EF4" w:rsidRPr="004853EB" w:rsidRDefault="00CC1EF4">
            <w:pPr>
              <w:numPr>
                <w:ilvl w:val="0"/>
                <w:numId w:val="100"/>
              </w:numPr>
              <w:overflowPunct w:val="0"/>
              <w:autoSpaceDE w:val="0"/>
              <w:autoSpaceDN w:val="0"/>
              <w:adjustRightInd w:val="0"/>
              <w:spacing w:after="0" w:line="240" w:lineRule="auto"/>
              <w:ind w:left="318" w:hanging="219"/>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górny wymiar sita (przy określaniu wielkości ziaren kruszywa),</w:t>
            </w:r>
          </w:p>
        </w:tc>
      </w:tr>
      <w:tr w:rsidR="00CC1EF4" w:rsidRPr="004853EB" w14:paraId="5F058B14" w14:textId="77777777" w:rsidTr="00E95D02">
        <w:tc>
          <w:tcPr>
            <w:tcW w:w="737" w:type="dxa"/>
          </w:tcPr>
          <w:p w14:paraId="3CE3552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d</w:t>
            </w:r>
          </w:p>
        </w:tc>
        <w:tc>
          <w:tcPr>
            <w:tcW w:w="8131" w:type="dxa"/>
          </w:tcPr>
          <w:p w14:paraId="78473693" w14:textId="77777777" w:rsidR="00CC1EF4" w:rsidRPr="004853EB" w:rsidRDefault="00CC1EF4">
            <w:pPr>
              <w:numPr>
                <w:ilvl w:val="0"/>
                <w:numId w:val="100"/>
              </w:numPr>
              <w:overflowPunct w:val="0"/>
              <w:autoSpaceDE w:val="0"/>
              <w:autoSpaceDN w:val="0"/>
              <w:adjustRightInd w:val="0"/>
              <w:spacing w:after="0" w:line="240" w:lineRule="auto"/>
              <w:ind w:left="318" w:hanging="219"/>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dolny wymiar sita (przy określaniu wielkości ziaren kruszywa),</w:t>
            </w:r>
          </w:p>
        </w:tc>
      </w:tr>
      <w:tr w:rsidR="00CC1EF4" w:rsidRPr="004853EB" w14:paraId="3C2B11BD" w14:textId="77777777" w:rsidTr="00E95D02">
        <w:tc>
          <w:tcPr>
            <w:tcW w:w="737" w:type="dxa"/>
          </w:tcPr>
          <w:p w14:paraId="72B56AD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C</w:t>
            </w:r>
          </w:p>
        </w:tc>
        <w:tc>
          <w:tcPr>
            <w:tcW w:w="8131" w:type="dxa"/>
          </w:tcPr>
          <w:p w14:paraId="34D07526" w14:textId="77777777" w:rsidR="00CC1EF4" w:rsidRPr="004853EB" w:rsidRDefault="00CC1EF4">
            <w:pPr>
              <w:numPr>
                <w:ilvl w:val="0"/>
                <w:numId w:val="100"/>
              </w:numPr>
              <w:overflowPunct w:val="0"/>
              <w:autoSpaceDE w:val="0"/>
              <w:autoSpaceDN w:val="0"/>
              <w:adjustRightInd w:val="0"/>
              <w:spacing w:after="0" w:line="240" w:lineRule="auto"/>
              <w:ind w:left="318" w:hanging="219"/>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kationowa emulsja asfaltowa,</w:t>
            </w:r>
          </w:p>
        </w:tc>
      </w:tr>
      <w:tr w:rsidR="00CC1EF4" w:rsidRPr="004853EB" w14:paraId="2D29B09D" w14:textId="77777777" w:rsidTr="00E95D02">
        <w:tc>
          <w:tcPr>
            <w:tcW w:w="737" w:type="dxa"/>
          </w:tcPr>
          <w:p w14:paraId="5B545ED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NPD</w:t>
            </w:r>
          </w:p>
        </w:tc>
        <w:tc>
          <w:tcPr>
            <w:tcW w:w="8131" w:type="dxa"/>
          </w:tcPr>
          <w:p w14:paraId="4EC66BFD" w14:textId="77777777" w:rsidR="00CC1EF4" w:rsidRPr="004853EB" w:rsidRDefault="00CC1EF4">
            <w:pPr>
              <w:numPr>
                <w:ilvl w:val="0"/>
                <w:numId w:val="100"/>
              </w:numPr>
              <w:overflowPunct w:val="0"/>
              <w:autoSpaceDE w:val="0"/>
              <w:autoSpaceDN w:val="0"/>
              <w:adjustRightInd w:val="0"/>
              <w:spacing w:after="0" w:line="240" w:lineRule="auto"/>
              <w:ind w:left="318" w:hanging="219"/>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właściwość użytkowa nie określana (ang. No Performance Determined; producent może jej nie określać),</w:t>
            </w:r>
          </w:p>
        </w:tc>
      </w:tr>
      <w:tr w:rsidR="00CC1EF4" w:rsidRPr="004853EB" w14:paraId="45895EDD" w14:textId="77777777" w:rsidTr="00E95D02">
        <w:tc>
          <w:tcPr>
            <w:tcW w:w="737" w:type="dxa"/>
          </w:tcPr>
          <w:p w14:paraId="3369397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TBR</w:t>
            </w:r>
          </w:p>
        </w:tc>
        <w:tc>
          <w:tcPr>
            <w:tcW w:w="8131" w:type="dxa"/>
          </w:tcPr>
          <w:p w14:paraId="66CF9B65" w14:textId="77777777" w:rsidR="00CC1EF4" w:rsidRPr="004853EB" w:rsidRDefault="00CC1EF4">
            <w:pPr>
              <w:numPr>
                <w:ilvl w:val="0"/>
                <w:numId w:val="100"/>
              </w:numPr>
              <w:overflowPunct w:val="0"/>
              <w:autoSpaceDE w:val="0"/>
              <w:autoSpaceDN w:val="0"/>
              <w:adjustRightInd w:val="0"/>
              <w:spacing w:after="0" w:line="240" w:lineRule="auto"/>
              <w:ind w:left="318" w:hanging="219"/>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do zadeklarowania (ang. To Be Reported; producent może dostarczyć odpowiednie informacje, jednak nie jest do tego zobowiązany),</w:t>
            </w:r>
          </w:p>
        </w:tc>
      </w:tr>
      <w:tr w:rsidR="00CC1EF4" w:rsidRPr="004853EB" w14:paraId="68DEC991" w14:textId="77777777" w:rsidTr="00E95D02">
        <w:tc>
          <w:tcPr>
            <w:tcW w:w="737" w:type="dxa"/>
          </w:tcPr>
          <w:p w14:paraId="420910B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IRI</w:t>
            </w:r>
          </w:p>
        </w:tc>
        <w:tc>
          <w:tcPr>
            <w:tcW w:w="8131" w:type="dxa"/>
          </w:tcPr>
          <w:p w14:paraId="70D2FA72" w14:textId="77777777" w:rsidR="00CC1EF4" w:rsidRPr="004853EB" w:rsidRDefault="00CC1EF4">
            <w:pPr>
              <w:numPr>
                <w:ilvl w:val="0"/>
                <w:numId w:val="100"/>
              </w:numPr>
              <w:overflowPunct w:val="0"/>
              <w:autoSpaceDE w:val="0"/>
              <w:autoSpaceDN w:val="0"/>
              <w:adjustRightInd w:val="0"/>
              <w:spacing w:after="0" w:line="240" w:lineRule="auto"/>
              <w:ind w:left="318" w:hanging="219"/>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(International Roughness Index) międzynarodowy wskaźnik równości,</w:t>
            </w:r>
          </w:p>
        </w:tc>
      </w:tr>
      <w:tr w:rsidR="00CC1EF4" w:rsidRPr="004853EB" w14:paraId="08B86429" w14:textId="77777777" w:rsidTr="00E95D02">
        <w:tc>
          <w:tcPr>
            <w:tcW w:w="737" w:type="dxa"/>
          </w:tcPr>
          <w:p w14:paraId="45E7BE1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MOP</w:t>
            </w:r>
          </w:p>
        </w:tc>
        <w:tc>
          <w:tcPr>
            <w:tcW w:w="8131" w:type="dxa"/>
          </w:tcPr>
          <w:p w14:paraId="6673EF83" w14:textId="77777777" w:rsidR="00CC1EF4" w:rsidRPr="004853EB" w:rsidRDefault="00CC1EF4">
            <w:pPr>
              <w:numPr>
                <w:ilvl w:val="0"/>
                <w:numId w:val="100"/>
              </w:numPr>
              <w:overflowPunct w:val="0"/>
              <w:autoSpaceDE w:val="0"/>
              <w:autoSpaceDN w:val="0"/>
              <w:adjustRightInd w:val="0"/>
              <w:spacing w:after="0" w:line="240" w:lineRule="auto"/>
              <w:ind w:left="318" w:hanging="219"/>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miejsce obsługi podróżnych. </w:t>
            </w:r>
          </w:p>
        </w:tc>
      </w:tr>
      <w:tr w:rsidR="00CC1EF4" w:rsidRPr="004853EB" w14:paraId="08298E8E" w14:textId="77777777" w:rsidTr="00E95D02">
        <w:tc>
          <w:tcPr>
            <w:tcW w:w="737" w:type="dxa"/>
          </w:tcPr>
          <w:p w14:paraId="24E73E2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ZKP</w:t>
            </w:r>
          </w:p>
        </w:tc>
        <w:tc>
          <w:tcPr>
            <w:tcW w:w="8131" w:type="dxa"/>
          </w:tcPr>
          <w:p w14:paraId="56474B88" w14:textId="77777777" w:rsidR="00CC1EF4" w:rsidRPr="004853EB" w:rsidRDefault="00CC1EF4">
            <w:pPr>
              <w:numPr>
                <w:ilvl w:val="0"/>
                <w:numId w:val="100"/>
              </w:numPr>
              <w:overflowPunct w:val="0"/>
              <w:autoSpaceDE w:val="0"/>
              <w:autoSpaceDN w:val="0"/>
              <w:adjustRightInd w:val="0"/>
              <w:spacing w:after="0" w:line="240" w:lineRule="auto"/>
              <w:ind w:left="318" w:hanging="219"/>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zakładowa kontrola produkcji</w:t>
            </w:r>
          </w:p>
        </w:tc>
      </w:tr>
    </w:tbl>
    <w:p w14:paraId="3D4E9183" w14:textId="44F2BD32" w:rsidR="00CC1EF4" w:rsidRPr="004853EB" w:rsidRDefault="00CC1EF4" w:rsidP="00CC1EF4">
      <w:pPr>
        <w:spacing w:before="120" w:after="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1.4</w:t>
      </w:r>
      <w:r w:rsidRPr="004853EB">
        <w:rPr>
          <w:rFonts w:eastAsia="Times New Roman" w:cstheme="minorHAnsi"/>
          <w:color w:val="000000"/>
          <w:sz w:val="20"/>
          <w:szCs w:val="20"/>
          <w:lang w:eastAsia="pl-PL"/>
        </w:rPr>
        <w:t>.</w:t>
      </w:r>
      <w:r w:rsidRPr="004853EB">
        <w:rPr>
          <w:rFonts w:eastAsia="Times New Roman" w:cstheme="minorHAnsi"/>
          <w:b/>
          <w:color w:val="000000"/>
          <w:sz w:val="20"/>
          <w:szCs w:val="20"/>
          <w:lang w:eastAsia="pl-PL"/>
        </w:rPr>
        <w:t xml:space="preserve">16. </w:t>
      </w:r>
      <w:r w:rsidRPr="004853EB">
        <w:rPr>
          <w:rFonts w:eastAsia="Times New Roman" w:cstheme="minorHAnsi"/>
          <w:color w:val="000000"/>
          <w:sz w:val="20"/>
          <w:szCs w:val="20"/>
          <w:lang w:eastAsia="pl-PL"/>
        </w:rPr>
        <w:t xml:space="preserve">Pozostałe określenia podstawowe są zgodne z obowiązującymi, odpowiednimi polskimi normami </w:t>
      </w:r>
      <w:r w:rsidRPr="004853EB">
        <w:rPr>
          <w:rFonts w:eastAsia="Times New Roman" w:cstheme="minorHAnsi"/>
          <w:color w:val="000000"/>
          <w:sz w:val="20"/>
          <w:szCs w:val="20"/>
          <w:lang w:eastAsia="pl-PL"/>
        </w:rPr>
        <w:br/>
        <w:t>i z definicjami podanymi w ST D-M-00.00.00 „Wymagania ogólne”</w:t>
      </w:r>
      <w:r w:rsidR="00336D00">
        <w:rPr>
          <w:rFonts w:eastAsia="Times New Roman" w:cstheme="minorHAnsi"/>
          <w:color w:val="000000"/>
          <w:sz w:val="20"/>
          <w:szCs w:val="20"/>
          <w:lang w:eastAsia="pl-PL"/>
        </w:rPr>
        <w:t xml:space="preserve"> </w:t>
      </w:r>
      <w:r w:rsidRPr="004853EB">
        <w:rPr>
          <w:rFonts w:eastAsia="Times New Roman" w:cstheme="minorHAnsi"/>
          <w:color w:val="000000"/>
          <w:sz w:val="20"/>
          <w:szCs w:val="20"/>
          <w:lang w:eastAsia="pl-PL"/>
        </w:rPr>
        <w:t>[1] pkt 1.4.</w:t>
      </w:r>
    </w:p>
    <w:p w14:paraId="0A3123B6"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1A33BDC8"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144" w:name="_Toc97034667"/>
      <w:bookmarkStart w:id="3145" w:name="_Toc97035355"/>
      <w:bookmarkStart w:id="3146" w:name="_Toc194476950"/>
      <w:bookmarkStart w:id="3147" w:name="_Toc227825432"/>
      <w:r w:rsidRPr="004853EB">
        <w:rPr>
          <w:rFonts w:eastAsia="Times New Roman" w:cstheme="minorHAnsi"/>
          <w:b/>
          <w:bCs/>
          <w:color w:val="000000"/>
          <w:sz w:val="20"/>
          <w:szCs w:val="20"/>
          <w:lang w:eastAsia="pl-PL"/>
        </w:rPr>
        <w:t>1.5. Ogólne wymagania dotyczące robót</w:t>
      </w:r>
      <w:bookmarkEnd w:id="3144"/>
      <w:bookmarkEnd w:id="3145"/>
      <w:bookmarkEnd w:id="3146"/>
      <w:bookmarkEnd w:id="3147"/>
    </w:p>
    <w:p w14:paraId="4E04722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Ogólne wymagania dotyczące robót podano w ST D-M-00.00.00 „Wymagania ogólne” [1] pkt 1.5.</w:t>
      </w:r>
    </w:p>
    <w:p w14:paraId="1B9B38FA"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148" w:name="_Toc412637945"/>
    </w:p>
    <w:p w14:paraId="2CE59242"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149" w:name="_Toc68686961"/>
      <w:bookmarkStart w:id="3150" w:name="_Toc68690559"/>
      <w:bookmarkStart w:id="3151" w:name="_Toc97034668"/>
      <w:bookmarkStart w:id="3152" w:name="_Toc97035356"/>
      <w:bookmarkStart w:id="3153" w:name="_Toc194476951"/>
      <w:bookmarkStart w:id="3154" w:name="_Toc227825433"/>
      <w:r w:rsidRPr="004853EB">
        <w:rPr>
          <w:rFonts w:eastAsia="Times New Roman" w:cstheme="minorHAnsi"/>
          <w:b/>
          <w:bCs/>
          <w:color w:val="000000"/>
          <w:sz w:val="20"/>
          <w:szCs w:val="20"/>
          <w:lang w:eastAsia="pl-PL"/>
        </w:rPr>
        <w:t>2. M</w:t>
      </w:r>
      <w:bookmarkEnd w:id="3148"/>
      <w:r w:rsidRPr="004853EB">
        <w:rPr>
          <w:rFonts w:eastAsia="Times New Roman" w:cstheme="minorHAnsi"/>
          <w:b/>
          <w:bCs/>
          <w:color w:val="000000"/>
          <w:sz w:val="20"/>
          <w:szCs w:val="20"/>
          <w:lang w:eastAsia="pl-PL"/>
        </w:rPr>
        <w:t>ATERIAŁY</w:t>
      </w:r>
      <w:bookmarkEnd w:id="3149"/>
      <w:bookmarkEnd w:id="3150"/>
      <w:bookmarkEnd w:id="3151"/>
      <w:bookmarkEnd w:id="3152"/>
      <w:bookmarkEnd w:id="3153"/>
      <w:bookmarkEnd w:id="3154"/>
    </w:p>
    <w:p w14:paraId="7E28B3BB"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7A841141"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155" w:name="_Toc97034669"/>
      <w:bookmarkStart w:id="3156" w:name="_Toc97035357"/>
      <w:bookmarkStart w:id="3157" w:name="_Toc194476952"/>
      <w:bookmarkStart w:id="3158" w:name="_Toc227825434"/>
      <w:r w:rsidRPr="004853EB">
        <w:rPr>
          <w:rFonts w:eastAsia="Times New Roman" w:cstheme="minorHAnsi"/>
          <w:b/>
          <w:bCs/>
          <w:color w:val="000000"/>
          <w:sz w:val="20"/>
          <w:szCs w:val="20"/>
          <w:lang w:eastAsia="pl-PL"/>
        </w:rPr>
        <w:t>2.1. Ogólne wymagania dotyczące materiałów</w:t>
      </w:r>
      <w:bookmarkEnd w:id="3155"/>
      <w:bookmarkEnd w:id="3156"/>
      <w:bookmarkEnd w:id="3157"/>
      <w:bookmarkEnd w:id="3158"/>
    </w:p>
    <w:p w14:paraId="3796E26D" w14:textId="51CB7318"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Ogólne wymagania dotyczące materiałów, ich pozyskiwania i składowania, podano </w:t>
      </w:r>
      <w:r w:rsidR="00336D00" w:rsidRPr="004853EB">
        <w:rPr>
          <w:rFonts w:eastAsia="Times New Roman" w:cstheme="minorHAnsi"/>
          <w:color w:val="000000"/>
          <w:sz w:val="20"/>
          <w:szCs w:val="20"/>
          <w:lang w:eastAsia="pl-PL"/>
        </w:rPr>
        <w:t>w ST</w:t>
      </w:r>
      <w:r w:rsidRPr="004853EB">
        <w:rPr>
          <w:rFonts w:eastAsia="Times New Roman" w:cstheme="minorHAnsi"/>
          <w:color w:val="000000"/>
          <w:sz w:val="20"/>
          <w:szCs w:val="20"/>
          <w:lang w:eastAsia="pl-PL"/>
        </w:rPr>
        <w:t xml:space="preserve"> D-M-00.00.00 „Wymagania ogólne” [1] pkt 2.</w:t>
      </w:r>
    </w:p>
    <w:p w14:paraId="32793428"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6ED2C416"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159" w:name="_Toc97034670"/>
      <w:bookmarkStart w:id="3160" w:name="_Toc97035358"/>
      <w:bookmarkStart w:id="3161" w:name="_Toc194476953"/>
      <w:bookmarkStart w:id="3162" w:name="_Toc227825435"/>
      <w:r w:rsidRPr="004853EB">
        <w:rPr>
          <w:rFonts w:eastAsia="Times New Roman" w:cstheme="minorHAnsi"/>
          <w:b/>
          <w:bCs/>
          <w:color w:val="000000"/>
          <w:sz w:val="20"/>
          <w:szCs w:val="20"/>
          <w:lang w:eastAsia="pl-PL"/>
        </w:rPr>
        <w:t>2.2. Lepiszcza asfaltowe</w:t>
      </w:r>
      <w:bookmarkEnd w:id="3159"/>
      <w:bookmarkEnd w:id="3160"/>
      <w:bookmarkEnd w:id="3161"/>
      <w:bookmarkEnd w:id="3162"/>
    </w:p>
    <w:p w14:paraId="26B96CD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Należy stosować asfalty drogowe wg PN-EN 12591 [23]. </w:t>
      </w:r>
    </w:p>
    <w:p w14:paraId="32923147"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Rodzaje stosowanych lepiszcz asfaltowych podano w tablicy 2. </w:t>
      </w:r>
    </w:p>
    <w:p w14:paraId="2D794636" w14:textId="1CD6BBAA" w:rsidR="00CC1EF4" w:rsidRPr="004853EB" w:rsidRDefault="00CC1EF4" w:rsidP="00CC1EF4">
      <w:pPr>
        <w:spacing w:before="60" w:after="6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Tablica 2. </w:t>
      </w:r>
      <w:r w:rsidR="00336D00" w:rsidRPr="004853EB">
        <w:rPr>
          <w:rFonts w:eastAsia="Times New Roman" w:cstheme="minorHAnsi"/>
          <w:color w:val="000000"/>
          <w:sz w:val="20"/>
          <w:szCs w:val="20"/>
          <w:lang w:eastAsia="pl-PL"/>
        </w:rPr>
        <w:t>Zalecane lepiszcza</w:t>
      </w:r>
      <w:r w:rsidRPr="004853EB">
        <w:rPr>
          <w:rFonts w:eastAsia="Times New Roman" w:cstheme="minorHAnsi"/>
          <w:color w:val="000000"/>
          <w:sz w:val="20"/>
          <w:szCs w:val="20"/>
          <w:lang w:eastAsia="pl-PL"/>
        </w:rPr>
        <w:t xml:space="preserve"> asfaltowe do warstwy ścieralnej z betonu asfaltowego</w:t>
      </w:r>
    </w:p>
    <w:tbl>
      <w:tblPr>
        <w:tblW w:w="8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457"/>
        <w:gridCol w:w="4703"/>
      </w:tblGrid>
      <w:tr w:rsidR="00CC1EF4" w:rsidRPr="004853EB" w14:paraId="5B8FC82F" w14:textId="77777777" w:rsidTr="00E95D02">
        <w:tc>
          <w:tcPr>
            <w:tcW w:w="1548" w:type="dxa"/>
            <w:tcBorders>
              <w:bottom w:val="nil"/>
            </w:tcBorders>
          </w:tcPr>
          <w:p w14:paraId="20876228" w14:textId="77777777" w:rsidR="00CC1EF4" w:rsidRPr="004853EB" w:rsidRDefault="00CC1EF4" w:rsidP="00CC1EF4">
            <w:pPr>
              <w:spacing w:before="6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Kategoria</w:t>
            </w:r>
          </w:p>
        </w:tc>
        <w:tc>
          <w:tcPr>
            <w:tcW w:w="2457" w:type="dxa"/>
            <w:tcBorders>
              <w:bottom w:val="nil"/>
            </w:tcBorders>
          </w:tcPr>
          <w:p w14:paraId="04CD5886" w14:textId="77777777" w:rsidR="00CC1EF4" w:rsidRPr="004853EB" w:rsidRDefault="00CC1EF4" w:rsidP="00CC1EF4">
            <w:pPr>
              <w:spacing w:before="6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Mieszanka</w:t>
            </w:r>
          </w:p>
        </w:tc>
        <w:tc>
          <w:tcPr>
            <w:tcW w:w="4703" w:type="dxa"/>
          </w:tcPr>
          <w:p w14:paraId="54C9C4CD" w14:textId="77777777" w:rsidR="00CC1EF4" w:rsidRPr="004853EB" w:rsidRDefault="00CC1EF4" w:rsidP="00CC1EF4">
            <w:pPr>
              <w:spacing w:before="6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Gatunek lepiszcza   </w:t>
            </w:r>
          </w:p>
        </w:tc>
      </w:tr>
      <w:tr w:rsidR="00CC1EF4" w:rsidRPr="004853EB" w14:paraId="51346E3C" w14:textId="77777777" w:rsidTr="00E95D02">
        <w:tc>
          <w:tcPr>
            <w:tcW w:w="1548" w:type="dxa"/>
            <w:tcBorders>
              <w:top w:val="nil"/>
            </w:tcBorders>
          </w:tcPr>
          <w:p w14:paraId="35FF9981" w14:textId="77777777" w:rsidR="00CC1EF4" w:rsidRPr="004853EB" w:rsidRDefault="00CC1EF4" w:rsidP="00CC1EF4">
            <w:pPr>
              <w:spacing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ruchu</w:t>
            </w:r>
          </w:p>
        </w:tc>
        <w:tc>
          <w:tcPr>
            <w:tcW w:w="2457" w:type="dxa"/>
            <w:tcBorders>
              <w:top w:val="nil"/>
            </w:tcBorders>
          </w:tcPr>
          <w:p w14:paraId="29B0A8F4" w14:textId="77777777" w:rsidR="00CC1EF4" w:rsidRPr="004853EB" w:rsidRDefault="00CC1EF4" w:rsidP="00CC1EF4">
            <w:pPr>
              <w:spacing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ACS</w:t>
            </w:r>
          </w:p>
        </w:tc>
        <w:tc>
          <w:tcPr>
            <w:tcW w:w="4703" w:type="dxa"/>
          </w:tcPr>
          <w:p w14:paraId="794E703B" w14:textId="77777777" w:rsidR="00CC1EF4" w:rsidRPr="004853EB" w:rsidRDefault="00CC1EF4" w:rsidP="00CC1EF4">
            <w:pPr>
              <w:spacing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asfalt drogowy</w:t>
            </w:r>
          </w:p>
        </w:tc>
      </w:tr>
      <w:tr w:rsidR="00CC1EF4" w:rsidRPr="004853EB" w14:paraId="55AC6DAE" w14:textId="77777777" w:rsidTr="00336D00">
        <w:tc>
          <w:tcPr>
            <w:tcW w:w="1548" w:type="dxa"/>
            <w:vAlign w:val="center"/>
          </w:tcPr>
          <w:p w14:paraId="6375D5BA" w14:textId="77777777" w:rsidR="00CC1EF4" w:rsidRPr="004853EB" w:rsidRDefault="00CC1EF4" w:rsidP="00336D00">
            <w:pPr>
              <w:spacing w:after="60" w:line="240" w:lineRule="auto"/>
              <w:jc w:val="center"/>
              <w:rPr>
                <w:rFonts w:eastAsia="Times New Roman" w:cstheme="minorHAnsi"/>
                <w:color w:val="000000"/>
                <w:sz w:val="18"/>
                <w:szCs w:val="18"/>
                <w:lang w:eastAsia="pl-PL"/>
              </w:rPr>
            </w:pPr>
            <w:r w:rsidRPr="004853EB">
              <w:rPr>
                <w:rFonts w:eastAsia="Times New Roman" w:cstheme="minorHAnsi"/>
                <w:color w:val="000000"/>
                <w:sz w:val="18"/>
                <w:szCs w:val="18"/>
                <w:lang w:eastAsia="pl-PL"/>
              </w:rPr>
              <w:t>KR3 – KR4</w:t>
            </w:r>
          </w:p>
        </w:tc>
        <w:tc>
          <w:tcPr>
            <w:tcW w:w="2457" w:type="dxa"/>
            <w:vAlign w:val="center"/>
          </w:tcPr>
          <w:p w14:paraId="3A9529EC" w14:textId="77777777" w:rsidR="00CC1EF4" w:rsidRPr="004853EB" w:rsidRDefault="00CC1EF4" w:rsidP="00336D00">
            <w:pPr>
              <w:spacing w:after="60" w:line="240" w:lineRule="auto"/>
              <w:jc w:val="center"/>
              <w:rPr>
                <w:rFonts w:eastAsia="Times New Roman" w:cstheme="minorHAnsi"/>
                <w:color w:val="000000"/>
                <w:sz w:val="18"/>
                <w:szCs w:val="18"/>
                <w:lang w:eastAsia="pl-PL"/>
              </w:rPr>
            </w:pPr>
            <w:r w:rsidRPr="004853EB">
              <w:rPr>
                <w:rFonts w:eastAsia="Times New Roman" w:cstheme="minorHAnsi"/>
                <w:color w:val="000000"/>
                <w:sz w:val="18"/>
                <w:szCs w:val="18"/>
                <w:lang w:eastAsia="pl-PL"/>
              </w:rPr>
              <w:t>AC8S, AC11S</w:t>
            </w:r>
          </w:p>
        </w:tc>
        <w:tc>
          <w:tcPr>
            <w:tcW w:w="4703" w:type="dxa"/>
            <w:vAlign w:val="center"/>
          </w:tcPr>
          <w:p w14:paraId="0776050D" w14:textId="74EA260C" w:rsidR="00CC1EF4" w:rsidRPr="004853EB" w:rsidRDefault="00CC1EF4" w:rsidP="00336D00">
            <w:pPr>
              <w:spacing w:after="0" w:line="240" w:lineRule="auto"/>
              <w:jc w:val="center"/>
              <w:rPr>
                <w:rFonts w:eastAsia="Times New Roman" w:cstheme="minorHAnsi"/>
                <w:color w:val="000000"/>
                <w:sz w:val="18"/>
                <w:szCs w:val="18"/>
                <w:lang w:eastAsia="pl-PL"/>
              </w:rPr>
            </w:pPr>
            <w:r w:rsidRPr="004853EB">
              <w:rPr>
                <w:rFonts w:eastAsia="Times New Roman" w:cstheme="minorHAnsi"/>
                <w:color w:val="000000"/>
                <w:sz w:val="18"/>
                <w:szCs w:val="18"/>
                <w:lang w:eastAsia="pl-PL"/>
              </w:rPr>
              <w:t>50/70</w:t>
            </w:r>
          </w:p>
        </w:tc>
      </w:tr>
    </w:tbl>
    <w:p w14:paraId="52F8A19F" w14:textId="77777777" w:rsidR="00CC1EF4" w:rsidRPr="004853EB" w:rsidRDefault="00CC1EF4" w:rsidP="00CC1EF4">
      <w:pPr>
        <w:spacing w:after="0" w:line="240" w:lineRule="auto"/>
        <w:ind w:left="993" w:hanging="993"/>
        <w:jc w:val="both"/>
        <w:rPr>
          <w:rFonts w:eastAsia="Times New Roman" w:cstheme="minorHAnsi"/>
          <w:color w:val="000000"/>
          <w:sz w:val="20"/>
          <w:szCs w:val="20"/>
          <w:lang w:eastAsia="pl-PL"/>
        </w:rPr>
      </w:pPr>
    </w:p>
    <w:p w14:paraId="275D42CE"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Asfalty drogowe powinny spełniać wymagania podane w tablicy 3.  </w:t>
      </w:r>
    </w:p>
    <w:p w14:paraId="3FD89DD8"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p>
    <w:p w14:paraId="742C4C78"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Tablica 3. Wymagania wobec asfaltów drogowych wg PN-EN 12591 [23]</w:t>
      </w:r>
    </w:p>
    <w:tbl>
      <w:tblPr>
        <w:tblW w:w="8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2841"/>
        <w:gridCol w:w="196"/>
        <w:gridCol w:w="912"/>
        <w:gridCol w:w="1586"/>
        <w:gridCol w:w="2011"/>
      </w:tblGrid>
      <w:tr w:rsidR="00CC1EF4" w:rsidRPr="004853EB" w14:paraId="04F54759" w14:textId="77777777" w:rsidTr="00E95D02">
        <w:tc>
          <w:tcPr>
            <w:tcW w:w="543" w:type="dxa"/>
            <w:vMerge w:val="restart"/>
            <w:vAlign w:val="center"/>
          </w:tcPr>
          <w:p w14:paraId="627E921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Lp.</w:t>
            </w:r>
          </w:p>
        </w:tc>
        <w:tc>
          <w:tcPr>
            <w:tcW w:w="3949" w:type="dxa"/>
            <w:gridSpan w:val="3"/>
            <w:vMerge w:val="restart"/>
            <w:vAlign w:val="center"/>
          </w:tcPr>
          <w:p w14:paraId="2CB7C8B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Właściwości</w:t>
            </w:r>
          </w:p>
        </w:tc>
        <w:tc>
          <w:tcPr>
            <w:tcW w:w="1586" w:type="dxa"/>
            <w:vMerge w:val="restart"/>
            <w:vAlign w:val="center"/>
          </w:tcPr>
          <w:p w14:paraId="219AC83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Metoda</w:t>
            </w:r>
          </w:p>
          <w:p w14:paraId="4A002D1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badania</w:t>
            </w:r>
          </w:p>
        </w:tc>
        <w:tc>
          <w:tcPr>
            <w:tcW w:w="2011" w:type="dxa"/>
          </w:tcPr>
          <w:p w14:paraId="03CDB06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Rodzaj asfaltu</w:t>
            </w:r>
          </w:p>
        </w:tc>
      </w:tr>
      <w:tr w:rsidR="00CC1EF4" w:rsidRPr="004853EB" w14:paraId="62639184" w14:textId="77777777" w:rsidTr="00E95D02">
        <w:tc>
          <w:tcPr>
            <w:tcW w:w="543" w:type="dxa"/>
            <w:vMerge/>
          </w:tcPr>
          <w:p w14:paraId="50BED256"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3949" w:type="dxa"/>
            <w:gridSpan w:val="3"/>
            <w:vMerge/>
          </w:tcPr>
          <w:p w14:paraId="4397FF24"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1586" w:type="dxa"/>
            <w:vMerge/>
          </w:tcPr>
          <w:p w14:paraId="3923D003"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2011" w:type="dxa"/>
          </w:tcPr>
          <w:p w14:paraId="2DEFC4F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50/70</w:t>
            </w:r>
          </w:p>
        </w:tc>
      </w:tr>
      <w:tr w:rsidR="00CC1EF4" w:rsidRPr="004853EB" w14:paraId="413C3B5D" w14:textId="77777777" w:rsidTr="00E95D02">
        <w:tc>
          <w:tcPr>
            <w:tcW w:w="8089" w:type="dxa"/>
            <w:gridSpan w:val="6"/>
          </w:tcPr>
          <w:p w14:paraId="20D25CB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WŁAŚCIWOŚCI   OBLIGATORYJNE</w:t>
            </w:r>
          </w:p>
        </w:tc>
      </w:tr>
      <w:tr w:rsidR="00CC1EF4" w:rsidRPr="004853EB" w14:paraId="6364ECC1" w14:textId="77777777" w:rsidTr="00E95D02">
        <w:tc>
          <w:tcPr>
            <w:tcW w:w="543" w:type="dxa"/>
          </w:tcPr>
          <w:p w14:paraId="3EBE38ED"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w:t>
            </w:r>
          </w:p>
        </w:tc>
        <w:tc>
          <w:tcPr>
            <w:tcW w:w="2841" w:type="dxa"/>
          </w:tcPr>
          <w:p w14:paraId="229AA348"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Penetracja w 25°C</w:t>
            </w:r>
          </w:p>
        </w:tc>
        <w:tc>
          <w:tcPr>
            <w:tcW w:w="1108" w:type="dxa"/>
            <w:gridSpan w:val="2"/>
          </w:tcPr>
          <w:p w14:paraId="2176CA10"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0,1 mm</w:t>
            </w:r>
          </w:p>
        </w:tc>
        <w:tc>
          <w:tcPr>
            <w:tcW w:w="1586" w:type="dxa"/>
          </w:tcPr>
          <w:p w14:paraId="65329789"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1426 [20]</w:t>
            </w:r>
          </w:p>
        </w:tc>
        <w:tc>
          <w:tcPr>
            <w:tcW w:w="2011" w:type="dxa"/>
          </w:tcPr>
          <w:p w14:paraId="60EC46CC"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50-70</w:t>
            </w:r>
          </w:p>
        </w:tc>
      </w:tr>
      <w:tr w:rsidR="00CC1EF4" w:rsidRPr="004853EB" w14:paraId="5E5927BE" w14:textId="77777777" w:rsidTr="00E95D02">
        <w:tc>
          <w:tcPr>
            <w:tcW w:w="543" w:type="dxa"/>
          </w:tcPr>
          <w:p w14:paraId="31DB907D"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w:t>
            </w:r>
          </w:p>
        </w:tc>
        <w:tc>
          <w:tcPr>
            <w:tcW w:w="2841" w:type="dxa"/>
          </w:tcPr>
          <w:p w14:paraId="4F42E639"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Temperatura mięknienia</w:t>
            </w:r>
          </w:p>
        </w:tc>
        <w:tc>
          <w:tcPr>
            <w:tcW w:w="1108" w:type="dxa"/>
            <w:gridSpan w:val="2"/>
          </w:tcPr>
          <w:p w14:paraId="5486F83D"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°C</w:t>
            </w:r>
          </w:p>
        </w:tc>
        <w:tc>
          <w:tcPr>
            <w:tcW w:w="1586" w:type="dxa"/>
          </w:tcPr>
          <w:p w14:paraId="58EE2CB4"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1427 [21]</w:t>
            </w:r>
          </w:p>
        </w:tc>
        <w:tc>
          <w:tcPr>
            <w:tcW w:w="2011" w:type="dxa"/>
          </w:tcPr>
          <w:p w14:paraId="4435C87C"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46-54</w:t>
            </w:r>
          </w:p>
        </w:tc>
      </w:tr>
      <w:tr w:rsidR="00CC1EF4" w:rsidRPr="004853EB" w14:paraId="5A9616E0" w14:textId="77777777" w:rsidTr="00E95D02">
        <w:tc>
          <w:tcPr>
            <w:tcW w:w="543" w:type="dxa"/>
          </w:tcPr>
          <w:p w14:paraId="1D56970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w:t>
            </w:r>
          </w:p>
        </w:tc>
        <w:tc>
          <w:tcPr>
            <w:tcW w:w="2841" w:type="dxa"/>
          </w:tcPr>
          <w:p w14:paraId="1DED2D8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Temperatura zapłonu, </w:t>
            </w:r>
          </w:p>
          <w:p w14:paraId="2EF783A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nie mniej niż</w:t>
            </w:r>
          </w:p>
        </w:tc>
        <w:tc>
          <w:tcPr>
            <w:tcW w:w="1108" w:type="dxa"/>
            <w:gridSpan w:val="2"/>
          </w:tcPr>
          <w:p w14:paraId="68829D0B"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°C</w:t>
            </w:r>
          </w:p>
        </w:tc>
        <w:tc>
          <w:tcPr>
            <w:tcW w:w="1586" w:type="dxa"/>
          </w:tcPr>
          <w:p w14:paraId="75CFA71A"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22592 [67]</w:t>
            </w:r>
          </w:p>
        </w:tc>
        <w:tc>
          <w:tcPr>
            <w:tcW w:w="2011" w:type="dxa"/>
          </w:tcPr>
          <w:p w14:paraId="3A4A972B"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230</w:t>
            </w:r>
          </w:p>
        </w:tc>
      </w:tr>
      <w:tr w:rsidR="00CC1EF4" w:rsidRPr="004853EB" w14:paraId="39E1E0C7" w14:textId="77777777" w:rsidTr="00E95D02">
        <w:tc>
          <w:tcPr>
            <w:tcW w:w="543" w:type="dxa"/>
          </w:tcPr>
          <w:p w14:paraId="4AF8697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lastRenderedPageBreak/>
              <w:t>4</w:t>
            </w:r>
          </w:p>
        </w:tc>
        <w:tc>
          <w:tcPr>
            <w:tcW w:w="2841" w:type="dxa"/>
          </w:tcPr>
          <w:p w14:paraId="36F1D44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Zawartość składników rozpuszczalnych, </w:t>
            </w:r>
          </w:p>
          <w:p w14:paraId="766901B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nie mniej niż</w:t>
            </w:r>
          </w:p>
        </w:tc>
        <w:tc>
          <w:tcPr>
            <w:tcW w:w="1108" w:type="dxa"/>
            <w:gridSpan w:val="2"/>
          </w:tcPr>
          <w:p w14:paraId="35743249"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45B9DBC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m/m</w:t>
            </w:r>
          </w:p>
        </w:tc>
        <w:tc>
          <w:tcPr>
            <w:tcW w:w="1586" w:type="dxa"/>
          </w:tcPr>
          <w:p w14:paraId="06316984"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12592 [24]</w:t>
            </w:r>
          </w:p>
        </w:tc>
        <w:tc>
          <w:tcPr>
            <w:tcW w:w="2011" w:type="dxa"/>
          </w:tcPr>
          <w:p w14:paraId="30A9A8F9"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77C41EE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99</w:t>
            </w:r>
          </w:p>
        </w:tc>
      </w:tr>
      <w:tr w:rsidR="00CC1EF4" w:rsidRPr="004853EB" w14:paraId="34F0BCFF" w14:textId="77777777" w:rsidTr="00E95D02">
        <w:tc>
          <w:tcPr>
            <w:tcW w:w="543" w:type="dxa"/>
          </w:tcPr>
          <w:p w14:paraId="297904F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w:t>
            </w:r>
          </w:p>
        </w:tc>
        <w:tc>
          <w:tcPr>
            <w:tcW w:w="2841" w:type="dxa"/>
          </w:tcPr>
          <w:p w14:paraId="22BF527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Zmiana masy po starzeniu (ubytek lub przyrost), </w:t>
            </w:r>
          </w:p>
          <w:p w14:paraId="20CA781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nie więcej niż</w:t>
            </w:r>
          </w:p>
        </w:tc>
        <w:tc>
          <w:tcPr>
            <w:tcW w:w="1108" w:type="dxa"/>
            <w:gridSpan w:val="2"/>
          </w:tcPr>
          <w:p w14:paraId="126CF4CD"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78F8210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m/m</w:t>
            </w:r>
          </w:p>
        </w:tc>
        <w:tc>
          <w:tcPr>
            <w:tcW w:w="1586" w:type="dxa"/>
          </w:tcPr>
          <w:p w14:paraId="62181176"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12607-1 [29]</w:t>
            </w:r>
          </w:p>
        </w:tc>
        <w:tc>
          <w:tcPr>
            <w:tcW w:w="2011" w:type="dxa"/>
          </w:tcPr>
          <w:p w14:paraId="5062C8E3"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78C1915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0,5</w:t>
            </w:r>
          </w:p>
        </w:tc>
      </w:tr>
      <w:tr w:rsidR="00CC1EF4" w:rsidRPr="004853EB" w14:paraId="01A8D27C" w14:textId="77777777" w:rsidTr="00E95D02">
        <w:tc>
          <w:tcPr>
            <w:tcW w:w="543" w:type="dxa"/>
          </w:tcPr>
          <w:p w14:paraId="128F641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w:t>
            </w:r>
          </w:p>
        </w:tc>
        <w:tc>
          <w:tcPr>
            <w:tcW w:w="2841" w:type="dxa"/>
          </w:tcPr>
          <w:p w14:paraId="2200B8C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Pozostała penetracja po starzeniu, nie mniej niż</w:t>
            </w:r>
          </w:p>
        </w:tc>
        <w:tc>
          <w:tcPr>
            <w:tcW w:w="1108" w:type="dxa"/>
            <w:gridSpan w:val="2"/>
          </w:tcPr>
          <w:p w14:paraId="10BE6B84"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t>
            </w:r>
          </w:p>
        </w:tc>
        <w:tc>
          <w:tcPr>
            <w:tcW w:w="1586" w:type="dxa"/>
          </w:tcPr>
          <w:p w14:paraId="742F4EA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1426 [20]</w:t>
            </w:r>
          </w:p>
        </w:tc>
        <w:tc>
          <w:tcPr>
            <w:tcW w:w="2011" w:type="dxa"/>
          </w:tcPr>
          <w:p w14:paraId="55E9B3F0"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w:t>
            </w:r>
          </w:p>
        </w:tc>
      </w:tr>
      <w:tr w:rsidR="00CC1EF4" w:rsidRPr="004853EB" w14:paraId="39153486" w14:textId="77777777" w:rsidTr="00E95D02">
        <w:tc>
          <w:tcPr>
            <w:tcW w:w="543" w:type="dxa"/>
          </w:tcPr>
          <w:p w14:paraId="449F9FC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7</w:t>
            </w:r>
          </w:p>
        </w:tc>
        <w:tc>
          <w:tcPr>
            <w:tcW w:w="2841" w:type="dxa"/>
          </w:tcPr>
          <w:p w14:paraId="3AC1B97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Temperatura mięknienia po starzeniu, nie mniej niż</w:t>
            </w:r>
          </w:p>
        </w:tc>
        <w:tc>
          <w:tcPr>
            <w:tcW w:w="1108" w:type="dxa"/>
            <w:gridSpan w:val="2"/>
          </w:tcPr>
          <w:p w14:paraId="34F4C83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°C</w:t>
            </w:r>
          </w:p>
        </w:tc>
        <w:tc>
          <w:tcPr>
            <w:tcW w:w="1586" w:type="dxa"/>
          </w:tcPr>
          <w:p w14:paraId="2DB1085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1427 [21]</w:t>
            </w:r>
          </w:p>
        </w:tc>
        <w:tc>
          <w:tcPr>
            <w:tcW w:w="2011" w:type="dxa"/>
          </w:tcPr>
          <w:p w14:paraId="7B9909AD"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48</w:t>
            </w:r>
          </w:p>
        </w:tc>
      </w:tr>
      <w:tr w:rsidR="00CC1EF4" w:rsidRPr="004853EB" w14:paraId="3895E105" w14:textId="77777777" w:rsidTr="00E95D02">
        <w:tc>
          <w:tcPr>
            <w:tcW w:w="543" w:type="dxa"/>
          </w:tcPr>
          <w:p w14:paraId="7D8CCA2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w:t>
            </w:r>
          </w:p>
        </w:tc>
        <w:tc>
          <w:tcPr>
            <w:tcW w:w="2841" w:type="dxa"/>
          </w:tcPr>
          <w:p w14:paraId="1D33187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Wzrost temp. mięknienia po starzeniu, nie więcej niż</w:t>
            </w:r>
          </w:p>
        </w:tc>
        <w:tc>
          <w:tcPr>
            <w:tcW w:w="1108" w:type="dxa"/>
            <w:gridSpan w:val="2"/>
          </w:tcPr>
          <w:p w14:paraId="4C3EB4B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°C</w:t>
            </w:r>
          </w:p>
        </w:tc>
        <w:tc>
          <w:tcPr>
            <w:tcW w:w="1586" w:type="dxa"/>
          </w:tcPr>
          <w:p w14:paraId="1CA6E93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1427 [21]</w:t>
            </w:r>
          </w:p>
        </w:tc>
        <w:tc>
          <w:tcPr>
            <w:tcW w:w="2011" w:type="dxa"/>
          </w:tcPr>
          <w:p w14:paraId="4A4E4ABC"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9</w:t>
            </w:r>
          </w:p>
        </w:tc>
      </w:tr>
      <w:tr w:rsidR="00CC1EF4" w:rsidRPr="004853EB" w14:paraId="64E55BBD" w14:textId="77777777" w:rsidTr="00E95D02">
        <w:tc>
          <w:tcPr>
            <w:tcW w:w="8089" w:type="dxa"/>
            <w:gridSpan w:val="6"/>
          </w:tcPr>
          <w:p w14:paraId="68E644A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WŁAŚCIWOŚCI   SPECJALNE   KRAJOWE</w:t>
            </w:r>
          </w:p>
        </w:tc>
      </w:tr>
      <w:tr w:rsidR="00CC1EF4" w:rsidRPr="004853EB" w14:paraId="66E103A4" w14:textId="77777777" w:rsidTr="00E95D02">
        <w:tc>
          <w:tcPr>
            <w:tcW w:w="543" w:type="dxa"/>
          </w:tcPr>
          <w:p w14:paraId="4DFD590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9</w:t>
            </w:r>
          </w:p>
        </w:tc>
        <w:tc>
          <w:tcPr>
            <w:tcW w:w="3037" w:type="dxa"/>
            <w:gridSpan w:val="2"/>
          </w:tcPr>
          <w:p w14:paraId="0B4CFC3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Temperatura łamliwości Fraassa, nie więcej niż</w:t>
            </w:r>
          </w:p>
        </w:tc>
        <w:tc>
          <w:tcPr>
            <w:tcW w:w="912" w:type="dxa"/>
          </w:tcPr>
          <w:p w14:paraId="2374BD4C"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°C</w:t>
            </w:r>
          </w:p>
        </w:tc>
        <w:tc>
          <w:tcPr>
            <w:tcW w:w="1586" w:type="dxa"/>
          </w:tcPr>
          <w:p w14:paraId="508ED4FD"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12593 [25]</w:t>
            </w:r>
          </w:p>
        </w:tc>
        <w:tc>
          <w:tcPr>
            <w:tcW w:w="2011" w:type="dxa"/>
          </w:tcPr>
          <w:p w14:paraId="128DD996"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w:t>
            </w:r>
          </w:p>
        </w:tc>
      </w:tr>
      <w:tr w:rsidR="00CC1EF4" w:rsidRPr="004853EB" w14:paraId="08C893EF" w14:textId="77777777" w:rsidTr="00E95D02">
        <w:tc>
          <w:tcPr>
            <w:tcW w:w="543" w:type="dxa"/>
          </w:tcPr>
          <w:p w14:paraId="6155949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10</w:t>
            </w:r>
          </w:p>
        </w:tc>
        <w:tc>
          <w:tcPr>
            <w:tcW w:w="3037" w:type="dxa"/>
            <w:gridSpan w:val="2"/>
          </w:tcPr>
          <w:p w14:paraId="2B32B29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Indeks penetracji</w:t>
            </w:r>
          </w:p>
        </w:tc>
        <w:tc>
          <w:tcPr>
            <w:tcW w:w="912" w:type="dxa"/>
          </w:tcPr>
          <w:p w14:paraId="52FADC4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t>
            </w:r>
          </w:p>
        </w:tc>
        <w:tc>
          <w:tcPr>
            <w:tcW w:w="1586" w:type="dxa"/>
          </w:tcPr>
          <w:p w14:paraId="7CE1157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12591 [23]</w:t>
            </w:r>
          </w:p>
        </w:tc>
        <w:tc>
          <w:tcPr>
            <w:tcW w:w="2011" w:type="dxa"/>
          </w:tcPr>
          <w:p w14:paraId="62022EC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Brak wymagań</w:t>
            </w:r>
          </w:p>
        </w:tc>
      </w:tr>
      <w:tr w:rsidR="00CC1EF4" w:rsidRPr="004853EB" w14:paraId="1BD19481" w14:textId="77777777" w:rsidTr="00E95D02">
        <w:tc>
          <w:tcPr>
            <w:tcW w:w="543" w:type="dxa"/>
          </w:tcPr>
          <w:p w14:paraId="11DFE7E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11</w:t>
            </w:r>
          </w:p>
        </w:tc>
        <w:tc>
          <w:tcPr>
            <w:tcW w:w="3037" w:type="dxa"/>
            <w:gridSpan w:val="2"/>
          </w:tcPr>
          <w:p w14:paraId="55D1607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Lepkość dynamiczna w 60°C</w:t>
            </w:r>
          </w:p>
        </w:tc>
        <w:tc>
          <w:tcPr>
            <w:tcW w:w="912" w:type="dxa"/>
          </w:tcPr>
          <w:p w14:paraId="5C6E884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Pa s</w:t>
            </w:r>
          </w:p>
        </w:tc>
        <w:tc>
          <w:tcPr>
            <w:tcW w:w="1586" w:type="dxa"/>
          </w:tcPr>
          <w:p w14:paraId="176DE2F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12596 [27]</w:t>
            </w:r>
          </w:p>
        </w:tc>
        <w:tc>
          <w:tcPr>
            <w:tcW w:w="2011" w:type="dxa"/>
          </w:tcPr>
          <w:p w14:paraId="6DA987F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Brak wymagań</w:t>
            </w:r>
          </w:p>
        </w:tc>
      </w:tr>
      <w:tr w:rsidR="00CC1EF4" w:rsidRPr="004853EB" w14:paraId="7397741B" w14:textId="77777777" w:rsidTr="00E95D02">
        <w:tc>
          <w:tcPr>
            <w:tcW w:w="543" w:type="dxa"/>
          </w:tcPr>
          <w:p w14:paraId="523ACBE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12</w:t>
            </w:r>
          </w:p>
        </w:tc>
        <w:tc>
          <w:tcPr>
            <w:tcW w:w="3037" w:type="dxa"/>
            <w:gridSpan w:val="2"/>
          </w:tcPr>
          <w:p w14:paraId="34ACB80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Lepkość kinematyczna w 135°C</w:t>
            </w:r>
          </w:p>
        </w:tc>
        <w:tc>
          <w:tcPr>
            <w:tcW w:w="912" w:type="dxa"/>
          </w:tcPr>
          <w:p w14:paraId="611DBCD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mm</w:t>
            </w:r>
            <w:r w:rsidRPr="004853EB">
              <w:rPr>
                <w:rFonts w:eastAsia="Times New Roman" w:cstheme="minorHAnsi"/>
                <w:color w:val="000000"/>
                <w:sz w:val="18"/>
                <w:szCs w:val="18"/>
                <w:vertAlign w:val="superscript"/>
                <w:lang w:eastAsia="pl-PL"/>
              </w:rPr>
              <w:t>2</w:t>
            </w:r>
            <w:r w:rsidRPr="004853EB">
              <w:rPr>
                <w:rFonts w:eastAsia="Times New Roman" w:cstheme="minorHAnsi"/>
                <w:color w:val="000000"/>
                <w:sz w:val="18"/>
                <w:szCs w:val="18"/>
                <w:lang w:eastAsia="pl-PL"/>
              </w:rPr>
              <w:t>/s</w:t>
            </w:r>
          </w:p>
        </w:tc>
        <w:tc>
          <w:tcPr>
            <w:tcW w:w="1586" w:type="dxa"/>
          </w:tcPr>
          <w:p w14:paraId="4CE2501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12595 [26]</w:t>
            </w:r>
          </w:p>
        </w:tc>
        <w:tc>
          <w:tcPr>
            <w:tcW w:w="2011" w:type="dxa"/>
          </w:tcPr>
          <w:p w14:paraId="2127168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Brak wymagań</w:t>
            </w:r>
          </w:p>
        </w:tc>
      </w:tr>
    </w:tbl>
    <w:p w14:paraId="144E2BD1" w14:textId="77777777" w:rsidR="00CC1EF4" w:rsidRPr="004853EB" w:rsidRDefault="00CC1EF4" w:rsidP="00CC1EF4">
      <w:pPr>
        <w:spacing w:after="0" w:line="240" w:lineRule="auto"/>
        <w:jc w:val="both"/>
        <w:rPr>
          <w:rFonts w:eastAsia="Times New Roman" w:cstheme="minorHAnsi"/>
          <w:color w:val="000000"/>
          <w:sz w:val="20"/>
          <w:szCs w:val="20"/>
          <w:lang w:eastAsia="pl-PL"/>
        </w:rPr>
      </w:pPr>
    </w:p>
    <w:p w14:paraId="15F3BC15" w14:textId="77777777" w:rsidR="00CC1EF4" w:rsidRPr="004853EB" w:rsidRDefault="00CC1EF4" w:rsidP="00CC1EF4">
      <w:pPr>
        <w:spacing w:after="0" w:line="240" w:lineRule="auto"/>
        <w:ind w:left="993" w:hanging="993"/>
        <w:jc w:val="both"/>
        <w:rPr>
          <w:rFonts w:eastAsia="Times New Roman" w:cstheme="minorHAnsi"/>
          <w:color w:val="000000"/>
          <w:sz w:val="20"/>
          <w:szCs w:val="20"/>
          <w:lang w:eastAsia="pl-PL"/>
        </w:rPr>
      </w:pPr>
    </w:p>
    <w:p w14:paraId="42832C3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14:paraId="3D44623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r>
    </w:p>
    <w:p w14:paraId="0377E9B1" w14:textId="1C9DF7D2"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Temperatura lepiszcza asfaltowego w zbiorniku magazynowym (roboczym) nie powinna przekraczać </w:t>
      </w:r>
      <w:r w:rsidRPr="004853EB">
        <w:rPr>
          <w:rFonts w:eastAsia="Times New Roman" w:cstheme="minorHAnsi"/>
          <w:color w:val="000000"/>
          <w:sz w:val="20"/>
          <w:szCs w:val="20"/>
          <w:lang w:eastAsia="pl-PL"/>
        </w:rPr>
        <w:br/>
        <w:t xml:space="preserve">w okresie krótkotrwałym, nie dłuższym niż 5 </w:t>
      </w:r>
      <w:r w:rsidR="00336D00" w:rsidRPr="004853EB">
        <w:rPr>
          <w:rFonts w:eastAsia="Times New Roman" w:cstheme="minorHAnsi"/>
          <w:color w:val="000000"/>
          <w:sz w:val="20"/>
          <w:szCs w:val="20"/>
          <w:lang w:eastAsia="pl-PL"/>
        </w:rPr>
        <w:t>dni, poniższych</w:t>
      </w:r>
      <w:r w:rsidRPr="004853EB">
        <w:rPr>
          <w:rFonts w:eastAsia="Times New Roman" w:cstheme="minorHAnsi"/>
          <w:color w:val="000000"/>
          <w:sz w:val="20"/>
          <w:szCs w:val="20"/>
          <w:lang w:eastAsia="pl-PL"/>
        </w:rPr>
        <w:t xml:space="preserve"> wartości:</w:t>
      </w:r>
    </w:p>
    <w:p w14:paraId="2A4CD064" w14:textId="77777777" w:rsidR="00CC1EF4" w:rsidRPr="004853EB" w:rsidRDefault="00CC1EF4">
      <w:pPr>
        <w:numPr>
          <w:ilvl w:val="0"/>
          <w:numId w:val="106"/>
        </w:numPr>
        <w:overflowPunct w:val="0"/>
        <w:autoSpaceDE w:val="0"/>
        <w:autoSpaceDN w:val="0"/>
        <w:adjustRightInd w:val="0"/>
        <w:spacing w:after="0" w:line="240" w:lineRule="auto"/>
        <w:ind w:left="426"/>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asfaltu drogowego 50/70 180°C,</w:t>
      </w:r>
    </w:p>
    <w:p w14:paraId="5FE362CB"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3151F71D"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163" w:name="_Toc97034671"/>
      <w:bookmarkStart w:id="3164" w:name="_Toc97035359"/>
      <w:bookmarkStart w:id="3165" w:name="_Toc194476954"/>
      <w:bookmarkStart w:id="3166" w:name="_Toc227825436"/>
      <w:r w:rsidRPr="004853EB">
        <w:rPr>
          <w:rFonts w:eastAsia="Times New Roman" w:cstheme="minorHAnsi"/>
          <w:b/>
          <w:bCs/>
          <w:color w:val="000000"/>
          <w:sz w:val="20"/>
          <w:szCs w:val="20"/>
          <w:lang w:eastAsia="pl-PL"/>
        </w:rPr>
        <w:t>2.3. Kruszywo</w:t>
      </w:r>
      <w:bookmarkEnd w:id="3163"/>
      <w:bookmarkEnd w:id="3164"/>
      <w:bookmarkEnd w:id="3165"/>
      <w:bookmarkEnd w:id="3166"/>
      <w:r w:rsidRPr="004853EB">
        <w:rPr>
          <w:rFonts w:eastAsia="Times New Roman" w:cstheme="minorHAnsi"/>
          <w:b/>
          <w:bCs/>
          <w:color w:val="000000"/>
          <w:sz w:val="20"/>
          <w:szCs w:val="20"/>
          <w:lang w:eastAsia="pl-PL"/>
        </w:rPr>
        <w:t xml:space="preserve"> </w:t>
      </w:r>
    </w:p>
    <w:p w14:paraId="3081E68F" w14:textId="6CC83308"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Do warstwy ścieralnej z betonu asfaltowego należy stosować kruszywo według PN-EN 13043 [49] i WT-1 Kruszywa 2014 [69], obejmujące kruszywo grube, kruszywo </w:t>
      </w:r>
      <w:r w:rsidR="00336D00" w:rsidRPr="004853EB">
        <w:rPr>
          <w:rFonts w:eastAsia="Times New Roman" w:cstheme="minorHAnsi"/>
          <w:color w:val="000000"/>
          <w:sz w:val="20"/>
          <w:szCs w:val="20"/>
          <w:lang w:eastAsia="pl-PL"/>
        </w:rPr>
        <w:t>drobne i</w:t>
      </w:r>
      <w:r w:rsidRPr="004853EB">
        <w:rPr>
          <w:rFonts w:eastAsia="Times New Roman" w:cstheme="minorHAnsi"/>
          <w:color w:val="000000"/>
          <w:sz w:val="20"/>
          <w:szCs w:val="20"/>
          <w:lang w:eastAsia="pl-PL"/>
        </w:rPr>
        <w:t xml:space="preserve"> wypełniacz. </w:t>
      </w:r>
    </w:p>
    <w:p w14:paraId="0276B952"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 mieszance mineralno-asfaltowej jako kruszywo drobne należy stosować mieszankę kruszywa łamanego dla KR3÷KR6 lub kruszywo łamane w 100%. </w:t>
      </w:r>
    </w:p>
    <w:p w14:paraId="1FB02933"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Nie dopuszcza się użycia granulatu asfaltowego w warstwie ścieralnej. </w:t>
      </w:r>
    </w:p>
    <w:p w14:paraId="44295C07" w14:textId="4C2FF21C"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Kruszywa powinny spełniać wymagania podane w WT-1 Kruszywa 2014 [69</w:t>
      </w:r>
      <w:r w:rsidR="00336D00" w:rsidRPr="004853EB">
        <w:rPr>
          <w:rFonts w:eastAsia="Times New Roman" w:cstheme="minorHAnsi"/>
          <w:color w:val="000000"/>
          <w:sz w:val="20"/>
          <w:szCs w:val="20"/>
          <w:lang w:eastAsia="pl-PL"/>
        </w:rPr>
        <w:t>] wg</w:t>
      </w:r>
      <w:r w:rsidRPr="004853EB">
        <w:rPr>
          <w:rFonts w:eastAsia="Times New Roman" w:cstheme="minorHAnsi"/>
          <w:color w:val="000000"/>
          <w:sz w:val="20"/>
          <w:szCs w:val="20"/>
          <w:lang w:eastAsia="pl-PL"/>
        </w:rPr>
        <w:t xml:space="preserve"> tablic poniżej.</w:t>
      </w:r>
    </w:p>
    <w:p w14:paraId="01BC4280" w14:textId="77777777" w:rsidR="00CC1EF4" w:rsidRPr="004853EB" w:rsidRDefault="00CC1EF4" w:rsidP="00CC1EF4">
      <w:pPr>
        <w:spacing w:before="120" w:after="120" w:line="240" w:lineRule="auto"/>
        <w:ind w:left="1200" w:hanging="120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Tablica 6. Wymagane właściwości kruszywa grubego do warstwy ścieralnej z betonu asfaltowego</w:t>
      </w:r>
    </w:p>
    <w:tbl>
      <w:tblPr>
        <w:tblW w:w="7680"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3827"/>
        <w:gridCol w:w="3307"/>
      </w:tblGrid>
      <w:tr w:rsidR="00CC1EF4" w:rsidRPr="004853EB" w14:paraId="03B91CC8" w14:textId="77777777" w:rsidTr="00E95D02">
        <w:tc>
          <w:tcPr>
            <w:tcW w:w="546" w:type="dxa"/>
            <w:vAlign w:val="center"/>
          </w:tcPr>
          <w:p w14:paraId="2E4FE6B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Lp.</w:t>
            </w:r>
          </w:p>
        </w:tc>
        <w:tc>
          <w:tcPr>
            <w:tcW w:w="3827" w:type="dxa"/>
            <w:vAlign w:val="center"/>
          </w:tcPr>
          <w:p w14:paraId="4A51E500"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Właściwości kruszywa</w:t>
            </w:r>
          </w:p>
        </w:tc>
        <w:tc>
          <w:tcPr>
            <w:tcW w:w="3307" w:type="dxa"/>
            <w:vAlign w:val="center"/>
          </w:tcPr>
          <w:p w14:paraId="42CB1388"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KR3÷KR4</w:t>
            </w:r>
          </w:p>
        </w:tc>
      </w:tr>
      <w:tr w:rsidR="00CC1EF4" w:rsidRPr="004853EB" w14:paraId="12C33333" w14:textId="77777777" w:rsidTr="00E95D02">
        <w:tc>
          <w:tcPr>
            <w:tcW w:w="546" w:type="dxa"/>
          </w:tcPr>
          <w:p w14:paraId="6F91C5F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w:t>
            </w:r>
          </w:p>
        </w:tc>
        <w:tc>
          <w:tcPr>
            <w:tcW w:w="3827" w:type="dxa"/>
            <w:vAlign w:val="center"/>
          </w:tcPr>
          <w:p w14:paraId="4665C152"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Uziarnienie według PN-EN 933-1[5]; kategoria nie niższa niż:</w:t>
            </w:r>
          </w:p>
        </w:tc>
        <w:tc>
          <w:tcPr>
            <w:tcW w:w="3307" w:type="dxa"/>
            <w:vAlign w:val="center"/>
          </w:tcPr>
          <w:p w14:paraId="48B64007" w14:textId="77777777" w:rsidR="00CC1EF4" w:rsidRPr="004853EB" w:rsidRDefault="00CC1EF4" w:rsidP="00CC1EF4">
            <w:pPr>
              <w:spacing w:after="0" w:line="240" w:lineRule="auto"/>
              <w:jc w:val="both"/>
              <w:rPr>
                <w:rFonts w:eastAsia="Times New Roman" w:cstheme="minorHAnsi"/>
                <w:b/>
                <w:color w:val="000000"/>
                <w:sz w:val="18"/>
                <w:szCs w:val="18"/>
                <w:vertAlign w:val="superscript"/>
                <w:lang w:eastAsia="pl-PL"/>
              </w:rPr>
            </w:pPr>
            <w:r w:rsidRPr="004853EB">
              <w:rPr>
                <w:rFonts w:eastAsia="Times New Roman" w:cstheme="minorHAnsi"/>
                <w:color w:val="000000"/>
                <w:sz w:val="18"/>
                <w:szCs w:val="18"/>
                <w:lang w:eastAsia="pl-PL"/>
              </w:rPr>
              <w:t>G</w:t>
            </w:r>
            <w:r w:rsidRPr="004853EB">
              <w:rPr>
                <w:rFonts w:eastAsia="Times New Roman" w:cstheme="minorHAnsi"/>
                <w:color w:val="000000"/>
                <w:sz w:val="18"/>
                <w:szCs w:val="18"/>
                <w:vertAlign w:val="subscript"/>
                <w:lang w:eastAsia="pl-PL"/>
              </w:rPr>
              <w:t>C</w:t>
            </w:r>
            <w:r w:rsidRPr="004853EB">
              <w:rPr>
                <w:rFonts w:eastAsia="Times New Roman" w:cstheme="minorHAnsi"/>
                <w:color w:val="000000"/>
                <w:sz w:val="18"/>
                <w:szCs w:val="18"/>
                <w:lang w:eastAsia="pl-PL"/>
              </w:rPr>
              <w:t>90/20</w:t>
            </w:r>
          </w:p>
        </w:tc>
      </w:tr>
      <w:tr w:rsidR="00CC1EF4" w:rsidRPr="004853EB" w14:paraId="612126BB" w14:textId="77777777" w:rsidTr="00E95D02">
        <w:tc>
          <w:tcPr>
            <w:tcW w:w="546" w:type="dxa"/>
          </w:tcPr>
          <w:p w14:paraId="658FD92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w:t>
            </w:r>
          </w:p>
        </w:tc>
        <w:tc>
          <w:tcPr>
            <w:tcW w:w="3827" w:type="dxa"/>
            <w:vAlign w:val="center"/>
          </w:tcPr>
          <w:p w14:paraId="5A8AC51F"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Tolerancja uziarnienia; odchylenia nie większe niż według kategorii:</w:t>
            </w:r>
          </w:p>
        </w:tc>
        <w:tc>
          <w:tcPr>
            <w:tcW w:w="3307" w:type="dxa"/>
          </w:tcPr>
          <w:p w14:paraId="18B91E31" w14:textId="77777777" w:rsidR="00CC1EF4" w:rsidRPr="004853EB" w:rsidRDefault="00CC1EF4" w:rsidP="00CC1EF4">
            <w:pPr>
              <w:spacing w:before="120" w:after="0" w:line="240" w:lineRule="auto"/>
              <w:jc w:val="both"/>
              <w:rPr>
                <w:rFonts w:eastAsia="Times New Roman" w:cstheme="minorHAnsi"/>
                <w:color w:val="000000"/>
                <w:sz w:val="18"/>
                <w:szCs w:val="18"/>
                <w:vertAlign w:val="subscript"/>
                <w:lang w:eastAsia="pl-PL"/>
              </w:rPr>
            </w:pPr>
            <w:r w:rsidRPr="004853EB">
              <w:rPr>
                <w:rFonts w:eastAsia="Times New Roman" w:cstheme="minorHAnsi"/>
                <w:color w:val="000000"/>
                <w:sz w:val="18"/>
                <w:szCs w:val="18"/>
                <w:lang w:eastAsia="pl-PL"/>
              </w:rPr>
              <w:t>G</w:t>
            </w:r>
            <w:r w:rsidRPr="004853EB">
              <w:rPr>
                <w:rFonts w:eastAsia="Times New Roman" w:cstheme="minorHAnsi"/>
                <w:color w:val="000000"/>
                <w:sz w:val="18"/>
                <w:szCs w:val="18"/>
                <w:vertAlign w:val="subscript"/>
                <w:lang w:eastAsia="pl-PL"/>
              </w:rPr>
              <w:t>25/15</w:t>
            </w:r>
          </w:p>
          <w:p w14:paraId="10C7EECF"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G</w:t>
            </w:r>
            <w:r w:rsidRPr="004853EB">
              <w:rPr>
                <w:rFonts w:eastAsia="Times New Roman" w:cstheme="minorHAnsi"/>
                <w:color w:val="000000"/>
                <w:sz w:val="18"/>
                <w:szCs w:val="18"/>
                <w:vertAlign w:val="subscript"/>
                <w:lang w:eastAsia="pl-PL"/>
              </w:rPr>
              <w:t>20/15</w:t>
            </w:r>
          </w:p>
        </w:tc>
      </w:tr>
      <w:tr w:rsidR="00CC1EF4" w:rsidRPr="004853EB" w14:paraId="6BB9D7D2" w14:textId="77777777" w:rsidTr="00E95D02">
        <w:tc>
          <w:tcPr>
            <w:tcW w:w="546" w:type="dxa"/>
          </w:tcPr>
          <w:p w14:paraId="4FD7C23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w:t>
            </w:r>
          </w:p>
        </w:tc>
        <w:tc>
          <w:tcPr>
            <w:tcW w:w="3827" w:type="dxa"/>
            <w:vAlign w:val="center"/>
          </w:tcPr>
          <w:p w14:paraId="2343134C"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Zawartość pyłu według PN-EN 933-1[5]; kategoria nie wyższa niż:</w:t>
            </w:r>
          </w:p>
        </w:tc>
        <w:tc>
          <w:tcPr>
            <w:tcW w:w="3307" w:type="dxa"/>
          </w:tcPr>
          <w:p w14:paraId="5F48177C" w14:textId="77777777" w:rsidR="00CC1EF4" w:rsidRPr="004853EB" w:rsidRDefault="00CC1EF4" w:rsidP="00CC1EF4">
            <w:pPr>
              <w:spacing w:before="120" w:after="0" w:line="240" w:lineRule="auto"/>
              <w:jc w:val="both"/>
              <w:rPr>
                <w:rFonts w:eastAsia="Times New Roman" w:cstheme="minorHAnsi"/>
                <w:b/>
                <w:color w:val="000000"/>
                <w:sz w:val="18"/>
                <w:szCs w:val="18"/>
                <w:lang w:eastAsia="pl-PL"/>
              </w:rPr>
            </w:pPr>
            <w:r w:rsidRPr="004853EB">
              <w:rPr>
                <w:rFonts w:eastAsia="Times New Roman" w:cstheme="minorHAnsi"/>
                <w:i/>
                <w:color w:val="000000"/>
                <w:sz w:val="18"/>
                <w:szCs w:val="18"/>
                <w:lang w:eastAsia="pl-PL"/>
              </w:rPr>
              <w:t>f</w:t>
            </w:r>
            <w:r w:rsidRPr="004853EB">
              <w:rPr>
                <w:rFonts w:eastAsia="Times New Roman" w:cstheme="minorHAnsi"/>
                <w:color w:val="000000"/>
                <w:sz w:val="18"/>
                <w:szCs w:val="18"/>
                <w:vertAlign w:val="subscript"/>
                <w:lang w:eastAsia="pl-PL"/>
              </w:rPr>
              <w:t>2</w:t>
            </w:r>
          </w:p>
        </w:tc>
      </w:tr>
      <w:tr w:rsidR="00CC1EF4" w:rsidRPr="004853EB" w14:paraId="7E352CC0" w14:textId="77777777" w:rsidTr="00E95D02">
        <w:tc>
          <w:tcPr>
            <w:tcW w:w="546" w:type="dxa"/>
          </w:tcPr>
          <w:p w14:paraId="5399831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w:t>
            </w:r>
          </w:p>
        </w:tc>
        <w:tc>
          <w:tcPr>
            <w:tcW w:w="3827" w:type="dxa"/>
            <w:vAlign w:val="center"/>
          </w:tcPr>
          <w:p w14:paraId="434696C5"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Kształt kruszywa według PN-EN 933-3 [6] lub według PN-EN 933-4 [7]; kategoria nie wyższa niż:</w:t>
            </w:r>
          </w:p>
        </w:tc>
        <w:tc>
          <w:tcPr>
            <w:tcW w:w="3307" w:type="dxa"/>
          </w:tcPr>
          <w:p w14:paraId="0612CAC1" w14:textId="77777777" w:rsidR="00CC1EF4" w:rsidRPr="004853EB" w:rsidRDefault="00CC1EF4" w:rsidP="00CC1EF4">
            <w:pPr>
              <w:spacing w:after="0" w:line="240" w:lineRule="auto"/>
              <w:jc w:val="both"/>
              <w:rPr>
                <w:rFonts w:eastAsia="Times New Roman" w:cstheme="minorHAnsi"/>
                <w:i/>
                <w:color w:val="000000"/>
                <w:sz w:val="18"/>
                <w:szCs w:val="18"/>
                <w:lang w:eastAsia="pl-PL"/>
              </w:rPr>
            </w:pPr>
          </w:p>
          <w:p w14:paraId="19F8F0A8"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i/>
                <w:color w:val="000000"/>
                <w:sz w:val="18"/>
                <w:szCs w:val="18"/>
                <w:lang w:eastAsia="pl-PL"/>
              </w:rPr>
              <w:t>FI</w:t>
            </w:r>
            <w:r w:rsidRPr="004853EB">
              <w:rPr>
                <w:rFonts w:eastAsia="Times New Roman" w:cstheme="minorHAnsi"/>
                <w:i/>
                <w:color w:val="000000"/>
                <w:sz w:val="18"/>
                <w:szCs w:val="18"/>
                <w:vertAlign w:val="subscript"/>
                <w:lang w:eastAsia="pl-PL"/>
              </w:rPr>
              <w:t>20</w:t>
            </w:r>
            <w:r w:rsidRPr="004853EB">
              <w:rPr>
                <w:rFonts w:eastAsia="Times New Roman" w:cstheme="minorHAnsi"/>
                <w:color w:val="000000"/>
                <w:sz w:val="18"/>
                <w:szCs w:val="18"/>
                <w:lang w:eastAsia="pl-PL"/>
              </w:rPr>
              <w:t xml:space="preserve"> lub </w:t>
            </w:r>
            <w:r w:rsidRPr="004853EB">
              <w:rPr>
                <w:rFonts w:eastAsia="Times New Roman" w:cstheme="minorHAnsi"/>
                <w:i/>
                <w:color w:val="000000"/>
                <w:sz w:val="18"/>
                <w:szCs w:val="18"/>
                <w:lang w:eastAsia="pl-PL"/>
              </w:rPr>
              <w:t>SI</w:t>
            </w:r>
            <w:r w:rsidRPr="004853EB">
              <w:rPr>
                <w:rFonts w:eastAsia="Times New Roman" w:cstheme="minorHAnsi"/>
                <w:i/>
                <w:color w:val="000000"/>
                <w:sz w:val="18"/>
                <w:szCs w:val="18"/>
                <w:vertAlign w:val="subscript"/>
                <w:lang w:eastAsia="pl-PL"/>
              </w:rPr>
              <w:t>20</w:t>
            </w:r>
          </w:p>
        </w:tc>
      </w:tr>
      <w:tr w:rsidR="00CC1EF4" w:rsidRPr="004853EB" w14:paraId="35AEAAD5" w14:textId="77777777" w:rsidTr="00E95D02">
        <w:tc>
          <w:tcPr>
            <w:tcW w:w="546" w:type="dxa"/>
          </w:tcPr>
          <w:p w14:paraId="5902CC2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w:t>
            </w:r>
          </w:p>
        </w:tc>
        <w:tc>
          <w:tcPr>
            <w:tcW w:w="3827" w:type="dxa"/>
            <w:vAlign w:val="center"/>
          </w:tcPr>
          <w:p w14:paraId="5B5E6DCC"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Procentowa zawartość ziaren o powierzchni przekruszonej i łamanej w kruszywie grubym według PN-EN 933-5 [8]; kategoria nie niższa niż:</w:t>
            </w:r>
          </w:p>
        </w:tc>
        <w:tc>
          <w:tcPr>
            <w:tcW w:w="3307" w:type="dxa"/>
            <w:vAlign w:val="center"/>
          </w:tcPr>
          <w:p w14:paraId="50A71A74"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i/>
                <w:color w:val="000000"/>
                <w:sz w:val="18"/>
                <w:szCs w:val="18"/>
                <w:lang w:eastAsia="pl-PL"/>
              </w:rPr>
              <w:t>C</w:t>
            </w:r>
            <w:r w:rsidRPr="004853EB">
              <w:rPr>
                <w:rFonts w:eastAsia="Times New Roman" w:cstheme="minorHAnsi"/>
                <w:i/>
                <w:color w:val="000000"/>
                <w:sz w:val="18"/>
                <w:szCs w:val="18"/>
                <w:vertAlign w:val="subscript"/>
                <w:lang w:eastAsia="pl-PL"/>
              </w:rPr>
              <w:t>95</w:t>
            </w:r>
            <w:r w:rsidRPr="004853EB">
              <w:rPr>
                <w:rFonts w:eastAsia="Times New Roman" w:cstheme="minorHAnsi"/>
                <w:color w:val="000000"/>
                <w:sz w:val="18"/>
                <w:szCs w:val="18"/>
                <w:vertAlign w:val="subscript"/>
                <w:lang w:eastAsia="pl-PL"/>
              </w:rPr>
              <w:t>/1</w:t>
            </w:r>
          </w:p>
        </w:tc>
      </w:tr>
      <w:tr w:rsidR="00CC1EF4" w:rsidRPr="004853EB" w14:paraId="0D404F25" w14:textId="77777777" w:rsidTr="00E95D02">
        <w:tc>
          <w:tcPr>
            <w:tcW w:w="546" w:type="dxa"/>
          </w:tcPr>
          <w:p w14:paraId="08DC8D4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w:t>
            </w:r>
          </w:p>
        </w:tc>
        <w:tc>
          <w:tcPr>
            <w:tcW w:w="3827" w:type="dxa"/>
            <w:vAlign w:val="center"/>
          </w:tcPr>
          <w:p w14:paraId="1025168B"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Odporność kruszywa na rozdrabnianie według normy PN-EN 1097-2 [12], badana na kruszywie o wymiarze 10/14, rozdział 5, kategoria nie wyższa niż:</w:t>
            </w:r>
          </w:p>
        </w:tc>
        <w:tc>
          <w:tcPr>
            <w:tcW w:w="3307" w:type="dxa"/>
          </w:tcPr>
          <w:p w14:paraId="79DE90FC" w14:textId="77777777" w:rsidR="00CC1EF4" w:rsidRPr="004853EB" w:rsidRDefault="00CC1EF4" w:rsidP="00CC1EF4">
            <w:pPr>
              <w:spacing w:after="0" w:line="240" w:lineRule="auto"/>
              <w:jc w:val="both"/>
              <w:rPr>
                <w:rFonts w:eastAsia="Times New Roman" w:cstheme="minorHAnsi"/>
                <w:i/>
                <w:color w:val="000000"/>
                <w:sz w:val="18"/>
                <w:szCs w:val="18"/>
                <w:lang w:eastAsia="pl-PL"/>
              </w:rPr>
            </w:pPr>
          </w:p>
          <w:p w14:paraId="6A6D001E" w14:textId="77777777" w:rsidR="00CC1EF4" w:rsidRPr="004853EB" w:rsidRDefault="00CC1EF4" w:rsidP="00CC1EF4">
            <w:pPr>
              <w:spacing w:after="0" w:line="240" w:lineRule="auto"/>
              <w:jc w:val="both"/>
              <w:rPr>
                <w:rFonts w:eastAsia="Times New Roman" w:cstheme="minorHAnsi"/>
                <w:i/>
                <w:color w:val="000000"/>
                <w:sz w:val="18"/>
                <w:szCs w:val="18"/>
                <w:lang w:eastAsia="pl-PL"/>
              </w:rPr>
            </w:pPr>
          </w:p>
          <w:p w14:paraId="72AA6061"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i/>
                <w:color w:val="000000"/>
                <w:sz w:val="18"/>
                <w:szCs w:val="18"/>
                <w:lang w:eastAsia="pl-PL"/>
              </w:rPr>
              <w:t>LA</w:t>
            </w:r>
            <w:r w:rsidRPr="004853EB">
              <w:rPr>
                <w:rFonts w:eastAsia="Times New Roman" w:cstheme="minorHAnsi"/>
                <w:i/>
                <w:color w:val="000000"/>
                <w:sz w:val="18"/>
                <w:szCs w:val="18"/>
                <w:vertAlign w:val="subscript"/>
                <w:lang w:eastAsia="pl-PL"/>
              </w:rPr>
              <w:t>30</w:t>
            </w:r>
          </w:p>
        </w:tc>
      </w:tr>
      <w:tr w:rsidR="00CC1EF4" w:rsidRPr="004853EB" w14:paraId="6394861B" w14:textId="77777777" w:rsidTr="00E95D02">
        <w:tc>
          <w:tcPr>
            <w:tcW w:w="546" w:type="dxa"/>
          </w:tcPr>
          <w:p w14:paraId="7728F31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7</w:t>
            </w:r>
          </w:p>
        </w:tc>
        <w:tc>
          <w:tcPr>
            <w:tcW w:w="3827" w:type="dxa"/>
            <w:vAlign w:val="center"/>
          </w:tcPr>
          <w:p w14:paraId="790393F8"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Odporność na polerowanie kruszyw według PN-EN 1097-8 [17] (dotyczy warstwy ścieralnej), kategoria nie niższa niż:</w:t>
            </w:r>
          </w:p>
        </w:tc>
        <w:tc>
          <w:tcPr>
            <w:tcW w:w="3307" w:type="dxa"/>
          </w:tcPr>
          <w:p w14:paraId="19509BCA" w14:textId="77777777" w:rsidR="00CC1EF4" w:rsidRPr="004853EB" w:rsidRDefault="00CC1EF4" w:rsidP="00CC1EF4">
            <w:pPr>
              <w:spacing w:after="0" w:line="240" w:lineRule="auto"/>
              <w:jc w:val="both"/>
              <w:rPr>
                <w:rFonts w:eastAsia="Times New Roman" w:cstheme="minorHAnsi"/>
                <w:i/>
                <w:color w:val="000000"/>
                <w:sz w:val="18"/>
                <w:szCs w:val="18"/>
                <w:lang w:eastAsia="pl-PL"/>
              </w:rPr>
            </w:pPr>
          </w:p>
          <w:p w14:paraId="44755040" w14:textId="77777777" w:rsidR="00CC1EF4" w:rsidRPr="004853EB" w:rsidRDefault="00CC1EF4" w:rsidP="00CC1EF4">
            <w:pPr>
              <w:spacing w:after="0" w:line="240" w:lineRule="auto"/>
              <w:jc w:val="both"/>
              <w:rPr>
                <w:rFonts w:eastAsia="Times New Roman" w:cstheme="minorHAnsi"/>
                <w:b/>
                <w:color w:val="000000"/>
                <w:sz w:val="18"/>
                <w:szCs w:val="18"/>
                <w:vertAlign w:val="subscript"/>
                <w:lang w:eastAsia="pl-PL"/>
              </w:rPr>
            </w:pPr>
            <w:r w:rsidRPr="004853EB">
              <w:rPr>
                <w:rFonts w:eastAsia="Times New Roman" w:cstheme="minorHAnsi"/>
                <w:i/>
                <w:color w:val="000000"/>
                <w:sz w:val="18"/>
                <w:szCs w:val="18"/>
                <w:lang w:eastAsia="pl-PL"/>
              </w:rPr>
              <w:t>PSV</w:t>
            </w:r>
            <w:r w:rsidRPr="004853EB">
              <w:rPr>
                <w:rFonts w:eastAsia="Times New Roman" w:cstheme="minorHAnsi"/>
                <w:i/>
                <w:color w:val="000000"/>
                <w:sz w:val="18"/>
                <w:szCs w:val="18"/>
                <w:vertAlign w:val="subscript"/>
                <w:lang w:eastAsia="pl-PL"/>
              </w:rPr>
              <w:t>Deklarowana, nie mniej niż 48</w:t>
            </w:r>
            <w:r w:rsidRPr="004853EB">
              <w:rPr>
                <w:rFonts w:eastAsia="Times New Roman" w:cstheme="minorHAnsi"/>
                <w:i/>
                <w:color w:val="000000"/>
                <w:sz w:val="18"/>
                <w:szCs w:val="18"/>
                <w:lang w:eastAsia="pl-PL"/>
              </w:rPr>
              <w:t>*)</w:t>
            </w:r>
          </w:p>
        </w:tc>
      </w:tr>
      <w:tr w:rsidR="00CC1EF4" w:rsidRPr="004853EB" w14:paraId="3EFA5133" w14:textId="77777777" w:rsidTr="00E95D02">
        <w:tc>
          <w:tcPr>
            <w:tcW w:w="546" w:type="dxa"/>
          </w:tcPr>
          <w:p w14:paraId="53E9B85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w:t>
            </w:r>
          </w:p>
        </w:tc>
        <w:tc>
          <w:tcPr>
            <w:tcW w:w="3827" w:type="dxa"/>
          </w:tcPr>
          <w:p w14:paraId="4852999B"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Gęstość ziaren według PN-EN 1097-6 [15], rozdział 7, 8 lub 9:</w:t>
            </w:r>
          </w:p>
        </w:tc>
        <w:tc>
          <w:tcPr>
            <w:tcW w:w="3307" w:type="dxa"/>
            <w:vAlign w:val="center"/>
          </w:tcPr>
          <w:p w14:paraId="23DBB6A3"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deklarowa-na przez producenta</w:t>
            </w:r>
          </w:p>
        </w:tc>
      </w:tr>
      <w:tr w:rsidR="00CC1EF4" w:rsidRPr="004853EB" w14:paraId="65AA8057" w14:textId="77777777" w:rsidTr="00E95D02">
        <w:tc>
          <w:tcPr>
            <w:tcW w:w="546" w:type="dxa"/>
          </w:tcPr>
          <w:p w14:paraId="2409DE0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lastRenderedPageBreak/>
              <w:t>9</w:t>
            </w:r>
          </w:p>
        </w:tc>
        <w:tc>
          <w:tcPr>
            <w:tcW w:w="3827" w:type="dxa"/>
          </w:tcPr>
          <w:p w14:paraId="29979DD8"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Nasiąkliwość według PN-EN 1097-6 [15], rozdział 7, 8 lub 9:</w:t>
            </w:r>
          </w:p>
        </w:tc>
        <w:tc>
          <w:tcPr>
            <w:tcW w:w="3307" w:type="dxa"/>
            <w:vAlign w:val="center"/>
          </w:tcPr>
          <w:p w14:paraId="388F1F24"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deklarowa-na przez producenta</w:t>
            </w:r>
          </w:p>
        </w:tc>
      </w:tr>
      <w:tr w:rsidR="00CC1EF4" w:rsidRPr="004853EB" w14:paraId="3BF55287" w14:textId="77777777" w:rsidTr="00E95D02">
        <w:tc>
          <w:tcPr>
            <w:tcW w:w="546" w:type="dxa"/>
          </w:tcPr>
          <w:p w14:paraId="590A88C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10</w:t>
            </w:r>
          </w:p>
        </w:tc>
        <w:tc>
          <w:tcPr>
            <w:tcW w:w="3827" w:type="dxa"/>
            <w:vAlign w:val="center"/>
          </w:tcPr>
          <w:p w14:paraId="042D5DB0"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Mrozoodporność według PN-EN 1367-6 [19], w 1 % NaCl (dotyczy warstwy ścieralnej); kategoria nie wyższa niż:</w:t>
            </w:r>
          </w:p>
        </w:tc>
        <w:tc>
          <w:tcPr>
            <w:tcW w:w="3307" w:type="dxa"/>
          </w:tcPr>
          <w:p w14:paraId="5B6FC8EE"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p>
          <w:p w14:paraId="6A7C41CD"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7</w:t>
            </w:r>
          </w:p>
        </w:tc>
      </w:tr>
      <w:tr w:rsidR="00CC1EF4" w:rsidRPr="004853EB" w14:paraId="52365818" w14:textId="77777777" w:rsidTr="00E95D02">
        <w:tc>
          <w:tcPr>
            <w:tcW w:w="546" w:type="dxa"/>
          </w:tcPr>
          <w:p w14:paraId="4D6BE4F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11</w:t>
            </w:r>
          </w:p>
        </w:tc>
        <w:tc>
          <w:tcPr>
            <w:tcW w:w="3827" w:type="dxa"/>
            <w:vAlign w:val="center"/>
          </w:tcPr>
          <w:p w14:paraId="3F3B2B4C"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 xml:space="preserve">„Zgorzel słoneczna” bazaltu według </w:t>
            </w:r>
            <w:r w:rsidRPr="004853EB">
              <w:rPr>
                <w:rFonts w:eastAsia="Times New Roman" w:cstheme="minorHAnsi"/>
                <w:color w:val="000000"/>
                <w:sz w:val="18"/>
                <w:szCs w:val="18"/>
                <w:lang w:eastAsia="pl-PL"/>
              </w:rPr>
              <w:br/>
              <w:t>PN-EN 1367-3 [18]; wymagana kategoria:</w:t>
            </w:r>
          </w:p>
        </w:tc>
        <w:tc>
          <w:tcPr>
            <w:tcW w:w="3307" w:type="dxa"/>
          </w:tcPr>
          <w:p w14:paraId="5BF8E776" w14:textId="77777777" w:rsidR="00CC1EF4" w:rsidRPr="004853EB" w:rsidRDefault="00CC1EF4" w:rsidP="00CC1EF4">
            <w:pPr>
              <w:spacing w:after="0" w:line="240" w:lineRule="auto"/>
              <w:jc w:val="both"/>
              <w:rPr>
                <w:rFonts w:eastAsia="Times New Roman" w:cstheme="minorHAnsi"/>
                <w:i/>
                <w:color w:val="000000"/>
                <w:sz w:val="18"/>
                <w:szCs w:val="18"/>
                <w:lang w:eastAsia="pl-PL"/>
              </w:rPr>
            </w:pPr>
          </w:p>
          <w:p w14:paraId="76D4866F"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i/>
                <w:color w:val="000000"/>
                <w:sz w:val="18"/>
                <w:szCs w:val="18"/>
                <w:lang w:eastAsia="pl-PL"/>
              </w:rPr>
              <w:t>SB</w:t>
            </w:r>
            <w:r w:rsidRPr="004853EB">
              <w:rPr>
                <w:rFonts w:eastAsia="Times New Roman" w:cstheme="minorHAnsi"/>
                <w:color w:val="000000"/>
                <w:sz w:val="18"/>
                <w:szCs w:val="18"/>
                <w:vertAlign w:val="subscript"/>
                <w:lang w:eastAsia="pl-PL"/>
              </w:rPr>
              <w:t>LA</w:t>
            </w:r>
          </w:p>
        </w:tc>
      </w:tr>
      <w:tr w:rsidR="00CC1EF4" w:rsidRPr="004853EB" w14:paraId="32E7562F" w14:textId="77777777" w:rsidTr="00E95D02">
        <w:tc>
          <w:tcPr>
            <w:tcW w:w="546" w:type="dxa"/>
          </w:tcPr>
          <w:p w14:paraId="09DE6FA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12</w:t>
            </w:r>
          </w:p>
        </w:tc>
        <w:tc>
          <w:tcPr>
            <w:tcW w:w="3827" w:type="dxa"/>
            <w:vAlign w:val="center"/>
          </w:tcPr>
          <w:p w14:paraId="356E38D4"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Skład chemiczny – uproszczony opis petrograficzny według PN-EN 932-3 [4]</w:t>
            </w:r>
          </w:p>
        </w:tc>
        <w:tc>
          <w:tcPr>
            <w:tcW w:w="3307" w:type="dxa"/>
          </w:tcPr>
          <w:p w14:paraId="6086EAB7"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deklarowa-ny przez producenta</w:t>
            </w:r>
          </w:p>
        </w:tc>
      </w:tr>
      <w:tr w:rsidR="00CC1EF4" w:rsidRPr="004853EB" w14:paraId="7EC54E63" w14:textId="77777777" w:rsidTr="00E95D02">
        <w:tc>
          <w:tcPr>
            <w:tcW w:w="546" w:type="dxa"/>
          </w:tcPr>
          <w:p w14:paraId="6FE20B8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13</w:t>
            </w:r>
          </w:p>
        </w:tc>
        <w:tc>
          <w:tcPr>
            <w:tcW w:w="3827" w:type="dxa"/>
            <w:vAlign w:val="center"/>
          </w:tcPr>
          <w:p w14:paraId="4DE16507"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Grube zanieczyszczenia lekkie według PN-EN 1744-1 [22], p.14.2; kategoria nie wyższa niż:</w:t>
            </w:r>
          </w:p>
        </w:tc>
        <w:tc>
          <w:tcPr>
            <w:tcW w:w="3307" w:type="dxa"/>
          </w:tcPr>
          <w:p w14:paraId="5AEDAADD" w14:textId="77777777" w:rsidR="00CC1EF4" w:rsidRPr="004853EB" w:rsidRDefault="00CC1EF4" w:rsidP="00CC1EF4">
            <w:pPr>
              <w:spacing w:after="0" w:line="240" w:lineRule="auto"/>
              <w:jc w:val="both"/>
              <w:rPr>
                <w:rFonts w:eastAsia="Times New Roman" w:cstheme="minorHAnsi"/>
                <w:i/>
                <w:color w:val="000000"/>
                <w:sz w:val="18"/>
                <w:szCs w:val="18"/>
                <w:lang w:eastAsia="pl-PL"/>
              </w:rPr>
            </w:pPr>
          </w:p>
          <w:p w14:paraId="6AC0BAA5"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i/>
                <w:color w:val="000000"/>
                <w:sz w:val="18"/>
                <w:szCs w:val="18"/>
                <w:lang w:eastAsia="pl-PL"/>
              </w:rPr>
              <w:t>m</w:t>
            </w:r>
            <w:r w:rsidRPr="004853EB">
              <w:rPr>
                <w:rFonts w:eastAsia="Times New Roman" w:cstheme="minorHAnsi"/>
                <w:color w:val="000000"/>
                <w:sz w:val="18"/>
                <w:szCs w:val="18"/>
                <w:vertAlign w:val="subscript"/>
                <w:lang w:eastAsia="pl-PL"/>
              </w:rPr>
              <w:t>LPC</w:t>
            </w:r>
            <w:r w:rsidRPr="004853EB">
              <w:rPr>
                <w:rFonts w:eastAsia="Times New Roman" w:cstheme="minorHAnsi"/>
                <w:color w:val="000000"/>
                <w:sz w:val="18"/>
                <w:szCs w:val="18"/>
                <w:lang w:eastAsia="pl-PL"/>
              </w:rPr>
              <w:t xml:space="preserve"> 0,1</w:t>
            </w:r>
          </w:p>
        </w:tc>
      </w:tr>
      <w:tr w:rsidR="00CC1EF4" w:rsidRPr="004853EB" w14:paraId="570678EB" w14:textId="77777777" w:rsidTr="00E95D02">
        <w:tc>
          <w:tcPr>
            <w:tcW w:w="546" w:type="dxa"/>
          </w:tcPr>
          <w:p w14:paraId="725D353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14</w:t>
            </w:r>
          </w:p>
        </w:tc>
        <w:tc>
          <w:tcPr>
            <w:tcW w:w="3827" w:type="dxa"/>
            <w:vAlign w:val="center"/>
          </w:tcPr>
          <w:p w14:paraId="7CD00FA4"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Rozpad krzemianowy żużla wielkopiecowego chłodzonego powietrzem według PN-EN 1744-1 [22], p. 19.1:</w:t>
            </w:r>
          </w:p>
        </w:tc>
        <w:tc>
          <w:tcPr>
            <w:tcW w:w="3307" w:type="dxa"/>
            <w:vAlign w:val="center"/>
          </w:tcPr>
          <w:p w14:paraId="54F5067B"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wymagana odporność</w:t>
            </w:r>
          </w:p>
        </w:tc>
      </w:tr>
      <w:tr w:rsidR="00CC1EF4" w:rsidRPr="004853EB" w14:paraId="3E25E7E8" w14:textId="77777777" w:rsidTr="00E95D02">
        <w:tc>
          <w:tcPr>
            <w:tcW w:w="546" w:type="dxa"/>
          </w:tcPr>
          <w:p w14:paraId="2E59C03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15</w:t>
            </w:r>
          </w:p>
        </w:tc>
        <w:tc>
          <w:tcPr>
            <w:tcW w:w="3827" w:type="dxa"/>
            <w:vAlign w:val="center"/>
          </w:tcPr>
          <w:p w14:paraId="442FC696"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Rozpad żelazowy żużla wielkopiecowego chłodzonego powietrzem według PN-EN 1744-1 [22], p. 19.2:</w:t>
            </w:r>
          </w:p>
        </w:tc>
        <w:tc>
          <w:tcPr>
            <w:tcW w:w="3307" w:type="dxa"/>
            <w:vAlign w:val="center"/>
          </w:tcPr>
          <w:p w14:paraId="77E242B4"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wymagana odporność</w:t>
            </w:r>
          </w:p>
        </w:tc>
      </w:tr>
      <w:tr w:rsidR="00CC1EF4" w:rsidRPr="004853EB" w14:paraId="57022AB0" w14:textId="77777777" w:rsidTr="00E95D02">
        <w:tc>
          <w:tcPr>
            <w:tcW w:w="546" w:type="dxa"/>
          </w:tcPr>
          <w:p w14:paraId="4F3E742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16</w:t>
            </w:r>
          </w:p>
        </w:tc>
        <w:tc>
          <w:tcPr>
            <w:tcW w:w="3827" w:type="dxa"/>
            <w:vAlign w:val="center"/>
          </w:tcPr>
          <w:p w14:paraId="29FA6025"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Stałość objętości kruszywa z żużla stalowniczego według PN-EN 1744-1 [22] p. 19.3; kategoria nie wyższa niż:</w:t>
            </w:r>
          </w:p>
        </w:tc>
        <w:tc>
          <w:tcPr>
            <w:tcW w:w="3307" w:type="dxa"/>
          </w:tcPr>
          <w:p w14:paraId="054747D5" w14:textId="77777777" w:rsidR="00CC1EF4" w:rsidRPr="004853EB" w:rsidRDefault="00CC1EF4" w:rsidP="00CC1EF4">
            <w:pPr>
              <w:spacing w:before="60" w:after="0" w:line="240" w:lineRule="auto"/>
              <w:jc w:val="both"/>
              <w:rPr>
                <w:rFonts w:eastAsia="Times New Roman" w:cstheme="minorHAnsi"/>
                <w:i/>
                <w:color w:val="000000"/>
                <w:sz w:val="18"/>
                <w:szCs w:val="18"/>
                <w:lang w:eastAsia="pl-PL"/>
              </w:rPr>
            </w:pPr>
          </w:p>
          <w:p w14:paraId="1A9B686F" w14:textId="77777777" w:rsidR="00CC1EF4" w:rsidRPr="004853EB" w:rsidRDefault="00CC1EF4" w:rsidP="00CC1EF4">
            <w:pPr>
              <w:spacing w:before="60" w:after="0" w:line="240" w:lineRule="auto"/>
              <w:jc w:val="both"/>
              <w:rPr>
                <w:rFonts w:eastAsia="Times New Roman" w:cstheme="minorHAnsi"/>
                <w:b/>
                <w:color w:val="000000"/>
                <w:sz w:val="18"/>
                <w:szCs w:val="18"/>
                <w:lang w:eastAsia="pl-PL"/>
              </w:rPr>
            </w:pPr>
            <w:r w:rsidRPr="004853EB">
              <w:rPr>
                <w:rFonts w:eastAsia="Times New Roman" w:cstheme="minorHAnsi"/>
                <w:i/>
                <w:color w:val="000000"/>
                <w:sz w:val="18"/>
                <w:szCs w:val="18"/>
                <w:lang w:eastAsia="pl-PL"/>
              </w:rPr>
              <w:t>V</w:t>
            </w:r>
            <w:r w:rsidRPr="004853EB">
              <w:rPr>
                <w:rFonts w:eastAsia="Times New Roman" w:cstheme="minorHAnsi"/>
                <w:color w:val="000000"/>
                <w:sz w:val="18"/>
                <w:szCs w:val="18"/>
                <w:vertAlign w:val="subscript"/>
                <w:lang w:eastAsia="pl-PL"/>
              </w:rPr>
              <w:t>3,5</w:t>
            </w:r>
          </w:p>
        </w:tc>
      </w:tr>
    </w:tbl>
    <w:p w14:paraId="092C7CE7" w14:textId="77777777" w:rsidR="00CC1EF4" w:rsidRPr="004853EB" w:rsidRDefault="00CC1EF4" w:rsidP="00CC1EF4">
      <w:pPr>
        <w:shd w:val="clear" w:color="auto" w:fill="FFFFFF"/>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Kruszywa grube, które nie spełniają wymaganej kategorii wobec odporności na polerowanie (</w:t>
      </w:r>
      <w:r w:rsidRPr="004853EB">
        <w:rPr>
          <w:rFonts w:eastAsia="Times New Roman" w:cstheme="minorHAnsi"/>
          <w:i/>
          <w:color w:val="000000"/>
          <w:sz w:val="20"/>
          <w:szCs w:val="20"/>
          <w:lang w:eastAsia="pl-PL"/>
        </w:rPr>
        <w:t>PSV</w:t>
      </w:r>
      <w:r w:rsidRPr="004853EB">
        <w:rPr>
          <w:rFonts w:eastAsia="Times New Roman" w:cstheme="minorHAnsi"/>
          <w:color w:val="000000"/>
          <w:sz w:val="20"/>
          <w:szCs w:val="20"/>
          <w:lang w:eastAsia="pl-PL"/>
        </w:rPr>
        <w:t>), mogą być stosowane, jeśli są używane w mieszance kruszyw (grubych), która obliczeniowo osiąga podaną wartość wymaganej kategorii. Obliczona wartość (</w:t>
      </w:r>
      <w:r w:rsidRPr="004853EB">
        <w:rPr>
          <w:rFonts w:eastAsia="Times New Roman" w:cstheme="minorHAnsi"/>
          <w:i/>
          <w:color w:val="000000"/>
          <w:sz w:val="20"/>
          <w:szCs w:val="20"/>
          <w:lang w:eastAsia="pl-PL"/>
        </w:rPr>
        <w:t>PSV</w:t>
      </w:r>
      <w:r w:rsidRPr="004853EB">
        <w:rPr>
          <w:rFonts w:eastAsia="Times New Roman" w:cstheme="minorHAnsi"/>
          <w:color w:val="000000"/>
          <w:sz w:val="20"/>
          <w:szCs w:val="20"/>
          <w:lang w:eastAsia="pl-PL"/>
        </w:rPr>
        <w:t xml:space="preserve">) mieszanki kruszywa grubego jest średnią ważoną wynikającą </w:t>
      </w:r>
      <w:r w:rsidRPr="004853EB">
        <w:rPr>
          <w:rFonts w:eastAsia="Times New Roman" w:cstheme="minorHAnsi"/>
          <w:color w:val="000000"/>
          <w:sz w:val="20"/>
          <w:szCs w:val="20"/>
          <w:lang w:eastAsia="pl-PL"/>
        </w:rPr>
        <w:br/>
        <w:t>z wagowego udziału każdego z rodzajów kruszyw grubych przewidzianych do zastosowania w mieszance mineralno-asfaltowej oraz kategorii odporności na polerowania każdego z tych kruszyw. Można mieszać tylko kruszywa grube kategorii PSV</w:t>
      </w:r>
      <w:r w:rsidRPr="004853EB">
        <w:rPr>
          <w:rFonts w:eastAsia="Times New Roman" w:cstheme="minorHAnsi"/>
          <w:color w:val="000000"/>
          <w:sz w:val="20"/>
          <w:szCs w:val="20"/>
          <w:vertAlign w:val="subscript"/>
          <w:lang w:eastAsia="pl-PL"/>
        </w:rPr>
        <w:t>44</w:t>
      </w:r>
      <w:r w:rsidRPr="004853EB">
        <w:rPr>
          <w:rFonts w:eastAsia="Times New Roman" w:cstheme="minorHAnsi"/>
          <w:color w:val="000000"/>
          <w:sz w:val="20"/>
          <w:szCs w:val="20"/>
          <w:lang w:eastAsia="pl-PL"/>
        </w:rPr>
        <w:t xml:space="preserve"> i wyższej.</w:t>
      </w:r>
    </w:p>
    <w:p w14:paraId="0AC07107" w14:textId="2B0EDF71" w:rsidR="00CC1EF4" w:rsidRPr="004853EB" w:rsidRDefault="00CC1EF4" w:rsidP="00CC1EF4">
      <w:pPr>
        <w:shd w:val="clear" w:color="auto" w:fill="FFFFFF"/>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Kruszywo łamane drobne lub o ciągłym uziarnieniu do D≤</w:t>
      </w:r>
      <w:r w:rsidR="00336D00" w:rsidRPr="004853EB">
        <w:rPr>
          <w:rFonts w:eastAsia="Times New Roman" w:cstheme="minorHAnsi"/>
          <w:color w:val="000000"/>
          <w:sz w:val="20"/>
          <w:szCs w:val="20"/>
          <w:lang w:eastAsia="pl-PL"/>
        </w:rPr>
        <w:t>8 do</w:t>
      </w:r>
      <w:r w:rsidRPr="004853EB">
        <w:rPr>
          <w:rFonts w:eastAsia="Times New Roman" w:cstheme="minorHAnsi"/>
          <w:color w:val="000000"/>
          <w:sz w:val="20"/>
          <w:szCs w:val="20"/>
          <w:lang w:eastAsia="pl-PL"/>
        </w:rPr>
        <w:t xml:space="preserve"> warstwy </w:t>
      </w:r>
      <w:r w:rsidR="00336D00" w:rsidRPr="004853EB">
        <w:rPr>
          <w:rFonts w:eastAsia="Times New Roman" w:cstheme="minorHAnsi"/>
          <w:color w:val="000000"/>
          <w:sz w:val="20"/>
          <w:szCs w:val="20"/>
          <w:lang w:eastAsia="pl-PL"/>
        </w:rPr>
        <w:t>ścieralnej z</w:t>
      </w:r>
      <w:r w:rsidRPr="004853EB">
        <w:rPr>
          <w:rFonts w:eastAsia="Times New Roman" w:cstheme="minorHAnsi"/>
          <w:color w:val="000000"/>
          <w:sz w:val="20"/>
          <w:szCs w:val="20"/>
          <w:lang w:eastAsia="pl-PL"/>
        </w:rPr>
        <w:t xml:space="preserve"> betonu </w:t>
      </w:r>
      <w:r w:rsidR="00336D00" w:rsidRPr="004853EB">
        <w:rPr>
          <w:rFonts w:eastAsia="Times New Roman" w:cstheme="minorHAnsi"/>
          <w:color w:val="000000"/>
          <w:sz w:val="20"/>
          <w:szCs w:val="20"/>
          <w:lang w:eastAsia="pl-PL"/>
        </w:rPr>
        <w:t>asfaltowego powinno</w:t>
      </w:r>
      <w:r w:rsidRPr="004853EB">
        <w:rPr>
          <w:rFonts w:eastAsia="Times New Roman" w:cstheme="minorHAnsi"/>
          <w:color w:val="000000"/>
          <w:sz w:val="20"/>
          <w:szCs w:val="20"/>
          <w:lang w:eastAsia="pl-PL"/>
        </w:rPr>
        <w:t xml:space="preserve"> spełniać wymagania podane w </w:t>
      </w:r>
      <w:r w:rsidR="00336D00" w:rsidRPr="004853EB">
        <w:rPr>
          <w:rFonts w:eastAsia="Times New Roman" w:cstheme="minorHAnsi"/>
          <w:color w:val="000000"/>
          <w:sz w:val="20"/>
          <w:szCs w:val="20"/>
          <w:lang w:eastAsia="pl-PL"/>
        </w:rPr>
        <w:t>tablicy 8.</w:t>
      </w:r>
    </w:p>
    <w:p w14:paraId="13BCDB7C" w14:textId="77777777" w:rsidR="00CC1EF4" w:rsidRPr="004853EB" w:rsidRDefault="00CC1EF4" w:rsidP="00CC1EF4">
      <w:pPr>
        <w:shd w:val="clear" w:color="auto" w:fill="FFFFFF"/>
        <w:spacing w:after="0" w:line="240" w:lineRule="auto"/>
        <w:ind w:firstLine="709"/>
        <w:jc w:val="both"/>
        <w:rPr>
          <w:rFonts w:eastAsia="Times New Roman" w:cstheme="minorHAnsi"/>
          <w:color w:val="000000"/>
          <w:sz w:val="20"/>
          <w:szCs w:val="20"/>
          <w:lang w:eastAsia="pl-PL"/>
        </w:rPr>
      </w:pPr>
    </w:p>
    <w:p w14:paraId="4F3CD187" w14:textId="74FD4747" w:rsidR="00CC1EF4" w:rsidRPr="004853EB" w:rsidRDefault="00CC1EF4" w:rsidP="00CC1EF4">
      <w:pPr>
        <w:shd w:val="clear" w:color="auto" w:fill="FFFFFF"/>
        <w:spacing w:before="120" w:after="120" w:line="240" w:lineRule="auto"/>
        <w:ind w:left="1321" w:hanging="1321"/>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Tablica 8. Wymagane właściwości kruszywa łamanego drobnego lub o ciągłym uziarnieniu do D≤</w:t>
      </w:r>
      <w:r w:rsidR="00336D00" w:rsidRPr="004853EB">
        <w:rPr>
          <w:rFonts w:eastAsia="Times New Roman" w:cstheme="minorHAnsi"/>
          <w:color w:val="000000"/>
          <w:sz w:val="20"/>
          <w:szCs w:val="20"/>
          <w:lang w:eastAsia="pl-PL"/>
        </w:rPr>
        <w:t>8 do</w:t>
      </w:r>
      <w:r w:rsidRPr="004853EB">
        <w:rPr>
          <w:rFonts w:eastAsia="Times New Roman" w:cstheme="minorHAnsi"/>
          <w:color w:val="000000"/>
          <w:sz w:val="20"/>
          <w:szCs w:val="20"/>
          <w:lang w:eastAsia="pl-PL"/>
        </w:rPr>
        <w:t xml:space="preserve"> warstwy </w:t>
      </w:r>
      <w:r w:rsidR="00336D00" w:rsidRPr="004853EB">
        <w:rPr>
          <w:rFonts w:eastAsia="Times New Roman" w:cstheme="minorHAnsi"/>
          <w:color w:val="000000"/>
          <w:sz w:val="20"/>
          <w:szCs w:val="20"/>
          <w:lang w:eastAsia="pl-PL"/>
        </w:rPr>
        <w:t>ścieralnej z</w:t>
      </w:r>
      <w:r w:rsidRPr="004853EB">
        <w:rPr>
          <w:rFonts w:eastAsia="Times New Roman" w:cstheme="minorHAnsi"/>
          <w:color w:val="000000"/>
          <w:sz w:val="20"/>
          <w:szCs w:val="20"/>
          <w:lang w:eastAsia="pl-PL"/>
        </w:rPr>
        <w:t xml:space="preserve">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353"/>
        <w:gridCol w:w="3924"/>
      </w:tblGrid>
      <w:tr w:rsidR="00CC1EF4" w:rsidRPr="004853EB" w14:paraId="7D36BF85" w14:textId="77777777" w:rsidTr="00E95D02">
        <w:tc>
          <w:tcPr>
            <w:tcW w:w="675" w:type="dxa"/>
            <w:vAlign w:val="center"/>
          </w:tcPr>
          <w:p w14:paraId="6B3F0BB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Lp.</w:t>
            </w:r>
          </w:p>
        </w:tc>
        <w:tc>
          <w:tcPr>
            <w:tcW w:w="4353" w:type="dxa"/>
            <w:vAlign w:val="center"/>
          </w:tcPr>
          <w:p w14:paraId="6CB09BD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Właściwości kruszywa</w:t>
            </w:r>
          </w:p>
        </w:tc>
        <w:tc>
          <w:tcPr>
            <w:tcW w:w="3924" w:type="dxa"/>
            <w:vAlign w:val="center"/>
          </w:tcPr>
          <w:p w14:paraId="4E57111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Wymagania w zależności od kategorii ruchu</w:t>
            </w:r>
          </w:p>
        </w:tc>
      </w:tr>
      <w:tr w:rsidR="00CC1EF4" w:rsidRPr="004853EB" w14:paraId="72BCAA25" w14:textId="77777777" w:rsidTr="00E95D02">
        <w:tc>
          <w:tcPr>
            <w:tcW w:w="675" w:type="dxa"/>
            <w:vAlign w:val="center"/>
          </w:tcPr>
          <w:p w14:paraId="385E454E"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4353" w:type="dxa"/>
            <w:vAlign w:val="center"/>
          </w:tcPr>
          <w:p w14:paraId="1395A212"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3924" w:type="dxa"/>
            <w:vAlign w:val="center"/>
          </w:tcPr>
          <w:p w14:paraId="6E77531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KR3 </w:t>
            </w:r>
            <w:r w:rsidRPr="004853EB">
              <w:rPr>
                <w:rFonts w:eastAsia="Times New Roman" w:cstheme="minorHAnsi"/>
                <w:color w:val="000000"/>
                <w:sz w:val="18"/>
                <w:szCs w:val="18"/>
                <w:lang w:eastAsia="pl-PL"/>
              </w:rPr>
              <w:sym w:font="Symbol" w:char="F0B8"/>
            </w:r>
            <w:r w:rsidRPr="004853EB">
              <w:rPr>
                <w:rFonts w:eastAsia="Times New Roman" w:cstheme="minorHAnsi"/>
                <w:color w:val="000000"/>
                <w:sz w:val="18"/>
                <w:szCs w:val="18"/>
                <w:lang w:eastAsia="pl-PL"/>
              </w:rPr>
              <w:t xml:space="preserve"> KR4</w:t>
            </w:r>
          </w:p>
        </w:tc>
      </w:tr>
      <w:tr w:rsidR="00CC1EF4" w:rsidRPr="004853EB" w14:paraId="4AEC87F1" w14:textId="77777777" w:rsidTr="00E95D02">
        <w:tc>
          <w:tcPr>
            <w:tcW w:w="675" w:type="dxa"/>
          </w:tcPr>
          <w:p w14:paraId="4AD83E3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w:t>
            </w:r>
          </w:p>
        </w:tc>
        <w:tc>
          <w:tcPr>
            <w:tcW w:w="4353" w:type="dxa"/>
          </w:tcPr>
          <w:p w14:paraId="64D75F5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Uziarnienie według PN-EN 933-1 [5], wymagana kategoria:</w:t>
            </w:r>
          </w:p>
        </w:tc>
        <w:tc>
          <w:tcPr>
            <w:tcW w:w="3924" w:type="dxa"/>
            <w:vAlign w:val="center"/>
          </w:tcPr>
          <w:p w14:paraId="3570FED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G</w:t>
            </w:r>
            <w:r w:rsidRPr="004853EB">
              <w:rPr>
                <w:rFonts w:eastAsia="Times New Roman" w:cstheme="minorHAnsi"/>
                <w:color w:val="000000"/>
                <w:sz w:val="18"/>
                <w:szCs w:val="18"/>
                <w:vertAlign w:val="subscript"/>
                <w:lang w:eastAsia="pl-PL"/>
              </w:rPr>
              <w:t>F</w:t>
            </w:r>
            <w:r w:rsidRPr="004853EB">
              <w:rPr>
                <w:rFonts w:eastAsia="Times New Roman" w:cstheme="minorHAnsi"/>
                <w:color w:val="000000"/>
                <w:sz w:val="18"/>
                <w:szCs w:val="18"/>
                <w:lang w:eastAsia="pl-PL"/>
              </w:rPr>
              <w:t>85 lub G</w:t>
            </w:r>
            <w:r w:rsidRPr="004853EB">
              <w:rPr>
                <w:rFonts w:eastAsia="Times New Roman" w:cstheme="minorHAnsi"/>
                <w:color w:val="000000"/>
                <w:sz w:val="18"/>
                <w:szCs w:val="18"/>
                <w:vertAlign w:val="subscript"/>
                <w:lang w:eastAsia="pl-PL"/>
              </w:rPr>
              <w:t>A</w:t>
            </w:r>
            <w:r w:rsidRPr="004853EB">
              <w:rPr>
                <w:rFonts w:eastAsia="Times New Roman" w:cstheme="minorHAnsi"/>
                <w:color w:val="000000"/>
                <w:sz w:val="18"/>
                <w:szCs w:val="18"/>
                <w:lang w:eastAsia="pl-PL"/>
              </w:rPr>
              <w:t>85</w:t>
            </w:r>
          </w:p>
        </w:tc>
      </w:tr>
      <w:tr w:rsidR="00CC1EF4" w:rsidRPr="004853EB" w14:paraId="119EF0E3" w14:textId="77777777" w:rsidTr="00E95D02">
        <w:tc>
          <w:tcPr>
            <w:tcW w:w="675" w:type="dxa"/>
          </w:tcPr>
          <w:p w14:paraId="6F28179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w:t>
            </w:r>
          </w:p>
        </w:tc>
        <w:tc>
          <w:tcPr>
            <w:tcW w:w="4353" w:type="dxa"/>
          </w:tcPr>
          <w:p w14:paraId="701E036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Tolerancja uziarnienia; odchylenie nie większe niż według kategorii:</w:t>
            </w:r>
          </w:p>
        </w:tc>
        <w:tc>
          <w:tcPr>
            <w:tcW w:w="3924" w:type="dxa"/>
            <w:vAlign w:val="center"/>
          </w:tcPr>
          <w:p w14:paraId="4A75508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G</w:t>
            </w:r>
            <w:r w:rsidRPr="004853EB">
              <w:rPr>
                <w:rFonts w:eastAsia="Times New Roman" w:cstheme="minorHAnsi"/>
                <w:color w:val="000000"/>
                <w:sz w:val="18"/>
                <w:szCs w:val="18"/>
                <w:vertAlign w:val="subscript"/>
                <w:lang w:eastAsia="pl-PL"/>
              </w:rPr>
              <w:t>TC</w:t>
            </w:r>
            <w:r w:rsidRPr="004853EB">
              <w:rPr>
                <w:rFonts w:eastAsia="Times New Roman" w:cstheme="minorHAnsi"/>
                <w:color w:val="000000"/>
                <w:sz w:val="18"/>
                <w:szCs w:val="18"/>
                <w:lang w:eastAsia="pl-PL"/>
              </w:rPr>
              <w:t>20</w:t>
            </w:r>
          </w:p>
        </w:tc>
      </w:tr>
      <w:tr w:rsidR="00CC1EF4" w:rsidRPr="004853EB" w14:paraId="50507F1F" w14:textId="77777777" w:rsidTr="00E95D02">
        <w:tc>
          <w:tcPr>
            <w:tcW w:w="675" w:type="dxa"/>
          </w:tcPr>
          <w:p w14:paraId="198BDD8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w:t>
            </w:r>
          </w:p>
        </w:tc>
        <w:tc>
          <w:tcPr>
            <w:tcW w:w="4353" w:type="dxa"/>
          </w:tcPr>
          <w:p w14:paraId="25BE4C3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Zawartość pyłów według PN-EN 933-1 [5], kategoria nie wyższa niż:</w:t>
            </w:r>
          </w:p>
        </w:tc>
        <w:tc>
          <w:tcPr>
            <w:tcW w:w="3924" w:type="dxa"/>
            <w:vAlign w:val="center"/>
          </w:tcPr>
          <w:p w14:paraId="107E174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sym w:font="Symbol" w:char="F0A6"/>
            </w:r>
            <w:r w:rsidRPr="004853EB">
              <w:rPr>
                <w:rFonts w:eastAsia="Times New Roman" w:cstheme="minorHAnsi"/>
                <w:color w:val="000000"/>
                <w:sz w:val="18"/>
                <w:szCs w:val="18"/>
                <w:vertAlign w:val="subscript"/>
                <w:lang w:eastAsia="pl-PL"/>
              </w:rPr>
              <w:t>16</w:t>
            </w:r>
          </w:p>
        </w:tc>
      </w:tr>
      <w:tr w:rsidR="00CC1EF4" w:rsidRPr="004853EB" w14:paraId="6EFAAEDD" w14:textId="77777777" w:rsidTr="00E95D02">
        <w:tc>
          <w:tcPr>
            <w:tcW w:w="675" w:type="dxa"/>
          </w:tcPr>
          <w:p w14:paraId="3B29B12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w:t>
            </w:r>
          </w:p>
        </w:tc>
        <w:tc>
          <w:tcPr>
            <w:tcW w:w="4353" w:type="dxa"/>
          </w:tcPr>
          <w:p w14:paraId="497E571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Jakość pyłów według PN-EN 933-9 [10]; kategoria nie wyższa niż:</w:t>
            </w:r>
          </w:p>
        </w:tc>
        <w:tc>
          <w:tcPr>
            <w:tcW w:w="3924" w:type="dxa"/>
            <w:vAlign w:val="center"/>
          </w:tcPr>
          <w:p w14:paraId="0EE1295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MB</w:t>
            </w:r>
            <w:r w:rsidRPr="004853EB">
              <w:rPr>
                <w:rFonts w:eastAsia="Times New Roman" w:cstheme="minorHAnsi"/>
                <w:color w:val="000000"/>
                <w:sz w:val="18"/>
                <w:szCs w:val="18"/>
                <w:vertAlign w:val="subscript"/>
                <w:lang w:eastAsia="pl-PL"/>
              </w:rPr>
              <w:t>F</w:t>
            </w:r>
            <w:r w:rsidRPr="004853EB">
              <w:rPr>
                <w:rFonts w:eastAsia="Times New Roman" w:cstheme="minorHAnsi"/>
                <w:color w:val="000000"/>
                <w:sz w:val="18"/>
                <w:szCs w:val="18"/>
                <w:lang w:eastAsia="pl-PL"/>
              </w:rPr>
              <w:t>10</w:t>
            </w:r>
          </w:p>
        </w:tc>
      </w:tr>
      <w:tr w:rsidR="00CC1EF4" w:rsidRPr="004853EB" w14:paraId="65FA1423" w14:textId="77777777" w:rsidTr="00E95D02">
        <w:tc>
          <w:tcPr>
            <w:tcW w:w="675" w:type="dxa"/>
          </w:tcPr>
          <w:p w14:paraId="2213351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w:t>
            </w:r>
          </w:p>
        </w:tc>
        <w:tc>
          <w:tcPr>
            <w:tcW w:w="4353" w:type="dxa"/>
          </w:tcPr>
          <w:p w14:paraId="55E8A74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Kanciastość kruszywa drobnego według PN-EN 933-6 [9], rozdz. 8, kategoria nie niższa niż:</w:t>
            </w:r>
          </w:p>
        </w:tc>
        <w:tc>
          <w:tcPr>
            <w:tcW w:w="3924" w:type="dxa"/>
          </w:tcPr>
          <w:p w14:paraId="5965DBD4" w14:textId="77777777" w:rsidR="00CC1EF4" w:rsidRPr="004853EB" w:rsidRDefault="00CC1EF4" w:rsidP="00CC1EF4">
            <w:pPr>
              <w:spacing w:after="0" w:line="240" w:lineRule="auto"/>
              <w:jc w:val="both"/>
              <w:rPr>
                <w:rFonts w:eastAsia="Times New Roman" w:cstheme="minorHAnsi"/>
                <w:i/>
                <w:color w:val="000000"/>
                <w:sz w:val="18"/>
                <w:szCs w:val="18"/>
                <w:lang w:eastAsia="pl-PL"/>
              </w:rPr>
            </w:pPr>
          </w:p>
          <w:p w14:paraId="33AF451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i/>
                <w:color w:val="000000"/>
                <w:sz w:val="18"/>
                <w:szCs w:val="18"/>
                <w:lang w:eastAsia="pl-PL"/>
              </w:rPr>
              <w:t>E</w:t>
            </w:r>
            <w:r w:rsidRPr="004853EB">
              <w:rPr>
                <w:rFonts w:eastAsia="Times New Roman" w:cstheme="minorHAnsi"/>
                <w:color w:val="000000"/>
                <w:sz w:val="18"/>
                <w:szCs w:val="18"/>
                <w:vertAlign w:val="subscript"/>
                <w:lang w:eastAsia="pl-PL"/>
              </w:rPr>
              <w:t>cs</w:t>
            </w:r>
            <w:r w:rsidRPr="004853EB">
              <w:rPr>
                <w:rFonts w:eastAsia="Times New Roman" w:cstheme="minorHAnsi"/>
                <w:color w:val="000000"/>
                <w:sz w:val="18"/>
                <w:szCs w:val="18"/>
                <w:lang w:eastAsia="pl-PL"/>
              </w:rPr>
              <w:t>30</w:t>
            </w:r>
          </w:p>
        </w:tc>
      </w:tr>
      <w:tr w:rsidR="00CC1EF4" w:rsidRPr="004853EB" w14:paraId="4DE541BF" w14:textId="77777777" w:rsidTr="00E95D02">
        <w:tc>
          <w:tcPr>
            <w:tcW w:w="675" w:type="dxa"/>
          </w:tcPr>
          <w:p w14:paraId="45E376E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w:t>
            </w:r>
          </w:p>
        </w:tc>
        <w:tc>
          <w:tcPr>
            <w:tcW w:w="4353" w:type="dxa"/>
          </w:tcPr>
          <w:p w14:paraId="425657B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Gęstość ziaren według PN-EN 1097-6 [15], rozdz. 7, 8 lub 9:</w:t>
            </w:r>
          </w:p>
        </w:tc>
        <w:tc>
          <w:tcPr>
            <w:tcW w:w="3924" w:type="dxa"/>
            <w:vAlign w:val="center"/>
          </w:tcPr>
          <w:p w14:paraId="0570A7E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deklarowana przez producenta</w:t>
            </w:r>
          </w:p>
        </w:tc>
      </w:tr>
      <w:tr w:rsidR="00CC1EF4" w:rsidRPr="004853EB" w14:paraId="79BA1BBA" w14:textId="77777777" w:rsidTr="00E95D02">
        <w:tc>
          <w:tcPr>
            <w:tcW w:w="675" w:type="dxa"/>
          </w:tcPr>
          <w:p w14:paraId="6F18228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7</w:t>
            </w:r>
          </w:p>
        </w:tc>
        <w:tc>
          <w:tcPr>
            <w:tcW w:w="4353" w:type="dxa"/>
          </w:tcPr>
          <w:p w14:paraId="0BF0EB8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Nasiąkliwość według PN-EN 1097-6 [15], rozdz. 7, 8 lub 9</w:t>
            </w:r>
          </w:p>
        </w:tc>
        <w:tc>
          <w:tcPr>
            <w:tcW w:w="3924" w:type="dxa"/>
            <w:vAlign w:val="center"/>
          </w:tcPr>
          <w:p w14:paraId="3488A8A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deklarowana przez producenta</w:t>
            </w:r>
          </w:p>
        </w:tc>
      </w:tr>
      <w:tr w:rsidR="00CC1EF4" w:rsidRPr="004853EB" w14:paraId="61E67D20" w14:textId="77777777" w:rsidTr="00E95D02">
        <w:tc>
          <w:tcPr>
            <w:tcW w:w="675" w:type="dxa"/>
          </w:tcPr>
          <w:p w14:paraId="73C6965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w:t>
            </w:r>
          </w:p>
        </w:tc>
        <w:tc>
          <w:tcPr>
            <w:tcW w:w="4353" w:type="dxa"/>
          </w:tcPr>
          <w:p w14:paraId="24829DD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Grube zanieczyszczenia lekkie, według PN-EN 1744-1 [22] p. 14.2, kategoria nie wyższa niż:</w:t>
            </w:r>
          </w:p>
        </w:tc>
        <w:tc>
          <w:tcPr>
            <w:tcW w:w="3924" w:type="dxa"/>
            <w:vAlign w:val="center"/>
          </w:tcPr>
          <w:p w14:paraId="41EDFBE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i/>
                <w:color w:val="000000"/>
                <w:sz w:val="18"/>
                <w:szCs w:val="18"/>
                <w:lang w:eastAsia="pl-PL"/>
              </w:rPr>
              <w:t>m</w:t>
            </w:r>
            <w:r w:rsidRPr="004853EB">
              <w:rPr>
                <w:rFonts w:eastAsia="Times New Roman" w:cstheme="minorHAnsi"/>
                <w:color w:val="000000"/>
                <w:sz w:val="18"/>
                <w:szCs w:val="18"/>
                <w:vertAlign w:val="subscript"/>
                <w:lang w:eastAsia="pl-PL"/>
              </w:rPr>
              <w:t>LPC</w:t>
            </w:r>
            <w:r w:rsidRPr="004853EB">
              <w:rPr>
                <w:rFonts w:eastAsia="Times New Roman" w:cstheme="minorHAnsi"/>
                <w:color w:val="000000"/>
                <w:sz w:val="18"/>
                <w:szCs w:val="18"/>
                <w:lang w:eastAsia="pl-PL"/>
              </w:rPr>
              <w:t>0,1</w:t>
            </w:r>
          </w:p>
        </w:tc>
      </w:tr>
    </w:tbl>
    <w:p w14:paraId="625B2025" w14:textId="77777777" w:rsidR="00CC1EF4" w:rsidRPr="004853EB" w:rsidRDefault="00CC1EF4" w:rsidP="00CC1EF4">
      <w:pPr>
        <w:spacing w:after="0" w:line="240" w:lineRule="auto"/>
        <w:jc w:val="both"/>
        <w:rPr>
          <w:rFonts w:eastAsia="Times New Roman" w:cstheme="minorHAnsi"/>
          <w:color w:val="000000"/>
          <w:sz w:val="20"/>
          <w:szCs w:val="20"/>
          <w:lang w:eastAsia="pl-PL"/>
        </w:rPr>
      </w:pPr>
    </w:p>
    <w:p w14:paraId="5CED1E61" w14:textId="77777777" w:rsidR="00CC1EF4" w:rsidRPr="004853EB" w:rsidRDefault="00CC1EF4" w:rsidP="00CC1EF4">
      <w:pPr>
        <w:widowControl w:val="0"/>
        <w:spacing w:after="0" w:line="240" w:lineRule="auto"/>
        <w:ind w:right="-57" w:firstLine="709"/>
        <w:jc w:val="both"/>
        <w:rPr>
          <w:rFonts w:eastAsia="Times New Roman" w:cstheme="minorHAnsi"/>
          <w:color w:val="000000"/>
          <w:sz w:val="20"/>
          <w:szCs w:val="20"/>
          <w:lang w:eastAsia="pl-PL"/>
        </w:rPr>
      </w:pPr>
    </w:p>
    <w:p w14:paraId="0FB36182" w14:textId="4770D0BB" w:rsidR="00CC1EF4" w:rsidRPr="004853EB" w:rsidRDefault="00CC1EF4" w:rsidP="00CC1EF4">
      <w:pPr>
        <w:widowControl w:val="0"/>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Do warstwy ścieralnej z betonu asfaltowego, w zależności od kategorii </w:t>
      </w:r>
      <w:r w:rsidR="00336D00" w:rsidRPr="004853EB">
        <w:rPr>
          <w:rFonts w:eastAsia="Times New Roman" w:cstheme="minorHAnsi"/>
          <w:color w:val="000000"/>
          <w:sz w:val="20"/>
          <w:szCs w:val="20"/>
          <w:lang w:eastAsia="pl-PL"/>
        </w:rPr>
        <w:t>ruchu, należy</w:t>
      </w:r>
      <w:r w:rsidRPr="004853EB">
        <w:rPr>
          <w:rFonts w:eastAsia="Times New Roman" w:cstheme="minorHAnsi"/>
          <w:color w:val="000000"/>
          <w:sz w:val="20"/>
          <w:szCs w:val="20"/>
          <w:lang w:eastAsia="pl-PL"/>
        </w:rPr>
        <w:t xml:space="preserve"> stosować wypełniacz spełniający wymagania podane w tablicy 9.</w:t>
      </w:r>
    </w:p>
    <w:p w14:paraId="6FB06BC6" w14:textId="199483E0" w:rsidR="00CC1EF4" w:rsidRPr="004853EB" w:rsidRDefault="00CC1EF4" w:rsidP="00CC1EF4">
      <w:pPr>
        <w:tabs>
          <w:tab w:val="left" w:pos="1134"/>
        </w:tabs>
        <w:spacing w:before="120" w:after="120" w:line="240" w:lineRule="auto"/>
        <w:ind w:left="1134" w:hanging="1134"/>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Tablica 9.</w:t>
      </w:r>
      <w:r w:rsidRPr="004853EB">
        <w:rPr>
          <w:rFonts w:eastAsia="Times New Roman" w:cstheme="minorHAnsi"/>
          <w:color w:val="000000"/>
          <w:sz w:val="20"/>
          <w:szCs w:val="20"/>
          <w:lang w:eastAsia="pl-PL"/>
        </w:rPr>
        <w:tab/>
        <w:t xml:space="preserve">Wymagane właściwości wypełniacza do warstwy </w:t>
      </w:r>
      <w:r w:rsidR="00336D00" w:rsidRPr="004853EB">
        <w:rPr>
          <w:rFonts w:eastAsia="Times New Roman" w:cstheme="minorHAnsi"/>
          <w:color w:val="000000"/>
          <w:sz w:val="20"/>
          <w:szCs w:val="20"/>
          <w:lang w:eastAsia="pl-PL"/>
        </w:rPr>
        <w:t>ścieralnej z</w:t>
      </w:r>
      <w:r w:rsidRPr="004853EB">
        <w:rPr>
          <w:rFonts w:eastAsia="Times New Roman" w:cstheme="minorHAnsi"/>
          <w:color w:val="000000"/>
          <w:sz w:val="20"/>
          <w:szCs w:val="20"/>
          <w:lang w:eastAsia="pl-PL"/>
        </w:rPr>
        <w:t xml:space="preserve"> betonu asfaltowego</w:t>
      </w:r>
    </w:p>
    <w:tbl>
      <w:tblPr>
        <w:tblW w:w="8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4320"/>
        <w:gridCol w:w="3600"/>
      </w:tblGrid>
      <w:tr w:rsidR="00CC1EF4" w:rsidRPr="004853EB" w14:paraId="51C96459" w14:textId="77777777" w:rsidTr="00E95D02">
        <w:tc>
          <w:tcPr>
            <w:tcW w:w="708" w:type="dxa"/>
            <w:tcBorders>
              <w:bottom w:val="nil"/>
            </w:tcBorders>
          </w:tcPr>
          <w:p w14:paraId="5E2389EE"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146F6B2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Lp.</w:t>
            </w:r>
          </w:p>
        </w:tc>
        <w:tc>
          <w:tcPr>
            <w:tcW w:w="4320" w:type="dxa"/>
            <w:tcBorders>
              <w:bottom w:val="nil"/>
            </w:tcBorders>
          </w:tcPr>
          <w:p w14:paraId="116F2631"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7018E9E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Właściwości kruszywa</w:t>
            </w:r>
          </w:p>
        </w:tc>
        <w:tc>
          <w:tcPr>
            <w:tcW w:w="3600" w:type="dxa"/>
          </w:tcPr>
          <w:p w14:paraId="06D26DC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Wymagania w zależności od kategorii ruchu</w:t>
            </w:r>
          </w:p>
        </w:tc>
      </w:tr>
      <w:tr w:rsidR="00CC1EF4" w:rsidRPr="004853EB" w14:paraId="00AB9279" w14:textId="77777777" w:rsidTr="00E95D02">
        <w:tc>
          <w:tcPr>
            <w:tcW w:w="708" w:type="dxa"/>
            <w:tcBorders>
              <w:top w:val="nil"/>
            </w:tcBorders>
          </w:tcPr>
          <w:p w14:paraId="361B7F00"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4320" w:type="dxa"/>
            <w:tcBorders>
              <w:top w:val="nil"/>
            </w:tcBorders>
          </w:tcPr>
          <w:p w14:paraId="57E40694"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3600" w:type="dxa"/>
          </w:tcPr>
          <w:p w14:paraId="61DD44F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KR3 </w:t>
            </w:r>
            <w:r w:rsidRPr="004853EB">
              <w:rPr>
                <w:rFonts w:eastAsia="Times New Roman" w:cstheme="minorHAnsi"/>
                <w:color w:val="000000"/>
                <w:sz w:val="18"/>
                <w:szCs w:val="18"/>
                <w:lang w:eastAsia="pl-PL"/>
              </w:rPr>
              <w:sym w:font="Symbol" w:char="F0B8"/>
            </w:r>
            <w:r w:rsidRPr="004853EB">
              <w:rPr>
                <w:rFonts w:eastAsia="Times New Roman" w:cstheme="minorHAnsi"/>
                <w:color w:val="000000"/>
                <w:sz w:val="18"/>
                <w:szCs w:val="18"/>
                <w:lang w:eastAsia="pl-PL"/>
              </w:rPr>
              <w:t xml:space="preserve"> KR4</w:t>
            </w:r>
          </w:p>
        </w:tc>
      </w:tr>
      <w:tr w:rsidR="00CC1EF4" w:rsidRPr="004853EB" w14:paraId="3079C989" w14:textId="77777777" w:rsidTr="00E95D02">
        <w:tc>
          <w:tcPr>
            <w:tcW w:w="708" w:type="dxa"/>
          </w:tcPr>
          <w:p w14:paraId="511EDE29"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w:t>
            </w:r>
          </w:p>
        </w:tc>
        <w:tc>
          <w:tcPr>
            <w:tcW w:w="4320" w:type="dxa"/>
          </w:tcPr>
          <w:p w14:paraId="283D9933"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Uziarnienie według PN-EN 933-10 [11]</w:t>
            </w:r>
          </w:p>
        </w:tc>
        <w:tc>
          <w:tcPr>
            <w:tcW w:w="3600" w:type="dxa"/>
            <w:vAlign w:val="center"/>
          </w:tcPr>
          <w:p w14:paraId="5E2AF15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zgodnie z tablicą 24 w PN-EN 13043 [49]</w:t>
            </w:r>
          </w:p>
        </w:tc>
      </w:tr>
      <w:tr w:rsidR="00CC1EF4" w:rsidRPr="004853EB" w14:paraId="4FFF4381" w14:textId="77777777" w:rsidTr="00E95D02">
        <w:tc>
          <w:tcPr>
            <w:tcW w:w="708" w:type="dxa"/>
          </w:tcPr>
          <w:p w14:paraId="4B355D5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lastRenderedPageBreak/>
              <w:t>2</w:t>
            </w:r>
          </w:p>
        </w:tc>
        <w:tc>
          <w:tcPr>
            <w:tcW w:w="4320" w:type="dxa"/>
          </w:tcPr>
          <w:p w14:paraId="5949D06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Jakość pyłów według PN-EN 933-9 [10]; kategoria nie wyższa niż:</w:t>
            </w:r>
          </w:p>
        </w:tc>
        <w:tc>
          <w:tcPr>
            <w:tcW w:w="3600" w:type="dxa"/>
            <w:vAlign w:val="center"/>
          </w:tcPr>
          <w:p w14:paraId="7FCBFEE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MB</w:t>
            </w:r>
            <w:r w:rsidRPr="004853EB">
              <w:rPr>
                <w:rFonts w:eastAsia="Times New Roman" w:cstheme="minorHAnsi"/>
                <w:color w:val="000000"/>
                <w:sz w:val="18"/>
                <w:szCs w:val="18"/>
                <w:vertAlign w:val="subscript"/>
                <w:lang w:eastAsia="pl-PL"/>
              </w:rPr>
              <w:t>F</w:t>
            </w:r>
            <w:r w:rsidRPr="004853EB">
              <w:rPr>
                <w:rFonts w:eastAsia="Times New Roman" w:cstheme="minorHAnsi"/>
                <w:color w:val="000000"/>
                <w:sz w:val="18"/>
                <w:szCs w:val="18"/>
                <w:lang w:eastAsia="pl-PL"/>
              </w:rPr>
              <w:t>10</w:t>
            </w:r>
          </w:p>
        </w:tc>
      </w:tr>
      <w:tr w:rsidR="00CC1EF4" w:rsidRPr="004853EB" w14:paraId="6E63F9CF" w14:textId="77777777" w:rsidTr="00E95D02">
        <w:tc>
          <w:tcPr>
            <w:tcW w:w="708" w:type="dxa"/>
          </w:tcPr>
          <w:p w14:paraId="0ECD864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w:t>
            </w:r>
          </w:p>
        </w:tc>
        <w:tc>
          <w:tcPr>
            <w:tcW w:w="4320" w:type="dxa"/>
          </w:tcPr>
          <w:p w14:paraId="7DA61B0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Zawartość wody według PN-EN 1097-5 [14], nie wyższa niż:</w:t>
            </w:r>
          </w:p>
        </w:tc>
        <w:tc>
          <w:tcPr>
            <w:tcW w:w="3600" w:type="dxa"/>
            <w:vAlign w:val="center"/>
          </w:tcPr>
          <w:p w14:paraId="6867BA5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1 % (m/m)</w:t>
            </w:r>
          </w:p>
        </w:tc>
      </w:tr>
      <w:tr w:rsidR="00CC1EF4" w:rsidRPr="004853EB" w14:paraId="0A2CEFEE" w14:textId="77777777" w:rsidTr="00E95D02">
        <w:tc>
          <w:tcPr>
            <w:tcW w:w="708" w:type="dxa"/>
          </w:tcPr>
          <w:p w14:paraId="0C737D7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w:t>
            </w:r>
          </w:p>
        </w:tc>
        <w:tc>
          <w:tcPr>
            <w:tcW w:w="4320" w:type="dxa"/>
          </w:tcPr>
          <w:p w14:paraId="45A16DC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Gęstość ziaren według PN-EN 1097-7 [16]</w:t>
            </w:r>
          </w:p>
        </w:tc>
        <w:tc>
          <w:tcPr>
            <w:tcW w:w="3600" w:type="dxa"/>
            <w:vAlign w:val="center"/>
          </w:tcPr>
          <w:p w14:paraId="5CFDA84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deklarowana przez producenta</w:t>
            </w:r>
          </w:p>
        </w:tc>
      </w:tr>
      <w:tr w:rsidR="00CC1EF4" w:rsidRPr="004853EB" w14:paraId="3A349293" w14:textId="77777777" w:rsidTr="00E95D02">
        <w:tc>
          <w:tcPr>
            <w:tcW w:w="708" w:type="dxa"/>
          </w:tcPr>
          <w:p w14:paraId="78FD2BE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w:t>
            </w:r>
          </w:p>
        </w:tc>
        <w:tc>
          <w:tcPr>
            <w:tcW w:w="4320" w:type="dxa"/>
          </w:tcPr>
          <w:p w14:paraId="238AA18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Wolne przestrzenie w suchym zagęszczonym wypełniaczu według PN-EN 1097-4 [13], wymagana kategoria:</w:t>
            </w:r>
          </w:p>
        </w:tc>
        <w:tc>
          <w:tcPr>
            <w:tcW w:w="3600" w:type="dxa"/>
            <w:vAlign w:val="center"/>
          </w:tcPr>
          <w:p w14:paraId="186372B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V</w:t>
            </w:r>
            <w:r w:rsidRPr="004853EB">
              <w:rPr>
                <w:rFonts w:eastAsia="Times New Roman" w:cstheme="minorHAnsi"/>
                <w:color w:val="000000"/>
                <w:sz w:val="18"/>
                <w:szCs w:val="18"/>
                <w:vertAlign w:val="subscript"/>
                <w:lang w:eastAsia="pl-PL"/>
              </w:rPr>
              <w:t>28/45</w:t>
            </w:r>
          </w:p>
        </w:tc>
      </w:tr>
      <w:tr w:rsidR="00CC1EF4" w:rsidRPr="004853EB" w14:paraId="741B4226" w14:textId="77777777" w:rsidTr="00E95D02">
        <w:tc>
          <w:tcPr>
            <w:tcW w:w="708" w:type="dxa"/>
          </w:tcPr>
          <w:p w14:paraId="0DE7DEC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w:t>
            </w:r>
          </w:p>
        </w:tc>
        <w:tc>
          <w:tcPr>
            <w:tcW w:w="4320" w:type="dxa"/>
          </w:tcPr>
          <w:p w14:paraId="135B50A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Przyrost temperatury mięknienia według PN-EN 13179-1 [54], wymagana kategoria:</w:t>
            </w:r>
          </w:p>
        </w:tc>
        <w:tc>
          <w:tcPr>
            <w:tcW w:w="3600" w:type="dxa"/>
            <w:vAlign w:val="center"/>
          </w:tcPr>
          <w:p w14:paraId="31325CB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sym w:font="Symbol" w:char="F044"/>
            </w:r>
            <w:r w:rsidRPr="004853EB">
              <w:rPr>
                <w:rFonts w:eastAsia="Times New Roman" w:cstheme="minorHAnsi"/>
                <w:color w:val="000000"/>
                <w:sz w:val="18"/>
                <w:szCs w:val="18"/>
                <w:vertAlign w:val="subscript"/>
                <w:lang w:eastAsia="pl-PL"/>
              </w:rPr>
              <w:t>R&amp;B</w:t>
            </w:r>
            <w:r w:rsidRPr="004853EB">
              <w:rPr>
                <w:rFonts w:eastAsia="Times New Roman" w:cstheme="minorHAnsi"/>
                <w:color w:val="000000"/>
                <w:sz w:val="18"/>
                <w:szCs w:val="18"/>
                <w:lang w:eastAsia="pl-PL"/>
              </w:rPr>
              <w:t>8/25</w:t>
            </w:r>
          </w:p>
        </w:tc>
      </w:tr>
      <w:tr w:rsidR="00CC1EF4" w:rsidRPr="004853EB" w14:paraId="5EAAE425" w14:textId="77777777" w:rsidTr="00E95D02">
        <w:tc>
          <w:tcPr>
            <w:tcW w:w="708" w:type="dxa"/>
          </w:tcPr>
          <w:p w14:paraId="54C5A71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7</w:t>
            </w:r>
          </w:p>
        </w:tc>
        <w:tc>
          <w:tcPr>
            <w:tcW w:w="4320" w:type="dxa"/>
          </w:tcPr>
          <w:p w14:paraId="3DA6E30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Rozpuszczalność w wodzie według PN-EN 1744-1 [22], kategoria nie wyższa niż:</w:t>
            </w:r>
          </w:p>
        </w:tc>
        <w:tc>
          <w:tcPr>
            <w:tcW w:w="3600" w:type="dxa"/>
            <w:vAlign w:val="center"/>
          </w:tcPr>
          <w:p w14:paraId="465FA78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WS</w:t>
            </w:r>
            <w:r w:rsidRPr="004853EB">
              <w:rPr>
                <w:rFonts w:eastAsia="Times New Roman" w:cstheme="minorHAnsi"/>
                <w:color w:val="000000"/>
                <w:sz w:val="18"/>
                <w:szCs w:val="18"/>
                <w:vertAlign w:val="subscript"/>
                <w:lang w:eastAsia="pl-PL"/>
              </w:rPr>
              <w:t>10</w:t>
            </w:r>
          </w:p>
        </w:tc>
      </w:tr>
      <w:tr w:rsidR="00CC1EF4" w:rsidRPr="004853EB" w14:paraId="424612CD" w14:textId="77777777" w:rsidTr="00E95D02">
        <w:tc>
          <w:tcPr>
            <w:tcW w:w="708" w:type="dxa"/>
          </w:tcPr>
          <w:p w14:paraId="5CFF542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w:t>
            </w:r>
          </w:p>
        </w:tc>
        <w:tc>
          <w:tcPr>
            <w:tcW w:w="4320" w:type="dxa"/>
          </w:tcPr>
          <w:p w14:paraId="4A4D426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Zawartość CaCO</w:t>
            </w:r>
            <w:r w:rsidRPr="004853EB">
              <w:rPr>
                <w:rFonts w:eastAsia="Times New Roman" w:cstheme="minorHAnsi"/>
                <w:color w:val="000000"/>
                <w:sz w:val="18"/>
                <w:szCs w:val="18"/>
                <w:vertAlign w:val="subscript"/>
                <w:lang w:eastAsia="pl-PL"/>
              </w:rPr>
              <w:t>3</w:t>
            </w:r>
            <w:r w:rsidRPr="004853EB">
              <w:rPr>
                <w:rFonts w:eastAsia="Times New Roman" w:cstheme="minorHAnsi"/>
                <w:color w:val="000000"/>
                <w:sz w:val="18"/>
                <w:szCs w:val="18"/>
                <w:lang w:eastAsia="pl-PL"/>
              </w:rPr>
              <w:t xml:space="preserve"> w wypełniaczu wapiennym według PN-EN 196-2 [2], kategoria nie niższa niż:</w:t>
            </w:r>
          </w:p>
        </w:tc>
        <w:tc>
          <w:tcPr>
            <w:tcW w:w="3600" w:type="dxa"/>
            <w:vAlign w:val="center"/>
          </w:tcPr>
          <w:p w14:paraId="10F92D2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CC</w:t>
            </w:r>
            <w:r w:rsidRPr="004853EB">
              <w:rPr>
                <w:rFonts w:eastAsia="Times New Roman" w:cstheme="minorHAnsi"/>
                <w:color w:val="000000"/>
                <w:sz w:val="18"/>
                <w:szCs w:val="18"/>
                <w:vertAlign w:val="subscript"/>
                <w:lang w:eastAsia="pl-PL"/>
              </w:rPr>
              <w:t>70</w:t>
            </w:r>
          </w:p>
        </w:tc>
      </w:tr>
      <w:tr w:rsidR="00CC1EF4" w:rsidRPr="004853EB" w14:paraId="2C8897B5" w14:textId="77777777" w:rsidTr="00E95D02">
        <w:tc>
          <w:tcPr>
            <w:tcW w:w="708" w:type="dxa"/>
          </w:tcPr>
          <w:p w14:paraId="154C0FF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9</w:t>
            </w:r>
          </w:p>
        </w:tc>
        <w:tc>
          <w:tcPr>
            <w:tcW w:w="4320" w:type="dxa"/>
          </w:tcPr>
          <w:p w14:paraId="220CB01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Zawartość wodorotlenku wapnia w wypełniaczu mieszanym wg PN-EN 459-2 [3], wymagana kategoria:</w:t>
            </w:r>
          </w:p>
        </w:tc>
        <w:tc>
          <w:tcPr>
            <w:tcW w:w="3600" w:type="dxa"/>
            <w:vAlign w:val="center"/>
          </w:tcPr>
          <w:p w14:paraId="5BCB97B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K</w:t>
            </w:r>
            <w:r w:rsidRPr="004853EB">
              <w:rPr>
                <w:rFonts w:eastAsia="Times New Roman" w:cstheme="minorHAnsi"/>
                <w:color w:val="000000"/>
                <w:sz w:val="18"/>
                <w:szCs w:val="18"/>
                <w:vertAlign w:val="subscript"/>
                <w:lang w:eastAsia="pl-PL"/>
              </w:rPr>
              <w:t>a</w:t>
            </w:r>
            <w:r w:rsidRPr="004853EB">
              <w:rPr>
                <w:rFonts w:eastAsia="Times New Roman" w:cstheme="minorHAnsi"/>
                <w:color w:val="000000"/>
                <w:sz w:val="18"/>
                <w:szCs w:val="18"/>
                <w:lang w:eastAsia="pl-PL"/>
              </w:rPr>
              <w:t>20</w:t>
            </w:r>
          </w:p>
        </w:tc>
      </w:tr>
      <w:tr w:rsidR="00CC1EF4" w:rsidRPr="004853EB" w14:paraId="2CD0BBA8" w14:textId="77777777" w:rsidTr="00E95D02">
        <w:tc>
          <w:tcPr>
            <w:tcW w:w="708" w:type="dxa"/>
          </w:tcPr>
          <w:p w14:paraId="0F30CC2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10</w:t>
            </w:r>
          </w:p>
        </w:tc>
        <w:tc>
          <w:tcPr>
            <w:tcW w:w="4320" w:type="dxa"/>
          </w:tcPr>
          <w:p w14:paraId="5E13CB8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„Liczba asfaltowa” według PN-EN 13179-2 [55], wymagana kategoria:</w:t>
            </w:r>
          </w:p>
        </w:tc>
        <w:tc>
          <w:tcPr>
            <w:tcW w:w="3600" w:type="dxa"/>
            <w:vAlign w:val="center"/>
          </w:tcPr>
          <w:p w14:paraId="3872F29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BN</w:t>
            </w:r>
            <w:r w:rsidRPr="004853EB">
              <w:rPr>
                <w:rFonts w:eastAsia="Times New Roman" w:cstheme="minorHAnsi"/>
                <w:color w:val="000000"/>
                <w:sz w:val="18"/>
                <w:szCs w:val="18"/>
                <w:vertAlign w:val="subscript"/>
                <w:lang w:eastAsia="pl-PL"/>
              </w:rPr>
              <w:t>Deklarowana</w:t>
            </w:r>
          </w:p>
        </w:tc>
      </w:tr>
    </w:tbl>
    <w:p w14:paraId="5EBBF61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r>
    </w:p>
    <w:p w14:paraId="6BDCDD4B"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132279A4"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2CA13191"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167" w:name="_Toc97034672"/>
      <w:bookmarkStart w:id="3168" w:name="_Toc97035360"/>
      <w:bookmarkStart w:id="3169" w:name="_Toc194476955"/>
      <w:bookmarkStart w:id="3170" w:name="_Toc227825437"/>
      <w:r w:rsidRPr="004853EB">
        <w:rPr>
          <w:rFonts w:eastAsia="Times New Roman" w:cstheme="minorHAnsi"/>
          <w:b/>
          <w:bCs/>
          <w:color w:val="000000"/>
          <w:sz w:val="20"/>
          <w:szCs w:val="20"/>
          <w:lang w:eastAsia="pl-PL"/>
        </w:rPr>
        <w:t>2.4. Kruszywo do uszorstnienia</w:t>
      </w:r>
      <w:bookmarkEnd w:id="3167"/>
      <w:bookmarkEnd w:id="3168"/>
      <w:bookmarkEnd w:id="3169"/>
      <w:bookmarkEnd w:id="3170"/>
    </w:p>
    <w:p w14:paraId="3EF748DD" w14:textId="0A236576"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W celu zwiększenia współczynnika tarcia wykonanej warstwy ścieralnej, w początkowym okresie jej użytkowania, należy gorącą warstwę posypać kruszywem mineralnym naturalnym lub sztucznym uzyskanym </w:t>
      </w:r>
      <w:r w:rsidRPr="004853EB">
        <w:rPr>
          <w:rFonts w:eastAsia="Times New Roman" w:cstheme="minorHAnsi"/>
          <w:color w:val="000000"/>
          <w:sz w:val="20"/>
          <w:szCs w:val="20"/>
          <w:lang w:eastAsia="pl-PL"/>
        </w:rPr>
        <w:br/>
        <w:t xml:space="preserve">z przekruszenia, o wymiarze 2/4 lub 2/5 </w:t>
      </w:r>
      <w:r w:rsidR="00336D00" w:rsidRPr="004853EB">
        <w:rPr>
          <w:rFonts w:eastAsia="Times New Roman" w:cstheme="minorHAnsi"/>
          <w:color w:val="000000"/>
          <w:sz w:val="20"/>
          <w:szCs w:val="20"/>
          <w:lang w:eastAsia="pl-PL"/>
        </w:rPr>
        <w:t>mm i</w:t>
      </w:r>
      <w:r w:rsidRPr="004853EB">
        <w:rPr>
          <w:rFonts w:eastAsia="Times New Roman" w:cstheme="minorHAnsi"/>
          <w:color w:val="000000"/>
          <w:sz w:val="20"/>
          <w:szCs w:val="20"/>
          <w:lang w:eastAsia="pl-PL"/>
        </w:rPr>
        <w:t xml:space="preserve"> dokładnie przywałować.</w:t>
      </w:r>
    </w:p>
    <w:p w14:paraId="2FB3212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Kruszywa do uszorstnienia o wymiarze 2/4 lub 2/5 mm powinny spełniać wymagania podane w tablicy 10.</w:t>
      </w:r>
    </w:p>
    <w:p w14:paraId="060C7B7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Składowanie kruszywa powinno odpowiadać wymaganiom podanym w pkcie 2.3.</w:t>
      </w:r>
    </w:p>
    <w:p w14:paraId="27EA3078" w14:textId="6B8C174F" w:rsidR="00CC1EF4" w:rsidRPr="004853EB" w:rsidRDefault="00CC1EF4" w:rsidP="00CC1EF4">
      <w:pPr>
        <w:tabs>
          <w:tab w:val="left" w:pos="993"/>
        </w:tabs>
        <w:spacing w:before="120" w:after="120" w:line="240" w:lineRule="auto"/>
        <w:ind w:left="1200" w:hanging="120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Tablica 10. Wymagania dotyczące kruszywa do </w:t>
      </w:r>
      <w:r w:rsidR="00336D00" w:rsidRPr="004853EB">
        <w:rPr>
          <w:rFonts w:eastAsia="Times New Roman" w:cstheme="minorHAnsi"/>
          <w:color w:val="000000"/>
          <w:sz w:val="20"/>
          <w:szCs w:val="20"/>
          <w:lang w:eastAsia="pl-PL"/>
        </w:rPr>
        <w:t>uszorstnienia warstwy</w:t>
      </w:r>
      <w:r w:rsidRPr="004853EB">
        <w:rPr>
          <w:rFonts w:eastAsia="Times New Roman" w:cstheme="minorHAnsi"/>
          <w:color w:val="000000"/>
          <w:sz w:val="20"/>
          <w:szCs w:val="20"/>
          <w:lang w:eastAsia="pl-PL"/>
        </w:rPr>
        <w:t xml:space="preserve"> ścieralnej z betonu asfaltowego [69]</w:t>
      </w:r>
    </w:p>
    <w:tbl>
      <w:tblPr>
        <w:tblW w:w="8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6"/>
        <w:gridCol w:w="2424"/>
      </w:tblGrid>
      <w:tr w:rsidR="00CC1EF4" w:rsidRPr="004853EB" w14:paraId="7D1FDB51" w14:textId="77777777" w:rsidTr="00E95D02">
        <w:tc>
          <w:tcPr>
            <w:tcW w:w="6336" w:type="dxa"/>
            <w:vMerge w:val="restart"/>
            <w:vAlign w:val="center"/>
          </w:tcPr>
          <w:p w14:paraId="5E523F10" w14:textId="77777777" w:rsidR="00CC1EF4" w:rsidRPr="004853EB" w:rsidRDefault="00CC1EF4" w:rsidP="00CC1EF4">
            <w:pPr>
              <w:spacing w:after="12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Właściwości kruszywa</w:t>
            </w:r>
          </w:p>
        </w:tc>
        <w:tc>
          <w:tcPr>
            <w:tcW w:w="2424" w:type="dxa"/>
            <w:vAlign w:val="center"/>
          </w:tcPr>
          <w:p w14:paraId="144A2FFE" w14:textId="77777777" w:rsidR="00CC1EF4" w:rsidRPr="004853EB" w:rsidRDefault="00CC1EF4" w:rsidP="00CC1EF4">
            <w:pPr>
              <w:spacing w:after="12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Wymiar kruszywa</w:t>
            </w:r>
          </w:p>
        </w:tc>
      </w:tr>
      <w:tr w:rsidR="00CC1EF4" w:rsidRPr="004853EB" w14:paraId="71046996" w14:textId="77777777" w:rsidTr="00E95D02">
        <w:tc>
          <w:tcPr>
            <w:tcW w:w="6336" w:type="dxa"/>
            <w:vMerge/>
            <w:vAlign w:val="center"/>
          </w:tcPr>
          <w:p w14:paraId="4A2DAD88" w14:textId="77777777" w:rsidR="00CC1EF4" w:rsidRPr="004853EB" w:rsidRDefault="00CC1EF4" w:rsidP="00CC1EF4">
            <w:pPr>
              <w:spacing w:after="120" w:line="240" w:lineRule="auto"/>
              <w:jc w:val="both"/>
              <w:rPr>
                <w:rFonts w:eastAsia="Times New Roman" w:cstheme="minorHAnsi"/>
                <w:color w:val="000000"/>
                <w:sz w:val="18"/>
                <w:szCs w:val="18"/>
                <w:lang w:eastAsia="pl-PL"/>
              </w:rPr>
            </w:pPr>
          </w:p>
        </w:tc>
        <w:tc>
          <w:tcPr>
            <w:tcW w:w="2424" w:type="dxa"/>
            <w:vAlign w:val="center"/>
          </w:tcPr>
          <w:p w14:paraId="55672507" w14:textId="77777777" w:rsidR="00CC1EF4" w:rsidRPr="004853EB" w:rsidRDefault="00CC1EF4" w:rsidP="00CC1EF4">
            <w:pPr>
              <w:spacing w:after="12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2/4; 2/5</w:t>
            </w:r>
          </w:p>
        </w:tc>
      </w:tr>
      <w:tr w:rsidR="00CC1EF4" w:rsidRPr="004853EB" w14:paraId="2EC081A9" w14:textId="77777777" w:rsidTr="00E95D02">
        <w:tc>
          <w:tcPr>
            <w:tcW w:w="6336" w:type="dxa"/>
          </w:tcPr>
          <w:p w14:paraId="51539CD9"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Uziarnienie wg PN-EN 933-1[5]; kategoria nie niższa niż:</w:t>
            </w:r>
          </w:p>
        </w:tc>
        <w:tc>
          <w:tcPr>
            <w:tcW w:w="2424" w:type="dxa"/>
          </w:tcPr>
          <w:p w14:paraId="0FB50654"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G</w:t>
            </w:r>
            <w:r w:rsidRPr="004853EB">
              <w:rPr>
                <w:rFonts w:eastAsia="Times New Roman" w:cstheme="minorHAnsi"/>
                <w:color w:val="000000"/>
                <w:sz w:val="18"/>
                <w:szCs w:val="18"/>
                <w:vertAlign w:val="subscript"/>
                <w:lang w:eastAsia="pl-PL"/>
              </w:rPr>
              <w:t>c</w:t>
            </w:r>
            <w:r w:rsidRPr="004853EB">
              <w:rPr>
                <w:rFonts w:eastAsia="Times New Roman" w:cstheme="minorHAnsi"/>
                <w:color w:val="000000"/>
                <w:sz w:val="18"/>
                <w:szCs w:val="18"/>
                <w:lang w:eastAsia="pl-PL"/>
              </w:rPr>
              <w:t>90/10</w:t>
            </w:r>
          </w:p>
        </w:tc>
      </w:tr>
      <w:tr w:rsidR="00CC1EF4" w:rsidRPr="004853EB" w14:paraId="157C6DB9" w14:textId="77777777" w:rsidTr="00E95D02">
        <w:tc>
          <w:tcPr>
            <w:tcW w:w="6336" w:type="dxa"/>
          </w:tcPr>
          <w:p w14:paraId="2A3AEC4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Zawartość pyłów wg PN-EN 933-1[5]: kategoria nie niższa niż:</w:t>
            </w:r>
          </w:p>
        </w:tc>
        <w:tc>
          <w:tcPr>
            <w:tcW w:w="2424" w:type="dxa"/>
          </w:tcPr>
          <w:p w14:paraId="3186A533" w14:textId="77777777" w:rsidR="00CC1EF4" w:rsidRPr="004853EB" w:rsidRDefault="00CC1EF4" w:rsidP="00CC1EF4">
            <w:pPr>
              <w:spacing w:before="120" w:after="0" w:line="240" w:lineRule="auto"/>
              <w:jc w:val="both"/>
              <w:rPr>
                <w:rFonts w:eastAsia="Times New Roman" w:cstheme="minorHAnsi"/>
                <w:color w:val="000000"/>
                <w:sz w:val="18"/>
                <w:szCs w:val="18"/>
                <w:vertAlign w:val="subscript"/>
                <w:lang w:eastAsia="pl-PL"/>
              </w:rPr>
            </w:pPr>
            <w:r w:rsidRPr="004853EB">
              <w:rPr>
                <w:rFonts w:eastAsia="Times New Roman" w:cstheme="minorHAnsi"/>
                <w:color w:val="000000"/>
                <w:sz w:val="18"/>
                <w:szCs w:val="18"/>
                <w:lang w:eastAsia="pl-PL"/>
              </w:rPr>
              <w:t>f</w:t>
            </w:r>
            <w:r w:rsidRPr="004853EB">
              <w:rPr>
                <w:rFonts w:eastAsia="Times New Roman" w:cstheme="minorHAnsi"/>
                <w:color w:val="000000"/>
                <w:sz w:val="18"/>
                <w:szCs w:val="18"/>
                <w:vertAlign w:val="subscript"/>
                <w:lang w:eastAsia="pl-PL"/>
              </w:rPr>
              <w:t>0,5</w:t>
            </w:r>
          </w:p>
        </w:tc>
      </w:tr>
      <w:tr w:rsidR="00CC1EF4" w:rsidRPr="004853EB" w14:paraId="6287F3F9" w14:textId="77777777" w:rsidTr="00E95D02">
        <w:tc>
          <w:tcPr>
            <w:tcW w:w="6336" w:type="dxa"/>
          </w:tcPr>
          <w:p w14:paraId="6189FDA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Odporność na polerowanie kruszywa (badana na normowej frakcji) wg PN-EN 1097-8 [17]; kategoria nie niższa niż:</w:t>
            </w:r>
          </w:p>
        </w:tc>
        <w:tc>
          <w:tcPr>
            <w:tcW w:w="2424" w:type="dxa"/>
          </w:tcPr>
          <w:p w14:paraId="05D54A16" w14:textId="77777777" w:rsidR="00CC1EF4" w:rsidRPr="004853EB" w:rsidRDefault="00CC1EF4" w:rsidP="00CC1EF4">
            <w:pPr>
              <w:spacing w:before="120" w:after="0" w:line="240" w:lineRule="auto"/>
              <w:jc w:val="both"/>
              <w:rPr>
                <w:rFonts w:eastAsia="Times New Roman" w:cstheme="minorHAnsi"/>
                <w:color w:val="000000"/>
                <w:sz w:val="18"/>
                <w:szCs w:val="18"/>
                <w:vertAlign w:val="subscript"/>
                <w:lang w:eastAsia="pl-PL"/>
              </w:rPr>
            </w:pPr>
            <w:r w:rsidRPr="004853EB">
              <w:rPr>
                <w:rFonts w:eastAsia="Times New Roman" w:cstheme="minorHAnsi"/>
                <w:color w:val="000000"/>
                <w:sz w:val="18"/>
                <w:szCs w:val="18"/>
                <w:lang w:eastAsia="pl-PL"/>
              </w:rPr>
              <w:t>PSV</w:t>
            </w:r>
            <w:r w:rsidRPr="004853EB">
              <w:rPr>
                <w:rFonts w:eastAsia="Times New Roman" w:cstheme="minorHAnsi"/>
                <w:color w:val="000000"/>
                <w:sz w:val="18"/>
                <w:szCs w:val="18"/>
                <w:vertAlign w:val="subscript"/>
                <w:lang w:eastAsia="pl-PL"/>
              </w:rPr>
              <w:t>50</w:t>
            </w:r>
          </w:p>
        </w:tc>
      </w:tr>
      <w:tr w:rsidR="00CC1EF4" w:rsidRPr="004853EB" w14:paraId="0F83C508" w14:textId="77777777" w:rsidTr="00E95D02">
        <w:tc>
          <w:tcPr>
            <w:tcW w:w="6336" w:type="dxa"/>
          </w:tcPr>
          <w:p w14:paraId="14A78A5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Gęstość ziaren wg PN-EN 1097-6 [15]; rozdz.7, 8 lub 9:</w:t>
            </w:r>
          </w:p>
        </w:tc>
        <w:tc>
          <w:tcPr>
            <w:tcW w:w="2424" w:type="dxa"/>
          </w:tcPr>
          <w:p w14:paraId="7A72571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Deklarowana przez producenta</w:t>
            </w:r>
          </w:p>
        </w:tc>
      </w:tr>
      <w:tr w:rsidR="00CC1EF4" w:rsidRPr="004853EB" w14:paraId="24ED5D02" w14:textId="77777777" w:rsidTr="00E95D02">
        <w:tc>
          <w:tcPr>
            <w:tcW w:w="6336" w:type="dxa"/>
          </w:tcPr>
          <w:p w14:paraId="4D2A75E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Grube zanieczyszczenia lekkie wg PN-EN 1744-1 [22] p. 14.2; kategoria nie niższa niż:</w:t>
            </w:r>
          </w:p>
        </w:tc>
        <w:tc>
          <w:tcPr>
            <w:tcW w:w="2424" w:type="dxa"/>
          </w:tcPr>
          <w:p w14:paraId="70F93EDB"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w:t>
            </w:r>
            <w:r w:rsidRPr="004853EB">
              <w:rPr>
                <w:rFonts w:eastAsia="Times New Roman" w:cstheme="minorHAnsi"/>
                <w:color w:val="000000"/>
                <w:sz w:val="18"/>
                <w:szCs w:val="18"/>
                <w:vertAlign w:val="subscript"/>
                <w:lang w:eastAsia="pl-PL"/>
              </w:rPr>
              <w:t>LPC</w:t>
            </w:r>
            <w:r w:rsidRPr="004853EB">
              <w:rPr>
                <w:rFonts w:eastAsia="Times New Roman" w:cstheme="minorHAnsi"/>
                <w:color w:val="000000"/>
                <w:sz w:val="18"/>
                <w:szCs w:val="18"/>
                <w:lang w:eastAsia="pl-PL"/>
              </w:rPr>
              <w:t>0,1</w:t>
            </w:r>
          </w:p>
        </w:tc>
      </w:tr>
    </w:tbl>
    <w:p w14:paraId="4115DC89" w14:textId="77777777" w:rsidR="00CC1EF4" w:rsidRPr="004853EB" w:rsidRDefault="00CC1EF4" w:rsidP="00CC1EF4">
      <w:pPr>
        <w:keepNext/>
        <w:spacing w:before="240" w:after="0" w:line="240" w:lineRule="auto"/>
        <w:jc w:val="both"/>
        <w:outlineLvl w:val="1"/>
        <w:rPr>
          <w:rFonts w:eastAsia="Times New Roman" w:cstheme="minorHAnsi"/>
          <w:b/>
          <w:bCs/>
          <w:color w:val="000000"/>
          <w:sz w:val="20"/>
          <w:szCs w:val="20"/>
          <w:lang w:eastAsia="pl-PL"/>
        </w:rPr>
      </w:pPr>
      <w:bookmarkStart w:id="3171" w:name="_Toc97034673"/>
      <w:bookmarkStart w:id="3172" w:name="_Toc97035361"/>
      <w:bookmarkStart w:id="3173" w:name="_Toc194476956"/>
      <w:bookmarkStart w:id="3174" w:name="_Toc227825438"/>
      <w:r w:rsidRPr="004853EB">
        <w:rPr>
          <w:rFonts w:eastAsia="Times New Roman" w:cstheme="minorHAnsi"/>
          <w:b/>
          <w:bCs/>
          <w:color w:val="000000"/>
          <w:sz w:val="20"/>
          <w:szCs w:val="20"/>
          <w:lang w:eastAsia="pl-PL"/>
        </w:rPr>
        <w:t>2.5. Środek adhezyjny</w:t>
      </w:r>
      <w:bookmarkEnd w:id="3171"/>
      <w:bookmarkEnd w:id="3172"/>
      <w:bookmarkEnd w:id="3173"/>
      <w:bookmarkEnd w:id="3174"/>
    </w:p>
    <w:p w14:paraId="7EBA403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[36] wynosiła co najmniej 80%.</w:t>
      </w:r>
    </w:p>
    <w:p w14:paraId="4A3DA27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Środek adhezyjny powinien odpowiadać wymaganiom określonym przez producenta.</w:t>
      </w:r>
    </w:p>
    <w:p w14:paraId="398F9E0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Składowanie środka adhezyjnego jest dozwolone tylko w oryginalnych opakowaniach, w warunkach określonych przez producenta.</w:t>
      </w:r>
    </w:p>
    <w:p w14:paraId="55AD6B39"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78F741E5"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175" w:name="_Toc97034674"/>
      <w:bookmarkStart w:id="3176" w:name="_Toc97035362"/>
      <w:bookmarkStart w:id="3177" w:name="_Toc194476957"/>
      <w:bookmarkStart w:id="3178" w:name="_Toc227825439"/>
      <w:r w:rsidRPr="004853EB">
        <w:rPr>
          <w:rFonts w:eastAsia="Times New Roman" w:cstheme="minorHAnsi"/>
          <w:b/>
          <w:bCs/>
          <w:color w:val="000000"/>
          <w:sz w:val="20"/>
          <w:szCs w:val="20"/>
          <w:lang w:eastAsia="pl-PL"/>
        </w:rPr>
        <w:t>2.6. Materiały do uszczelnienia połączeń i krawędzi</w:t>
      </w:r>
      <w:bookmarkEnd w:id="3175"/>
      <w:bookmarkEnd w:id="3176"/>
      <w:bookmarkEnd w:id="3177"/>
      <w:bookmarkEnd w:id="3178"/>
    </w:p>
    <w:p w14:paraId="40A7E66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14:paraId="043DD835" w14:textId="77777777" w:rsidR="00CC1EF4" w:rsidRPr="004853EB" w:rsidRDefault="00CC1EF4">
      <w:pPr>
        <w:numPr>
          <w:ilvl w:val="0"/>
          <w:numId w:val="8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materiały termoplastyczne, jak taśmy asfaltowe, pasty itp. według norm lub aprobat technicznych,</w:t>
      </w:r>
    </w:p>
    <w:p w14:paraId="539C08DF" w14:textId="77777777" w:rsidR="00CC1EF4" w:rsidRPr="004853EB" w:rsidRDefault="00CC1EF4">
      <w:pPr>
        <w:numPr>
          <w:ilvl w:val="0"/>
          <w:numId w:val="8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emulsję asfaltową według PN-EN 13808 [62] lub inne lepiszcza według norm lub aprobat technicznych.  </w:t>
      </w:r>
    </w:p>
    <w:p w14:paraId="240D45E1" w14:textId="77777777" w:rsidR="00CC1EF4" w:rsidRPr="004853EB" w:rsidRDefault="00CC1EF4">
      <w:pPr>
        <w:numPr>
          <w:ilvl w:val="0"/>
          <w:numId w:val="8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 drogowy wg PN-EN 12591 [23].</w:t>
      </w:r>
    </w:p>
    <w:p w14:paraId="2C3E8DAD" w14:textId="77777777" w:rsidR="00CC1EF4" w:rsidRPr="004853EB" w:rsidRDefault="00CC1EF4" w:rsidP="00CC1EF4">
      <w:pPr>
        <w:spacing w:after="0" w:line="240" w:lineRule="auto"/>
        <w:ind w:left="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Grubość materiału termoplastycznego do spoiny powinna wynosić:</w:t>
      </w:r>
    </w:p>
    <w:p w14:paraId="76CDDD84" w14:textId="77777777" w:rsidR="00CC1EF4" w:rsidRPr="004853EB" w:rsidRDefault="00CC1EF4">
      <w:pPr>
        <w:numPr>
          <w:ilvl w:val="1"/>
          <w:numId w:val="89"/>
        </w:numPr>
        <w:tabs>
          <w:tab w:val="num" w:pos="284"/>
        </w:tabs>
        <w:overflowPunct w:val="0"/>
        <w:autoSpaceDE w:val="0"/>
        <w:autoSpaceDN w:val="0"/>
        <w:adjustRightInd w:val="0"/>
        <w:spacing w:after="0" w:line="240" w:lineRule="auto"/>
        <w:ind w:left="284" w:hanging="284"/>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nie mniej niż 10 mm przy grubości warstwy technologicznej do 2,5 cm,</w:t>
      </w:r>
    </w:p>
    <w:p w14:paraId="52B80F95" w14:textId="77777777" w:rsidR="00CC1EF4" w:rsidRPr="004853EB" w:rsidRDefault="00CC1EF4">
      <w:pPr>
        <w:numPr>
          <w:ilvl w:val="1"/>
          <w:numId w:val="89"/>
        </w:numPr>
        <w:tabs>
          <w:tab w:val="num" w:pos="284"/>
        </w:tabs>
        <w:overflowPunct w:val="0"/>
        <w:autoSpaceDE w:val="0"/>
        <w:autoSpaceDN w:val="0"/>
        <w:adjustRightInd w:val="0"/>
        <w:spacing w:after="0" w:line="240" w:lineRule="auto"/>
        <w:ind w:left="284" w:hanging="284"/>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nie mniej niż 15 mm przy grubości warstwy technologicznej większej niż 2,5 cm.</w:t>
      </w:r>
    </w:p>
    <w:p w14:paraId="7A3AA011"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Składowanie materiałów termoplastycznych jest dozwolone tylko w oryginalnych opakowaniach producenta, w warunkach określonych w aprobacie technicznej.</w:t>
      </w:r>
    </w:p>
    <w:p w14:paraId="361B9D52"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Do uszczelnienia krawędzi należy stosować asfalt drogowy wg PN-EN 12591 [23]. Dopuszcza się inne rodzaje lepiszcza wg norm lub aprobat technicznych.</w:t>
      </w:r>
    </w:p>
    <w:p w14:paraId="5C6F110E"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2BEE1DC1"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179" w:name="_Toc97034675"/>
      <w:bookmarkStart w:id="3180" w:name="_Toc97035363"/>
      <w:bookmarkStart w:id="3181" w:name="_Toc194476958"/>
      <w:bookmarkStart w:id="3182" w:name="_Toc227825440"/>
      <w:r w:rsidRPr="004853EB">
        <w:rPr>
          <w:rFonts w:eastAsia="Times New Roman" w:cstheme="minorHAnsi"/>
          <w:b/>
          <w:bCs/>
          <w:color w:val="000000"/>
          <w:sz w:val="20"/>
          <w:szCs w:val="20"/>
          <w:lang w:eastAsia="pl-PL"/>
        </w:rPr>
        <w:t>2.7. Materiały do złączenia warstw konstrukcji</w:t>
      </w:r>
      <w:bookmarkEnd w:id="3179"/>
      <w:bookmarkEnd w:id="3180"/>
      <w:bookmarkEnd w:id="3181"/>
      <w:bookmarkEnd w:id="3182"/>
    </w:p>
    <w:p w14:paraId="68F83C85" w14:textId="279C5791" w:rsidR="00CC1EF4" w:rsidRPr="004853EB" w:rsidRDefault="00CC1EF4" w:rsidP="00CC1EF4">
      <w:pPr>
        <w:tabs>
          <w:tab w:val="left" w:pos="-2694"/>
        </w:tabs>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Do złączania warstw konstrukcji nawierzchni (warstwa wiążąca z warstwą ścieralną) należy </w:t>
      </w:r>
      <w:r w:rsidR="00336D00" w:rsidRPr="004853EB">
        <w:rPr>
          <w:rFonts w:eastAsia="Times New Roman" w:cstheme="minorHAnsi"/>
          <w:color w:val="000000"/>
          <w:sz w:val="20"/>
          <w:szCs w:val="20"/>
          <w:lang w:eastAsia="pl-PL"/>
        </w:rPr>
        <w:t>stosować kationowe</w:t>
      </w:r>
      <w:r w:rsidRPr="004853EB">
        <w:rPr>
          <w:rFonts w:eastAsia="Times New Roman" w:cstheme="minorHAnsi"/>
          <w:color w:val="000000"/>
          <w:sz w:val="20"/>
          <w:szCs w:val="20"/>
          <w:lang w:eastAsia="pl-PL"/>
        </w:rPr>
        <w:t xml:space="preserve"> emulsje asfaltowe według PN-EN 13808 [62].</w:t>
      </w:r>
    </w:p>
    <w:p w14:paraId="1636982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Właściwości i przeznaczenie emulsji asfaltowych oraz sposób ich składowania opisano w OST </w:t>
      </w:r>
      <w:r w:rsidRPr="004853EB">
        <w:rPr>
          <w:rFonts w:eastAsia="Times New Roman" w:cstheme="minorHAnsi"/>
          <w:color w:val="000000"/>
          <w:sz w:val="20"/>
          <w:szCs w:val="20"/>
          <w:lang w:eastAsia="pl-PL"/>
        </w:rPr>
        <w:br/>
        <w:t xml:space="preserve">D-04.03.01a [1a]. </w:t>
      </w:r>
    </w:p>
    <w:p w14:paraId="4776ED59"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387C547C"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183" w:name="_Toc97034676"/>
      <w:bookmarkStart w:id="3184" w:name="_Toc97035364"/>
      <w:bookmarkStart w:id="3185" w:name="_Toc194476959"/>
      <w:bookmarkStart w:id="3186" w:name="_Toc227825441"/>
      <w:r w:rsidRPr="004853EB">
        <w:rPr>
          <w:rFonts w:eastAsia="Times New Roman" w:cstheme="minorHAnsi"/>
          <w:b/>
          <w:bCs/>
          <w:color w:val="000000"/>
          <w:sz w:val="20"/>
          <w:szCs w:val="20"/>
          <w:lang w:eastAsia="pl-PL"/>
        </w:rPr>
        <w:t>2.8. Dodatki do mieszanki mineralno-asfaltowej</w:t>
      </w:r>
      <w:bookmarkEnd w:id="3183"/>
      <w:bookmarkEnd w:id="3184"/>
      <w:bookmarkEnd w:id="3185"/>
      <w:bookmarkEnd w:id="3186"/>
    </w:p>
    <w:p w14:paraId="14C1FB22" w14:textId="77777777" w:rsidR="00CC1EF4" w:rsidRPr="004853EB" w:rsidRDefault="00CC1EF4" w:rsidP="00CC1EF4">
      <w:pPr>
        <w:widowControl w:val="0"/>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Mogą być stosowane dodatki stabilizujące lub modyfikujące. Pochodzenie, rodzaj i właściwości dodatków powinny być deklarowane. </w:t>
      </w:r>
    </w:p>
    <w:p w14:paraId="70CBF1E8" w14:textId="77777777" w:rsidR="00CC1EF4" w:rsidRPr="004853EB" w:rsidRDefault="00CC1EF4" w:rsidP="00CC1EF4">
      <w:pPr>
        <w:widowControl w:val="0"/>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Należy używać tylko materiałów składowych o ustalonej przydatności. Ustalenie przydatności powinno wynikać co najmniej jednego z następujących dokumentów:</w:t>
      </w:r>
    </w:p>
    <w:p w14:paraId="5B0C5813" w14:textId="77777777" w:rsidR="00CC1EF4" w:rsidRPr="004853EB" w:rsidRDefault="00CC1EF4">
      <w:pPr>
        <w:widowControl w:val="0"/>
        <w:numPr>
          <w:ilvl w:val="0"/>
          <w:numId w:val="107"/>
        </w:numPr>
        <w:overflowPunct w:val="0"/>
        <w:autoSpaceDE w:val="0"/>
        <w:autoSpaceDN w:val="0"/>
        <w:adjustRightInd w:val="0"/>
        <w:spacing w:after="0" w:line="240" w:lineRule="auto"/>
        <w:ind w:left="426" w:right="-57"/>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Normy Europejskiej,</w:t>
      </w:r>
    </w:p>
    <w:p w14:paraId="039BC86B" w14:textId="77777777" w:rsidR="00CC1EF4" w:rsidRPr="004853EB" w:rsidRDefault="00CC1EF4">
      <w:pPr>
        <w:widowControl w:val="0"/>
        <w:numPr>
          <w:ilvl w:val="0"/>
          <w:numId w:val="107"/>
        </w:numPr>
        <w:overflowPunct w:val="0"/>
        <w:autoSpaceDE w:val="0"/>
        <w:autoSpaceDN w:val="0"/>
        <w:adjustRightInd w:val="0"/>
        <w:spacing w:after="0" w:line="240" w:lineRule="auto"/>
        <w:ind w:left="426" w:right="-57"/>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europejskiej aprobaty technicznej,</w:t>
      </w:r>
    </w:p>
    <w:p w14:paraId="0A64597C" w14:textId="77777777" w:rsidR="00CC1EF4" w:rsidRPr="004853EB" w:rsidRDefault="00CC1EF4">
      <w:pPr>
        <w:widowControl w:val="0"/>
        <w:numPr>
          <w:ilvl w:val="0"/>
          <w:numId w:val="107"/>
        </w:numPr>
        <w:overflowPunct w:val="0"/>
        <w:autoSpaceDE w:val="0"/>
        <w:autoSpaceDN w:val="0"/>
        <w:adjustRightInd w:val="0"/>
        <w:spacing w:after="0" w:line="240" w:lineRule="auto"/>
        <w:ind w:left="426" w:right="-57"/>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specyfikacji materiałowych opartych na potwierdzonych pozytywnych zastosowaniach w nawierzchniach asfaltowych. Wykaz należy dostarczyć w celu udowodnienia przydatności. Wykaz może być oparty na badaniach w połączeniu z dowodami w praktyce.</w:t>
      </w:r>
    </w:p>
    <w:p w14:paraId="46C9AEC2" w14:textId="77777777" w:rsidR="00CC1EF4" w:rsidRPr="004853EB" w:rsidRDefault="00CC1EF4" w:rsidP="00CC1EF4">
      <w:pPr>
        <w:widowControl w:val="0"/>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Zaleca się stosowanie do mieszanki mineralno-asfaltowej środka obniżającego temperaturę produkcji </w:t>
      </w:r>
      <w:r w:rsidRPr="004853EB">
        <w:rPr>
          <w:rFonts w:eastAsia="Times New Roman" w:cstheme="minorHAnsi"/>
          <w:color w:val="000000"/>
          <w:sz w:val="20"/>
          <w:szCs w:val="20"/>
          <w:lang w:eastAsia="pl-PL"/>
        </w:rPr>
        <w:br/>
        <w:t xml:space="preserve">i układania. </w:t>
      </w:r>
    </w:p>
    <w:p w14:paraId="4242119B" w14:textId="04DACCB4" w:rsidR="00CC1EF4" w:rsidRPr="004853EB" w:rsidRDefault="00CC1EF4" w:rsidP="00CC1EF4">
      <w:pPr>
        <w:widowControl w:val="0"/>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Do mieszanki mineralno-</w:t>
      </w:r>
      <w:r w:rsidR="00336D00" w:rsidRPr="004853EB">
        <w:rPr>
          <w:rFonts w:eastAsia="Times New Roman" w:cstheme="minorHAnsi"/>
          <w:color w:val="000000"/>
          <w:sz w:val="20"/>
          <w:szCs w:val="20"/>
          <w:lang w:eastAsia="pl-PL"/>
        </w:rPr>
        <w:t>asfaltowej może</w:t>
      </w:r>
      <w:r w:rsidRPr="004853EB">
        <w:rPr>
          <w:rFonts w:eastAsia="Times New Roman" w:cstheme="minorHAnsi"/>
          <w:color w:val="000000"/>
          <w:sz w:val="20"/>
          <w:szCs w:val="20"/>
          <w:lang w:eastAsia="pl-PL"/>
        </w:rPr>
        <w:t xml:space="preserve"> być stosowany dodatek asfaltu naturalnego wg PN-EN 13108-4 [51], załącznik B. </w:t>
      </w:r>
    </w:p>
    <w:p w14:paraId="7BAA4BEF"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4F300DDA"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187" w:name="_Toc97034677"/>
      <w:bookmarkStart w:id="3188" w:name="_Toc97035365"/>
      <w:bookmarkStart w:id="3189" w:name="_Toc194476960"/>
      <w:bookmarkStart w:id="3190" w:name="_Toc227825442"/>
      <w:r w:rsidRPr="004853EB">
        <w:rPr>
          <w:rFonts w:eastAsia="Times New Roman" w:cstheme="minorHAnsi"/>
          <w:b/>
          <w:bCs/>
          <w:color w:val="000000"/>
          <w:sz w:val="20"/>
          <w:szCs w:val="20"/>
          <w:lang w:eastAsia="pl-PL"/>
        </w:rPr>
        <w:t>2.9. Skład mieszanki mineralno-asfaltowej</w:t>
      </w:r>
      <w:bookmarkEnd w:id="3187"/>
      <w:bookmarkEnd w:id="3188"/>
      <w:bookmarkEnd w:id="3189"/>
      <w:bookmarkEnd w:id="3190"/>
    </w:p>
    <w:p w14:paraId="0190521F"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Skład mieszanki mineralno-asfaltowej powinien być ustalony na podstawie badań próbek wykonanych zgodnie z normą PN-EN 13108-20 [52] załącznik C oraz normami powiązanymi. Próbki powinny spełniać wymagania podane w tablicy 14 w zależności od kategorii ruchu, jak i zawartości asfaltu B</w:t>
      </w:r>
      <w:r w:rsidRPr="004853EB">
        <w:rPr>
          <w:rFonts w:eastAsia="Times New Roman" w:cstheme="minorHAnsi"/>
          <w:color w:val="000000"/>
          <w:sz w:val="20"/>
          <w:szCs w:val="20"/>
          <w:vertAlign w:val="subscript"/>
          <w:lang w:eastAsia="pl-PL"/>
        </w:rPr>
        <w:t>min</w:t>
      </w:r>
      <w:r w:rsidRPr="004853EB">
        <w:rPr>
          <w:rFonts w:eastAsia="Times New Roman" w:cstheme="minorHAnsi"/>
          <w:color w:val="000000"/>
          <w:sz w:val="20"/>
          <w:szCs w:val="20"/>
          <w:lang w:eastAsia="pl-PL"/>
        </w:rPr>
        <w:t xml:space="preserve"> i temperatur zagęszczania próbek.</w:t>
      </w:r>
    </w:p>
    <w:p w14:paraId="18AB0E49"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Uziarnienie mieszanki mineralnej oraz minimalna zawartość lepiszcza podane są w tablicy 12.</w:t>
      </w:r>
    </w:p>
    <w:p w14:paraId="754FC1A3" w14:textId="77777777" w:rsidR="00CC1EF4" w:rsidRPr="004853EB" w:rsidRDefault="00CC1EF4" w:rsidP="00CC1EF4">
      <w:pPr>
        <w:spacing w:before="240" w:after="120" w:line="240" w:lineRule="auto"/>
        <w:ind w:left="1440" w:hanging="144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Tablica 12. Uziarnienie mieszanki mineralnej oraz zawartość lepiszcza do betonu asfaltowego do warstwy ścieralnej dla ruchu KR3-KR6 [70]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8"/>
        <w:gridCol w:w="1080"/>
        <w:gridCol w:w="960"/>
        <w:gridCol w:w="1080"/>
        <w:gridCol w:w="1103"/>
      </w:tblGrid>
      <w:tr w:rsidR="00CC1EF4" w:rsidRPr="004853EB" w14:paraId="1AD9F86B" w14:textId="77777777" w:rsidTr="00E95D02">
        <w:tc>
          <w:tcPr>
            <w:tcW w:w="3588" w:type="dxa"/>
            <w:tcBorders>
              <w:bottom w:val="nil"/>
            </w:tcBorders>
          </w:tcPr>
          <w:p w14:paraId="0FC47B9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Właściwość</w:t>
            </w:r>
          </w:p>
        </w:tc>
        <w:tc>
          <w:tcPr>
            <w:tcW w:w="4223" w:type="dxa"/>
            <w:gridSpan w:val="4"/>
          </w:tcPr>
          <w:p w14:paraId="7FC7461E" w14:textId="4C0C1169" w:rsidR="00CC1EF4" w:rsidRPr="004853EB" w:rsidRDefault="00336D00"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Przesiew, [</w:t>
            </w:r>
            <w:r w:rsidR="00CC1EF4" w:rsidRPr="004853EB">
              <w:rPr>
                <w:rFonts w:eastAsia="Times New Roman" w:cstheme="minorHAnsi"/>
                <w:color w:val="000000"/>
                <w:sz w:val="18"/>
                <w:szCs w:val="18"/>
                <w:lang w:eastAsia="pl-PL"/>
              </w:rPr>
              <w:t>% (m/m)]</w:t>
            </w:r>
          </w:p>
        </w:tc>
      </w:tr>
      <w:tr w:rsidR="00CC1EF4" w:rsidRPr="004853EB" w14:paraId="4A5C000C" w14:textId="77777777" w:rsidTr="00E95D02">
        <w:tc>
          <w:tcPr>
            <w:tcW w:w="3588" w:type="dxa"/>
            <w:tcBorders>
              <w:top w:val="nil"/>
            </w:tcBorders>
          </w:tcPr>
          <w:p w14:paraId="371BDCBD"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2040" w:type="dxa"/>
            <w:gridSpan w:val="2"/>
          </w:tcPr>
          <w:p w14:paraId="42F01D8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AC8S</w:t>
            </w:r>
          </w:p>
        </w:tc>
        <w:tc>
          <w:tcPr>
            <w:tcW w:w="2183" w:type="dxa"/>
            <w:gridSpan w:val="2"/>
          </w:tcPr>
          <w:p w14:paraId="10A94F8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AC11S</w:t>
            </w:r>
          </w:p>
        </w:tc>
      </w:tr>
      <w:tr w:rsidR="00CC1EF4" w:rsidRPr="004853EB" w14:paraId="6ECCBB44" w14:textId="77777777" w:rsidTr="00E95D02">
        <w:tc>
          <w:tcPr>
            <w:tcW w:w="3588" w:type="dxa"/>
          </w:tcPr>
          <w:p w14:paraId="467AB3A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Wymiar sita #, [mm]</w:t>
            </w:r>
          </w:p>
        </w:tc>
        <w:tc>
          <w:tcPr>
            <w:tcW w:w="1080" w:type="dxa"/>
          </w:tcPr>
          <w:p w14:paraId="6C4C2CE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w:t>
            </w:r>
          </w:p>
        </w:tc>
        <w:tc>
          <w:tcPr>
            <w:tcW w:w="960" w:type="dxa"/>
          </w:tcPr>
          <w:p w14:paraId="4164263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do</w:t>
            </w:r>
          </w:p>
        </w:tc>
        <w:tc>
          <w:tcPr>
            <w:tcW w:w="1080" w:type="dxa"/>
          </w:tcPr>
          <w:p w14:paraId="3A1BB72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w:t>
            </w:r>
          </w:p>
        </w:tc>
        <w:tc>
          <w:tcPr>
            <w:tcW w:w="1103" w:type="dxa"/>
          </w:tcPr>
          <w:p w14:paraId="544ED1A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do</w:t>
            </w:r>
          </w:p>
        </w:tc>
      </w:tr>
      <w:tr w:rsidR="00CC1EF4" w:rsidRPr="004853EB" w14:paraId="7206335D" w14:textId="77777777" w:rsidTr="00E95D02">
        <w:tc>
          <w:tcPr>
            <w:tcW w:w="3588" w:type="dxa"/>
          </w:tcPr>
          <w:p w14:paraId="3F391F3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16</w:t>
            </w:r>
          </w:p>
        </w:tc>
        <w:tc>
          <w:tcPr>
            <w:tcW w:w="1080" w:type="dxa"/>
          </w:tcPr>
          <w:p w14:paraId="0D6FFA4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t>
            </w:r>
          </w:p>
        </w:tc>
        <w:tc>
          <w:tcPr>
            <w:tcW w:w="960" w:type="dxa"/>
          </w:tcPr>
          <w:p w14:paraId="1BE0E8C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t>
            </w:r>
          </w:p>
        </w:tc>
        <w:tc>
          <w:tcPr>
            <w:tcW w:w="1080" w:type="dxa"/>
          </w:tcPr>
          <w:p w14:paraId="1E4E1D1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100</w:t>
            </w:r>
          </w:p>
        </w:tc>
        <w:tc>
          <w:tcPr>
            <w:tcW w:w="1103" w:type="dxa"/>
          </w:tcPr>
          <w:p w14:paraId="35BEC13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t>
            </w:r>
          </w:p>
        </w:tc>
      </w:tr>
      <w:tr w:rsidR="00CC1EF4" w:rsidRPr="004853EB" w14:paraId="0896BCFC" w14:textId="77777777" w:rsidTr="00E95D02">
        <w:tc>
          <w:tcPr>
            <w:tcW w:w="3588" w:type="dxa"/>
          </w:tcPr>
          <w:p w14:paraId="72ED6A5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11,2</w:t>
            </w:r>
          </w:p>
        </w:tc>
        <w:tc>
          <w:tcPr>
            <w:tcW w:w="1080" w:type="dxa"/>
          </w:tcPr>
          <w:p w14:paraId="1914CF9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100</w:t>
            </w:r>
          </w:p>
        </w:tc>
        <w:tc>
          <w:tcPr>
            <w:tcW w:w="960" w:type="dxa"/>
          </w:tcPr>
          <w:p w14:paraId="4E6C9AD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t>
            </w:r>
          </w:p>
        </w:tc>
        <w:tc>
          <w:tcPr>
            <w:tcW w:w="1080" w:type="dxa"/>
          </w:tcPr>
          <w:p w14:paraId="377BF7E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90</w:t>
            </w:r>
          </w:p>
        </w:tc>
        <w:tc>
          <w:tcPr>
            <w:tcW w:w="1103" w:type="dxa"/>
          </w:tcPr>
          <w:p w14:paraId="29E31B3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100</w:t>
            </w:r>
          </w:p>
        </w:tc>
      </w:tr>
      <w:tr w:rsidR="00CC1EF4" w:rsidRPr="004853EB" w14:paraId="12198CCA" w14:textId="77777777" w:rsidTr="00E95D02">
        <w:tc>
          <w:tcPr>
            <w:tcW w:w="3588" w:type="dxa"/>
          </w:tcPr>
          <w:p w14:paraId="19DCBA0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w:t>
            </w:r>
          </w:p>
        </w:tc>
        <w:tc>
          <w:tcPr>
            <w:tcW w:w="1080" w:type="dxa"/>
          </w:tcPr>
          <w:p w14:paraId="43D99E5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90</w:t>
            </w:r>
          </w:p>
        </w:tc>
        <w:tc>
          <w:tcPr>
            <w:tcW w:w="960" w:type="dxa"/>
          </w:tcPr>
          <w:p w14:paraId="0E9D77B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100</w:t>
            </w:r>
          </w:p>
        </w:tc>
        <w:tc>
          <w:tcPr>
            <w:tcW w:w="1080" w:type="dxa"/>
          </w:tcPr>
          <w:p w14:paraId="4A06226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60</w:t>
            </w:r>
          </w:p>
        </w:tc>
        <w:tc>
          <w:tcPr>
            <w:tcW w:w="1103" w:type="dxa"/>
          </w:tcPr>
          <w:p w14:paraId="6861FC5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90</w:t>
            </w:r>
          </w:p>
        </w:tc>
      </w:tr>
      <w:tr w:rsidR="00CC1EF4" w:rsidRPr="004853EB" w14:paraId="48FBF725" w14:textId="77777777" w:rsidTr="00E95D02">
        <w:tc>
          <w:tcPr>
            <w:tcW w:w="3588" w:type="dxa"/>
          </w:tcPr>
          <w:p w14:paraId="793AE14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5,6</w:t>
            </w:r>
          </w:p>
        </w:tc>
        <w:tc>
          <w:tcPr>
            <w:tcW w:w="1080" w:type="dxa"/>
          </w:tcPr>
          <w:p w14:paraId="62E1F82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60</w:t>
            </w:r>
          </w:p>
        </w:tc>
        <w:tc>
          <w:tcPr>
            <w:tcW w:w="960" w:type="dxa"/>
          </w:tcPr>
          <w:p w14:paraId="11F8C37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80</w:t>
            </w:r>
          </w:p>
        </w:tc>
        <w:tc>
          <w:tcPr>
            <w:tcW w:w="1080" w:type="dxa"/>
          </w:tcPr>
          <w:p w14:paraId="0F6F458F" w14:textId="77777777" w:rsidR="00CC1EF4" w:rsidRPr="004853EB" w:rsidRDefault="00CC1EF4" w:rsidP="00CC1EF4">
            <w:pPr>
              <w:tabs>
                <w:tab w:val="left" w:pos="285"/>
                <w:tab w:val="center" w:pos="342"/>
              </w:tabs>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b/>
              <w:t>48</w:t>
            </w:r>
          </w:p>
        </w:tc>
        <w:tc>
          <w:tcPr>
            <w:tcW w:w="1103" w:type="dxa"/>
          </w:tcPr>
          <w:p w14:paraId="3ACC419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75</w:t>
            </w:r>
          </w:p>
        </w:tc>
      </w:tr>
      <w:tr w:rsidR="00CC1EF4" w:rsidRPr="004853EB" w14:paraId="161E65D1" w14:textId="77777777" w:rsidTr="00E95D02">
        <w:tc>
          <w:tcPr>
            <w:tcW w:w="3588" w:type="dxa"/>
          </w:tcPr>
          <w:p w14:paraId="05452B6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4,0</w:t>
            </w:r>
          </w:p>
        </w:tc>
        <w:tc>
          <w:tcPr>
            <w:tcW w:w="1080" w:type="dxa"/>
          </w:tcPr>
          <w:p w14:paraId="499DA8B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48</w:t>
            </w:r>
          </w:p>
        </w:tc>
        <w:tc>
          <w:tcPr>
            <w:tcW w:w="960" w:type="dxa"/>
          </w:tcPr>
          <w:p w14:paraId="405D453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60</w:t>
            </w:r>
          </w:p>
        </w:tc>
        <w:tc>
          <w:tcPr>
            <w:tcW w:w="1080" w:type="dxa"/>
          </w:tcPr>
          <w:p w14:paraId="55357B0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42</w:t>
            </w:r>
          </w:p>
        </w:tc>
        <w:tc>
          <w:tcPr>
            <w:tcW w:w="1103" w:type="dxa"/>
          </w:tcPr>
          <w:p w14:paraId="7FBD241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60</w:t>
            </w:r>
          </w:p>
        </w:tc>
      </w:tr>
      <w:tr w:rsidR="00CC1EF4" w:rsidRPr="004853EB" w14:paraId="74CDDE86" w14:textId="77777777" w:rsidTr="00E95D02">
        <w:tc>
          <w:tcPr>
            <w:tcW w:w="3588" w:type="dxa"/>
          </w:tcPr>
          <w:p w14:paraId="2734C64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w:t>
            </w:r>
          </w:p>
        </w:tc>
        <w:tc>
          <w:tcPr>
            <w:tcW w:w="1080" w:type="dxa"/>
          </w:tcPr>
          <w:p w14:paraId="2EA7C3A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40</w:t>
            </w:r>
          </w:p>
        </w:tc>
        <w:tc>
          <w:tcPr>
            <w:tcW w:w="960" w:type="dxa"/>
          </w:tcPr>
          <w:p w14:paraId="750A7F9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55</w:t>
            </w:r>
          </w:p>
        </w:tc>
        <w:tc>
          <w:tcPr>
            <w:tcW w:w="1080" w:type="dxa"/>
          </w:tcPr>
          <w:p w14:paraId="2ECCAE9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35</w:t>
            </w:r>
          </w:p>
        </w:tc>
        <w:tc>
          <w:tcPr>
            <w:tcW w:w="1103" w:type="dxa"/>
          </w:tcPr>
          <w:p w14:paraId="7D53040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w:t>
            </w:r>
          </w:p>
        </w:tc>
      </w:tr>
      <w:tr w:rsidR="00CC1EF4" w:rsidRPr="004853EB" w14:paraId="24C6F98E" w14:textId="77777777" w:rsidTr="00E95D02">
        <w:tc>
          <w:tcPr>
            <w:tcW w:w="3588" w:type="dxa"/>
          </w:tcPr>
          <w:p w14:paraId="18DEA93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0,125</w:t>
            </w:r>
          </w:p>
        </w:tc>
        <w:tc>
          <w:tcPr>
            <w:tcW w:w="1080" w:type="dxa"/>
          </w:tcPr>
          <w:p w14:paraId="310DE05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w:t>
            </w:r>
          </w:p>
        </w:tc>
        <w:tc>
          <w:tcPr>
            <w:tcW w:w="960" w:type="dxa"/>
          </w:tcPr>
          <w:p w14:paraId="7C6563F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22</w:t>
            </w:r>
          </w:p>
        </w:tc>
        <w:tc>
          <w:tcPr>
            <w:tcW w:w="1080" w:type="dxa"/>
          </w:tcPr>
          <w:p w14:paraId="58B9EC0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w:t>
            </w:r>
          </w:p>
        </w:tc>
        <w:tc>
          <w:tcPr>
            <w:tcW w:w="1103" w:type="dxa"/>
          </w:tcPr>
          <w:p w14:paraId="6FA1946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20</w:t>
            </w:r>
          </w:p>
        </w:tc>
      </w:tr>
      <w:tr w:rsidR="00CC1EF4" w:rsidRPr="004853EB" w14:paraId="20401393" w14:textId="77777777" w:rsidTr="00E95D02">
        <w:tc>
          <w:tcPr>
            <w:tcW w:w="3588" w:type="dxa"/>
          </w:tcPr>
          <w:p w14:paraId="006070A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0,063</w:t>
            </w:r>
          </w:p>
        </w:tc>
        <w:tc>
          <w:tcPr>
            <w:tcW w:w="1080" w:type="dxa"/>
          </w:tcPr>
          <w:p w14:paraId="0ECEE67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w:t>
            </w:r>
          </w:p>
        </w:tc>
        <w:tc>
          <w:tcPr>
            <w:tcW w:w="960" w:type="dxa"/>
          </w:tcPr>
          <w:p w14:paraId="326BA89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12,0</w:t>
            </w:r>
          </w:p>
        </w:tc>
        <w:tc>
          <w:tcPr>
            <w:tcW w:w="1080" w:type="dxa"/>
          </w:tcPr>
          <w:p w14:paraId="672E7BE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w:t>
            </w:r>
          </w:p>
        </w:tc>
        <w:tc>
          <w:tcPr>
            <w:tcW w:w="1103" w:type="dxa"/>
          </w:tcPr>
          <w:p w14:paraId="7D5425E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11,0</w:t>
            </w:r>
          </w:p>
        </w:tc>
      </w:tr>
      <w:tr w:rsidR="00CC1EF4" w:rsidRPr="004853EB" w14:paraId="317DBEEA" w14:textId="77777777" w:rsidTr="00E95D02">
        <w:tc>
          <w:tcPr>
            <w:tcW w:w="3588" w:type="dxa"/>
          </w:tcPr>
          <w:p w14:paraId="553BA879" w14:textId="77777777" w:rsidR="00CC1EF4" w:rsidRPr="004853EB" w:rsidRDefault="00CC1EF4" w:rsidP="00CC1EF4">
            <w:pPr>
              <w:spacing w:before="60" w:after="60" w:line="240" w:lineRule="auto"/>
              <w:jc w:val="both"/>
              <w:rPr>
                <w:rFonts w:eastAsia="Times New Roman" w:cstheme="minorHAnsi"/>
                <w:color w:val="000000"/>
                <w:sz w:val="18"/>
                <w:szCs w:val="18"/>
                <w:vertAlign w:val="superscript"/>
                <w:lang w:eastAsia="pl-PL"/>
              </w:rPr>
            </w:pPr>
            <w:r w:rsidRPr="004853EB">
              <w:rPr>
                <w:rFonts w:eastAsia="Times New Roman" w:cstheme="minorHAnsi"/>
                <w:color w:val="000000"/>
                <w:sz w:val="18"/>
                <w:szCs w:val="18"/>
                <w:lang w:eastAsia="pl-PL"/>
              </w:rPr>
              <w:t>Zawartość lepiszcza, minimum</w:t>
            </w:r>
            <w:r w:rsidRPr="004853EB">
              <w:rPr>
                <w:rFonts w:eastAsia="Times New Roman" w:cstheme="minorHAnsi"/>
                <w:color w:val="000000"/>
                <w:sz w:val="18"/>
                <w:szCs w:val="18"/>
                <w:vertAlign w:val="superscript"/>
                <w:lang w:eastAsia="pl-PL"/>
              </w:rPr>
              <w:t>*)</w:t>
            </w:r>
          </w:p>
        </w:tc>
        <w:tc>
          <w:tcPr>
            <w:tcW w:w="2040" w:type="dxa"/>
            <w:gridSpan w:val="2"/>
          </w:tcPr>
          <w:p w14:paraId="6CBAFB07"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B</w:t>
            </w:r>
            <w:r w:rsidRPr="004853EB">
              <w:rPr>
                <w:rFonts w:eastAsia="Times New Roman" w:cstheme="minorHAnsi"/>
                <w:color w:val="000000"/>
                <w:sz w:val="18"/>
                <w:szCs w:val="18"/>
                <w:vertAlign w:val="subscript"/>
                <w:lang w:eastAsia="pl-PL"/>
              </w:rPr>
              <w:t>min5,8</w:t>
            </w:r>
          </w:p>
        </w:tc>
        <w:tc>
          <w:tcPr>
            <w:tcW w:w="2183" w:type="dxa"/>
            <w:gridSpan w:val="2"/>
          </w:tcPr>
          <w:p w14:paraId="5C3D29E9"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B</w:t>
            </w:r>
            <w:r w:rsidRPr="004853EB">
              <w:rPr>
                <w:rFonts w:eastAsia="Times New Roman" w:cstheme="minorHAnsi"/>
                <w:color w:val="000000"/>
                <w:sz w:val="18"/>
                <w:szCs w:val="18"/>
                <w:vertAlign w:val="subscript"/>
                <w:lang w:eastAsia="pl-PL"/>
              </w:rPr>
              <w:t xml:space="preserve">min5,8 </w:t>
            </w:r>
          </w:p>
        </w:tc>
      </w:tr>
      <w:tr w:rsidR="00CC1EF4" w:rsidRPr="004853EB" w14:paraId="2A800504" w14:textId="77777777" w:rsidTr="00E95D02">
        <w:tc>
          <w:tcPr>
            <w:tcW w:w="7811" w:type="dxa"/>
            <w:gridSpan w:val="5"/>
          </w:tcPr>
          <w:p w14:paraId="4011E6BB" w14:textId="77777777" w:rsidR="00CC1EF4" w:rsidRPr="004853EB" w:rsidRDefault="00CC1EF4" w:rsidP="00CC1EF4">
            <w:pPr>
              <w:tabs>
                <w:tab w:val="left" w:pos="284"/>
              </w:tabs>
              <w:spacing w:after="0" w:line="240" w:lineRule="auto"/>
              <w:ind w:left="284" w:hanging="284"/>
              <w:jc w:val="both"/>
              <w:rPr>
                <w:rFonts w:eastAsia="Times New Roman" w:cstheme="minorHAnsi"/>
                <w:color w:val="000000"/>
                <w:sz w:val="18"/>
                <w:szCs w:val="18"/>
                <w:lang w:eastAsia="pl-PL"/>
              </w:rPr>
            </w:pPr>
            <w:r w:rsidRPr="004853EB">
              <w:rPr>
                <w:rFonts w:eastAsia="Times New Roman" w:cstheme="minorHAnsi"/>
                <w:color w:val="000000"/>
                <w:sz w:val="18"/>
                <w:szCs w:val="18"/>
                <w:vertAlign w:val="superscript"/>
                <w:lang w:eastAsia="pl-PL"/>
              </w:rPr>
              <w:t>*)</w:t>
            </w:r>
            <w:r w:rsidRPr="004853EB">
              <w:rPr>
                <w:rFonts w:eastAsia="Times New Roman" w:cstheme="minorHAnsi"/>
                <w:color w:val="000000"/>
                <w:sz w:val="18"/>
                <w:szCs w:val="18"/>
                <w:lang w:eastAsia="pl-PL"/>
              </w:rPr>
              <w:tab/>
              <w:t>Minimalna zawartość lepiszcza jest określona przy założonej gęstości mieszanki mineralnej 2,650 Mg/m</w:t>
            </w:r>
            <w:r w:rsidRPr="004853EB">
              <w:rPr>
                <w:rFonts w:eastAsia="Times New Roman" w:cstheme="minorHAnsi"/>
                <w:color w:val="000000"/>
                <w:sz w:val="18"/>
                <w:szCs w:val="18"/>
                <w:vertAlign w:val="superscript"/>
                <w:lang w:eastAsia="pl-PL"/>
              </w:rPr>
              <w:t>3</w:t>
            </w:r>
            <w:r w:rsidRPr="004853EB">
              <w:rPr>
                <w:rFonts w:eastAsia="Times New Roman" w:cstheme="minorHAnsi"/>
                <w:color w:val="000000"/>
                <w:sz w:val="18"/>
                <w:szCs w:val="18"/>
                <w:lang w:eastAsia="pl-PL"/>
              </w:rPr>
              <w:t>. Jeżeli stosowana mieszanka mineralna ma inną gęstość (</w:t>
            </w:r>
            <w:r w:rsidRPr="004853EB">
              <w:rPr>
                <w:rFonts w:eastAsia="Times New Roman" w:cstheme="minorHAnsi"/>
                <w:i/>
                <w:color w:val="000000"/>
                <w:sz w:val="18"/>
                <w:szCs w:val="18"/>
                <w:lang w:eastAsia="pl-PL"/>
              </w:rPr>
              <w:t>ρ</w:t>
            </w:r>
            <w:r w:rsidRPr="004853EB">
              <w:rPr>
                <w:rFonts w:eastAsia="Times New Roman" w:cstheme="minorHAnsi"/>
                <w:color w:val="000000"/>
                <w:sz w:val="18"/>
                <w:szCs w:val="18"/>
                <w:vertAlign w:val="subscript"/>
                <w:lang w:eastAsia="pl-PL"/>
              </w:rPr>
              <w:t>d</w:t>
            </w:r>
            <w:r w:rsidRPr="004853EB">
              <w:rPr>
                <w:rFonts w:eastAsia="Times New Roman" w:cstheme="minorHAnsi"/>
                <w:color w:val="000000"/>
                <w:sz w:val="18"/>
                <w:szCs w:val="18"/>
                <w:lang w:eastAsia="pl-PL"/>
              </w:rPr>
              <w:t xml:space="preserve">), to do wyznaczenia minimalnej zawartości lepiszcza podaną wartość należy pomnożyć przez współczynnik </w:t>
            </w:r>
            <w:r w:rsidRPr="004853EB">
              <w:rPr>
                <w:rFonts w:eastAsia="Times New Roman" w:cstheme="minorHAnsi"/>
                <w:noProof/>
                <w:color w:val="000000"/>
                <w:position w:val="-6"/>
                <w:sz w:val="18"/>
                <w:szCs w:val="18"/>
                <w:lang w:eastAsia="pl-PL"/>
              </w:rPr>
              <w:drawing>
                <wp:inline distT="0" distB="0" distL="0" distR="0" wp14:anchorId="578EFF03" wp14:editId="23D9E8BD">
                  <wp:extent cx="152400" cy="142875"/>
                  <wp:effectExtent l="0" t="0" r="0"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4853EB">
              <w:rPr>
                <w:rFonts w:eastAsia="Times New Roman" w:cstheme="minorHAnsi"/>
                <w:color w:val="000000"/>
                <w:sz w:val="18"/>
                <w:szCs w:val="18"/>
                <w:lang w:eastAsia="pl-PL"/>
              </w:rPr>
              <w:t xml:space="preserve"> według równania:</w:t>
            </w:r>
          </w:p>
          <w:p w14:paraId="09CD77F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noProof/>
                <w:color w:val="000000"/>
                <w:position w:val="-30"/>
                <w:sz w:val="18"/>
                <w:szCs w:val="18"/>
                <w:lang w:eastAsia="pl-PL"/>
              </w:rPr>
              <w:lastRenderedPageBreak/>
              <w:drawing>
                <wp:inline distT="0" distB="0" distL="0" distR="0" wp14:anchorId="79C25B8B" wp14:editId="303EEF3D">
                  <wp:extent cx="561975" cy="428625"/>
                  <wp:effectExtent l="0" t="0" r="0"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61975" cy="428625"/>
                          </a:xfrm>
                          <a:prstGeom prst="rect">
                            <a:avLst/>
                          </a:prstGeom>
                          <a:noFill/>
                          <a:ln>
                            <a:noFill/>
                          </a:ln>
                        </pic:spPr>
                      </pic:pic>
                    </a:graphicData>
                  </a:graphic>
                </wp:inline>
              </w:drawing>
            </w:r>
          </w:p>
        </w:tc>
      </w:tr>
    </w:tbl>
    <w:p w14:paraId="0C4D2C78"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07AFAC0C"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191" w:name="_Toc97034678"/>
      <w:bookmarkStart w:id="3192" w:name="_Toc97035366"/>
      <w:bookmarkStart w:id="3193" w:name="_Toc194476961"/>
      <w:bookmarkStart w:id="3194" w:name="_Toc227825443"/>
      <w:r w:rsidRPr="004853EB">
        <w:rPr>
          <w:rFonts w:eastAsia="Times New Roman" w:cstheme="minorHAnsi"/>
          <w:b/>
          <w:bCs/>
          <w:color w:val="000000"/>
          <w:sz w:val="20"/>
          <w:szCs w:val="20"/>
          <w:lang w:eastAsia="pl-PL"/>
        </w:rPr>
        <w:t>2.10. Właściwości mieszaki mineralno-asfaltowej do wykonania betonu asfaltowego do warstwy ścieralnej</w:t>
      </w:r>
      <w:bookmarkEnd w:id="3191"/>
      <w:bookmarkEnd w:id="3192"/>
      <w:bookmarkEnd w:id="3193"/>
      <w:bookmarkEnd w:id="3194"/>
    </w:p>
    <w:p w14:paraId="7968018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Wymagane właściwości mieszanki mineralno-asfaltowej podane są w tablicy14.</w:t>
      </w:r>
    </w:p>
    <w:p w14:paraId="260F8896" w14:textId="77777777" w:rsidR="00CC1EF4" w:rsidRPr="004853EB" w:rsidRDefault="00CC1EF4" w:rsidP="00CC1EF4">
      <w:pPr>
        <w:tabs>
          <w:tab w:val="left" w:pos="1440"/>
        </w:tabs>
        <w:spacing w:before="240" w:after="120" w:line="240" w:lineRule="auto"/>
        <w:ind w:left="1440" w:hanging="144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Tablica 14. Wymagane właściwości mieszanki mineralno-asfaltowej do warstwy ścieralnej, dla ruchu KR3 ÷ KR4 [70]</w:t>
      </w:r>
    </w:p>
    <w:tbl>
      <w:tblPr>
        <w:tblW w:w="8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571"/>
        <w:gridCol w:w="3349"/>
        <w:gridCol w:w="976"/>
        <w:gridCol w:w="992"/>
      </w:tblGrid>
      <w:tr w:rsidR="00CC1EF4" w:rsidRPr="004853EB" w14:paraId="32639F1A" w14:textId="77777777" w:rsidTr="00E95D02">
        <w:tc>
          <w:tcPr>
            <w:tcW w:w="1908" w:type="dxa"/>
          </w:tcPr>
          <w:p w14:paraId="3CF7B5BD"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0603E5E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Właściwość</w:t>
            </w:r>
          </w:p>
        </w:tc>
        <w:tc>
          <w:tcPr>
            <w:tcW w:w="1571" w:type="dxa"/>
          </w:tcPr>
          <w:p w14:paraId="5E98C63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Warunki zagęszczania wg PN-EN </w:t>
            </w:r>
          </w:p>
          <w:p w14:paraId="25F9BF6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13108-20  [52]</w:t>
            </w:r>
          </w:p>
        </w:tc>
        <w:tc>
          <w:tcPr>
            <w:tcW w:w="3349" w:type="dxa"/>
          </w:tcPr>
          <w:p w14:paraId="79313A9E"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70A2BBE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Metoda i warunki badania</w:t>
            </w:r>
          </w:p>
        </w:tc>
        <w:tc>
          <w:tcPr>
            <w:tcW w:w="976" w:type="dxa"/>
          </w:tcPr>
          <w:p w14:paraId="2E106F1B"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478329F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AC8S</w:t>
            </w:r>
          </w:p>
        </w:tc>
        <w:tc>
          <w:tcPr>
            <w:tcW w:w="992" w:type="dxa"/>
          </w:tcPr>
          <w:p w14:paraId="0DEDA354"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709F82A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AC11S</w:t>
            </w:r>
          </w:p>
        </w:tc>
      </w:tr>
      <w:tr w:rsidR="00CC1EF4" w:rsidRPr="004853EB" w14:paraId="7CBCD305" w14:textId="77777777" w:rsidTr="00E95D02">
        <w:tc>
          <w:tcPr>
            <w:tcW w:w="1908" w:type="dxa"/>
            <w:vAlign w:val="center"/>
          </w:tcPr>
          <w:p w14:paraId="32DB73E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Zawartość wolnych przestrzeni</w:t>
            </w:r>
          </w:p>
        </w:tc>
        <w:tc>
          <w:tcPr>
            <w:tcW w:w="1571" w:type="dxa"/>
            <w:vAlign w:val="center"/>
          </w:tcPr>
          <w:p w14:paraId="27FA150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C.1.2,</w:t>
            </w:r>
          </w:p>
          <w:p w14:paraId="4005522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ubijanie, 2×75 uderzeń</w:t>
            </w:r>
          </w:p>
        </w:tc>
        <w:tc>
          <w:tcPr>
            <w:tcW w:w="3349" w:type="dxa"/>
            <w:vAlign w:val="center"/>
          </w:tcPr>
          <w:p w14:paraId="272EA81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12697-8 [35], p. 4</w:t>
            </w:r>
          </w:p>
        </w:tc>
        <w:tc>
          <w:tcPr>
            <w:tcW w:w="976" w:type="dxa"/>
            <w:vAlign w:val="center"/>
          </w:tcPr>
          <w:p w14:paraId="43F3847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i/>
                <w:color w:val="000000"/>
                <w:sz w:val="18"/>
                <w:szCs w:val="18"/>
                <w:lang w:eastAsia="pl-PL"/>
              </w:rPr>
              <w:t>V</w:t>
            </w:r>
            <w:r w:rsidRPr="004853EB">
              <w:rPr>
                <w:rFonts w:eastAsia="Times New Roman" w:cstheme="minorHAnsi"/>
                <w:color w:val="000000"/>
                <w:sz w:val="18"/>
                <w:szCs w:val="18"/>
                <w:vertAlign w:val="subscript"/>
                <w:lang w:eastAsia="pl-PL"/>
              </w:rPr>
              <w:t>min2,0</w:t>
            </w:r>
          </w:p>
          <w:p w14:paraId="702D008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i/>
                <w:color w:val="000000"/>
                <w:sz w:val="18"/>
                <w:szCs w:val="18"/>
                <w:lang w:eastAsia="pl-PL"/>
              </w:rPr>
              <w:t>V</w:t>
            </w:r>
            <w:r w:rsidRPr="004853EB">
              <w:rPr>
                <w:rFonts w:eastAsia="Times New Roman" w:cstheme="minorHAnsi"/>
                <w:color w:val="000000"/>
                <w:sz w:val="18"/>
                <w:szCs w:val="18"/>
                <w:vertAlign w:val="subscript"/>
                <w:lang w:eastAsia="pl-PL"/>
              </w:rPr>
              <w:t>max4</w:t>
            </w:r>
          </w:p>
        </w:tc>
        <w:tc>
          <w:tcPr>
            <w:tcW w:w="992" w:type="dxa"/>
            <w:vAlign w:val="center"/>
          </w:tcPr>
          <w:p w14:paraId="097AF3B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i/>
                <w:color w:val="000000"/>
                <w:sz w:val="18"/>
                <w:szCs w:val="18"/>
                <w:lang w:eastAsia="pl-PL"/>
              </w:rPr>
              <w:t>V</w:t>
            </w:r>
            <w:r w:rsidRPr="004853EB">
              <w:rPr>
                <w:rFonts w:eastAsia="Times New Roman" w:cstheme="minorHAnsi"/>
                <w:color w:val="000000"/>
                <w:sz w:val="18"/>
                <w:szCs w:val="18"/>
                <w:vertAlign w:val="subscript"/>
                <w:lang w:eastAsia="pl-PL"/>
              </w:rPr>
              <w:t>min2,0</w:t>
            </w:r>
          </w:p>
          <w:p w14:paraId="4CE4B33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i/>
                <w:color w:val="000000"/>
                <w:sz w:val="18"/>
                <w:szCs w:val="18"/>
                <w:lang w:eastAsia="pl-PL"/>
              </w:rPr>
              <w:t>V</w:t>
            </w:r>
            <w:r w:rsidRPr="004853EB">
              <w:rPr>
                <w:rFonts w:eastAsia="Times New Roman" w:cstheme="minorHAnsi"/>
                <w:color w:val="000000"/>
                <w:sz w:val="18"/>
                <w:szCs w:val="18"/>
                <w:vertAlign w:val="subscript"/>
                <w:lang w:eastAsia="pl-PL"/>
              </w:rPr>
              <w:t>max4</w:t>
            </w:r>
          </w:p>
        </w:tc>
      </w:tr>
      <w:tr w:rsidR="00CC1EF4" w:rsidRPr="004853EB" w14:paraId="2E1A2065" w14:textId="77777777" w:rsidTr="00E95D02">
        <w:tc>
          <w:tcPr>
            <w:tcW w:w="1908" w:type="dxa"/>
            <w:vAlign w:val="center"/>
          </w:tcPr>
          <w:p w14:paraId="72F858EE" w14:textId="77777777" w:rsidR="00CC1EF4" w:rsidRPr="004853EB" w:rsidRDefault="00CC1EF4" w:rsidP="00CC1EF4">
            <w:pPr>
              <w:spacing w:after="0" w:line="240" w:lineRule="auto"/>
              <w:jc w:val="both"/>
              <w:rPr>
                <w:rFonts w:eastAsia="Times New Roman" w:cstheme="minorHAnsi"/>
                <w:color w:val="000000"/>
                <w:sz w:val="18"/>
                <w:szCs w:val="18"/>
                <w:vertAlign w:val="superscript"/>
                <w:lang w:eastAsia="pl-PL"/>
              </w:rPr>
            </w:pPr>
            <w:r w:rsidRPr="004853EB">
              <w:rPr>
                <w:rFonts w:eastAsia="Times New Roman" w:cstheme="minorHAnsi"/>
                <w:color w:val="000000"/>
                <w:sz w:val="18"/>
                <w:szCs w:val="18"/>
                <w:lang w:eastAsia="pl-PL"/>
              </w:rPr>
              <w:t xml:space="preserve">Odporność na deformacje trwałe </w:t>
            </w:r>
            <w:r w:rsidRPr="004853EB">
              <w:rPr>
                <w:rFonts w:eastAsia="Times New Roman" w:cstheme="minorHAnsi"/>
                <w:color w:val="000000"/>
                <w:sz w:val="18"/>
                <w:szCs w:val="18"/>
                <w:vertAlign w:val="superscript"/>
                <w:lang w:eastAsia="pl-PL"/>
              </w:rPr>
              <w:t>a), c)</w:t>
            </w:r>
          </w:p>
        </w:tc>
        <w:tc>
          <w:tcPr>
            <w:tcW w:w="1571" w:type="dxa"/>
            <w:vAlign w:val="center"/>
          </w:tcPr>
          <w:p w14:paraId="3C7894E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C.1.20, wałowanie,</w:t>
            </w:r>
          </w:p>
          <w:p w14:paraId="78F43D4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w:t>
            </w:r>
            <w:r w:rsidRPr="004853EB">
              <w:rPr>
                <w:rFonts w:eastAsia="Times New Roman" w:cstheme="minorHAnsi"/>
                <w:color w:val="000000"/>
                <w:sz w:val="18"/>
                <w:szCs w:val="18"/>
                <w:vertAlign w:val="subscript"/>
                <w:lang w:eastAsia="pl-PL"/>
              </w:rPr>
              <w:t>98</w:t>
            </w:r>
            <w:r w:rsidRPr="004853EB">
              <w:rPr>
                <w:rFonts w:eastAsia="Times New Roman" w:cstheme="minorHAnsi"/>
                <w:color w:val="000000"/>
                <w:sz w:val="18"/>
                <w:szCs w:val="18"/>
                <w:lang w:eastAsia="pl-PL"/>
              </w:rPr>
              <w:t>-P</w:t>
            </w:r>
            <w:r w:rsidRPr="004853EB">
              <w:rPr>
                <w:rFonts w:eastAsia="Times New Roman" w:cstheme="minorHAnsi"/>
                <w:color w:val="000000"/>
                <w:sz w:val="18"/>
                <w:szCs w:val="18"/>
                <w:vertAlign w:val="subscript"/>
                <w:lang w:eastAsia="pl-PL"/>
              </w:rPr>
              <w:t>100</w:t>
            </w:r>
          </w:p>
        </w:tc>
        <w:tc>
          <w:tcPr>
            <w:tcW w:w="3349" w:type="dxa"/>
            <w:vAlign w:val="center"/>
          </w:tcPr>
          <w:p w14:paraId="4CE08A5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12697-22[40], metoda B       w powietrzu, PN-EN 13108-20, D.1.6,60°C, 10 000 cykli [52]</w:t>
            </w:r>
          </w:p>
        </w:tc>
        <w:tc>
          <w:tcPr>
            <w:tcW w:w="976" w:type="dxa"/>
            <w:vAlign w:val="center"/>
          </w:tcPr>
          <w:p w14:paraId="5D27FDA7" w14:textId="77777777" w:rsidR="00CC1EF4" w:rsidRPr="004853EB" w:rsidRDefault="00CC1EF4" w:rsidP="00CC1EF4">
            <w:pPr>
              <w:spacing w:after="0" w:line="240" w:lineRule="auto"/>
              <w:jc w:val="both"/>
              <w:rPr>
                <w:rFonts w:eastAsia="Times New Roman" w:cstheme="minorHAnsi"/>
                <w:color w:val="000000"/>
                <w:sz w:val="18"/>
                <w:szCs w:val="18"/>
                <w:vertAlign w:val="subscript"/>
                <w:lang w:eastAsia="pl-PL"/>
              </w:rPr>
            </w:pPr>
            <w:r w:rsidRPr="004853EB">
              <w:rPr>
                <w:rFonts w:eastAsia="Times New Roman" w:cstheme="minorHAnsi"/>
                <w:i/>
                <w:color w:val="000000"/>
                <w:sz w:val="18"/>
                <w:szCs w:val="18"/>
                <w:lang w:eastAsia="pl-PL"/>
              </w:rPr>
              <w:t>WTS</w:t>
            </w:r>
            <w:r w:rsidRPr="004853EB">
              <w:rPr>
                <w:rFonts w:eastAsia="Times New Roman" w:cstheme="minorHAnsi"/>
                <w:color w:val="000000"/>
                <w:sz w:val="18"/>
                <w:szCs w:val="18"/>
                <w:vertAlign w:val="subscript"/>
                <w:lang w:eastAsia="pl-PL"/>
              </w:rPr>
              <w:t>AIR 0,15</w:t>
            </w:r>
          </w:p>
          <w:p w14:paraId="623AC589" w14:textId="77777777" w:rsidR="00CC1EF4" w:rsidRPr="004853EB" w:rsidRDefault="00CC1EF4" w:rsidP="00CC1EF4">
            <w:pPr>
              <w:spacing w:after="0" w:line="240" w:lineRule="auto"/>
              <w:jc w:val="both"/>
              <w:rPr>
                <w:rFonts w:eastAsia="Times New Roman" w:cstheme="minorHAnsi"/>
                <w:color w:val="000000"/>
                <w:sz w:val="18"/>
                <w:szCs w:val="18"/>
                <w:vertAlign w:val="subscript"/>
                <w:lang w:eastAsia="pl-PL"/>
              </w:rPr>
            </w:pPr>
            <w:r w:rsidRPr="004853EB">
              <w:rPr>
                <w:rFonts w:eastAsia="Times New Roman" w:cstheme="minorHAnsi"/>
                <w:i/>
                <w:color w:val="000000"/>
                <w:sz w:val="18"/>
                <w:szCs w:val="18"/>
                <w:lang w:eastAsia="pl-PL"/>
              </w:rPr>
              <w:t>PRD</w:t>
            </w:r>
            <w:r w:rsidRPr="004853EB">
              <w:rPr>
                <w:rFonts w:eastAsia="Times New Roman" w:cstheme="minorHAnsi"/>
                <w:color w:val="000000"/>
                <w:sz w:val="18"/>
                <w:szCs w:val="18"/>
                <w:vertAlign w:val="subscript"/>
                <w:lang w:eastAsia="pl-PL"/>
              </w:rPr>
              <w:t>AIR9,0</w:t>
            </w:r>
          </w:p>
        </w:tc>
        <w:tc>
          <w:tcPr>
            <w:tcW w:w="992" w:type="dxa"/>
            <w:vAlign w:val="center"/>
          </w:tcPr>
          <w:p w14:paraId="03B8F8C2" w14:textId="77777777" w:rsidR="00CC1EF4" w:rsidRPr="004853EB" w:rsidRDefault="00CC1EF4" w:rsidP="00CC1EF4">
            <w:pPr>
              <w:spacing w:after="0" w:line="240" w:lineRule="auto"/>
              <w:jc w:val="both"/>
              <w:rPr>
                <w:rFonts w:eastAsia="Times New Roman" w:cstheme="minorHAnsi"/>
                <w:color w:val="000000"/>
                <w:sz w:val="18"/>
                <w:szCs w:val="18"/>
                <w:vertAlign w:val="subscript"/>
                <w:lang w:eastAsia="pl-PL"/>
              </w:rPr>
            </w:pPr>
            <w:r w:rsidRPr="004853EB">
              <w:rPr>
                <w:rFonts w:eastAsia="Times New Roman" w:cstheme="minorHAnsi"/>
                <w:i/>
                <w:color w:val="000000"/>
                <w:sz w:val="18"/>
                <w:szCs w:val="18"/>
                <w:lang w:eastAsia="pl-PL"/>
              </w:rPr>
              <w:t>WTS</w:t>
            </w:r>
            <w:r w:rsidRPr="004853EB">
              <w:rPr>
                <w:rFonts w:eastAsia="Times New Roman" w:cstheme="minorHAnsi"/>
                <w:color w:val="000000"/>
                <w:sz w:val="18"/>
                <w:szCs w:val="18"/>
                <w:vertAlign w:val="subscript"/>
                <w:lang w:eastAsia="pl-PL"/>
              </w:rPr>
              <w:t>AIR 0,15</w:t>
            </w:r>
          </w:p>
          <w:p w14:paraId="6A2BD1B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i/>
                <w:color w:val="000000"/>
                <w:sz w:val="18"/>
                <w:szCs w:val="18"/>
                <w:lang w:eastAsia="pl-PL"/>
              </w:rPr>
              <w:t>PRD</w:t>
            </w:r>
            <w:r w:rsidRPr="004853EB">
              <w:rPr>
                <w:rFonts w:eastAsia="Times New Roman" w:cstheme="minorHAnsi"/>
                <w:color w:val="000000"/>
                <w:sz w:val="18"/>
                <w:szCs w:val="18"/>
                <w:vertAlign w:val="subscript"/>
                <w:lang w:eastAsia="pl-PL"/>
              </w:rPr>
              <w:t>AIR9,0</w:t>
            </w:r>
          </w:p>
        </w:tc>
      </w:tr>
      <w:tr w:rsidR="00CC1EF4" w:rsidRPr="004853EB" w14:paraId="10DB6354" w14:textId="77777777" w:rsidTr="00E95D02">
        <w:tc>
          <w:tcPr>
            <w:tcW w:w="1908" w:type="dxa"/>
            <w:vAlign w:val="center"/>
          </w:tcPr>
          <w:p w14:paraId="3B59894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Odporność na działanie wody</w:t>
            </w:r>
          </w:p>
        </w:tc>
        <w:tc>
          <w:tcPr>
            <w:tcW w:w="1571" w:type="dxa"/>
            <w:vAlign w:val="center"/>
          </w:tcPr>
          <w:p w14:paraId="74F4205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C.1.1,</w:t>
            </w:r>
          </w:p>
          <w:p w14:paraId="54888DC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ubijanie, 2×35 uderzeń</w:t>
            </w:r>
          </w:p>
        </w:tc>
        <w:tc>
          <w:tcPr>
            <w:tcW w:w="3349" w:type="dxa"/>
            <w:vAlign w:val="center"/>
          </w:tcPr>
          <w:p w14:paraId="15B3062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PN-EN 12697-12 [37], przechowywanie w 40°C z jednym cyklem zamrażania, </w:t>
            </w:r>
          </w:p>
          <w:p w14:paraId="0FFF9BE7" w14:textId="77777777" w:rsidR="00CC1EF4" w:rsidRPr="004853EB" w:rsidRDefault="00CC1EF4" w:rsidP="00CC1EF4">
            <w:pPr>
              <w:spacing w:after="0" w:line="240" w:lineRule="auto"/>
              <w:jc w:val="both"/>
              <w:rPr>
                <w:rFonts w:eastAsia="Times New Roman" w:cstheme="minorHAnsi"/>
                <w:color w:val="000000"/>
                <w:sz w:val="18"/>
                <w:szCs w:val="18"/>
                <w:vertAlign w:val="superscript"/>
                <w:lang w:eastAsia="pl-PL"/>
              </w:rPr>
            </w:pPr>
            <w:r w:rsidRPr="004853EB">
              <w:rPr>
                <w:rFonts w:eastAsia="Times New Roman" w:cstheme="minorHAnsi"/>
                <w:color w:val="000000"/>
                <w:sz w:val="18"/>
                <w:szCs w:val="18"/>
                <w:lang w:eastAsia="pl-PL"/>
              </w:rPr>
              <w:t xml:space="preserve">badanie w 25°C  </w:t>
            </w:r>
            <w:r w:rsidRPr="004853EB">
              <w:rPr>
                <w:rFonts w:eastAsia="Times New Roman" w:cstheme="minorHAnsi"/>
                <w:color w:val="000000"/>
                <w:sz w:val="18"/>
                <w:szCs w:val="18"/>
                <w:vertAlign w:val="superscript"/>
                <w:lang w:eastAsia="pl-PL"/>
              </w:rPr>
              <w:t>b)</w:t>
            </w:r>
          </w:p>
        </w:tc>
        <w:tc>
          <w:tcPr>
            <w:tcW w:w="976" w:type="dxa"/>
            <w:vAlign w:val="center"/>
          </w:tcPr>
          <w:p w14:paraId="5C0C93F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i/>
                <w:color w:val="000000"/>
                <w:sz w:val="18"/>
                <w:szCs w:val="18"/>
                <w:lang w:eastAsia="pl-PL"/>
              </w:rPr>
              <w:t>ITSR</w:t>
            </w:r>
            <w:r w:rsidRPr="004853EB">
              <w:rPr>
                <w:rFonts w:eastAsia="Times New Roman" w:cstheme="minorHAnsi"/>
                <w:color w:val="000000"/>
                <w:sz w:val="18"/>
                <w:szCs w:val="18"/>
                <w:vertAlign w:val="subscript"/>
                <w:lang w:eastAsia="pl-PL"/>
              </w:rPr>
              <w:t>90</w:t>
            </w:r>
          </w:p>
        </w:tc>
        <w:tc>
          <w:tcPr>
            <w:tcW w:w="992" w:type="dxa"/>
            <w:vAlign w:val="center"/>
          </w:tcPr>
          <w:p w14:paraId="6994E9D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i/>
                <w:color w:val="000000"/>
                <w:sz w:val="18"/>
                <w:szCs w:val="18"/>
                <w:lang w:eastAsia="pl-PL"/>
              </w:rPr>
              <w:t>ITSR</w:t>
            </w:r>
            <w:r w:rsidRPr="004853EB">
              <w:rPr>
                <w:rFonts w:eastAsia="Times New Roman" w:cstheme="minorHAnsi"/>
                <w:color w:val="000000"/>
                <w:sz w:val="18"/>
                <w:szCs w:val="18"/>
                <w:vertAlign w:val="subscript"/>
                <w:lang w:eastAsia="pl-PL"/>
              </w:rPr>
              <w:t>90</w:t>
            </w:r>
          </w:p>
        </w:tc>
      </w:tr>
      <w:tr w:rsidR="00CC1EF4" w:rsidRPr="004853EB" w14:paraId="6C652877" w14:textId="77777777" w:rsidTr="00E95D02">
        <w:tblPrEx>
          <w:tblCellMar>
            <w:left w:w="70" w:type="dxa"/>
            <w:right w:w="70" w:type="dxa"/>
          </w:tblCellMar>
          <w:tblLook w:val="0000" w:firstRow="0" w:lastRow="0" w:firstColumn="0" w:lastColumn="0" w:noHBand="0" w:noVBand="0"/>
        </w:tblPrEx>
        <w:trPr>
          <w:trHeight w:val="514"/>
        </w:trPr>
        <w:tc>
          <w:tcPr>
            <w:tcW w:w="8796" w:type="dxa"/>
            <w:gridSpan w:val="5"/>
          </w:tcPr>
          <w:p w14:paraId="4B7E43EA" w14:textId="00264A4F" w:rsidR="00CC1EF4" w:rsidRPr="004853EB" w:rsidRDefault="00CC1EF4" w:rsidP="00CC1EF4">
            <w:pPr>
              <w:tabs>
                <w:tab w:val="left" w:pos="180"/>
              </w:tabs>
              <w:spacing w:after="0" w:line="240" w:lineRule="auto"/>
              <w:ind w:left="180" w:hanging="142"/>
              <w:jc w:val="both"/>
              <w:rPr>
                <w:rFonts w:eastAsia="Times New Roman" w:cstheme="minorHAnsi"/>
                <w:color w:val="000000"/>
                <w:sz w:val="18"/>
                <w:szCs w:val="18"/>
                <w:lang w:eastAsia="pl-PL"/>
              </w:rPr>
            </w:pPr>
            <w:r w:rsidRPr="004853EB">
              <w:rPr>
                <w:rFonts w:eastAsia="Times New Roman" w:cstheme="minorHAnsi"/>
                <w:color w:val="000000"/>
                <w:sz w:val="18"/>
                <w:szCs w:val="18"/>
                <w:vertAlign w:val="superscript"/>
                <w:lang w:eastAsia="pl-PL"/>
              </w:rPr>
              <w:t>a)</w:t>
            </w:r>
            <w:r w:rsidRPr="004853EB">
              <w:rPr>
                <w:rFonts w:eastAsia="Times New Roman" w:cstheme="minorHAnsi"/>
                <w:color w:val="000000"/>
                <w:sz w:val="18"/>
                <w:szCs w:val="18"/>
                <w:lang w:eastAsia="pl-PL"/>
              </w:rPr>
              <w:tab/>
              <w:t>Grubość plyty: AC8, AC</w:t>
            </w:r>
            <w:r w:rsidR="00336D00" w:rsidRPr="004853EB">
              <w:rPr>
                <w:rFonts w:eastAsia="Times New Roman" w:cstheme="minorHAnsi"/>
                <w:color w:val="000000"/>
                <w:sz w:val="18"/>
                <w:szCs w:val="18"/>
                <w:lang w:eastAsia="pl-PL"/>
              </w:rPr>
              <w:t>11 40</w:t>
            </w:r>
            <w:r w:rsidRPr="004853EB">
              <w:rPr>
                <w:rFonts w:eastAsia="Times New Roman" w:cstheme="minorHAnsi"/>
                <w:color w:val="000000"/>
                <w:sz w:val="18"/>
                <w:szCs w:val="18"/>
                <w:lang w:eastAsia="pl-PL"/>
              </w:rPr>
              <w:t>mm</w:t>
            </w:r>
          </w:p>
          <w:p w14:paraId="46003CE7" w14:textId="77777777" w:rsidR="00CC1EF4" w:rsidRPr="004853EB" w:rsidRDefault="00CC1EF4" w:rsidP="00CC1EF4">
            <w:pPr>
              <w:tabs>
                <w:tab w:val="left" w:pos="180"/>
              </w:tabs>
              <w:spacing w:after="0" w:line="240" w:lineRule="auto"/>
              <w:ind w:left="180" w:hanging="142"/>
              <w:jc w:val="both"/>
              <w:rPr>
                <w:rFonts w:eastAsia="Times New Roman" w:cstheme="minorHAnsi"/>
                <w:color w:val="000000"/>
                <w:sz w:val="18"/>
                <w:szCs w:val="18"/>
                <w:lang w:eastAsia="pl-PL"/>
              </w:rPr>
            </w:pPr>
            <w:r w:rsidRPr="004853EB">
              <w:rPr>
                <w:rFonts w:eastAsia="Times New Roman" w:cstheme="minorHAnsi"/>
                <w:color w:val="000000"/>
                <w:sz w:val="18"/>
                <w:szCs w:val="18"/>
                <w:vertAlign w:val="superscript"/>
                <w:lang w:eastAsia="pl-PL"/>
              </w:rPr>
              <w:t>b)</w:t>
            </w:r>
            <w:r w:rsidRPr="004853EB">
              <w:rPr>
                <w:rFonts w:eastAsia="Times New Roman" w:cstheme="minorHAnsi"/>
                <w:color w:val="000000"/>
                <w:sz w:val="18"/>
                <w:szCs w:val="18"/>
                <w:lang w:eastAsia="pl-PL"/>
              </w:rPr>
              <w:tab/>
              <w:t>Ujednoliconą procedurę badania odporności na działanie wody podano w WT-2 2014 [70] w załączniku 1</w:t>
            </w:r>
          </w:p>
          <w:p w14:paraId="122D3C0B" w14:textId="77777777" w:rsidR="00CC1EF4" w:rsidRPr="004853EB" w:rsidRDefault="00CC1EF4" w:rsidP="00CC1EF4">
            <w:pPr>
              <w:tabs>
                <w:tab w:val="left" w:pos="180"/>
              </w:tabs>
              <w:spacing w:after="0" w:line="240" w:lineRule="auto"/>
              <w:ind w:left="180" w:hanging="142"/>
              <w:jc w:val="both"/>
              <w:rPr>
                <w:rFonts w:eastAsia="Times New Roman" w:cstheme="minorHAnsi"/>
                <w:color w:val="000000"/>
                <w:sz w:val="18"/>
                <w:szCs w:val="18"/>
                <w:lang w:eastAsia="pl-PL"/>
              </w:rPr>
            </w:pPr>
            <w:r w:rsidRPr="004853EB">
              <w:rPr>
                <w:rFonts w:eastAsia="Times New Roman" w:cstheme="minorHAnsi"/>
                <w:color w:val="000000"/>
                <w:sz w:val="18"/>
                <w:szCs w:val="18"/>
                <w:vertAlign w:val="superscript"/>
                <w:lang w:eastAsia="pl-PL"/>
              </w:rPr>
              <w:t>c)</w:t>
            </w:r>
            <w:r w:rsidRPr="004853EB">
              <w:rPr>
                <w:rFonts w:eastAsia="Times New Roman" w:cstheme="minorHAnsi"/>
                <w:color w:val="000000"/>
                <w:sz w:val="18"/>
                <w:szCs w:val="18"/>
                <w:lang w:eastAsia="pl-PL"/>
              </w:rPr>
              <w:t>Procedurę kondycjonowania krótkoterminowego mma przed zagęszczeniem próbek do badań podano w WT-2 2014 [70] w załączniku 2</w:t>
            </w:r>
          </w:p>
        </w:tc>
      </w:tr>
    </w:tbl>
    <w:p w14:paraId="7FCE5F74"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195" w:name="_Toc412637946"/>
    </w:p>
    <w:p w14:paraId="2B30D9A8"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196" w:name="_Toc68686962"/>
      <w:bookmarkStart w:id="3197" w:name="_Toc68690560"/>
      <w:bookmarkStart w:id="3198" w:name="_Toc97034679"/>
      <w:bookmarkStart w:id="3199" w:name="_Toc97035367"/>
      <w:bookmarkStart w:id="3200" w:name="_Toc194476962"/>
      <w:bookmarkStart w:id="3201" w:name="_Toc227825444"/>
      <w:r w:rsidRPr="004853EB">
        <w:rPr>
          <w:rFonts w:eastAsia="Times New Roman" w:cstheme="minorHAnsi"/>
          <w:b/>
          <w:bCs/>
          <w:color w:val="000000"/>
          <w:sz w:val="20"/>
          <w:szCs w:val="20"/>
          <w:lang w:eastAsia="pl-PL"/>
        </w:rPr>
        <w:t>3. S</w:t>
      </w:r>
      <w:bookmarkEnd w:id="3195"/>
      <w:r w:rsidRPr="004853EB">
        <w:rPr>
          <w:rFonts w:eastAsia="Times New Roman" w:cstheme="minorHAnsi"/>
          <w:b/>
          <w:bCs/>
          <w:color w:val="000000"/>
          <w:sz w:val="20"/>
          <w:szCs w:val="20"/>
          <w:lang w:eastAsia="pl-PL"/>
        </w:rPr>
        <w:t>PRZĘT</w:t>
      </w:r>
      <w:bookmarkEnd w:id="3196"/>
      <w:bookmarkEnd w:id="3197"/>
      <w:bookmarkEnd w:id="3198"/>
      <w:bookmarkEnd w:id="3199"/>
      <w:bookmarkEnd w:id="3200"/>
      <w:bookmarkEnd w:id="3201"/>
    </w:p>
    <w:p w14:paraId="0C1AC6E5"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p>
    <w:p w14:paraId="7A4CEFE4"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202" w:name="_Toc97034680"/>
      <w:bookmarkStart w:id="3203" w:name="_Toc97035368"/>
      <w:bookmarkStart w:id="3204" w:name="_Toc194476963"/>
      <w:bookmarkStart w:id="3205" w:name="_Toc227825445"/>
      <w:r w:rsidRPr="004853EB">
        <w:rPr>
          <w:rFonts w:eastAsia="Times New Roman" w:cstheme="minorHAnsi"/>
          <w:b/>
          <w:bCs/>
          <w:color w:val="000000"/>
          <w:sz w:val="20"/>
          <w:szCs w:val="20"/>
          <w:lang w:eastAsia="pl-PL"/>
        </w:rPr>
        <w:t>3.1. Ogólne wymagania dotyczące sprzętu</w:t>
      </w:r>
      <w:bookmarkEnd w:id="3202"/>
      <w:bookmarkEnd w:id="3203"/>
      <w:bookmarkEnd w:id="3204"/>
      <w:bookmarkEnd w:id="3205"/>
    </w:p>
    <w:p w14:paraId="749C0093" w14:textId="2FA1D23B" w:rsidR="00CC1EF4" w:rsidRPr="004853EB" w:rsidRDefault="00CC1EF4" w:rsidP="00CC1EF4">
      <w:pPr>
        <w:numPr>
          <w:ilvl w:val="12"/>
          <w:numId w:val="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Ogólne wymagania dotyczące sprzętu podano w </w:t>
      </w:r>
      <w:r w:rsidR="00336D00" w:rsidRPr="004853EB">
        <w:rPr>
          <w:rFonts w:eastAsia="Times New Roman" w:cstheme="minorHAnsi"/>
          <w:color w:val="000000"/>
          <w:sz w:val="20"/>
          <w:szCs w:val="20"/>
          <w:lang w:eastAsia="pl-PL"/>
        </w:rPr>
        <w:t>ST D</w:t>
      </w:r>
      <w:r w:rsidRPr="004853EB">
        <w:rPr>
          <w:rFonts w:eastAsia="Times New Roman" w:cstheme="minorHAnsi"/>
          <w:color w:val="000000"/>
          <w:sz w:val="20"/>
          <w:szCs w:val="20"/>
          <w:lang w:eastAsia="pl-PL"/>
        </w:rPr>
        <w:t>-M-00.00.00 „Wymagania ogólne” [1] pkt 3.</w:t>
      </w:r>
    </w:p>
    <w:p w14:paraId="1FCF0642"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642FD962"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206" w:name="_Toc97034681"/>
      <w:bookmarkStart w:id="3207" w:name="_Toc97035369"/>
      <w:bookmarkStart w:id="3208" w:name="_Toc194476964"/>
      <w:bookmarkStart w:id="3209" w:name="_Toc227825446"/>
      <w:r w:rsidRPr="004853EB">
        <w:rPr>
          <w:rFonts w:eastAsia="Times New Roman" w:cstheme="minorHAnsi"/>
          <w:b/>
          <w:bCs/>
          <w:color w:val="000000"/>
          <w:sz w:val="20"/>
          <w:szCs w:val="20"/>
          <w:lang w:eastAsia="pl-PL"/>
        </w:rPr>
        <w:t>3.2. Sprzęt stosowany do wykonania robót</w:t>
      </w:r>
      <w:bookmarkEnd w:id="3206"/>
      <w:bookmarkEnd w:id="3207"/>
      <w:bookmarkEnd w:id="3208"/>
      <w:bookmarkEnd w:id="3209"/>
    </w:p>
    <w:p w14:paraId="1AB3626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Przy wykonywaniu robót Wykonawca w zależności od potrzeb, powinien wykazać się możliwością korzystania ze sprzętu dostosowanego do przyjętej metody robót, jak:</w:t>
      </w:r>
    </w:p>
    <w:p w14:paraId="6ED33FDE" w14:textId="77777777" w:rsidR="00CC1EF4" w:rsidRPr="004853EB" w:rsidRDefault="00CC1EF4">
      <w:pPr>
        <w:numPr>
          <w:ilvl w:val="0"/>
          <w:numId w:val="113"/>
        </w:numPr>
        <w:overflowPunct w:val="0"/>
        <w:autoSpaceDE w:val="0"/>
        <w:autoSpaceDN w:val="0"/>
        <w:adjustRightInd w:val="0"/>
        <w:spacing w:after="0" w:line="240" w:lineRule="auto"/>
        <w:ind w:left="36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wytwórnia (otaczarka</w:t>
      </w:r>
      <w:r w:rsidRPr="004853EB">
        <w:rPr>
          <w:rFonts w:eastAsia="Times New Roman" w:cstheme="minorHAnsi"/>
          <w:b/>
          <w:color w:val="000000"/>
          <w:sz w:val="20"/>
          <w:szCs w:val="20"/>
          <w:lang w:eastAsia="pl-PL"/>
        </w:rPr>
        <w:t>)</w:t>
      </w:r>
      <w:r w:rsidRPr="004853EB">
        <w:rPr>
          <w:rFonts w:eastAsia="Times New Roman" w:cstheme="minorHAnsi"/>
          <w:color w:val="000000"/>
          <w:sz w:val="20"/>
          <w:szCs w:val="20"/>
          <w:lang w:eastAsia="pl-PL"/>
        </w:rPr>
        <w:t xml:space="preserve"> o mieszaniu cyklicznym lub ciągłym, z automatycznym komputerowym sterowaniem produkcji, do wytwarzania mieszanek mineralno-asfaltowych, Wytwórnia powinna zapewnić wysuszenie </w:t>
      </w:r>
      <w:r w:rsidRPr="004853EB">
        <w:rPr>
          <w:rFonts w:eastAsia="Times New Roman" w:cstheme="minorHAnsi"/>
          <w:color w:val="000000"/>
          <w:sz w:val="20"/>
          <w:szCs w:val="20"/>
          <w:lang w:eastAsia="pl-PL"/>
        </w:rPr>
        <w:br/>
        <w:t>i wymieszanie wszystkich składników oraz zachowanie właściwej temperatury składników i gotowej mieszanki mineralno-asfaltowej. Na wytwórni powinien funkcjonować certyfikowany system zakładowej kontroli produkcji zgodny z PN-EN 13108-21 [53]. Wytwórnia powinna być wyposażona w termometry (urządzenia pomiarowe) pozwalające na ciągłe monitorowanie temperatury poszczególnych materiałów, na różnych etapach przygotowywania materiałów, jak i na wyjściu z mieszalnika,</w:t>
      </w:r>
    </w:p>
    <w:p w14:paraId="39460CCD" w14:textId="77777777" w:rsidR="00CC1EF4" w:rsidRPr="004853EB" w:rsidRDefault="00CC1EF4">
      <w:pPr>
        <w:numPr>
          <w:ilvl w:val="0"/>
          <w:numId w:val="113"/>
        </w:numPr>
        <w:overflowPunct w:val="0"/>
        <w:autoSpaceDE w:val="0"/>
        <w:autoSpaceDN w:val="0"/>
        <w:adjustRightInd w:val="0"/>
        <w:spacing w:after="0" w:line="240" w:lineRule="auto"/>
        <w:ind w:left="36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układarka gąsienicowa, z elektronicznym sterowaniem równości układanej warstwy,</w:t>
      </w:r>
    </w:p>
    <w:p w14:paraId="4F65F6B4" w14:textId="77777777" w:rsidR="00CC1EF4" w:rsidRPr="004853EB" w:rsidRDefault="00CC1EF4">
      <w:pPr>
        <w:numPr>
          <w:ilvl w:val="0"/>
          <w:numId w:val="113"/>
        </w:numPr>
        <w:overflowPunct w:val="0"/>
        <w:autoSpaceDE w:val="0"/>
        <w:autoSpaceDN w:val="0"/>
        <w:adjustRightInd w:val="0"/>
        <w:spacing w:after="0" w:line="240" w:lineRule="auto"/>
        <w:ind w:left="36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skrapiarka,</w:t>
      </w:r>
    </w:p>
    <w:p w14:paraId="15B63641" w14:textId="77777777" w:rsidR="00CC1EF4" w:rsidRPr="004853EB" w:rsidRDefault="00CC1EF4">
      <w:pPr>
        <w:numPr>
          <w:ilvl w:val="0"/>
          <w:numId w:val="113"/>
        </w:numPr>
        <w:overflowPunct w:val="0"/>
        <w:autoSpaceDE w:val="0"/>
        <w:autoSpaceDN w:val="0"/>
        <w:adjustRightInd w:val="0"/>
        <w:spacing w:after="0" w:line="240" w:lineRule="auto"/>
        <w:ind w:left="36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walce stalowe gładkie, </w:t>
      </w:r>
    </w:p>
    <w:p w14:paraId="0A4C0D72" w14:textId="77777777" w:rsidR="00CC1EF4" w:rsidRPr="004853EB" w:rsidRDefault="00CC1EF4">
      <w:pPr>
        <w:numPr>
          <w:ilvl w:val="0"/>
          <w:numId w:val="113"/>
        </w:numPr>
        <w:overflowPunct w:val="0"/>
        <w:autoSpaceDE w:val="0"/>
        <w:autoSpaceDN w:val="0"/>
        <w:adjustRightInd w:val="0"/>
        <w:spacing w:after="0" w:line="240" w:lineRule="auto"/>
        <w:ind w:left="36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lekka rozsypywarka kruszywa,</w:t>
      </w:r>
    </w:p>
    <w:p w14:paraId="22AC79E0" w14:textId="77777777" w:rsidR="00CC1EF4" w:rsidRPr="004853EB" w:rsidRDefault="00CC1EF4">
      <w:pPr>
        <w:numPr>
          <w:ilvl w:val="0"/>
          <w:numId w:val="113"/>
        </w:numPr>
        <w:overflowPunct w:val="0"/>
        <w:autoSpaceDE w:val="0"/>
        <w:autoSpaceDN w:val="0"/>
        <w:adjustRightInd w:val="0"/>
        <w:spacing w:after="0" w:line="240" w:lineRule="auto"/>
        <w:ind w:left="36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szczotki mechaniczne i/lub inne urządzenia czyszczące,</w:t>
      </w:r>
    </w:p>
    <w:p w14:paraId="4DCC4756" w14:textId="77777777" w:rsidR="00CC1EF4" w:rsidRPr="004853EB" w:rsidRDefault="00CC1EF4">
      <w:pPr>
        <w:numPr>
          <w:ilvl w:val="0"/>
          <w:numId w:val="113"/>
        </w:numPr>
        <w:overflowPunct w:val="0"/>
        <w:autoSpaceDE w:val="0"/>
        <w:autoSpaceDN w:val="0"/>
        <w:adjustRightInd w:val="0"/>
        <w:spacing w:after="0" w:line="240" w:lineRule="auto"/>
        <w:ind w:left="36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samochody samowyładowcze z przykryciem brezentowym lub termosami,</w:t>
      </w:r>
    </w:p>
    <w:p w14:paraId="30D99A97" w14:textId="77777777" w:rsidR="00CC1EF4" w:rsidRPr="004853EB" w:rsidRDefault="00CC1EF4">
      <w:pPr>
        <w:numPr>
          <w:ilvl w:val="0"/>
          <w:numId w:val="113"/>
        </w:numPr>
        <w:overflowPunct w:val="0"/>
        <w:autoSpaceDE w:val="0"/>
        <w:autoSpaceDN w:val="0"/>
        <w:adjustRightInd w:val="0"/>
        <w:spacing w:after="0" w:line="240" w:lineRule="auto"/>
        <w:ind w:left="36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sprzęt drobny.</w:t>
      </w:r>
    </w:p>
    <w:p w14:paraId="270C5F5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Sprzęt powinien odpowiadać wymaganiom określonym w dokumentacji projektowej, ST, instrukcjach producentów lub propozycji Wykonawcy i powinien być zaakceptowany przez Inżyniera.</w:t>
      </w:r>
    </w:p>
    <w:p w14:paraId="20B3115C"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210" w:name="_Toc412637947"/>
    </w:p>
    <w:p w14:paraId="10ADAE19"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211" w:name="_Toc68686963"/>
      <w:bookmarkStart w:id="3212" w:name="_Toc68690561"/>
      <w:bookmarkStart w:id="3213" w:name="_Toc97034682"/>
      <w:bookmarkStart w:id="3214" w:name="_Toc97035370"/>
      <w:bookmarkStart w:id="3215" w:name="_Toc194476965"/>
      <w:bookmarkStart w:id="3216" w:name="_Toc227825447"/>
      <w:r w:rsidRPr="004853EB">
        <w:rPr>
          <w:rFonts w:eastAsia="Times New Roman" w:cstheme="minorHAnsi"/>
          <w:b/>
          <w:bCs/>
          <w:color w:val="000000"/>
          <w:sz w:val="20"/>
          <w:szCs w:val="20"/>
          <w:lang w:eastAsia="pl-PL"/>
        </w:rPr>
        <w:t>4. T</w:t>
      </w:r>
      <w:bookmarkEnd w:id="3210"/>
      <w:r w:rsidRPr="004853EB">
        <w:rPr>
          <w:rFonts w:eastAsia="Times New Roman" w:cstheme="minorHAnsi"/>
          <w:b/>
          <w:bCs/>
          <w:color w:val="000000"/>
          <w:sz w:val="20"/>
          <w:szCs w:val="20"/>
          <w:lang w:eastAsia="pl-PL"/>
        </w:rPr>
        <w:t>RANSPORT</w:t>
      </w:r>
      <w:bookmarkEnd w:id="3211"/>
      <w:bookmarkEnd w:id="3212"/>
      <w:bookmarkEnd w:id="3213"/>
      <w:bookmarkEnd w:id="3214"/>
      <w:bookmarkEnd w:id="3215"/>
      <w:bookmarkEnd w:id="3216"/>
    </w:p>
    <w:p w14:paraId="71FCA6FB"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p>
    <w:p w14:paraId="049EEA57"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217" w:name="_Toc97034683"/>
      <w:bookmarkStart w:id="3218" w:name="_Toc97035371"/>
      <w:bookmarkStart w:id="3219" w:name="_Toc194476966"/>
      <w:bookmarkStart w:id="3220" w:name="_Toc227825448"/>
      <w:r w:rsidRPr="004853EB">
        <w:rPr>
          <w:rFonts w:eastAsia="Times New Roman" w:cstheme="minorHAnsi"/>
          <w:b/>
          <w:bCs/>
          <w:color w:val="000000"/>
          <w:sz w:val="20"/>
          <w:szCs w:val="20"/>
          <w:lang w:eastAsia="pl-PL"/>
        </w:rPr>
        <w:t>4.1. Ogólne wymagania dotyczące transportu</w:t>
      </w:r>
      <w:bookmarkEnd w:id="3217"/>
      <w:bookmarkEnd w:id="3218"/>
      <w:bookmarkEnd w:id="3219"/>
      <w:bookmarkEnd w:id="3220"/>
    </w:p>
    <w:p w14:paraId="5F90C885" w14:textId="77777777" w:rsidR="00CC1EF4" w:rsidRPr="004853EB" w:rsidRDefault="00CC1EF4" w:rsidP="00CC1EF4">
      <w:pPr>
        <w:numPr>
          <w:ilvl w:val="12"/>
          <w:numId w:val="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Ogólne wymagania dotyczące transportu podano w ST D-M-00.00.00 „Wymagania ogólne” [1] pkt 4.</w:t>
      </w:r>
      <w:r w:rsidRPr="004853EB">
        <w:rPr>
          <w:rFonts w:eastAsia="Times New Roman" w:cstheme="minorHAnsi"/>
          <w:color w:val="000000"/>
          <w:sz w:val="20"/>
          <w:szCs w:val="20"/>
          <w:lang w:eastAsia="pl-PL"/>
        </w:rPr>
        <w:tab/>
      </w:r>
    </w:p>
    <w:p w14:paraId="50698A01"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7BE03395"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221" w:name="_Toc97034684"/>
      <w:bookmarkStart w:id="3222" w:name="_Toc97035372"/>
      <w:bookmarkStart w:id="3223" w:name="_Toc194476967"/>
      <w:bookmarkStart w:id="3224" w:name="_Toc227825449"/>
      <w:r w:rsidRPr="004853EB">
        <w:rPr>
          <w:rFonts w:eastAsia="Times New Roman" w:cstheme="minorHAnsi"/>
          <w:b/>
          <w:bCs/>
          <w:color w:val="000000"/>
          <w:sz w:val="20"/>
          <w:szCs w:val="20"/>
          <w:lang w:eastAsia="pl-PL"/>
        </w:rPr>
        <w:t>4.2. Transport materiałów</w:t>
      </w:r>
      <w:bookmarkEnd w:id="3221"/>
      <w:bookmarkEnd w:id="3222"/>
      <w:bookmarkEnd w:id="3223"/>
      <w:bookmarkEnd w:id="3224"/>
      <w:r w:rsidRPr="004853EB">
        <w:rPr>
          <w:rFonts w:eastAsia="Times New Roman" w:cstheme="minorHAnsi"/>
          <w:b/>
          <w:bCs/>
          <w:color w:val="000000"/>
          <w:sz w:val="20"/>
          <w:szCs w:val="20"/>
          <w:lang w:eastAsia="pl-PL"/>
        </w:rPr>
        <w:t xml:space="preserve"> </w:t>
      </w:r>
    </w:p>
    <w:p w14:paraId="6327D88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Asfalt należy przewozić zgodnie z zasadami wynikającymi z ustawy o przewozie drogowym towarów niebezpiecznych [73] wprowadzającej przepisy konwencji ADR, w cysternach kolejowych lub samochodach izolowanych i zaopatrzonych w urządzenia umożliwiające pośrednie ogrzewanie oraz w zawory spustowe.</w:t>
      </w:r>
    </w:p>
    <w:p w14:paraId="0AABC27D"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Kruszywa można przewozić dowolnymi środkami transportu, w warunkach zabezpieczających je przed zanieczyszczeniem, zmieszaniem z innymi materiałami i nadmiernym zawilgoceniem.</w:t>
      </w:r>
    </w:p>
    <w:p w14:paraId="7A50F565"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Wypełniacz należy przewozić w sposób chroniący go przed zawilgoceniem, zbryleniem </w:t>
      </w:r>
      <w:r w:rsidRPr="004853EB">
        <w:rPr>
          <w:rFonts w:eastAsia="Times New Roman" w:cstheme="minorHAnsi"/>
          <w:color w:val="000000"/>
          <w:sz w:val="20"/>
          <w:szCs w:val="20"/>
          <w:lang w:eastAsia="pl-PL"/>
        </w:rPr>
        <w:br/>
        <w:t>i zanieczyszczeniem. Wypełniacz luzem powinien być przewożony w odpowiednich cysternach przystosowanych do przewozu materiałów sypkich, umożliwiających rozładunek pneumatyczny.</w:t>
      </w:r>
    </w:p>
    <w:p w14:paraId="0EE3288B"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Środek adhezyjny, w opakowaniu producenta, może być przewożony dowolnymi środkami transportu </w:t>
      </w:r>
      <w:r w:rsidRPr="004853EB">
        <w:rPr>
          <w:rFonts w:eastAsia="Times New Roman" w:cstheme="minorHAnsi"/>
          <w:color w:val="000000"/>
          <w:sz w:val="20"/>
          <w:szCs w:val="20"/>
          <w:lang w:eastAsia="pl-PL"/>
        </w:rPr>
        <w:br/>
        <w:t xml:space="preserve">z uwzględnieniem zaleceń producenta. Opakowanie powinno być zabezpieczone tak, aby nie uległo uszkodzeniu. </w:t>
      </w:r>
    </w:p>
    <w:p w14:paraId="3B9711EC"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2D9751C5" w14:textId="3786C3BC"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Mieszankę mineralno-asfaltową </w:t>
      </w:r>
      <w:r w:rsidR="00336D00" w:rsidRPr="004853EB">
        <w:rPr>
          <w:rFonts w:eastAsia="Times New Roman" w:cstheme="minorHAnsi"/>
          <w:color w:val="000000"/>
          <w:sz w:val="20"/>
          <w:szCs w:val="20"/>
          <w:lang w:eastAsia="pl-PL"/>
        </w:rPr>
        <w:t>należy dowozić</w:t>
      </w:r>
      <w:r w:rsidRPr="004853EB">
        <w:rPr>
          <w:rFonts w:eastAsia="Times New Roman" w:cstheme="minorHAnsi"/>
          <w:color w:val="000000"/>
          <w:sz w:val="20"/>
          <w:szCs w:val="20"/>
          <w:lang w:eastAsia="pl-PL"/>
        </w:rPr>
        <w:t xml:space="preserve"> na budowę pojazdami samowyładowczymi w zależności od postępu robót. Podczas transportu i postoju przed wbudowaniem mieszanka powinna być zabezpieczona przed ostygnięciem i dopływem powietrza (przez przykrycie, pojemniki termoizolacyjne lub ogrzewane itp.). Warunki </w:t>
      </w:r>
      <w:r w:rsidRPr="004853EB">
        <w:rPr>
          <w:rFonts w:eastAsia="Times New Roman" w:cstheme="minorHAnsi"/>
          <w:color w:val="000000"/>
          <w:sz w:val="20"/>
          <w:szCs w:val="20"/>
          <w:lang w:eastAsia="pl-PL"/>
        </w:rPr>
        <w:br/>
        <w:t xml:space="preserve">i czas transportu mieszanki, od produkcji do wbudowania, powinna zapewniać utrzymanie temperatury </w:t>
      </w:r>
      <w:r w:rsidRPr="004853EB">
        <w:rPr>
          <w:rFonts w:eastAsia="Times New Roman" w:cstheme="minorHAnsi"/>
          <w:color w:val="000000"/>
          <w:sz w:val="20"/>
          <w:szCs w:val="20"/>
          <w:lang w:eastAsia="pl-PL"/>
        </w:rPr>
        <w:br/>
        <w:t xml:space="preserve">w wymaganym przedziale. Powierzchnie pojemników używanych do transportu mieszanki powinny być czyste, </w:t>
      </w:r>
      <w:r w:rsidR="00336D00">
        <w:rPr>
          <w:rFonts w:eastAsia="Times New Roman" w:cstheme="minorHAnsi"/>
          <w:color w:val="000000"/>
          <w:sz w:val="20"/>
          <w:szCs w:val="20"/>
          <w:lang w:eastAsia="pl-PL"/>
        </w:rPr>
        <w:br/>
      </w:r>
      <w:r w:rsidRPr="004853EB">
        <w:rPr>
          <w:rFonts w:eastAsia="Times New Roman" w:cstheme="minorHAnsi"/>
          <w:color w:val="000000"/>
          <w:sz w:val="20"/>
          <w:szCs w:val="20"/>
          <w:lang w:eastAsia="pl-PL"/>
        </w:rPr>
        <w:t>a do zwilżania tych powierzchni można używać tylko środki antyadhezyjne niewpływające szkodliwie na mieszankę.</w:t>
      </w:r>
    </w:p>
    <w:p w14:paraId="2128AD8A"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225" w:name="_Toc412637948"/>
    </w:p>
    <w:p w14:paraId="309638BD"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226" w:name="_Toc68686964"/>
      <w:bookmarkStart w:id="3227" w:name="_Toc68690562"/>
      <w:bookmarkStart w:id="3228" w:name="_Toc97034685"/>
      <w:bookmarkStart w:id="3229" w:name="_Toc97035373"/>
      <w:bookmarkStart w:id="3230" w:name="_Toc194476968"/>
      <w:bookmarkStart w:id="3231" w:name="_Toc227825450"/>
      <w:r w:rsidRPr="004853EB">
        <w:rPr>
          <w:rFonts w:eastAsia="Times New Roman" w:cstheme="minorHAnsi"/>
          <w:b/>
          <w:bCs/>
          <w:color w:val="000000"/>
          <w:sz w:val="20"/>
          <w:szCs w:val="20"/>
          <w:lang w:eastAsia="pl-PL"/>
        </w:rPr>
        <w:t>5. W</w:t>
      </w:r>
      <w:bookmarkEnd w:id="3225"/>
      <w:r w:rsidRPr="004853EB">
        <w:rPr>
          <w:rFonts w:eastAsia="Times New Roman" w:cstheme="minorHAnsi"/>
          <w:b/>
          <w:bCs/>
          <w:color w:val="000000"/>
          <w:sz w:val="20"/>
          <w:szCs w:val="20"/>
          <w:lang w:eastAsia="pl-PL"/>
        </w:rPr>
        <w:t>YKONANIE ROBÓT</w:t>
      </w:r>
      <w:bookmarkEnd w:id="3226"/>
      <w:bookmarkEnd w:id="3227"/>
      <w:bookmarkEnd w:id="3228"/>
      <w:bookmarkEnd w:id="3229"/>
      <w:bookmarkEnd w:id="3230"/>
      <w:bookmarkEnd w:id="3231"/>
    </w:p>
    <w:p w14:paraId="0E0B6795"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p>
    <w:p w14:paraId="66916617"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232" w:name="_Toc97034686"/>
      <w:bookmarkStart w:id="3233" w:name="_Toc97035374"/>
      <w:bookmarkStart w:id="3234" w:name="_Toc194476969"/>
      <w:bookmarkStart w:id="3235" w:name="_Toc227825451"/>
      <w:r w:rsidRPr="004853EB">
        <w:rPr>
          <w:rFonts w:eastAsia="Times New Roman" w:cstheme="minorHAnsi"/>
          <w:b/>
          <w:bCs/>
          <w:color w:val="000000"/>
          <w:sz w:val="20"/>
          <w:szCs w:val="20"/>
          <w:lang w:eastAsia="pl-PL"/>
        </w:rPr>
        <w:t>5.1. Ogólne zasady wykonania robót</w:t>
      </w:r>
      <w:bookmarkEnd w:id="3232"/>
      <w:bookmarkEnd w:id="3233"/>
      <w:bookmarkEnd w:id="3234"/>
      <w:bookmarkEnd w:id="3235"/>
    </w:p>
    <w:p w14:paraId="73066B93" w14:textId="77777777" w:rsidR="00CC1EF4" w:rsidRPr="004853EB" w:rsidRDefault="00CC1EF4" w:rsidP="00CC1EF4">
      <w:pPr>
        <w:numPr>
          <w:ilvl w:val="12"/>
          <w:numId w:val="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Ogólne zasady wykonania robót podano w ST D-M-00.00.00 „Wymagania ogólne” [1] pkt 5.</w:t>
      </w:r>
    </w:p>
    <w:p w14:paraId="5859E3D5"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0B863EEB"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236" w:name="_Toc97034687"/>
      <w:bookmarkStart w:id="3237" w:name="_Toc97035375"/>
      <w:bookmarkStart w:id="3238" w:name="_Toc194476970"/>
      <w:bookmarkStart w:id="3239" w:name="_Toc227825452"/>
      <w:r w:rsidRPr="004853EB">
        <w:rPr>
          <w:rFonts w:eastAsia="Times New Roman" w:cstheme="minorHAnsi"/>
          <w:b/>
          <w:bCs/>
          <w:color w:val="000000"/>
          <w:sz w:val="20"/>
          <w:szCs w:val="20"/>
          <w:lang w:eastAsia="pl-PL"/>
        </w:rPr>
        <w:t>5.2. Projektowanie mieszanki mineralno-asfaltowej</w:t>
      </w:r>
      <w:bookmarkEnd w:id="3236"/>
      <w:bookmarkEnd w:id="3237"/>
      <w:bookmarkEnd w:id="3238"/>
      <w:bookmarkEnd w:id="3239"/>
    </w:p>
    <w:p w14:paraId="38287D5C" w14:textId="77777777" w:rsidR="00CC1EF4" w:rsidRPr="004853EB" w:rsidRDefault="00CC1EF4" w:rsidP="00CC1EF4">
      <w:pPr>
        <w:widowControl w:val="0"/>
        <w:spacing w:after="0" w:line="240" w:lineRule="auto"/>
        <w:ind w:right="-5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Przed przystąpieniem do robót Wykonawca dostarczy Inżynierowi do akceptacji projekt składu mieszanki mineralno-asfaltowej (AC8S, AC11S), wyniki badań laboratoryjnych oraz próbki materiałów pobrane w obecności Inżyniera do wykonania badań kontrolnych przez Zamawiającego.</w:t>
      </w:r>
    </w:p>
    <w:p w14:paraId="045E10E9" w14:textId="77777777" w:rsidR="00CC1EF4" w:rsidRPr="004853EB" w:rsidRDefault="00CC1EF4" w:rsidP="00CC1EF4">
      <w:pPr>
        <w:widowControl w:val="0"/>
        <w:spacing w:after="0" w:line="240" w:lineRule="auto"/>
        <w:ind w:right="-59"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Projekt mieszanki mineralno-asfaltowej powinien określać: </w:t>
      </w:r>
    </w:p>
    <w:p w14:paraId="27BB6FFF" w14:textId="77777777" w:rsidR="00CC1EF4" w:rsidRPr="004853EB" w:rsidRDefault="00CC1EF4">
      <w:pPr>
        <w:widowControl w:val="0"/>
        <w:numPr>
          <w:ilvl w:val="0"/>
          <w:numId w:val="92"/>
        </w:numPr>
        <w:spacing w:after="0" w:line="240" w:lineRule="auto"/>
        <w:ind w:right="-5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źródło wszystkich zastosowanych materiałów,</w:t>
      </w:r>
    </w:p>
    <w:p w14:paraId="5CC449B3" w14:textId="77777777" w:rsidR="00CC1EF4" w:rsidRPr="004853EB" w:rsidRDefault="00CC1EF4">
      <w:pPr>
        <w:widowControl w:val="0"/>
        <w:numPr>
          <w:ilvl w:val="0"/>
          <w:numId w:val="92"/>
        </w:numPr>
        <w:spacing w:after="0" w:line="240" w:lineRule="auto"/>
        <w:ind w:right="-5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proporcje wszystkich składników mieszanki mineralnej,</w:t>
      </w:r>
    </w:p>
    <w:p w14:paraId="714C3D7A" w14:textId="77777777" w:rsidR="00CC1EF4" w:rsidRPr="004853EB" w:rsidRDefault="00CC1EF4">
      <w:pPr>
        <w:widowControl w:val="0"/>
        <w:numPr>
          <w:ilvl w:val="0"/>
          <w:numId w:val="92"/>
        </w:numPr>
        <w:spacing w:after="0" w:line="240" w:lineRule="auto"/>
        <w:ind w:right="-5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punkty graniczne uziarnienia,</w:t>
      </w:r>
    </w:p>
    <w:p w14:paraId="14DF6F47" w14:textId="77777777" w:rsidR="00CC1EF4" w:rsidRPr="004853EB" w:rsidRDefault="00CC1EF4">
      <w:pPr>
        <w:widowControl w:val="0"/>
        <w:numPr>
          <w:ilvl w:val="0"/>
          <w:numId w:val="92"/>
        </w:numPr>
        <w:spacing w:after="0" w:line="240" w:lineRule="auto"/>
        <w:ind w:right="-5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wyniki badań przeprowadzonych w celu określenia właściwości mieszanki i porównanie ich z wymaganiami specyfikacji,</w:t>
      </w:r>
    </w:p>
    <w:p w14:paraId="5ABCB74E" w14:textId="77777777" w:rsidR="00CC1EF4" w:rsidRPr="004853EB" w:rsidRDefault="00CC1EF4">
      <w:pPr>
        <w:widowControl w:val="0"/>
        <w:numPr>
          <w:ilvl w:val="0"/>
          <w:numId w:val="92"/>
        </w:numPr>
        <w:spacing w:after="0" w:line="240" w:lineRule="auto"/>
        <w:ind w:right="-5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wyniki badań dotyczących fizycznych właściwości kruszywa, </w:t>
      </w:r>
    </w:p>
    <w:p w14:paraId="14D1143D" w14:textId="77777777" w:rsidR="00CC1EF4" w:rsidRPr="004853EB" w:rsidRDefault="00CC1EF4">
      <w:pPr>
        <w:widowControl w:val="0"/>
        <w:numPr>
          <w:ilvl w:val="0"/>
          <w:numId w:val="92"/>
        </w:numPr>
        <w:spacing w:after="0" w:line="240" w:lineRule="auto"/>
        <w:ind w:right="-5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temperaturę wytwarzania i układania mieszanki. </w:t>
      </w:r>
    </w:p>
    <w:p w14:paraId="34022707" w14:textId="77777777" w:rsidR="00CC1EF4" w:rsidRPr="004853EB" w:rsidRDefault="00CC1EF4" w:rsidP="00CC1EF4">
      <w:pPr>
        <w:shd w:val="clear" w:color="auto" w:fill="FFFFFF"/>
        <w:spacing w:after="0" w:line="240" w:lineRule="auto"/>
        <w:ind w:right="2" w:firstLine="709"/>
        <w:jc w:val="both"/>
        <w:rPr>
          <w:rFonts w:eastAsia="Times New Roman" w:cstheme="minorHAnsi"/>
          <w:color w:val="000000"/>
          <w:spacing w:val="1"/>
          <w:sz w:val="20"/>
          <w:szCs w:val="20"/>
          <w:lang w:eastAsia="pl-PL"/>
        </w:rPr>
      </w:pPr>
      <w:r w:rsidRPr="004853EB">
        <w:rPr>
          <w:rFonts w:eastAsia="Times New Roman" w:cstheme="minorHAnsi"/>
          <w:color w:val="000000"/>
          <w:spacing w:val="1"/>
          <w:sz w:val="20"/>
          <w:szCs w:val="20"/>
          <w:lang w:eastAsia="pl-PL"/>
        </w:rPr>
        <w:t xml:space="preserve">W zagęszczaniu próbek laboratoryjnych mieszanek mineralno-asfaltowych należy stosować następujące temperatury mieszanki w zależności stosowanego asfaltu: </w:t>
      </w:r>
    </w:p>
    <w:p w14:paraId="519FFA3A" w14:textId="77777777" w:rsidR="00CC1EF4" w:rsidRPr="004853EB" w:rsidRDefault="00CC1EF4">
      <w:pPr>
        <w:numPr>
          <w:ilvl w:val="0"/>
          <w:numId w:val="93"/>
        </w:numPr>
        <w:shd w:val="clear" w:color="auto" w:fill="FFFFFF"/>
        <w:overflowPunct w:val="0"/>
        <w:autoSpaceDE w:val="0"/>
        <w:autoSpaceDN w:val="0"/>
        <w:adjustRightInd w:val="0"/>
        <w:spacing w:after="0" w:line="240" w:lineRule="auto"/>
        <w:ind w:left="360" w:right="2" w:hanging="303"/>
        <w:jc w:val="both"/>
        <w:textAlignment w:val="baseline"/>
        <w:rPr>
          <w:rFonts w:eastAsia="Times New Roman" w:cstheme="minorHAnsi"/>
          <w:color w:val="000000"/>
          <w:spacing w:val="1"/>
          <w:sz w:val="20"/>
          <w:szCs w:val="20"/>
          <w:lang w:eastAsia="pl-PL"/>
        </w:rPr>
      </w:pPr>
      <w:r w:rsidRPr="004853EB">
        <w:rPr>
          <w:rFonts w:eastAsia="Times New Roman" w:cstheme="minorHAnsi"/>
          <w:color w:val="000000"/>
          <w:spacing w:val="1"/>
          <w:sz w:val="20"/>
          <w:szCs w:val="20"/>
          <w:lang w:eastAsia="pl-PL"/>
        </w:rPr>
        <w:t>50/70 : 135°C±5°C.</w:t>
      </w:r>
    </w:p>
    <w:p w14:paraId="014F763D" w14:textId="77777777" w:rsidR="00CC1EF4" w:rsidRPr="004853EB" w:rsidRDefault="00CC1EF4" w:rsidP="00CC1EF4">
      <w:pPr>
        <w:shd w:val="clear" w:color="auto" w:fill="FFFFFF"/>
        <w:spacing w:after="0" w:line="240" w:lineRule="auto"/>
        <w:ind w:right="2" w:firstLine="709"/>
        <w:jc w:val="both"/>
        <w:rPr>
          <w:rFonts w:eastAsia="Times New Roman" w:cstheme="minorHAnsi"/>
          <w:color w:val="000000"/>
          <w:spacing w:val="2"/>
          <w:sz w:val="20"/>
          <w:szCs w:val="20"/>
          <w:lang w:eastAsia="pl-PL"/>
        </w:rPr>
      </w:pPr>
      <w:r w:rsidRPr="004853EB">
        <w:rPr>
          <w:rFonts w:eastAsia="Times New Roman" w:cstheme="minorHAnsi"/>
          <w:color w:val="000000"/>
          <w:spacing w:val="1"/>
          <w:sz w:val="20"/>
          <w:szCs w:val="20"/>
          <w:lang w:eastAsia="pl-PL"/>
        </w:rPr>
        <w:t xml:space="preserve">Recepta powinna być zaprojektowana dla konkretnych materiałów, zaakceptowanych przez Inżyniera, do wbudowania i przy wykorzystaniu reprezentatywnych próbek tych materiałów.  </w:t>
      </w:r>
    </w:p>
    <w:p w14:paraId="6077BC9A" w14:textId="77777777" w:rsidR="00CC1EF4" w:rsidRPr="004853EB" w:rsidRDefault="00CC1EF4" w:rsidP="00CC1EF4">
      <w:pPr>
        <w:shd w:val="clear" w:color="auto" w:fill="FFFFFF"/>
        <w:spacing w:after="0" w:line="240" w:lineRule="auto"/>
        <w:ind w:right="2" w:firstLine="709"/>
        <w:jc w:val="both"/>
        <w:rPr>
          <w:rFonts w:eastAsia="Times New Roman" w:cstheme="minorHAnsi"/>
          <w:color w:val="000000"/>
          <w:spacing w:val="2"/>
          <w:sz w:val="20"/>
          <w:szCs w:val="20"/>
          <w:lang w:eastAsia="pl-PL"/>
        </w:rPr>
      </w:pPr>
      <w:r w:rsidRPr="004853EB">
        <w:rPr>
          <w:rFonts w:eastAsia="Times New Roman" w:cstheme="minorHAnsi"/>
          <w:color w:val="000000"/>
          <w:spacing w:val="2"/>
          <w:sz w:val="20"/>
          <w:szCs w:val="20"/>
          <w:lang w:eastAsia="pl-PL"/>
        </w:rPr>
        <w:t xml:space="preserve">Jeżeli mieszanka mineralno-asfaltowa jest dostarczana z kilku wytwórni lub od kilku producentów, </w:t>
      </w:r>
      <w:r w:rsidRPr="004853EB">
        <w:rPr>
          <w:rFonts w:eastAsia="Times New Roman" w:cstheme="minorHAnsi"/>
          <w:color w:val="000000"/>
          <w:spacing w:val="2"/>
          <w:sz w:val="20"/>
          <w:szCs w:val="20"/>
          <w:lang w:eastAsia="pl-PL"/>
        </w:rPr>
        <w:br/>
        <w:t>to należy zapewnić zgodność typu i wymiaru mieszanki oraz spełnienie wymaganej dokumentacji projektowej.</w:t>
      </w:r>
    </w:p>
    <w:p w14:paraId="6C8B53DC" w14:textId="77777777" w:rsidR="00CC1EF4" w:rsidRPr="004853EB" w:rsidRDefault="00CC1EF4" w:rsidP="00CC1EF4">
      <w:pPr>
        <w:shd w:val="clear" w:color="auto" w:fill="FFFFFF"/>
        <w:spacing w:after="0" w:line="240" w:lineRule="auto"/>
        <w:ind w:right="2" w:firstLine="709"/>
        <w:jc w:val="both"/>
        <w:rPr>
          <w:rFonts w:eastAsia="Times New Roman" w:cstheme="minorHAnsi"/>
          <w:color w:val="000000"/>
          <w:spacing w:val="1"/>
          <w:sz w:val="20"/>
          <w:szCs w:val="20"/>
          <w:lang w:eastAsia="pl-PL"/>
        </w:rPr>
      </w:pPr>
      <w:r w:rsidRPr="004853EB">
        <w:rPr>
          <w:rFonts w:eastAsia="Times New Roman" w:cstheme="minorHAnsi"/>
          <w:color w:val="000000"/>
          <w:spacing w:val="2"/>
          <w:sz w:val="20"/>
          <w:szCs w:val="20"/>
          <w:lang w:eastAsia="pl-PL"/>
        </w:rPr>
        <w:t xml:space="preserve">Każda zmiana składników mieszanki w czasie trwania robót wymaga akceptacji Inżyniera </w:t>
      </w:r>
      <w:r w:rsidRPr="004853EB">
        <w:rPr>
          <w:rFonts w:eastAsia="Times New Roman" w:cstheme="minorHAnsi"/>
          <w:color w:val="000000"/>
          <w:spacing w:val="1"/>
          <w:sz w:val="20"/>
          <w:szCs w:val="20"/>
          <w:lang w:eastAsia="pl-PL"/>
        </w:rPr>
        <w:t xml:space="preserve">oraz opracowania nowej recepty i jej zatwierdzenia.  </w:t>
      </w:r>
    </w:p>
    <w:p w14:paraId="381D0427"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14:paraId="4C350EEE" w14:textId="4B5DB1D3"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Akceptacja recepty przez Inżyniera może nastąpić na podstawie przedstawionych przez Wykonawcę badań typu i sprawozdania z próby technologicznej. W </w:t>
      </w:r>
      <w:r w:rsidR="00336D00" w:rsidRPr="004853EB">
        <w:rPr>
          <w:rFonts w:eastAsia="Times New Roman" w:cstheme="minorHAnsi"/>
          <w:color w:val="000000"/>
          <w:sz w:val="20"/>
          <w:szCs w:val="20"/>
          <w:lang w:eastAsia="pl-PL"/>
        </w:rPr>
        <w:t>przypadku,</w:t>
      </w:r>
      <w:r w:rsidRPr="004853EB">
        <w:rPr>
          <w:rFonts w:eastAsia="Times New Roman" w:cstheme="minorHAnsi"/>
          <w:color w:val="000000"/>
          <w:sz w:val="20"/>
          <w:szCs w:val="20"/>
          <w:lang w:eastAsia="pl-PL"/>
        </w:rPr>
        <w:t xml:space="preserve"> kiedy Inżynier, w celu akceptacji recepty </w:t>
      </w:r>
      <w:r w:rsidRPr="004853EB">
        <w:rPr>
          <w:rFonts w:eastAsia="Times New Roman" w:cstheme="minorHAnsi"/>
          <w:color w:val="000000"/>
          <w:sz w:val="20"/>
          <w:szCs w:val="20"/>
          <w:lang w:eastAsia="pl-PL"/>
        </w:rPr>
        <w:lastRenderedPageBreak/>
        <w:t xml:space="preserve">mieszanki mineralno-asfaltowej, zdecyduje się wykonać dodatkowo niezależne badania, Wykonawca dostarczy zgodnie </w:t>
      </w:r>
      <w:r w:rsidRPr="004853EB">
        <w:rPr>
          <w:rFonts w:eastAsia="Times New Roman" w:cstheme="minorHAnsi"/>
          <w:color w:val="000000"/>
          <w:sz w:val="20"/>
          <w:szCs w:val="20"/>
          <w:lang w:eastAsia="pl-PL"/>
        </w:rPr>
        <w:br/>
        <w:t>z wymaganiami Inżyniera próbki wszystkich składników mieszanki.</w:t>
      </w:r>
    </w:p>
    <w:p w14:paraId="2A8A943B"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Zaakceptowana recepta stanowi ważną podstawę produkcji.</w:t>
      </w:r>
    </w:p>
    <w:p w14:paraId="2165781F"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4CBE0B30"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240" w:name="_Toc97034688"/>
      <w:bookmarkStart w:id="3241" w:name="_Toc97035376"/>
      <w:bookmarkStart w:id="3242" w:name="_Toc194476971"/>
      <w:bookmarkStart w:id="3243" w:name="_Toc227825453"/>
      <w:r w:rsidRPr="004853EB">
        <w:rPr>
          <w:rFonts w:eastAsia="Times New Roman" w:cstheme="minorHAnsi"/>
          <w:b/>
          <w:bCs/>
          <w:color w:val="000000"/>
          <w:sz w:val="20"/>
          <w:szCs w:val="20"/>
          <w:lang w:eastAsia="pl-PL"/>
        </w:rPr>
        <w:t>5.3. Wytwarzanie mieszanki mineralno-asfaltowej</w:t>
      </w:r>
      <w:bookmarkEnd w:id="3240"/>
      <w:bookmarkEnd w:id="3241"/>
      <w:bookmarkEnd w:id="3242"/>
      <w:bookmarkEnd w:id="3243"/>
    </w:p>
    <w:p w14:paraId="31C006A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w:t>
      </w:r>
      <w:r w:rsidRPr="004853EB">
        <w:rPr>
          <w:rFonts w:eastAsia="Times New Roman" w:cstheme="minorHAnsi"/>
          <w:color w:val="000000"/>
          <w:sz w:val="20"/>
          <w:szCs w:val="20"/>
          <w:lang w:eastAsia="pl-PL"/>
        </w:rPr>
        <w:noBreakHyphen/>
        <w:t xml:space="preserve">EN 13108-21 [53]. </w:t>
      </w:r>
    </w:p>
    <w:p w14:paraId="2ECD1DA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0DF82ED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Lepiszcze asfaltowe należy przechowywać w zbiorniku z pośrednim systemem ogrzewania, z układem termostatowania zapewniającym utrzymanie żądanej temperatury z dokładnością ± 5°C. Temperatura lepiszcza asfaltowego w zbiorniku magazynowym (roboczym) nie może przekraczać wartości podanych w pkcie 2.2.</w:t>
      </w:r>
    </w:p>
    <w:p w14:paraId="052ADD42" w14:textId="77777777" w:rsidR="00CC1EF4" w:rsidRPr="004853EB" w:rsidRDefault="00CC1EF4" w:rsidP="00CC1EF4">
      <w:pPr>
        <w:spacing w:after="0" w:line="240" w:lineRule="auto"/>
        <w:ind w:firstLine="708"/>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Kruszywo (ewentualnie z wypełniaczem) powinno być wysuszone i podgrzane tak, aby mieszanka mineralna uzyskała temperaturę właściwą do otoczenia lepiszczem asfaltowym. Temperatura mieszanki mineralnej nie powinna być wyższa o więcej niż 30</w:t>
      </w:r>
      <w:r w:rsidRPr="004853EB">
        <w:rPr>
          <w:rFonts w:eastAsia="Times New Roman" w:cstheme="minorHAnsi"/>
          <w:color w:val="000000"/>
          <w:sz w:val="20"/>
          <w:szCs w:val="20"/>
          <w:vertAlign w:val="superscript"/>
          <w:lang w:eastAsia="pl-PL"/>
        </w:rPr>
        <w:t>o</w:t>
      </w:r>
      <w:r w:rsidRPr="004853EB">
        <w:rPr>
          <w:rFonts w:eastAsia="Times New Roman" w:cstheme="minorHAnsi"/>
          <w:color w:val="000000"/>
          <w:sz w:val="20"/>
          <w:szCs w:val="20"/>
          <w:lang w:eastAsia="pl-PL"/>
        </w:rPr>
        <w:t xml:space="preserve">C od najwyższej temperatury mieszanki mineralno-asfaltowej podanej </w:t>
      </w:r>
      <w:r w:rsidRPr="004853EB">
        <w:rPr>
          <w:rFonts w:eastAsia="Times New Roman" w:cstheme="minorHAnsi"/>
          <w:color w:val="000000"/>
          <w:sz w:val="20"/>
          <w:szCs w:val="20"/>
          <w:lang w:eastAsia="pl-PL"/>
        </w:rPr>
        <w:br/>
        <w:t xml:space="preserve">w tablicy 16. W tej tablicy najniższa temperatura dotyczy mieszanki mineralno-asfaltowej dostarczonej na miejsce wbudowania, a najwyższa temperatura dotyczy mieszanki mineralno-asfaltowej bezpośrednio po wytworzeniu </w:t>
      </w:r>
      <w:r w:rsidRPr="004853EB">
        <w:rPr>
          <w:rFonts w:eastAsia="Times New Roman" w:cstheme="minorHAnsi"/>
          <w:color w:val="000000"/>
          <w:sz w:val="20"/>
          <w:szCs w:val="20"/>
          <w:lang w:eastAsia="pl-PL"/>
        </w:rPr>
        <w:br/>
        <w:t>w wytwórni.</w:t>
      </w:r>
    </w:p>
    <w:p w14:paraId="5876E1F3"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Tablica 16. Najwyższa i najniższa temperatura mieszanki AC [70]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0"/>
        <w:gridCol w:w="3071"/>
      </w:tblGrid>
      <w:tr w:rsidR="00CC1EF4" w:rsidRPr="004853EB" w14:paraId="216C81EC" w14:textId="77777777" w:rsidTr="00E95D02">
        <w:tc>
          <w:tcPr>
            <w:tcW w:w="2640" w:type="dxa"/>
          </w:tcPr>
          <w:p w14:paraId="63C71139"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Lepiszcze asfaltowe</w:t>
            </w:r>
          </w:p>
        </w:tc>
        <w:tc>
          <w:tcPr>
            <w:tcW w:w="3071" w:type="dxa"/>
          </w:tcPr>
          <w:p w14:paraId="66ECB1C3"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Temperatura mieszanki [°C]</w:t>
            </w:r>
          </w:p>
        </w:tc>
      </w:tr>
      <w:tr w:rsidR="00CC1EF4" w:rsidRPr="004853EB" w14:paraId="0FB036AB" w14:textId="77777777" w:rsidTr="00E95D02">
        <w:tc>
          <w:tcPr>
            <w:tcW w:w="2640" w:type="dxa"/>
          </w:tcPr>
          <w:p w14:paraId="5AC10CC8" w14:textId="77777777" w:rsidR="00CC1EF4" w:rsidRPr="004853EB" w:rsidRDefault="00CC1EF4" w:rsidP="00CC1EF4">
            <w:pPr>
              <w:spacing w:before="6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Asfalt 50/70</w:t>
            </w:r>
          </w:p>
        </w:tc>
        <w:tc>
          <w:tcPr>
            <w:tcW w:w="3071" w:type="dxa"/>
          </w:tcPr>
          <w:p w14:paraId="3B142A86" w14:textId="77777777" w:rsidR="00CC1EF4" w:rsidRPr="004853EB" w:rsidRDefault="00CC1EF4" w:rsidP="00CC1EF4">
            <w:pPr>
              <w:spacing w:before="6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 140 do 180</w:t>
            </w:r>
          </w:p>
        </w:tc>
      </w:tr>
    </w:tbl>
    <w:p w14:paraId="762DE561" w14:textId="77777777" w:rsidR="00CC1EF4" w:rsidRPr="004853EB" w:rsidRDefault="00CC1EF4" w:rsidP="00CC1EF4">
      <w:pPr>
        <w:spacing w:before="120"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Podana temperatura nie znajduje zastosowania do mieszanek mineralno-asfaltowych, do których jest dodawany dodatek w celu obniżenia temperatury jej wytwarzania i wbudowania lub gdy stosowane lepiszcze asfaltowe zawiera taki środek.</w:t>
      </w:r>
    </w:p>
    <w:p w14:paraId="59C5C15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Sposób i czas mieszania składników mieszanki mineralno-asfaltowej powinny zapewnić równomierne otoczenie kruszywa lepiszczem asfaltowym.</w:t>
      </w:r>
    </w:p>
    <w:p w14:paraId="1296C6E7" w14:textId="61440F6B"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Dodatki modyfikujące lub stabilizujące do </w:t>
      </w:r>
      <w:r w:rsidR="00336D00" w:rsidRPr="004853EB">
        <w:rPr>
          <w:rFonts w:eastAsia="Times New Roman" w:cstheme="minorHAnsi"/>
          <w:color w:val="000000"/>
          <w:sz w:val="20"/>
          <w:szCs w:val="20"/>
          <w:lang w:eastAsia="pl-PL"/>
        </w:rPr>
        <w:t>mieszanki mineralno</w:t>
      </w:r>
      <w:r w:rsidRPr="004853EB">
        <w:rPr>
          <w:rFonts w:eastAsia="Times New Roman" w:cstheme="minorHAnsi"/>
          <w:color w:val="000000"/>
          <w:sz w:val="20"/>
          <w:szCs w:val="20"/>
          <w:lang w:eastAsia="pl-PL"/>
        </w:rPr>
        <w:t xml:space="preserve">-asfaltowej mogą być dodawane </w:t>
      </w:r>
      <w:r w:rsidR="00336D00">
        <w:rPr>
          <w:rFonts w:eastAsia="Times New Roman" w:cstheme="minorHAnsi"/>
          <w:color w:val="000000"/>
          <w:sz w:val="20"/>
          <w:szCs w:val="20"/>
          <w:lang w:eastAsia="pl-PL"/>
        </w:rPr>
        <w:br/>
      </w:r>
      <w:r w:rsidRPr="004853EB">
        <w:rPr>
          <w:rFonts w:eastAsia="Times New Roman" w:cstheme="minorHAnsi"/>
          <w:color w:val="000000"/>
          <w:sz w:val="20"/>
          <w:szCs w:val="20"/>
          <w:lang w:eastAsia="pl-PL"/>
        </w:rPr>
        <w:t xml:space="preserve">w postaci stałej lub ciekłej. System dozowania powinien zapewnić jednorodność dozowania dodatków i ich wymieszania </w:t>
      </w:r>
      <w:r w:rsidRPr="004853EB">
        <w:rPr>
          <w:rFonts w:eastAsia="Times New Roman" w:cstheme="minorHAnsi"/>
          <w:color w:val="000000"/>
          <w:sz w:val="20"/>
          <w:szCs w:val="20"/>
          <w:lang w:eastAsia="pl-PL"/>
        </w:rPr>
        <w:br/>
        <w:t xml:space="preserve">w wytwarzanej mieszance. Warunki wytwarzania i przechowywania mieszanki mineralno-asfaltowej na gorąco nie powinny istotnie wpływać na skuteczność działania tych dodatków. </w:t>
      </w:r>
    </w:p>
    <w:p w14:paraId="3D594A69"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Dopuszcza się dostawy mieszanek mineralno-asfaltowych z kilku wytwórni, pod warunkiem skoordynowania między sobą deklarowanych przydatności mieszanek (m.in.: typ, rodzaj składników, właściwości objętościowe) z zachowaniem braku różnic w ich właściwościach, m. in. barwy warstwy ścieralnej.</w:t>
      </w:r>
    </w:p>
    <w:p w14:paraId="2588645B"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Produkcja powinna być tak zaplanowana, aby nie dopuścić do zbyt długiego przechowywania mieszanki </w:t>
      </w:r>
      <w:r w:rsidRPr="004853EB">
        <w:rPr>
          <w:rFonts w:eastAsia="Times New Roman" w:cstheme="minorHAnsi"/>
          <w:color w:val="000000"/>
          <w:sz w:val="20"/>
          <w:szCs w:val="20"/>
          <w:lang w:eastAsia="pl-PL"/>
        </w:rPr>
        <w:br/>
        <w:t xml:space="preserve">w silosach; należy wykluczyć możliwość szkodliwych zmian. </w:t>
      </w:r>
    </w:p>
    <w:p w14:paraId="7C7EB219" w14:textId="540BBC4F"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Czas przechowywania – magazynowania </w:t>
      </w:r>
      <w:r w:rsidR="00336D00" w:rsidRPr="004853EB">
        <w:rPr>
          <w:rFonts w:eastAsia="Times New Roman" w:cstheme="minorHAnsi"/>
          <w:color w:val="000000"/>
          <w:sz w:val="20"/>
          <w:szCs w:val="20"/>
          <w:lang w:eastAsia="pl-PL"/>
        </w:rPr>
        <w:t>mieszanki MMA</w:t>
      </w:r>
      <w:r w:rsidRPr="004853EB">
        <w:rPr>
          <w:rFonts w:eastAsia="Times New Roman" w:cstheme="minorHAnsi"/>
          <w:color w:val="000000"/>
          <w:sz w:val="20"/>
          <w:szCs w:val="20"/>
          <w:lang w:eastAsia="pl-PL"/>
        </w:rPr>
        <w:t xml:space="preserve"> powinien uwzględniać możliwości wytwórni (sposób podgrzewania silosów gotowej mieszanki MMA i rodzaj izolacji), warunki </w:t>
      </w:r>
      <w:r w:rsidR="00336D00" w:rsidRPr="004853EB">
        <w:rPr>
          <w:rFonts w:eastAsia="Times New Roman" w:cstheme="minorHAnsi"/>
          <w:color w:val="000000"/>
          <w:sz w:val="20"/>
          <w:szCs w:val="20"/>
          <w:lang w:eastAsia="pl-PL"/>
        </w:rPr>
        <w:t>atmosferyczne oraz</w:t>
      </w:r>
      <w:r w:rsidRPr="004853EB">
        <w:rPr>
          <w:rFonts w:eastAsia="Times New Roman" w:cstheme="minorHAnsi"/>
          <w:color w:val="000000"/>
          <w:sz w:val="20"/>
          <w:szCs w:val="20"/>
          <w:lang w:eastAsia="pl-PL"/>
        </w:rPr>
        <w:t xml:space="preserve"> czas transportu na budowę. </w:t>
      </w:r>
    </w:p>
    <w:p w14:paraId="23836E62"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042E5E7A"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244" w:name="_Toc97034689"/>
      <w:bookmarkStart w:id="3245" w:name="_Toc97035377"/>
      <w:bookmarkStart w:id="3246" w:name="_Toc194476972"/>
      <w:bookmarkStart w:id="3247" w:name="_Toc227825454"/>
      <w:r w:rsidRPr="004853EB">
        <w:rPr>
          <w:rFonts w:eastAsia="Times New Roman" w:cstheme="minorHAnsi"/>
          <w:b/>
          <w:bCs/>
          <w:color w:val="000000"/>
          <w:sz w:val="20"/>
          <w:szCs w:val="20"/>
          <w:lang w:eastAsia="pl-PL"/>
        </w:rPr>
        <w:t>5.4. Przygotowanie podłoża</w:t>
      </w:r>
      <w:bookmarkEnd w:id="3244"/>
      <w:bookmarkEnd w:id="3245"/>
      <w:bookmarkEnd w:id="3246"/>
      <w:bookmarkEnd w:id="3247"/>
    </w:p>
    <w:p w14:paraId="01EB1CA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Podłoże (warstwa wyrównawcza, warstwa wiążąca lub stara warstwa ścieralna) pod warstwę ścieralną </w:t>
      </w:r>
      <w:r w:rsidRPr="004853EB">
        <w:rPr>
          <w:rFonts w:eastAsia="Times New Roman" w:cstheme="minorHAnsi"/>
          <w:color w:val="000000"/>
          <w:sz w:val="20"/>
          <w:szCs w:val="20"/>
          <w:lang w:eastAsia="pl-PL"/>
        </w:rPr>
        <w:br/>
        <w:t>z betonu asfaltowego powinno być na całej powierzchni:</w:t>
      </w:r>
    </w:p>
    <w:p w14:paraId="33B609B5" w14:textId="77777777" w:rsidR="00CC1EF4" w:rsidRPr="004853EB" w:rsidRDefault="00CC1EF4">
      <w:pPr>
        <w:numPr>
          <w:ilvl w:val="0"/>
          <w:numId w:val="90"/>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ustabilizowane i nośne,</w:t>
      </w:r>
    </w:p>
    <w:p w14:paraId="699F2797" w14:textId="77777777" w:rsidR="00CC1EF4" w:rsidRPr="004853EB" w:rsidRDefault="00CC1EF4">
      <w:pPr>
        <w:numPr>
          <w:ilvl w:val="0"/>
          <w:numId w:val="90"/>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czyste, bez zanieczyszczenia lub pozostałości luźnego kruszywa,</w:t>
      </w:r>
    </w:p>
    <w:p w14:paraId="19BEBD99" w14:textId="77777777" w:rsidR="00CC1EF4" w:rsidRPr="004853EB" w:rsidRDefault="00CC1EF4">
      <w:pPr>
        <w:numPr>
          <w:ilvl w:val="0"/>
          <w:numId w:val="90"/>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wyprofilowane, równe i bez kolein,</w:t>
      </w:r>
    </w:p>
    <w:p w14:paraId="457C6615" w14:textId="77777777" w:rsidR="00CC1EF4" w:rsidRPr="004853EB" w:rsidRDefault="00CC1EF4">
      <w:pPr>
        <w:numPr>
          <w:ilvl w:val="0"/>
          <w:numId w:val="90"/>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suche.</w:t>
      </w:r>
    </w:p>
    <w:p w14:paraId="506502C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ab/>
        <w:t>Rzędne wysokościowe podłoża oraz urządzeń usytuowanych w nawierzchni lub ją ograniczających powinny być zgodne z dokumentacją projektową. Z podłoża powinien być zapewniony odpływ wody.</w:t>
      </w:r>
    </w:p>
    <w:p w14:paraId="4E2778C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Oznakowanie poziome na warstwie podłoża należy usunąć.</w:t>
      </w:r>
    </w:p>
    <w:p w14:paraId="5B5091B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Nierówności podłoża (w tym powierzchnię istniejącej warstwy ścieralnej) należy wyrównać poprzez frezowanie lub wykonanie warstwy wyrównawczej.</w:t>
      </w:r>
    </w:p>
    <w:p w14:paraId="3CF371F3"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Wymagana równość jest określona w rozporządzeniu w sprawie warunków technicznych, jakim powinny odpowiadać drogi publiczne i ich usytuowanie [72].</w:t>
      </w:r>
    </w:p>
    <w:p w14:paraId="626747E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14:paraId="2F3E2D7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W celu polepszenia połączenia między warstwami technologicznymi nawierzchni powierzchnia podłoża powinna być w ocenie wizualnej chropowata.</w:t>
      </w:r>
    </w:p>
    <w:p w14:paraId="7F6382E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Szerokie szczeliny w podłożu należy wypełnić odpowiednim materiałem, np. zalewami drogowymi według PN-EN 14188-1 [65] lub PN-EN 14188-2 [66] albo innymi materiałami według norm lub aprobat technicznych.</w:t>
      </w:r>
    </w:p>
    <w:p w14:paraId="27A0B83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Na podłożu wykazującym zniszczenia w postaci siatki spękań zmęczeniowych lub spękań poprzecznych zaleca się stosowanie membrany przeciwspękaniowej, np. mieszanki mineralno-asfaltowej, warstwy SAMI lub </w:t>
      </w:r>
      <w:r w:rsidRPr="004853EB">
        <w:rPr>
          <w:rFonts w:eastAsia="Times New Roman" w:cstheme="minorHAnsi"/>
          <w:color w:val="000000"/>
          <w:sz w:val="20"/>
          <w:szCs w:val="20"/>
          <w:lang w:eastAsia="pl-PL"/>
        </w:rPr>
        <w:br/>
        <w:t>z geosyntetyków według norm lub aprobat technicznych.</w:t>
      </w:r>
    </w:p>
    <w:p w14:paraId="5BC91FE1"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4DD8D028"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248" w:name="_Toc97034690"/>
      <w:bookmarkStart w:id="3249" w:name="_Toc97035378"/>
      <w:bookmarkStart w:id="3250" w:name="_Toc194476973"/>
      <w:bookmarkStart w:id="3251" w:name="_Toc227825455"/>
      <w:r w:rsidRPr="004853EB">
        <w:rPr>
          <w:rFonts w:eastAsia="Times New Roman" w:cstheme="minorHAnsi"/>
          <w:b/>
          <w:bCs/>
          <w:color w:val="000000"/>
          <w:sz w:val="20"/>
          <w:szCs w:val="20"/>
          <w:lang w:eastAsia="pl-PL"/>
        </w:rPr>
        <w:t>5.5. Próba technologiczna</w:t>
      </w:r>
      <w:bookmarkEnd w:id="3248"/>
      <w:bookmarkEnd w:id="3249"/>
      <w:bookmarkEnd w:id="3250"/>
      <w:bookmarkEnd w:id="3251"/>
    </w:p>
    <w:p w14:paraId="11B66B1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Wykonawca przed przystąpieniem do produkcji mieszanki jest zobowiązany do przeprowadzenia </w:t>
      </w:r>
      <w:r w:rsidRPr="004853EB">
        <w:rPr>
          <w:rFonts w:eastAsia="Times New Roman" w:cstheme="minorHAnsi"/>
          <w:color w:val="000000"/>
          <w:sz w:val="20"/>
          <w:szCs w:val="20"/>
          <w:lang w:eastAsia="pl-PL"/>
        </w:rPr>
        <w:br/>
        <w:t xml:space="preserve">w obecności Inżyniera próby technologicznej, która ma na celu sprawdzenie zgodności właściwości wyprodukowanej mieszanki z receptą. W tym celu należy zaprogramować otaczarkę zgodnie z receptą roboczą </w:t>
      </w:r>
      <w:r w:rsidRPr="004853EB">
        <w:rPr>
          <w:rFonts w:eastAsia="Times New Roman" w:cstheme="minorHAnsi"/>
          <w:color w:val="000000"/>
          <w:sz w:val="20"/>
          <w:szCs w:val="20"/>
          <w:lang w:eastAsia="pl-PL"/>
        </w:rPr>
        <w:br/>
        <w:t xml:space="preserve">i w cyklu automatycznym produkować mieszankę. Do badań należy pobrać mieszankę wyprodukowaną po ustabilizowaniu się pracy otaczarki. W przypadku produkcji mieszanki mineralno- asfaltowej w kilku otaczarkach próba powinna być przeprowadzona na każdej wytwórni. </w:t>
      </w:r>
    </w:p>
    <w:p w14:paraId="1E36518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Nie dopuszcza się oceniania dokładności pracy otaczarki oraz prawidłowości składu mieszanki mineralnej na podstawie tzw. suchego zarobu, z uwagi na możliwą segregację kruszywa.</w:t>
      </w:r>
    </w:p>
    <w:p w14:paraId="24E28688"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Do próby technologicznej Wykonawca użyje takich materiałów, jakie będą stosowane do wykonania właściwej mieszanki mineralno-asfaltowej. </w:t>
      </w:r>
    </w:p>
    <w:p w14:paraId="214FC4C2"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 czasie wykonywania zarobu próbnego dozowania ilościowe poszczególnych materiałów składowych mieszanki mineralno-asfaltowej powinny być zgodne z ilościami podanymi w przedłożonej przez Wykonawcę </w:t>
      </w:r>
      <w:r w:rsidRPr="004853EB">
        <w:rPr>
          <w:rFonts w:eastAsia="Times New Roman" w:cstheme="minorHAnsi"/>
          <w:color w:val="000000"/>
          <w:sz w:val="20"/>
          <w:szCs w:val="20"/>
          <w:lang w:eastAsia="pl-PL"/>
        </w:rPr>
        <w:br/>
        <w:t>i zatwierdzonej przez Inżyniera recepcie. Sprawdzenie zawartości asfaltu w mieszance określa się wykonując ekstrakcję. Sprawdzenie uziarnienia mieszanki mineralnej wykonuje się poprzez analizę sitową kruszywa.</w:t>
      </w:r>
    </w:p>
    <w:p w14:paraId="0C3C068B" w14:textId="0B106B38"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t>
      </w:r>
      <w:r w:rsidR="00336D00">
        <w:rPr>
          <w:rFonts w:eastAsia="Times New Roman" w:cstheme="minorHAnsi"/>
          <w:color w:val="000000"/>
          <w:sz w:val="20"/>
          <w:szCs w:val="20"/>
          <w:lang w:eastAsia="pl-PL"/>
        </w:rPr>
        <w:br/>
      </w:r>
      <w:r w:rsidRPr="004853EB">
        <w:rPr>
          <w:rFonts w:eastAsia="Times New Roman" w:cstheme="minorHAnsi"/>
          <w:color w:val="000000"/>
          <w:sz w:val="20"/>
          <w:szCs w:val="20"/>
          <w:lang w:eastAsia="pl-PL"/>
        </w:rPr>
        <w:t xml:space="preserve">w punkcie 6.  </w:t>
      </w:r>
    </w:p>
    <w:p w14:paraId="75D3C195" w14:textId="0FEDF3AD"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Mieszankę wyprodukowaną po ustabilizowaniu się pracy otaczarki należy zgromadzić w silosie lub załadować na samochód. Próbki do badań należy pobierać ze skrzyni samochodu zgodnie z metodą określoną </w:t>
      </w:r>
      <w:r w:rsidR="00336D00">
        <w:rPr>
          <w:rFonts w:eastAsia="Times New Roman" w:cstheme="minorHAnsi"/>
          <w:color w:val="000000"/>
          <w:sz w:val="20"/>
          <w:szCs w:val="20"/>
          <w:lang w:eastAsia="pl-PL"/>
        </w:rPr>
        <w:br/>
      </w:r>
      <w:r w:rsidRPr="004853EB">
        <w:rPr>
          <w:rFonts w:eastAsia="Times New Roman" w:cstheme="minorHAnsi"/>
          <w:color w:val="000000"/>
          <w:sz w:val="20"/>
          <w:szCs w:val="20"/>
          <w:lang w:eastAsia="pl-PL"/>
        </w:rPr>
        <w:t>w PN-EN 12697-27 [43].</w:t>
      </w:r>
    </w:p>
    <w:p w14:paraId="57B66F1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Na podstawie uzyskanych wyników Inżynier podejmuje decyzję o wykonaniu odcinka próbnego.</w:t>
      </w:r>
    </w:p>
    <w:p w14:paraId="0CD05F82"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30ECC0C4"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252" w:name="_Toc97034691"/>
      <w:bookmarkStart w:id="3253" w:name="_Toc97035379"/>
      <w:bookmarkStart w:id="3254" w:name="_Toc194476974"/>
      <w:bookmarkStart w:id="3255" w:name="_Toc227825456"/>
      <w:r w:rsidRPr="004853EB">
        <w:rPr>
          <w:rFonts w:eastAsia="Times New Roman" w:cstheme="minorHAnsi"/>
          <w:b/>
          <w:bCs/>
          <w:color w:val="000000"/>
          <w:sz w:val="20"/>
          <w:szCs w:val="20"/>
          <w:lang w:eastAsia="pl-PL"/>
        </w:rPr>
        <w:t>5.6. Odcinek próbny</w:t>
      </w:r>
      <w:bookmarkEnd w:id="3252"/>
      <w:bookmarkEnd w:id="3253"/>
      <w:bookmarkEnd w:id="3254"/>
      <w:bookmarkEnd w:id="3255"/>
    </w:p>
    <w:p w14:paraId="05ABDE12"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Zaakceptowanie przez Inżyniera wyników badań próbek z próbnego zarobu stanowi podstawę </w:t>
      </w:r>
      <w:r w:rsidRPr="004853EB">
        <w:rPr>
          <w:rFonts w:eastAsia="Times New Roman" w:cstheme="minorHAnsi"/>
          <w:color w:val="000000"/>
          <w:sz w:val="20"/>
          <w:szCs w:val="20"/>
          <w:lang w:eastAsia="pl-PL"/>
        </w:rPr>
        <w:br/>
        <w:t xml:space="preserve">do wykonania przez Wykonawcę odcinka próbnego. Za zgodą Inżyniera można połączyć wykonanie próby technologicznej z wykonaniem odcinka próbnego. W takim przypadku zaleca się pobrać próbki mieszanki mineralno-asfaltowej do badań zza rozściełacza, wg pktu 4.3, 4.5, 4.6 PN-EN12697-27 [43]. </w:t>
      </w:r>
    </w:p>
    <w:p w14:paraId="2D731B3A"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 przypadku braku innych uzgodnień z Inżynierem, Wykonawca powinien wykonać odcinek próbny co najmniej na trzy dni przed rozpoczęciem robót, w celu:</w:t>
      </w:r>
    </w:p>
    <w:p w14:paraId="33E84CDF" w14:textId="77777777" w:rsidR="00CC1EF4" w:rsidRPr="004853EB" w:rsidRDefault="00CC1EF4">
      <w:pPr>
        <w:numPr>
          <w:ilvl w:val="0"/>
          <w:numId w:val="94"/>
        </w:numPr>
        <w:spacing w:after="0" w:line="240" w:lineRule="auto"/>
        <w:contextualSpacing/>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sprawdzenia czy użyty sprzęt jest właściwy,</w:t>
      </w:r>
    </w:p>
    <w:p w14:paraId="71D9E7D1" w14:textId="77777777" w:rsidR="00CC1EF4" w:rsidRPr="004853EB" w:rsidRDefault="00CC1EF4">
      <w:pPr>
        <w:numPr>
          <w:ilvl w:val="0"/>
          <w:numId w:val="94"/>
        </w:numPr>
        <w:spacing w:after="0" w:line="240" w:lineRule="auto"/>
        <w:contextualSpacing/>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określenia grubości warstwy mieszanki mineralno-asfaltowej przed zagęszczeniem, koniecznej do uzyskania wymaganej w kontrakcie grubości warstwy,</w:t>
      </w:r>
    </w:p>
    <w:p w14:paraId="4F9F30D7" w14:textId="77777777" w:rsidR="00CC1EF4" w:rsidRPr="004853EB" w:rsidRDefault="00CC1EF4">
      <w:pPr>
        <w:numPr>
          <w:ilvl w:val="0"/>
          <w:numId w:val="94"/>
        </w:numPr>
        <w:spacing w:after="0" w:line="240" w:lineRule="auto"/>
        <w:contextualSpacing/>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określenia potrzebnej liczby przejść walców dla uzyskania prawidłowego zagęszczenia warstwy.</w:t>
      </w:r>
    </w:p>
    <w:p w14:paraId="292181F2"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Do takiej próby Wykonawca powinien użyć takich materiałów oraz sprzętu, jaki stosowany będzie do wykonania warstwy nawierzchni. </w:t>
      </w:r>
    </w:p>
    <w:p w14:paraId="0582F29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ab/>
        <w:t>Odcinek próbny powinien być zlokalizowany w miejscu uzgodnionym z Inżynierem. Powierzchnia odcinka próbnego powinna wynosić co najmniej 500 m</w:t>
      </w:r>
      <w:r w:rsidRPr="004853EB">
        <w:rPr>
          <w:rFonts w:eastAsia="Times New Roman" w:cstheme="minorHAnsi"/>
          <w:color w:val="000000"/>
          <w:sz w:val="20"/>
          <w:szCs w:val="20"/>
          <w:vertAlign w:val="superscript"/>
          <w:lang w:eastAsia="pl-PL"/>
        </w:rPr>
        <w:t>2</w:t>
      </w:r>
      <w:r w:rsidRPr="004853EB">
        <w:rPr>
          <w:rFonts w:eastAsia="Times New Roman" w:cstheme="minorHAnsi"/>
          <w:color w:val="000000"/>
          <w:sz w:val="20"/>
          <w:szCs w:val="20"/>
          <w:lang w:eastAsia="pl-PL"/>
        </w:rPr>
        <w:t>, a długość co najmniej 50 m i powinny być tak dobrane, aby na jego podstawie możliwa była ocena prawidłowości wbudowania i zagęszczenia mieszanki mineralno-asfaltowej.</w:t>
      </w:r>
    </w:p>
    <w:p w14:paraId="0BA13DE3" w14:textId="3005025A"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Grubość układanej warstwy powinna być zgodna z grubością podaną w dokumentacji projektowej. </w:t>
      </w:r>
      <w:r w:rsidR="00336D00" w:rsidRPr="004853EB">
        <w:rPr>
          <w:rFonts w:eastAsia="Times New Roman" w:cstheme="minorHAnsi"/>
          <w:color w:val="000000"/>
          <w:sz w:val="20"/>
          <w:szCs w:val="20"/>
          <w:lang w:eastAsia="pl-PL"/>
        </w:rPr>
        <w:t>Ilość próbek</w:t>
      </w:r>
      <w:r w:rsidRPr="004853EB">
        <w:rPr>
          <w:rFonts w:eastAsia="Times New Roman" w:cstheme="minorHAnsi"/>
          <w:color w:val="000000"/>
          <w:sz w:val="20"/>
          <w:szCs w:val="20"/>
          <w:lang w:eastAsia="pl-PL"/>
        </w:rPr>
        <w:t xml:space="preserve"> (rdzeni) pobrana z odcinka próbnego powinna być uzgodniona z Inżynierem i oceniona pod względem zgodności z </w:t>
      </w:r>
      <w:r w:rsidRPr="004853EB">
        <w:rPr>
          <w:rFonts w:eastAsia="Times New Roman" w:cstheme="minorHAnsi"/>
          <w:color w:val="000000"/>
          <w:sz w:val="20"/>
          <w:szCs w:val="20"/>
          <w:shd w:val="clear" w:color="auto" w:fill="FFFFFF"/>
          <w:lang w:eastAsia="pl-PL"/>
        </w:rPr>
        <w:t>wy</w:t>
      </w:r>
      <w:r w:rsidRPr="004853EB">
        <w:rPr>
          <w:rFonts w:eastAsia="Times New Roman" w:cstheme="minorHAnsi"/>
          <w:color w:val="000000"/>
          <w:sz w:val="20"/>
          <w:szCs w:val="20"/>
          <w:lang w:eastAsia="pl-PL"/>
        </w:rPr>
        <w:t xml:space="preserve">maganiami niniejszej specyfikacji. Należy pobrać minimum w dwóch przekrojach poprzecznych po dwie próbki (rdzenie). </w:t>
      </w:r>
    </w:p>
    <w:p w14:paraId="43CFD554"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Dopuszcza się, aby za zgodą Inżyniera, odcinek próbny zlokalizowany był w ciągu zasadniczych prac nawierzchniowych objętych danym kontraktem.</w:t>
      </w:r>
    </w:p>
    <w:p w14:paraId="1737C34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Wykonawca może przystąpić do realizacji robót po zaakceptowaniu przez Inżyniera technologii wbudowania oraz wyników z odcinka próbnego.</w:t>
      </w:r>
    </w:p>
    <w:p w14:paraId="514AFA0B"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446758E1"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256" w:name="_Toc97034692"/>
      <w:bookmarkStart w:id="3257" w:name="_Toc97035380"/>
      <w:bookmarkStart w:id="3258" w:name="_Toc194476975"/>
      <w:bookmarkStart w:id="3259" w:name="_Toc227825457"/>
      <w:r w:rsidRPr="004853EB">
        <w:rPr>
          <w:rFonts w:eastAsia="Times New Roman" w:cstheme="minorHAnsi"/>
          <w:b/>
          <w:bCs/>
          <w:color w:val="000000"/>
          <w:sz w:val="20"/>
          <w:szCs w:val="20"/>
          <w:lang w:eastAsia="pl-PL"/>
        </w:rPr>
        <w:t>5.7. Połączenie międzywarstwowe</w:t>
      </w:r>
      <w:bookmarkEnd w:id="3256"/>
      <w:bookmarkEnd w:id="3257"/>
      <w:bookmarkEnd w:id="3258"/>
      <w:bookmarkEnd w:id="3259"/>
    </w:p>
    <w:p w14:paraId="4BC9844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Uzyskanie wymaganej trwałości nawierzchni jest uzależnione od zapewnienia połączenia między warstwami i ich współpracy w przenoszeniu obciążenia nawierzchni ruchem.</w:t>
      </w:r>
    </w:p>
    <w:p w14:paraId="0CE3AD9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Podłoże powinno być skropione lepiszczem. Ma to na celu zwiększenie połączenia między warstwami konstrukcyjnymi oraz zabezpieczenie przed wnikaniem i zaleganiem wody między warstwami.</w:t>
      </w:r>
    </w:p>
    <w:p w14:paraId="158877D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Skropienie lepiszczem podłoża (np. z warstwy wiążącej asfaltowej), przed ułożeniem warstwy ścieralnej </w:t>
      </w:r>
      <w:r w:rsidRPr="004853EB">
        <w:rPr>
          <w:rFonts w:eastAsia="Times New Roman" w:cstheme="minorHAnsi"/>
          <w:color w:val="000000"/>
          <w:sz w:val="20"/>
          <w:szCs w:val="20"/>
          <w:lang w:eastAsia="pl-PL"/>
        </w:rPr>
        <w:br/>
        <w:t>z betonu asfaltowego powinno być wykonane w ilości podanej w przeliczeniu na pozostałe lepiszcze, tj. 0,1 ÷ 0,3 kg/m</w:t>
      </w:r>
      <w:r w:rsidRPr="004853EB">
        <w:rPr>
          <w:rFonts w:eastAsia="Times New Roman" w:cstheme="minorHAnsi"/>
          <w:color w:val="000000"/>
          <w:sz w:val="20"/>
          <w:szCs w:val="20"/>
          <w:vertAlign w:val="superscript"/>
          <w:lang w:eastAsia="pl-PL"/>
        </w:rPr>
        <w:t>2</w:t>
      </w:r>
      <w:r w:rsidRPr="004853EB">
        <w:rPr>
          <w:rFonts w:eastAsia="Times New Roman" w:cstheme="minorHAnsi"/>
          <w:color w:val="000000"/>
          <w:sz w:val="20"/>
          <w:szCs w:val="20"/>
          <w:lang w:eastAsia="pl-PL"/>
        </w:rPr>
        <w:t>, przy czym:</w:t>
      </w:r>
    </w:p>
    <w:p w14:paraId="2F6A4D18" w14:textId="77777777" w:rsidR="00CC1EF4" w:rsidRPr="004853EB" w:rsidRDefault="00CC1EF4">
      <w:pPr>
        <w:numPr>
          <w:ilvl w:val="0"/>
          <w:numId w:val="91"/>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ilość emulsji należy dobrać z uwzględnieniem stanu podłoża oraz porowatości mieszanki; jeśli mieszanka ma większą zawartość wolnych przestrzeni, to należy użyć większą ilość lepiszcza do skropienia, które po ułożeniu warstwy ścieralnej uszczelni ją.</w:t>
      </w:r>
    </w:p>
    <w:p w14:paraId="1C1C7154"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14:paraId="0A3474AB"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 wypadku stosowania emulsji asfaltowej podłoże powinno być skropione 0,5 h przed układaniem warstwy asfaltowej w celu odparowania wody.</w:t>
      </w:r>
    </w:p>
    <w:p w14:paraId="196C6CBC"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Czas ten nie dotyczy skrapiania rampą zamontowaną na rozkładarce.</w:t>
      </w:r>
    </w:p>
    <w:p w14:paraId="6F942D01"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Pozostałe warunki wykonania połączenia międzywarstwowego oraz kontrola wykonania skropienia zostały przedstawione w ST D-04.03.01a [1a].</w:t>
      </w:r>
    </w:p>
    <w:p w14:paraId="228F6EDC"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739CAC2F"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260" w:name="_Toc97034693"/>
      <w:bookmarkStart w:id="3261" w:name="_Toc97035381"/>
      <w:bookmarkStart w:id="3262" w:name="_Toc194476976"/>
      <w:bookmarkStart w:id="3263" w:name="_Toc227825458"/>
      <w:r w:rsidRPr="004853EB">
        <w:rPr>
          <w:rFonts w:eastAsia="Times New Roman" w:cstheme="minorHAnsi"/>
          <w:b/>
          <w:bCs/>
          <w:color w:val="000000"/>
          <w:sz w:val="20"/>
          <w:szCs w:val="20"/>
          <w:lang w:eastAsia="pl-PL"/>
        </w:rPr>
        <w:t>5.8. Wbudowanie mieszanki mineralno-asfaltowej</w:t>
      </w:r>
      <w:bookmarkEnd w:id="3260"/>
      <w:bookmarkEnd w:id="3261"/>
      <w:bookmarkEnd w:id="3262"/>
      <w:bookmarkEnd w:id="3263"/>
    </w:p>
    <w:p w14:paraId="5C86851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Mieszankę mineralno-asfaltową można wbudowywać na podłożu przygotowanym zgodnie z zapisami </w:t>
      </w:r>
      <w:r w:rsidRPr="004853EB">
        <w:rPr>
          <w:rFonts w:eastAsia="Times New Roman" w:cstheme="minorHAnsi"/>
          <w:color w:val="000000"/>
          <w:sz w:val="20"/>
          <w:szCs w:val="20"/>
          <w:lang w:eastAsia="pl-PL"/>
        </w:rPr>
        <w:br/>
        <w:t>w punktach 5.4 i 5.7.</w:t>
      </w:r>
    </w:p>
    <w:p w14:paraId="2FAD245E" w14:textId="3CC5F8A5"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Temperatura podłoża pod rozkładaną warstwę nie może być niższa </w:t>
      </w:r>
      <w:r w:rsidR="00336D00" w:rsidRPr="004853EB">
        <w:rPr>
          <w:rFonts w:eastAsia="Times New Roman" w:cstheme="minorHAnsi"/>
          <w:color w:val="000000"/>
          <w:sz w:val="20"/>
          <w:szCs w:val="20"/>
          <w:lang w:eastAsia="pl-PL"/>
        </w:rPr>
        <w:t>niż +</w:t>
      </w:r>
      <w:r w:rsidRPr="004853EB">
        <w:rPr>
          <w:rFonts w:eastAsia="Times New Roman" w:cstheme="minorHAnsi"/>
          <w:color w:val="000000"/>
          <w:sz w:val="20"/>
          <w:szCs w:val="20"/>
          <w:lang w:eastAsia="pl-PL"/>
        </w:rPr>
        <w:t>5°C.</w:t>
      </w:r>
    </w:p>
    <w:p w14:paraId="2058EF8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Transport mieszanki mineralno-asfaltowej asfaltowej powinien być zgodny z zaleceniami podanymi </w:t>
      </w:r>
      <w:r w:rsidRPr="004853EB">
        <w:rPr>
          <w:rFonts w:eastAsia="Times New Roman" w:cstheme="minorHAnsi"/>
          <w:color w:val="000000"/>
          <w:sz w:val="20"/>
          <w:szCs w:val="20"/>
          <w:lang w:eastAsia="pl-PL"/>
        </w:rPr>
        <w:br/>
        <w:t xml:space="preserve">w punkcie 4.2. </w:t>
      </w:r>
    </w:p>
    <w:p w14:paraId="0EEA15E4" w14:textId="520DDBDC"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Mieszankę mineralno-asfaltową asfaltową należy wbudowywać w odpowiednich warunkach atmosferycznych. Nie wolno wbudowywać betonu </w:t>
      </w:r>
      <w:r w:rsidR="00336D00" w:rsidRPr="004853EB">
        <w:rPr>
          <w:rFonts w:eastAsia="Times New Roman" w:cstheme="minorHAnsi"/>
          <w:color w:val="000000"/>
          <w:sz w:val="20"/>
          <w:szCs w:val="20"/>
          <w:lang w:eastAsia="pl-PL"/>
        </w:rPr>
        <w:t>asfaltowego,</w:t>
      </w:r>
      <w:r w:rsidRPr="004853EB">
        <w:rPr>
          <w:rFonts w:eastAsia="Times New Roman" w:cstheme="minorHAnsi"/>
          <w:color w:val="000000"/>
          <w:sz w:val="20"/>
          <w:szCs w:val="20"/>
          <w:lang w:eastAsia="pl-PL"/>
        </w:rPr>
        <w:t xml:space="preserve"> gdy na podłożu tworzy się zamknięty film wodny.</w:t>
      </w:r>
    </w:p>
    <w:p w14:paraId="45568B5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Temperatura otoczenia w ciągu doby nie powinna być niższa od temperatury podanej w tablicy 17. Temperatura otoczenia może być niższa w wypadku stosowania ogrzewania podłoża i obramowania (np. promienniki podczerwieni, urządzenia mikrofalowe). Temperatura powietrza powinna być mierzona co najmniej 3 razy dziennie: przed przystąpieniem do robót oraz podczas ich wykonywania w okresach równomiernie rozłożonych w planowanym czasie realizacji dziennej działki roboczej. Nie dopuszcza się układania mieszanki mineralno-asfaltowej asfaltowej podczas silnego wiatru (V &gt; 16 m/s).</w:t>
      </w:r>
    </w:p>
    <w:p w14:paraId="242D7030"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Podczas budowy nawierzchni należy dążyć do ułożenia wszystkich warstw przed sezonem zimowym, aby zapewnić szczelność nawierzchni i jej odporność na działanie wody i mrozu.</w:t>
      </w:r>
      <w:r w:rsidRPr="004853EB">
        <w:rPr>
          <w:rFonts w:eastAsia="Times New Roman" w:cstheme="minorHAnsi"/>
          <w:color w:val="000000"/>
          <w:sz w:val="20"/>
          <w:szCs w:val="20"/>
          <w:lang w:eastAsia="pl-PL"/>
        </w:rPr>
        <w:tab/>
      </w:r>
    </w:p>
    <w:p w14:paraId="7E35AF82"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 wypadku stosowania mieszanek mineralno-asfaltowych z dodatkiem obniżającym temperaturę mieszania i wbudowania należy indywidualnie określić wymagane warunki otoczenia. </w:t>
      </w:r>
    </w:p>
    <w:p w14:paraId="5858BCFD" w14:textId="77777777" w:rsidR="00336D00" w:rsidRDefault="00336D00" w:rsidP="00CC1EF4">
      <w:pPr>
        <w:tabs>
          <w:tab w:val="left" w:pos="1560"/>
        </w:tabs>
        <w:spacing w:before="120" w:after="120" w:line="240" w:lineRule="auto"/>
        <w:ind w:left="1200" w:hanging="1200"/>
        <w:jc w:val="both"/>
        <w:rPr>
          <w:rFonts w:eastAsia="Times New Roman" w:cstheme="minorHAnsi"/>
          <w:color w:val="000000"/>
          <w:sz w:val="20"/>
          <w:szCs w:val="20"/>
          <w:lang w:eastAsia="pl-PL"/>
        </w:rPr>
      </w:pPr>
    </w:p>
    <w:p w14:paraId="2B0C7E87" w14:textId="77777777" w:rsidR="00336D00" w:rsidRDefault="00336D00" w:rsidP="00CC1EF4">
      <w:pPr>
        <w:tabs>
          <w:tab w:val="left" w:pos="1560"/>
        </w:tabs>
        <w:spacing w:before="120" w:after="120" w:line="240" w:lineRule="auto"/>
        <w:ind w:left="1200" w:hanging="1200"/>
        <w:jc w:val="both"/>
        <w:rPr>
          <w:rFonts w:eastAsia="Times New Roman" w:cstheme="minorHAnsi"/>
          <w:color w:val="000000"/>
          <w:sz w:val="20"/>
          <w:szCs w:val="20"/>
          <w:lang w:eastAsia="pl-PL"/>
        </w:rPr>
      </w:pPr>
    </w:p>
    <w:p w14:paraId="6C9B18C4" w14:textId="5F5716A4" w:rsidR="00CC1EF4" w:rsidRPr="004853EB" w:rsidRDefault="00CC1EF4" w:rsidP="00CC1EF4">
      <w:pPr>
        <w:tabs>
          <w:tab w:val="left" w:pos="1560"/>
        </w:tabs>
        <w:spacing w:before="120" w:after="120" w:line="240" w:lineRule="auto"/>
        <w:ind w:left="1200" w:hanging="120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Tablica 17. Minimalna temperatura otoczenia na wysokości 2 m podczas wykonywania warstw asfaltowych</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0"/>
        <w:gridCol w:w="2212"/>
        <w:gridCol w:w="1899"/>
      </w:tblGrid>
      <w:tr w:rsidR="00CC1EF4" w:rsidRPr="004853EB" w14:paraId="5A90F97E" w14:textId="77777777" w:rsidTr="00E95D02">
        <w:tc>
          <w:tcPr>
            <w:tcW w:w="3840" w:type="dxa"/>
            <w:tcBorders>
              <w:bottom w:val="nil"/>
            </w:tcBorders>
          </w:tcPr>
          <w:p w14:paraId="151211DD"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4111" w:type="dxa"/>
            <w:gridSpan w:val="2"/>
          </w:tcPr>
          <w:p w14:paraId="71440C18" w14:textId="61DB5D01"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Minimalna temperatura </w:t>
            </w:r>
            <w:r w:rsidR="00336D00" w:rsidRPr="004853EB">
              <w:rPr>
                <w:rFonts w:eastAsia="Times New Roman" w:cstheme="minorHAnsi"/>
                <w:color w:val="000000"/>
                <w:sz w:val="18"/>
                <w:szCs w:val="18"/>
                <w:lang w:eastAsia="pl-PL"/>
              </w:rPr>
              <w:t>otoczenia [</w:t>
            </w:r>
            <w:r w:rsidRPr="004853EB">
              <w:rPr>
                <w:rFonts w:eastAsia="Times New Roman" w:cstheme="minorHAnsi"/>
                <w:color w:val="000000"/>
                <w:sz w:val="18"/>
                <w:szCs w:val="18"/>
                <w:lang w:eastAsia="pl-PL"/>
              </w:rPr>
              <w:t>°C]</w:t>
            </w:r>
          </w:p>
        </w:tc>
      </w:tr>
      <w:tr w:rsidR="00CC1EF4" w:rsidRPr="004853EB" w14:paraId="6D887CB6" w14:textId="77777777" w:rsidTr="00E95D02">
        <w:tc>
          <w:tcPr>
            <w:tcW w:w="3840" w:type="dxa"/>
            <w:tcBorders>
              <w:top w:val="nil"/>
            </w:tcBorders>
          </w:tcPr>
          <w:p w14:paraId="06C02B8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Rodzaj robót</w:t>
            </w:r>
          </w:p>
        </w:tc>
        <w:tc>
          <w:tcPr>
            <w:tcW w:w="2212" w:type="dxa"/>
          </w:tcPr>
          <w:p w14:paraId="1552518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w czasie 24 h przed przystąpieniem </w:t>
            </w:r>
          </w:p>
          <w:p w14:paraId="120D809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do robót</w:t>
            </w:r>
          </w:p>
        </w:tc>
        <w:tc>
          <w:tcPr>
            <w:tcW w:w="1899" w:type="dxa"/>
          </w:tcPr>
          <w:p w14:paraId="2B0A88E1"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4E31F4C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 czasie robót</w:t>
            </w:r>
          </w:p>
        </w:tc>
      </w:tr>
      <w:tr w:rsidR="00CC1EF4" w:rsidRPr="004853EB" w14:paraId="003662E7" w14:textId="77777777" w:rsidTr="00E95D02">
        <w:tc>
          <w:tcPr>
            <w:tcW w:w="3840" w:type="dxa"/>
          </w:tcPr>
          <w:p w14:paraId="28254D14" w14:textId="77777777" w:rsidR="00CC1EF4" w:rsidRPr="004853EB" w:rsidRDefault="00CC1EF4" w:rsidP="00CC1EF4">
            <w:pPr>
              <w:spacing w:before="40" w:after="4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Warstwa ścieralna o grubości ≥ 3 cm</w:t>
            </w:r>
          </w:p>
        </w:tc>
        <w:tc>
          <w:tcPr>
            <w:tcW w:w="2212" w:type="dxa"/>
          </w:tcPr>
          <w:p w14:paraId="3A0AAE97" w14:textId="77777777" w:rsidR="00CC1EF4" w:rsidRPr="004853EB" w:rsidRDefault="00CC1EF4" w:rsidP="00CC1EF4">
            <w:pPr>
              <w:spacing w:before="40" w:after="4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w:t>
            </w:r>
          </w:p>
        </w:tc>
        <w:tc>
          <w:tcPr>
            <w:tcW w:w="1899" w:type="dxa"/>
          </w:tcPr>
          <w:p w14:paraId="46D8A4C8" w14:textId="77777777" w:rsidR="00CC1EF4" w:rsidRPr="004853EB" w:rsidRDefault="00CC1EF4" w:rsidP="00CC1EF4">
            <w:pPr>
              <w:spacing w:before="40" w:after="4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w:t>
            </w:r>
          </w:p>
        </w:tc>
      </w:tr>
      <w:tr w:rsidR="00CC1EF4" w:rsidRPr="004853EB" w14:paraId="6B5A9AD6" w14:textId="77777777" w:rsidTr="00E95D02">
        <w:tc>
          <w:tcPr>
            <w:tcW w:w="3840" w:type="dxa"/>
          </w:tcPr>
          <w:p w14:paraId="417CEE04" w14:textId="77777777" w:rsidR="00CC1EF4" w:rsidRPr="004853EB" w:rsidRDefault="00CC1EF4" w:rsidP="00CC1EF4">
            <w:pPr>
              <w:spacing w:before="40" w:after="4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Warstwa ścieralna o grubości &lt; 3 cm</w:t>
            </w:r>
          </w:p>
        </w:tc>
        <w:tc>
          <w:tcPr>
            <w:tcW w:w="2212" w:type="dxa"/>
          </w:tcPr>
          <w:p w14:paraId="70C3EED6" w14:textId="77777777" w:rsidR="00CC1EF4" w:rsidRPr="004853EB" w:rsidRDefault="00CC1EF4" w:rsidP="00CC1EF4">
            <w:pPr>
              <w:spacing w:before="40" w:after="4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w:t>
            </w:r>
          </w:p>
        </w:tc>
        <w:tc>
          <w:tcPr>
            <w:tcW w:w="1899" w:type="dxa"/>
          </w:tcPr>
          <w:p w14:paraId="27AE78BC" w14:textId="77777777" w:rsidR="00CC1EF4" w:rsidRPr="004853EB" w:rsidRDefault="00CC1EF4" w:rsidP="00CC1EF4">
            <w:pPr>
              <w:spacing w:before="40" w:after="4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+10</w:t>
            </w:r>
          </w:p>
        </w:tc>
      </w:tr>
    </w:tbl>
    <w:p w14:paraId="0DF2FC15" w14:textId="77777777" w:rsidR="00CC1EF4" w:rsidRPr="004853EB" w:rsidRDefault="00CC1EF4" w:rsidP="00CC1EF4">
      <w:pPr>
        <w:spacing w:before="120"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Mieszanka mineralno-asfaltowa powinna być wbudowywana rozkładarką wyposażoną w układ automatycznego sterowania grubości warstwy i utrzymywania niwelety zgodnie z dokumentacją projektową. </w:t>
      </w:r>
      <w:r w:rsidRPr="004853EB">
        <w:rPr>
          <w:rFonts w:eastAsia="Times New Roman" w:cstheme="minorHAnsi"/>
          <w:color w:val="000000"/>
          <w:sz w:val="20"/>
          <w:szCs w:val="20"/>
          <w:lang w:eastAsia="pl-PL"/>
        </w:rPr>
        <w:br/>
        <w:t>W miejscach niedostępnych dla sprzętu dopuszcza się wbudowywanie ręczne.</w:t>
      </w:r>
    </w:p>
    <w:p w14:paraId="3DBD5A51" w14:textId="09C6952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Grubość wykonywanej warstwy powinna być sprawdzana co 25 m, w co najmniej trzech miejscach </w:t>
      </w:r>
      <w:r w:rsidR="00336D00">
        <w:rPr>
          <w:rFonts w:eastAsia="Times New Roman" w:cstheme="minorHAnsi"/>
          <w:color w:val="000000"/>
          <w:sz w:val="20"/>
          <w:szCs w:val="20"/>
          <w:lang w:eastAsia="pl-PL"/>
        </w:rPr>
        <w:br/>
      </w:r>
      <w:r w:rsidRPr="004853EB">
        <w:rPr>
          <w:rFonts w:eastAsia="Times New Roman" w:cstheme="minorHAnsi"/>
          <w:color w:val="000000"/>
          <w:sz w:val="20"/>
          <w:szCs w:val="20"/>
          <w:lang w:eastAsia="pl-PL"/>
        </w:rPr>
        <w:t>(w osi i przy brzegach warstwy).</w:t>
      </w:r>
    </w:p>
    <w:p w14:paraId="243EA11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Warstwy wałowane powinny być równomiernie zagęszczone ciężkimi walcami drogowymi. Do warstw </w:t>
      </w:r>
      <w:r w:rsidRPr="004853EB">
        <w:rPr>
          <w:rFonts w:eastAsia="Times New Roman" w:cstheme="minorHAnsi"/>
          <w:color w:val="000000"/>
          <w:sz w:val="20"/>
          <w:szCs w:val="20"/>
          <w:lang w:eastAsia="pl-PL"/>
        </w:rPr>
        <w:br/>
        <w:t xml:space="preserve">z betonu asfaltowego należy stosować walce drogowe stalowe gładkie z możliwością wibracji, oscylacji lub walce ogumione. </w:t>
      </w:r>
    </w:p>
    <w:p w14:paraId="11B74DD2"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40312FEE"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264" w:name="_Toc97034694"/>
      <w:bookmarkStart w:id="3265" w:name="_Toc97035382"/>
      <w:bookmarkStart w:id="3266" w:name="_Toc194476977"/>
      <w:bookmarkStart w:id="3267" w:name="_Toc227825459"/>
      <w:r w:rsidRPr="004853EB">
        <w:rPr>
          <w:rFonts w:eastAsia="Times New Roman" w:cstheme="minorHAnsi"/>
          <w:b/>
          <w:bCs/>
          <w:color w:val="000000"/>
          <w:sz w:val="20"/>
          <w:szCs w:val="20"/>
          <w:lang w:eastAsia="pl-PL"/>
        </w:rPr>
        <w:t>5.9. Połączenia technologiczne</w:t>
      </w:r>
      <w:bookmarkEnd w:id="3264"/>
      <w:bookmarkEnd w:id="3265"/>
      <w:bookmarkEnd w:id="3266"/>
      <w:bookmarkEnd w:id="3267"/>
    </w:p>
    <w:p w14:paraId="3A08919B" w14:textId="77777777" w:rsidR="00CC1EF4" w:rsidRPr="004853EB" w:rsidRDefault="00CC1EF4" w:rsidP="00CC1EF4">
      <w:pPr>
        <w:spacing w:after="120" w:line="240" w:lineRule="auto"/>
        <w:jc w:val="both"/>
        <w:rPr>
          <w:rFonts w:eastAsia="Times New Roman" w:cstheme="minorHAnsi"/>
          <w:b/>
          <w:color w:val="000000"/>
          <w:sz w:val="20"/>
          <w:szCs w:val="20"/>
          <w:lang w:eastAsia="pl-PL"/>
        </w:rPr>
      </w:pPr>
    </w:p>
    <w:p w14:paraId="75C6C078" w14:textId="77777777" w:rsidR="00CC1EF4" w:rsidRPr="004853EB" w:rsidRDefault="00CC1EF4" w:rsidP="00CC1EF4">
      <w:pPr>
        <w:spacing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5.9.1.</w:t>
      </w:r>
      <w:r w:rsidRPr="004853EB">
        <w:rPr>
          <w:rFonts w:eastAsia="Times New Roman" w:cstheme="minorHAnsi"/>
          <w:color w:val="000000"/>
          <w:sz w:val="20"/>
          <w:szCs w:val="20"/>
          <w:lang w:eastAsia="pl-PL"/>
        </w:rPr>
        <w:t xml:space="preserve"> Wymagania ogólne</w:t>
      </w:r>
    </w:p>
    <w:p w14:paraId="64D2C1A3"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Połączenia technologiczne należy wykonywać jako:</w:t>
      </w:r>
    </w:p>
    <w:p w14:paraId="045B88C6" w14:textId="77777777" w:rsidR="00CC1EF4" w:rsidRPr="004853EB" w:rsidRDefault="00CC1EF4">
      <w:pPr>
        <w:numPr>
          <w:ilvl w:val="0"/>
          <w:numId w:val="108"/>
        </w:numPr>
        <w:overflowPunct w:val="0"/>
        <w:autoSpaceDE w:val="0"/>
        <w:autoSpaceDN w:val="0"/>
        <w:adjustRightInd w:val="0"/>
        <w:spacing w:after="0" w:line="240" w:lineRule="auto"/>
        <w:ind w:left="426"/>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złącza podłużne i poprzeczne (połączenia tego samego materiału wykonywanego w różnym czasie),</w:t>
      </w:r>
    </w:p>
    <w:p w14:paraId="469ABF63" w14:textId="77777777" w:rsidR="00CC1EF4" w:rsidRPr="004853EB" w:rsidRDefault="00CC1EF4">
      <w:pPr>
        <w:numPr>
          <w:ilvl w:val="0"/>
          <w:numId w:val="108"/>
        </w:numPr>
        <w:overflowPunct w:val="0"/>
        <w:autoSpaceDE w:val="0"/>
        <w:autoSpaceDN w:val="0"/>
        <w:adjustRightInd w:val="0"/>
        <w:spacing w:after="0" w:line="240" w:lineRule="auto"/>
        <w:ind w:left="426"/>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spoiny (połączenia różnych materiałów oraz warstwy asfaltowej z urządzeniami obcymi w nawierzchni lub ją ograniczającymi).</w:t>
      </w:r>
    </w:p>
    <w:p w14:paraId="39AD204B"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Połączenia technologiczne powinny być jednorodne i szczelne. </w:t>
      </w:r>
    </w:p>
    <w:p w14:paraId="41BCA33B"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Złącza podłużnego nie można umiejscawiać w śladach kół. Należy unikać umiejscawiania złączy </w:t>
      </w:r>
      <w:r w:rsidRPr="004853EB">
        <w:rPr>
          <w:rFonts w:eastAsia="Times New Roman" w:cstheme="minorHAnsi"/>
          <w:color w:val="000000"/>
          <w:sz w:val="20"/>
          <w:szCs w:val="20"/>
          <w:lang w:eastAsia="pl-PL"/>
        </w:rPr>
        <w:br/>
        <w:t>w obszarze poziomego oznakowania jezdni. Złącza podłużne między pasami kolejnych warstw technologicznych należy przesuwać względem siebie co najmniej 15 cm w kierunku poprzecznym do osi jezdni. Złącza poprzeczne między działkami roboczymi układanych pasów kolejnych warstw technologicznych należy przesunąć względem siebie o co najmniej 2 m w kierunku podłużnym do osi jezdni.</w:t>
      </w:r>
    </w:p>
    <w:p w14:paraId="7CCEDAEF"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Połączenie nawierzchni mostowej z nawierzchnią drogową powinno być wykonane w strefie płyty przejściowej. Połączenie warstw ścieralnej i wiążącej powinno być przesunięte o co najmniej 0,5 m. Krawędzie poprzeczne łączonych warstw wiążącej i ścieralnej nawierzchni drogowej powinny być odcięte piłą.</w:t>
      </w:r>
    </w:p>
    <w:p w14:paraId="26B1EE20" w14:textId="77777777" w:rsidR="00CC1EF4" w:rsidRPr="004853EB" w:rsidRDefault="00CC1EF4" w:rsidP="00CC1EF4">
      <w:pPr>
        <w:spacing w:before="120" w:after="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5.9.2.</w:t>
      </w:r>
      <w:r w:rsidRPr="004853EB">
        <w:rPr>
          <w:rFonts w:eastAsia="Times New Roman" w:cstheme="minorHAnsi"/>
          <w:color w:val="000000"/>
          <w:sz w:val="20"/>
          <w:szCs w:val="20"/>
          <w:lang w:eastAsia="pl-PL"/>
        </w:rPr>
        <w:t xml:space="preserve"> Złącza</w:t>
      </w:r>
    </w:p>
    <w:p w14:paraId="1308F94D"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5.9.2.1. Technologia rozkładania „gorące przy zimnym”</w:t>
      </w:r>
    </w:p>
    <w:p w14:paraId="5A50B0E0"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Wcześniej wykonany pas warstwy technologicznej powinien mieć wyprofilowaną krawędź równomiernie zagęszczoną, bez pęknięć. Krawędź ta nie może być pionowa, lecz powinna być skośna. Można to uzyskać przez odcięcie wąskiego pasa wzdłuż krawędzi ciepłej warstwy.</w:t>
      </w:r>
    </w:p>
    <w:p w14:paraId="649E5A2A" w14:textId="2392DD15"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Na krawędzi pasa warstw wiążącej i ścieralnej należy nanieść materiał do złączy wg pktu </w:t>
      </w:r>
      <w:r w:rsidR="00336D00" w:rsidRPr="004853EB">
        <w:rPr>
          <w:rFonts w:eastAsia="Times New Roman" w:cstheme="minorHAnsi"/>
          <w:color w:val="000000"/>
          <w:sz w:val="20"/>
          <w:szCs w:val="20"/>
          <w:lang w:eastAsia="pl-PL"/>
        </w:rPr>
        <w:t>2.6.</w:t>
      </w:r>
    </w:p>
    <w:p w14:paraId="29F5E077"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Na krawędź pasa warstw wiążącej i ścieralnej nie należy nanosić lepiszczy używanych do połączenia międzywarstwowego wg pktu 2.7.</w:t>
      </w:r>
    </w:p>
    <w:p w14:paraId="58B0FB96"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5.9.2.3. Zakończenie działki roboczej</w:t>
      </w:r>
    </w:p>
    <w:p w14:paraId="18B098D7" w14:textId="0D38812B"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 przypadku wystąpienia przerw w układaniu pasa warstwy technologicznej na czas, po którym temperatura mieszanki mineralno-asfaltowej obniży się poza dopuszczalną granicę, przed przystąpieniem do ułożenia kolejnego pasa warstwy </w:t>
      </w:r>
      <w:r w:rsidR="00336D00" w:rsidRPr="004853EB">
        <w:rPr>
          <w:rFonts w:eastAsia="Times New Roman" w:cstheme="minorHAnsi"/>
          <w:color w:val="000000"/>
          <w:sz w:val="20"/>
          <w:szCs w:val="20"/>
          <w:lang w:eastAsia="pl-PL"/>
        </w:rPr>
        <w:t>należy usunąć</w:t>
      </w:r>
      <w:r w:rsidRPr="004853EB">
        <w:rPr>
          <w:rFonts w:eastAsia="Times New Roman" w:cstheme="minorHAnsi"/>
          <w:color w:val="000000"/>
          <w:sz w:val="20"/>
          <w:szCs w:val="20"/>
          <w:lang w:eastAsia="pl-PL"/>
        </w:rPr>
        <w:t xml:space="preserve"> ułożony wcześniej pas o długości do 3 m.  Należy usunąć fragment pasa na całej jego grubości. Na tak powstałą krawędź należy nanieść lepiszcze lub inny materiał wg pku 2.6.</w:t>
      </w:r>
    </w:p>
    <w:p w14:paraId="49E4206F" w14:textId="77777777" w:rsidR="00CC1EF4" w:rsidRPr="004853EB" w:rsidRDefault="00CC1EF4" w:rsidP="00CC1EF4">
      <w:pPr>
        <w:keepNext/>
        <w:spacing w:before="120"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5.9.3.</w:t>
      </w:r>
      <w:r w:rsidRPr="004853EB">
        <w:rPr>
          <w:rFonts w:eastAsia="Times New Roman" w:cstheme="minorHAnsi"/>
          <w:color w:val="000000"/>
          <w:sz w:val="20"/>
          <w:szCs w:val="20"/>
          <w:lang w:eastAsia="pl-PL"/>
        </w:rPr>
        <w:t xml:space="preserve"> Spoiny </w:t>
      </w:r>
    </w:p>
    <w:p w14:paraId="4FBD223B"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Spoiny należy wykonywać w wypadku połączeń warstwy ścieralnej z urządzeniami w nawierzchni lub ją ograniczającymi.</w:t>
      </w:r>
    </w:p>
    <w:p w14:paraId="25D71E75"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Spoiny należy wykonywać z materiałów termoplastycznych (taśmy, pasty) zgodnych z pktem 2.6.</w:t>
      </w:r>
    </w:p>
    <w:p w14:paraId="48B82CFE"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Grubość materiału termoplastycznego do spoiny powinna być zgodna z pktem 2.6.</w:t>
      </w:r>
    </w:p>
    <w:p w14:paraId="733157DF"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268" w:name="_Toc97034695"/>
      <w:bookmarkStart w:id="3269" w:name="_Toc97035383"/>
      <w:bookmarkStart w:id="3270" w:name="_Toc194476978"/>
      <w:bookmarkStart w:id="3271" w:name="_Toc227825460"/>
      <w:r w:rsidRPr="004853EB">
        <w:rPr>
          <w:rFonts w:eastAsia="Times New Roman" w:cstheme="minorHAnsi"/>
          <w:b/>
          <w:bCs/>
          <w:color w:val="000000"/>
          <w:sz w:val="20"/>
          <w:szCs w:val="20"/>
          <w:lang w:eastAsia="pl-PL"/>
        </w:rPr>
        <w:lastRenderedPageBreak/>
        <w:t>5.10. Krawędzie</w:t>
      </w:r>
      <w:bookmarkEnd w:id="3268"/>
      <w:bookmarkEnd w:id="3269"/>
      <w:bookmarkEnd w:id="3270"/>
      <w:bookmarkEnd w:id="3271"/>
      <w:r w:rsidRPr="004853EB">
        <w:rPr>
          <w:rFonts w:eastAsia="Times New Roman" w:cstheme="minorHAnsi"/>
          <w:b/>
          <w:bCs/>
          <w:color w:val="000000"/>
          <w:sz w:val="20"/>
          <w:szCs w:val="20"/>
          <w:lang w:eastAsia="pl-PL"/>
        </w:rPr>
        <w:t xml:space="preserve"> </w:t>
      </w:r>
    </w:p>
    <w:p w14:paraId="47050B4F"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 wypadku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14:paraId="278FB4EF"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 wypadku warstw nawierzchni bez urządzeń ograniczających (np. krawężników) krawędziom należy nadać spadki o nachyleniu nie większym niż 2:1, a za pomocą odpowiednich środków technicznych wykonać krawędzie w linii prostej i docisnąć równomiernie na całej długości.</w:t>
      </w:r>
    </w:p>
    <w:p w14:paraId="4F1D097E"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Po wykonaniu nawierzchni asfaltowej o jednostronnym nachyleniu jezdni należy uszczelnić krawędź położoną wyżej, a w strefie zmiany przechyłki obie krawędzie. W tym celu boczną powierzchnię krawędzi należy pokryć gorącym lepiszczem w ilości 4,0 kg/m</w:t>
      </w:r>
      <w:r w:rsidRPr="004853EB">
        <w:rPr>
          <w:rFonts w:eastAsia="Times New Roman" w:cstheme="minorHAnsi"/>
          <w:color w:val="000000"/>
          <w:sz w:val="20"/>
          <w:szCs w:val="20"/>
          <w:vertAlign w:val="superscript"/>
          <w:lang w:eastAsia="pl-PL"/>
        </w:rPr>
        <w:t>2</w:t>
      </w:r>
      <w:r w:rsidRPr="004853EB">
        <w:rPr>
          <w:rFonts w:eastAsia="Times New Roman" w:cstheme="minorHAnsi"/>
          <w:color w:val="000000"/>
          <w:sz w:val="20"/>
          <w:szCs w:val="20"/>
          <w:lang w:eastAsia="pl-PL"/>
        </w:rPr>
        <w:t xml:space="preserve">.  </w:t>
      </w:r>
    </w:p>
    <w:p w14:paraId="28020A5B"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Lepiszcze powinno być naniesione odpowiednio szybko tak, aby krawędzie nie uległy zabrudzeniu. Niżej położona krawędź (z wyjątkiem strefy zmiany przechyłki) powinna pozostać nieuszczelniona. </w:t>
      </w:r>
    </w:p>
    <w:p w14:paraId="715407E4"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10 cm.</w:t>
      </w:r>
    </w:p>
    <w:p w14:paraId="3FBFB6EE"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 wypadku nakładania warstwy na nawierzchnię przeznaczoną do ruchu należy odpowiednio ukształtować krawędź nakładanej warstwy, łączącej ją z niższą warstw, aby złagodzić wjazd z niższej warstwy na wyższą. W tym celu należy:</w:t>
      </w:r>
    </w:p>
    <w:p w14:paraId="38D9A11A" w14:textId="77777777" w:rsidR="00CC1EF4" w:rsidRPr="004853EB" w:rsidRDefault="00CC1EF4">
      <w:pPr>
        <w:numPr>
          <w:ilvl w:val="0"/>
          <w:numId w:val="109"/>
        </w:numPr>
        <w:overflowPunct w:val="0"/>
        <w:autoSpaceDE w:val="0"/>
        <w:autoSpaceDN w:val="0"/>
        <w:adjustRightInd w:val="0"/>
        <w:spacing w:after="0" w:line="240" w:lineRule="auto"/>
        <w:ind w:left="36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sfrezować klin niższej warstwy na głębokości od 0 do grubości nakładanej warstwy oraz na długości równej co najmniej 125 krotności grubości nakładanej warstwy,</w:t>
      </w:r>
    </w:p>
    <w:p w14:paraId="100637B8" w14:textId="77777777" w:rsidR="00CC1EF4" w:rsidRPr="004853EB" w:rsidRDefault="00CC1EF4">
      <w:pPr>
        <w:numPr>
          <w:ilvl w:val="0"/>
          <w:numId w:val="109"/>
        </w:numPr>
        <w:overflowPunct w:val="0"/>
        <w:autoSpaceDE w:val="0"/>
        <w:autoSpaceDN w:val="0"/>
        <w:adjustRightInd w:val="0"/>
        <w:spacing w:after="0" w:line="240" w:lineRule="auto"/>
        <w:ind w:left="36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przygotować podłoże zgodnie z pktem 5.4 i 5.7,</w:t>
      </w:r>
    </w:p>
    <w:p w14:paraId="59943614" w14:textId="77777777" w:rsidR="00CC1EF4" w:rsidRPr="004853EB" w:rsidRDefault="00CC1EF4">
      <w:pPr>
        <w:numPr>
          <w:ilvl w:val="0"/>
          <w:numId w:val="109"/>
        </w:numPr>
        <w:overflowPunct w:val="0"/>
        <w:autoSpaceDE w:val="0"/>
        <w:autoSpaceDN w:val="0"/>
        <w:adjustRightInd w:val="0"/>
        <w:spacing w:after="0" w:line="240" w:lineRule="auto"/>
        <w:ind w:left="36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ułożyć nakładaną warstwę o stałej grubości.</w:t>
      </w:r>
    </w:p>
    <w:p w14:paraId="25EB8BDD"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586154A8"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272" w:name="_Toc97034696"/>
      <w:bookmarkStart w:id="3273" w:name="_Toc97035384"/>
      <w:bookmarkStart w:id="3274" w:name="_Toc194476979"/>
      <w:bookmarkStart w:id="3275" w:name="_Toc227825461"/>
      <w:r w:rsidRPr="004853EB">
        <w:rPr>
          <w:rFonts w:eastAsia="Times New Roman" w:cstheme="minorHAnsi"/>
          <w:b/>
          <w:bCs/>
          <w:color w:val="000000"/>
          <w:sz w:val="20"/>
          <w:szCs w:val="20"/>
          <w:lang w:eastAsia="pl-PL"/>
        </w:rPr>
        <w:t>5.11. Uszorstnienie warstwy ścieralnej</w:t>
      </w:r>
      <w:bookmarkEnd w:id="3272"/>
      <w:bookmarkEnd w:id="3273"/>
      <w:bookmarkEnd w:id="3274"/>
      <w:bookmarkEnd w:id="3275"/>
    </w:p>
    <w:p w14:paraId="28F993C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Warstwa ścieralna powinna mieć jednorodną teksturę i strukturę dostosowaną do przeznaczenia, np. ze względu na właściwości przeciwpoślizgowe, hałas toczenia kół lub względy estetyczne.</w:t>
      </w:r>
    </w:p>
    <w:p w14:paraId="09A76F4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Do zwiększenia szorstkości warstwy ścieralnej konieczne może być jej uszorstnienie. Do warstw </w:t>
      </w:r>
      <w:r w:rsidRPr="004853EB">
        <w:rPr>
          <w:rFonts w:eastAsia="Times New Roman" w:cstheme="minorHAnsi"/>
          <w:color w:val="000000"/>
          <w:sz w:val="20"/>
          <w:szCs w:val="20"/>
          <w:lang w:eastAsia="pl-PL"/>
        </w:rPr>
        <w:br/>
        <w:t>z mieszanki o D &lt; 11 mm zaleca się stosowanie posypki o wymiarze 2/4 mm. Do warstw z mieszanki o D ≥ 11 mm można stosować posypkę o wymiarze 2/4 lub 2/5 mm.</w:t>
      </w:r>
    </w:p>
    <w:p w14:paraId="776571F3"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Na powierzchnię gorącej warstwy należy równomiernie nanieść posypkę odpowiednio wcześnie, tak aby została wgnieciona w warstwę przez walce.</w:t>
      </w:r>
    </w:p>
    <w:p w14:paraId="09D17217"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Na powierzchnię gorącej warstwy należy równomiernie nanieść posypkę i dokładnie zawałować. Nanoszenie posypki powinno odbywać się maszynowo, a jedynie w miejscach trudno dostępnych dopuszcza się wykonanie ręczne. Niezwiązaną posypkę należy usunąć po ostygnięciu warstwy. </w:t>
      </w:r>
    </w:p>
    <w:p w14:paraId="431284BE"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Przy wyborze uziarnienia posypki należy wziąć pod uwagę wymagania ochrony przed hałasem. Jeżeli wymaga się zmniejszenia hałasu od kół pojazdów, należy stosować posypkę o drobniejszym uziarnieniu.</w:t>
      </w:r>
    </w:p>
    <w:p w14:paraId="387B433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Zalecana ilość posypki do warstwy z betonu asfaltowego:</w:t>
      </w:r>
    </w:p>
    <w:p w14:paraId="6BCD844B" w14:textId="77777777" w:rsidR="00CC1EF4" w:rsidRPr="004853EB" w:rsidRDefault="00CC1EF4">
      <w:pPr>
        <w:numPr>
          <w:ilvl w:val="0"/>
          <w:numId w:val="101"/>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kruszywo o wymiarze 2/4 mm: od 0,5 do 1,5 kg/m</w:t>
      </w:r>
      <w:r w:rsidRPr="004853EB">
        <w:rPr>
          <w:rFonts w:eastAsia="Times New Roman" w:cstheme="minorHAnsi"/>
          <w:color w:val="000000"/>
          <w:sz w:val="20"/>
          <w:szCs w:val="20"/>
          <w:vertAlign w:val="superscript"/>
          <w:lang w:eastAsia="pl-PL"/>
        </w:rPr>
        <w:t>2</w:t>
      </w:r>
      <w:r w:rsidRPr="004853EB">
        <w:rPr>
          <w:rFonts w:eastAsia="Times New Roman" w:cstheme="minorHAnsi"/>
          <w:color w:val="000000"/>
          <w:sz w:val="20"/>
          <w:szCs w:val="20"/>
          <w:lang w:eastAsia="pl-PL"/>
        </w:rPr>
        <w:t>,</w:t>
      </w:r>
    </w:p>
    <w:p w14:paraId="465914C0" w14:textId="77777777" w:rsidR="00CC1EF4" w:rsidRPr="004853EB" w:rsidRDefault="00CC1EF4">
      <w:pPr>
        <w:numPr>
          <w:ilvl w:val="0"/>
          <w:numId w:val="101"/>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kruszywo o wymiarze 2/5 mm: od 1,0 do 2,0 kg/m</w:t>
      </w:r>
      <w:r w:rsidRPr="004853EB">
        <w:rPr>
          <w:rFonts w:eastAsia="Times New Roman" w:cstheme="minorHAnsi"/>
          <w:color w:val="000000"/>
          <w:sz w:val="20"/>
          <w:szCs w:val="20"/>
          <w:vertAlign w:val="superscript"/>
          <w:lang w:eastAsia="pl-PL"/>
        </w:rPr>
        <w:t>2</w:t>
      </w:r>
      <w:r w:rsidRPr="004853EB">
        <w:rPr>
          <w:rFonts w:eastAsia="Times New Roman" w:cstheme="minorHAnsi"/>
          <w:color w:val="000000"/>
          <w:sz w:val="20"/>
          <w:szCs w:val="20"/>
          <w:lang w:eastAsia="pl-PL"/>
        </w:rPr>
        <w:t>.</w:t>
      </w:r>
    </w:p>
    <w:p w14:paraId="627DEBFB"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 uzasadnionych przypadkach można nie stosować uszorstnienia, na przykład w celu zmniejszenia hałaśliwości jezdni z mieszanek drobnoziarnistych na odcinkach obszarów zurbanizowanych. </w:t>
      </w:r>
    </w:p>
    <w:p w14:paraId="13D2DB0C"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276" w:name="_Toc412637949"/>
    </w:p>
    <w:p w14:paraId="1B2A0D30"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277" w:name="_Toc68686965"/>
      <w:bookmarkStart w:id="3278" w:name="_Toc68690563"/>
      <w:bookmarkStart w:id="3279" w:name="_Toc97034697"/>
      <w:bookmarkStart w:id="3280" w:name="_Toc97035385"/>
      <w:bookmarkStart w:id="3281" w:name="_Toc194476980"/>
      <w:bookmarkStart w:id="3282" w:name="_Toc227825462"/>
      <w:r w:rsidRPr="004853EB">
        <w:rPr>
          <w:rFonts w:eastAsia="Times New Roman" w:cstheme="minorHAnsi"/>
          <w:b/>
          <w:bCs/>
          <w:color w:val="000000"/>
          <w:sz w:val="20"/>
          <w:szCs w:val="20"/>
          <w:lang w:eastAsia="pl-PL"/>
        </w:rPr>
        <w:t>6. K</w:t>
      </w:r>
      <w:bookmarkEnd w:id="3276"/>
      <w:r w:rsidRPr="004853EB">
        <w:rPr>
          <w:rFonts w:eastAsia="Times New Roman" w:cstheme="minorHAnsi"/>
          <w:b/>
          <w:bCs/>
          <w:color w:val="000000"/>
          <w:sz w:val="20"/>
          <w:szCs w:val="20"/>
          <w:lang w:eastAsia="pl-PL"/>
        </w:rPr>
        <w:t>ONTROLA JAKOŚCI ROBÓT</w:t>
      </w:r>
      <w:bookmarkEnd w:id="3277"/>
      <w:bookmarkEnd w:id="3278"/>
      <w:bookmarkEnd w:id="3279"/>
      <w:bookmarkEnd w:id="3280"/>
      <w:bookmarkEnd w:id="3281"/>
      <w:bookmarkEnd w:id="3282"/>
    </w:p>
    <w:p w14:paraId="3748BC43"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p>
    <w:p w14:paraId="7C6B174D"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283" w:name="_Toc97034698"/>
      <w:bookmarkStart w:id="3284" w:name="_Toc97035386"/>
      <w:bookmarkStart w:id="3285" w:name="_Toc194476981"/>
      <w:bookmarkStart w:id="3286" w:name="_Toc227825463"/>
      <w:r w:rsidRPr="004853EB">
        <w:rPr>
          <w:rFonts w:eastAsia="Times New Roman" w:cstheme="minorHAnsi"/>
          <w:b/>
          <w:bCs/>
          <w:color w:val="000000"/>
          <w:sz w:val="20"/>
          <w:szCs w:val="20"/>
          <w:lang w:eastAsia="pl-PL"/>
        </w:rPr>
        <w:t>6.1. Ogólne zasady kontroli jakości robót</w:t>
      </w:r>
      <w:bookmarkEnd w:id="3283"/>
      <w:bookmarkEnd w:id="3284"/>
      <w:bookmarkEnd w:id="3285"/>
      <w:bookmarkEnd w:id="3286"/>
    </w:p>
    <w:p w14:paraId="3369D152" w14:textId="77777777" w:rsidR="00CC1EF4" w:rsidRPr="004853EB" w:rsidRDefault="00CC1EF4" w:rsidP="00CC1EF4">
      <w:pPr>
        <w:numPr>
          <w:ilvl w:val="12"/>
          <w:numId w:val="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Ogólne zasady kontroli jakości robót podano w ST   D-M-00.00.00 „Wymagania ogólne” [1] pkt 6.</w:t>
      </w:r>
    </w:p>
    <w:p w14:paraId="7D900370"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p>
    <w:p w14:paraId="18E0D8ED"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287" w:name="_Toc97034699"/>
      <w:bookmarkStart w:id="3288" w:name="_Toc97035387"/>
      <w:bookmarkStart w:id="3289" w:name="_Toc194476982"/>
      <w:bookmarkStart w:id="3290" w:name="_Toc227825464"/>
      <w:r w:rsidRPr="004853EB">
        <w:rPr>
          <w:rFonts w:eastAsia="Times New Roman" w:cstheme="minorHAnsi"/>
          <w:b/>
          <w:bCs/>
          <w:color w:val="000000"/>
          <w:sz w:val="20"/>
          <w:szCs w:val="20"/>
          <w:lang w:eastAsia="pl-PL"/>
        </w:rPr>
        <w:t>6.2. Badania przed przystąpieniem do robót</w:t>
      </w:r>
      <w:bookmarkEnd w:id="3287"/>
      <w:bookmarkEnd w:id="3288"/>
      <w:bookmarkEnd w:id="3289"/>
      <w:bookmarkEnd w:id="3290"/>
    </w:p>
    <w:p w14:paraId="04EEABA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Przed przystąpieniem do robót Wykonawca powinien:</w:t>
      </w:r>
    </w:p>
    <w:p w14:paraId="533CF2CC"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643B6BFA"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ew. wykonać własne badania właściwości materiałów przeznaczonych do wykonania robót, określone przez Inżyniera.</w:t>
      </w:r>
    </w:p>
    <w:p w14:paraId="56AA36ED" w14:textId="77777777" w:rsidR="00CC1EF4" w:rsidRPr="004853EB" w:rsidRDefault="00CC1EF4" w:rsidP="00CC1EF4">
      <w:pPr>
        <w:numPr>
          <w:ilvl w:val="12"/>
          <w:numId w:val="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Wszystkie dokumenty oraz wyniki badań Wykonawca przedstawia Inżynierowi do akceptacji.</w:t>
      </w:r>
    </w:p>
    <w:p w14:paraId="5B0A0B85"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lastRenderedPageBreak/>
        <w:t>6.2.1.</w:t>
      </w:r>
      <w:r w:rsidRPr="004853EB">
        <w:rPr>
          <w:rFonts w:eastAsia="Times New Roman" w:cstheme="minorHAnsi"/>
          <w:color w:val="000000"/>
          <w:sz w:val="20"/>
          <w:szCs w:val="20"/>
          <w:lang w:eastAsia="pl-PL"/>
        </w:rPr>
        <w:t xml:space="preserve"> Badanie typu </w:t>
      </w:r>
    </w:p>
    <w:p w14:paraId="2B68DCF6"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Przed przystąpieniem do robót, w terminie uzgodnionym z Inżynierem, Wykonawca przedstawi do akceptacji badania typu mieszanek mineralno-asfaltowych wraz z wymaganymi w normie PN-EN 13108-20 [52] załącznikami, w celu zatwierdzenia do stosowania. W przypadku zaistnienia podanych poniżej sytuacji wymagających powtórzenia badania typu należy je ponownie wykonać i przedstawić do akceptacji.</w:t>
      </w:r>
    </w:p>
    <w:p w14:paraId="70F19591"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Badanie typu powinno zawierać:</w:t>
      </w:r>
    </w:p>
    <w:p w14:paraId="7F03D176" w14:textId="77777777" w:rsidR="00CC1EF4" w:rsidRPr="004853EB" w:rsidRDefault="00CC1EF4">
      <w:pPr>
        <w:numPr>
          <w:ilvl w:val="0"/>
          <w:numId w:val="115"/>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informacje ogólne:</w:t>
      </w:r>
    </w:p>
    <w:p w14:paraId="50878A63" w14:textId="77777777" w:rsidR="00CC1EF4" w:rsidRPr="004853EB" w:rsidRDefault="00CC1EF4">
      <w:pPr>
        <w:numPr>
          <w:ilvl w:val="0"/>
          <w:numId w:val="110"/>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nazwę i adres producenta mieszanki mineralno-asfaltowej,</w:t>
      </w:r>
    </w:p>
    <w:p w14:paraId="7AD4CECE" w14:textId="77777777" w:rsidR="00CC1EF4" w:rsidRPr="004853EB" w:rsidRDefault="00CC1EF4">
      <w:pPr>
        <w:numPr>
          <w:ilvl w:val="0"/>
          <w:numId w:val="110"/>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datę wydania,</w:t>
      </w:r>
    </w:p>
    <w:p w14:paraId="510EA2AE" w14:textId="77777777" w:rsidR="00CC1EF4" w:rsidRPr="004853EB" w:rsidRDefault="00CC1EF4">
      <w:pPr>
        <w:numPr>
          <w:ilvl w:val="0"/>
          <w:numId w:val="110"/>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nazwę wytwórni produkującej mieszankę mineralno –asfaltową,</w:t>
      </w:r>
    </w:p>
    <w:p w14:paraId="3983D224" w14:textId="77777777" w:rsidR="00CC1EF4" w:rsidRPr="004853EB" w:rsidRDefault="00CC1EF4">
      <w:pPr>
        <w:numPr>
          <w:ilvl w:val="0"/>
          <w:numId w:val="110"/>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określenie typu mieszanki i kategorii, z którymi jest deklarowana zgodność,</w:t>
      </w:r>
    </w:p>
    <w:p w14:paraId="11217C42" w14:textId="77777777" w:rsidR="00CC1EF4" w:rsidRPr="004853EB" w:rsidRDefault="00CC1EF4">
      <w:pPr>
        <w:numPr>
          <w:ilvl w:val="0"/>
          <w:numId w:val="110"/>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zestawienie metod przygotowania próbek oraz metod i warunków badania poszczególnych właściwości.</w:t>
      </w:r>
    </w:p>
    <w:p w14:paraId="4CA8A6E6" w14:textId="77777777" w:rsidR="00CC1EF4" w:rsidRPr="004853EB" w:rsidRDefault="00CC1EF4">
      <w:pPr>
        <w:numPr>
          <w:ilvl w:val="0"/>
          <w:numId w:val="11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informacje o składnikach:</w:t>
      </w:r>
    </w:p>
    <w:p w14:paraId="7D17A4DC" w14:textId="77777777" w:rsidR="00CC1EF4" w:rsidRPr="004853EB" w:rsidRDefault="00CC1EF4">
      <w:pPr>
        <w:numPr>
          <w:ilvl w:val="0"/>
          <w:numId w:val="111"/>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każdy wymiar kruszywa: źródło i rodzaj,</w:t>
      </w:r>
    </w:p>
    <w:p w14:paraId="0F1C8DED" w14:textId="77777777" w:rsidR="00CC1EF4" w:rsidRPr="004853EB" w:rsidRDefault="00CC1EF4">
      <w:pPr>
        <w:numPr>
          <w:ilvl w:val="0"/>
          <w:numId w:val="111"/>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lepiszcze: typ i rodzaj,</w:t>
      </w:r>
    </w:p>
    <w:p w14:paraId="557D7644" w14:textId="77777777" w:rsidR="00CC1EF4" w:rsidRPr="004853EB" w:rsidRDefault="00CC1EF4">
      <w:pPr>
        <w:numPr>
          <w:ilvl w:val="0"/>
          <w:numId w:val="111"/>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wypełniacz: źródło i rodzaj,</w:t>
      </w:r>
    </w:p>
    <w:p w14:paraId="492EFF3F" w14:textId="77777777" w:rsidR="00CC1EF4" w:rsidRPr="004853EB" w:rsidRDefault="00CC1EF4">
      <w:pPr>
        <w:numPr>
          <w:ilvl w:val="0"/>
          <w:numId w:val="111"/>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dodatki: źródło i rodzaj,</w:t>
      </w:r>
    </w:p>
    <w:p w14:paraId="2B02E6FC" w14:textId="77777777" w:rsidR="00CC1EF4" w:rsidRPr="004853EB" w:rsidRDefault="00CC1EF4" w:rsidP="00CC1EF4">
      <w:pPr>
        <w:spacing w:after="0" w:line="240" w:lineRule="auto"/>
        <w:jc w:val="both"/>
        <w:rPr>
          <w:rFonts w:eastAsia="Times New Roman" w:cstheme="minorHAnsi"/>
          <w:color w:val="000000"/>
          <w:sz w:val="20"/>
          <w:szCs w:val="20"/>
          <w:lang w:eastAsia="pl-PL"/>
        </w:rPr>
      </w:pPr>
    </w:p>
    <w:p w14:paraId="296415E2" w14:textId="77777777" w:rsidR="00CC1EF4" w:rsidRPr="004853EB" w:rsidRDefault="00CC1EF4">
      <w:pPr>
        <w:numPr>
          <w:ilvl w:val="0"/>
          <w:numId w:val="117"/>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informacje o mieszance mineralno-asfaltowej:</w:t>
      </w:r>
    </w:p>
    <w:p w14:paraId="7FA84BC0" w14:textId="77777777" w:rsidR="00CC1EF4" w:rsidRPr="004853EB" w:rsidRDefault="00CC1EF4">
      <w:pPr>
        <w:numPr>
          <w:ilvl w:val="0"/>
          <w:numId w:val="112"/>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skład mieszaki podany jako wejściowy (w przypadku walidacji w laboratorium) lub wyjściowy skład </w:t>
      </w:r>
      <w:r w:rsidRPr="004853EB">
        <w:rPr>
          <w:rFonts w:eastAsia="Times New Roman" w:cstheme="minorHAnsi"/>
          <w:color w:val="000000"/>
          <w:sz w:val="20"/>
          <w:szCs w:val="20"/>
          <w:lang w:eastAsia="pl-PL"/>
        </w:rPr>
        <w:br/>
        <w:t>(w wypadku walidacji produkcji),</w:t>
      </w:r>
    </w:p>
    <w:p w14:paraId="766EFDFB"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Badanie typu należy przeprowadzić zgodnie z PN-EN 13108-20 [52] przy pierwszym wprowadzeniu mieszanek mineralno-asfaltowych do obrotu i powinno być powtórzone w wypadku:</w:t>
      </w:r>
    </w:p>
    <w:p w14:paraId="1B12827E" w14:textId="77777777" w:rsidR="00CC1EF4" w:rsidRPr="004853EB" w:rsidRDefault="00CC1EF4">
      <w:pPr>
        <w:widowControl w:val="0"/>
        <w:numPr>
          <w:ilvl w:val="0"/>
          <w:numId w:val="97"/>
        </w:numPr>
        <w:tabs>
          <w:tab w:val="left" w:pos="426"/>
        </w:tabs>
        <w:spacing w:after="0" w:line="240" w:lineRule="auto"/>
        <w:ind w:left="426" w:right="-57" w:hanging="426"/>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upływu pięciu lat,</w:t>
      </w:r>
    </w:p>
    <w:p w14:paraId="3024DC70" w14:textId="77777777" w:rsidR="00CC1EF4" w:rsidRPr="004853EB" w:rsidRDefault="00CC1EF4">
      <w:pPr>
        <w:widowControl w:val="0"/>
        <w:numPr>
          <w:ilvl w:val="0"/>
          <w:numId w:val="97"/>
        </w:numPr>
        <w:tabs>
          <w:tab w:val="left" w:pos="426"/>
        </w:tabs>
        <w:spacing w:after="0" w:line="240" w:lineRule="auto"/>
        <w:ind w:left="426" w:right="-57" w:hanging="426"/>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zmiany złoża kruszywa,</w:t>
      </w:r>
    </w:p>
    <w:p w14:paraId="1129852A" w14:textId="77777777" w:rsidR="00CC1EF4" w:rsidRPr="004853EB" w:rsidRDefault="00CC1EF4">
      <w:pPr>
        <w:widowControl w:val="0"/>
        <w:numPr>
          <w:ilvl w:val="0"/>
          <w:numId w:val="97"/>
        </w:numPr>
        <w:tabs>
          <w:tab w:val="left" w:pos="426"/>
        </w:tabs>
        <w:spacing w:after="0" w:line="240" w:lineRule="auto"/>
        <w:ind w:left="426" w:right="-57" w:hanging="426"/>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zmiany rodzaju kruszywa (typu petrograficznego),</w:t>
      </w:r>
    </w:p>
    <w:p w14:paraId="00E652E2" w14:textId="77777777" w:rsidR="00CC1EF4" w:rsidRPr="004853EB" w:rsidRDefault="00CC1EF4">
      <w:pPr>
        <w:widowControl w:val="0"/>
        <w:numPr>
          <w:ilvl w:val="0"/>
          <w:numId w:val="97"/>
        </w:numPr>
        <w:tabs>
          <w:tab w:val="left" w:pos="426"/>
        </w:tabs>
        <w:spacing w:after="0" w:line="240" w:lineRule="auto"/>
        <w:ind w:left="426" w:right="-57" w:hanging="426"/>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zmiany kategorii kruszywa grubego, jak definiowano w PN-EN 13043 [49], jednej z następujących właściwości: kształtu, udziału ziaren częściowo przekruszonych, odporności na rozdrabnianie, odporności na ścieranie lub kanciastości kruszywa drobnego,</w:t>
      </w:r>
    </w:p>
    <w:p w14:paraId="1F066B8A" w14:textId="77777777" w:rsidR="00CC1EF4" w:rsidRPr="004853EB" w:rsidRDefault="00CC1EF4">
      <w:pPr>
        <w:widowControl w:val="0"/>
        <w:numPr>
          <w:ilvl w:val="0"/>
          <w:numId w:val="97"/>
        </w:numPr>
        <w:tabs>
          <w:tab w:val="left" w:pos="426"/>
        </w:tabs>
        <w:spacing w:after="0" w:line="240" w:lineRule="auto"/>
        <w:ind w:left="426" w:right="-57" w:hanging="426"/>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zmiany gęstości ziaren (średnia ważona) o więcej niż 0,05 Mg/m</w:t>
      </w:r>
      <w:r w:rsidRPr="004853EB">
        <w:rPr>
          <w:rFonts w:eastAsia="Times New Roman" w:cstheme="minorHAnsi"/>
          <w:color w:val="000000"/>
          <w:sz w:val="20"/>
          <w:szCs w:val="20"/>
          <w:vertAlign w:val="superscript"/>
          <w:lang w:eastAsia="pl-PL"/>
        </w:rPr>
        <w:t>3</w:t>
      </w:r>
      <w:r w:rsidRPr="004853EB">
        <w:rPr>
          <w:rFonts w:eastAsia="Times New Roman" w:cstheme="minorHAnsi"/>
          <w:color w:val="000000"/>
          <w:sz w:val="20"/>
          <w:szCs w:val="20"/>
          <w:lang w:eastAsia="pl-PL"/>
        </w:rPr>
        <w:t>,</w:t>
      </w:r>
    </w:p>
    <w:p w14:paraId="545852E4" w14:textId="77777777" w:rsidR="00CC1EF4" w:rsidRPr="004853EB" w:rsidRDefault="00CC1EF4">
      <w:pPr>
        <w:widowControl w:val="0"/>
        <w:numPr>
          <w:ilvl w:val="0"/>
          <w:numId w:val="97"/>
        </w:numPr>
        <w:tabs>
          <w:tab w:val="left" w:pos="426"/>
        </w:tabs>
        <w:spacing w:after="0" w:line="240" w:lineRule="auto"/>
        <w:ind w:left="426" w:right="-57" w:hanging="426"/>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zmiany rodzaju lepiszcza,</w:t>
      </w:r>
    </w:p>
    <w:p w14:paraId="5B70DE4A" w14:textId="77777777" w:rsidR="00CC1EF4" w:rsidRPr="004853EB" w:rsidRDefault="00CC1EF4">
      <w:pPr>
        <w:widowControl w:val="0"/>
        <w:numPr>
          <w:ilvl w:val="0"/>
          <w:numId w:val="97"/>
        </w:numPr>
        <w:tabs>
          <w:tab w:val="left" w:pos="426"/>
        </w:tabs>
        <w:spacing w:after="0" w:line="240" w:lineRule="auto"/>
        <w:ind w:left="426" w:right="-57" w:hanging="426"/>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zmiany typu mineralogicznego wypełniacza.</w:t>
      </w:r>
    </w:p>
    <w:p w14:paraId="140C9CCB"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w:t>
      </w:r>
    </w:p>
    <w:p w14:paraId="42E7DE67"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p>
    <w:p w14:paraId="544BFA45"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291" w:name="_Toc97034700"/>
      <w:bookmarkStart w:id="3292" w:name="_Toc97035388"/>
      <w:bookmarkStart w:id="3293" w:name="_Toc194476983"/>
      <w:bookmarkStart w:id="3294" w:name="_Toc227825465"/>
      <w:r w:rsidRPr="004853EB">
        <w:rPr>
          <w:rFonts w:eastAsia="Times New Roman" w:cstheme="minorHAnsi"/>
          <w:b/>
          <w:bCs/>
          <w:color w:val="000000"/>
          <w:sz w:val="20"/>
          <w:szCs w:val="20"/>
          <w:lang w:eastAsia="pl-PL"/>
        </w:rPr>
        <w:t>6.3. Badania w czasie robót</w:t>
      </w:r>
      <w:bookmarkEnd w:id="3291"/>
      <w:bookmarkEnd w:id="3292"/>
      <w:bookmarkEnd w:id="3293"/>
      <w:bookmarkEnd w:id="3294"/>
    </w:p>
    <w:p w14:paraId="01CD15A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Badania dzielą się na:</w:t>
      </w:r>
    </w:p>
    <w:p w14:paraId="33C3EF9F" w14:textId="77777777" w:rsidR="00CC1EF4" w:rsidRPr="004853EB" w:rsidRDefault="00CC1EF4">
      <w:pPr>
        <w:numPr>
          <w:ilvl w:val="0"/>
          <w:numId w:val="95"/>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Wykonawcy (w ramach własnego nadzoru),</w:t>
      </w:r>
    </w:p>
    <w:p w14:paraId="7ECC85B2" w14:textId="77777777" w:rsidR="00CC1EF4" w:rsidRPr="004853EB" w:rsidRDefault="00CC1EF4">
      <w:pPr>
        <w:numPr>
          <w:ilvl w:val="0"/>
          <w:numId w:val="95"/>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kontrolne (w ramach nadzoru zleceniodawcy – Inżyniera):</w:t>
      </w:r>
    </w:p>
    <w:p w14:paraId="0731F3D4" w14:textId="77777777" w:rsidR="00CC1EF4" w:rsidRPr="004853EB" w:rsidRDefault="00CC1EF4">
      <w:pPr>
        <w:numPr>
          <w:ilvl w:val="0"/>
          <w:numId w:val="95"/>
        </w:numPr>
        <w:overflowPunct w:val="0"/>
        <w:autoSpaceDE w:val="0"/>
        <w:autoSpaceDN w:val="0"/>
        <w:adjustRightInd w:val="0"/>
        <w:spacing w:after="0" w:line="240" w:lineRule="auto"/>
        <w:ind w:hanging="37"/>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dodatkowe,</w:t>
      </w:r>
    </w:p>
    <w:p w14:paraId="2263D0BA" w14:textId="77777777" w:rsidR="00CC1EF4" w:rsidRPr="004853EB" w:rsidRDefault="00CC1EF4">
      <w:pPr>
        <w:numPr>
          <w:ilvl w:val="0"/>
          <w:numId w:val="95"/>
        </w:numPr>
        <w:overflowPunct w:val="0"/>
        <w:autoSpaceDE w:val="0"/>
        <w:autoSpaceDN w:val="0"/>
        <w:adjustRightInd w:val="0"/>
        <w:spacing w:after="0" w:line="240" w:lineRule="auto"/>
        <w:ind w:hanging="37"/>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arbitrażowe.</w:t>
      </w:r>
    </w:p>
    <w:p w14:paraId="6A4B38B3"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62CB0FA7"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295" w:name="_Toc97034701"/>
      <w:bookmarkStart w:id="3296" w:name="_Toc97035389"/>
      <w:bookmarkStart w:id="3297" w:name="_Toc194476984"/>
      <w:bookmarkStart w:id="3298" w:name="_Toc227825466"/>
      <w:r w:rsidRPr="004853EB">
        <w:rPr>
          <w:rFonts w:eastAsia="Times New Roman" w:cstheme="minorHAnsi"/>
          <w:b/>
          <w:bCs/>
          <w:color w:val="000000"/>
          <w:sz w:val="20"/>
          <w:szCs w:val="20"/>
          <w:lang w:eastAsia="pl-PL"/>
        </w:rPr>
        <w:t>6.4. Badania Wykonawcy</w:t>
      </w:r>
      <w:bookmarkEnd w:id="3295"/>
      <w:bookmarkEnd w:id="3296"/>
      <w:bookmarkEnd w:id="3297"/>
      <w:bookmarkEnd w:id="3298"/>
    </w:p>
    <w:p w14:paraId="232477B3" w14:textId="77777777" w:rsidR="00CC1EF4" w:rsidRPr="004853EB" w:rsidRDefault="00CC1EF4" w:rsidP="00CC1EF4">
      <w:pPr>
        <w:spacing w:after="120" w:line="240" w:lineRule="auto"/>
        <w:jc w:val="both"/>
        <w:rPr>
          <w:rFonts w:eastAsia="Times New Roman" w:cstheme="minorHAnsi"/>
          <w:b/>
          <w:color w:val="000000"/>
          <w:sz w:val="20"/>
          <w:szCs w:val="20"/>
          <w:lang w:eastAsia="pl-PL"/>
        </w:rPr>
      </w:pPr>
    </w:p>
    <w:p w14:paraId="4910D56F" w14:textId="77777777" w:rsidR="00CC1EF4" w:rsidRPr="004853EB" w:rsidRDefault="00CC1EF4" w:rsidP="00CC1EF4">
      <w:pPr>
        <w:spacing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6.4.1.</w:t>
      </w:r>
      <w:r w:rsidRPr="004853EB">
        <w:rPr>
          <w:rFonts w:eastAsia="Times New Roman" w:cstheme="minorHAnsi"/>
          <w:color w:val="000000"/>
          <w:sz w:val="20"/>
          <w:szCs w:val="20"/>
          <w:lang w:eastAsia="pl-PL"/>
        </w:rPr>
        <w:t xml:space="preserve"> Badania w czasie wytwarzania mieszanki mineralno-asfaltowej </w:t>
      </w:r>
    </w:p>
    <w:p w14:paraId="25D8E123"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Badania Wykonawcy w czasie wytwarzania mieszanki mineralno–asfaltowej powinny być wykonywane </w:t>
      </w:r>
      <w:r w:rsidRPr="004853EB">
        <w:rPr>
          <w:rFonts w:eastAsia="Times New Roman" w:cstheme="minorHAnsi"/>
          <w:color w:val="000000"/>
          <w:sz w:val="20"/>
          <w:szCs w:val="20"/>
          <w:lang w:eastAsia="pl-PL"/>
        </w:rPr>
        <w:br/>
        <w:t>w ramach zakładowej kontroli produkcji, zgodnie z normą PN-EN 13108-21 [53].</w:t>
      </w:r>
    </w:p>
    <w:p w14:paraId="0C41BF14"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Zakres badań Wykonawcy w systemie zakładowej kontroli produkcji obejmuje:</w:t>
      </w:r>
    </w:p>
    <w:p w14:paraId="514C210E" w14:textId="77777777" w:rsidR="00CC1EF4" w:rsidRPr="004853EB" w:rsidRDefault="00CC1EF4">
      <w:pPr>
        <w:numPr>
          <w:ilvl w:val="0"/>
          <w:numId w:val="98"/>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badania materiałów wsadowych do mieszanki mineralno-asfaltowej (asfaltów, kruszyw wypełniacza </w:t>
      </w:r>
      <w:r w:rsidRPr="004853EB">
        <w:rPr>
          <w:rFonts w:eastAsia="Times New Roman" w:cstheme="minorHAnsi"/>
          <w:color w:val="000000"/>
          <w:sz w:val="20"/>
          <w:szCs w:val="20"/>
          <w:lang w:eastAsia="pl-PL"/>
        </w:rPr>
        <w:br/>
        <w:t xml:space="preserve">i dodatków), </w:t>
      </w:r>
    </w:p>
    <w:p w14:paraId="709CF82A" w14:textId="77777777" w:rsidR="00CC1EF4" w:rsidRPr="004853EB" w:rsidRDefault="00CC1EF4">
      <w:pPr>
        <w:numPr>
          <w:ilvl w:val="0"/>
          <w:numId w:val="98"/>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badanie składu i właściwości mieszanki mineralno-asfaltowej.</w:t>
      </w:r>
    </w:p>
    <w:p w14:paraId="50E95A8B"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Częstotliwość oraz zakres badań i pomiarów w czasie wytwarzania mieszanki mineralno-asfaltowej powinno być zgodne z certyfikowanym systemem ZKP. </w:t>
      </w:r>
    </w:p>
    <w:p w14:paraId="234366EE"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lastRenderedPageBreak/>
        <w:t>6.4.2.</w:t>
      </w:r>
      <w:r w:rsidRPr="004853EB">
        <w:rPr>
          <w:rFonts w:eastAsia="Times New Roman" w:cstheme="minorHAnsi"/>
          <w:color w:val="000000"/>
          <w:sz w:val="20"/>
          <w:szCs w:val="20"/>
          <w:lang w:eastAsia="pl-PL"/>
        </w:rPr>
        <w:t xml:space="preserve"> Badania w czasie wykonywania warstwy asfaltowej i badania gotowej warstwy</w:t>
      </w:r>
      <w:r w:rsidRPr="004853EB">
        <w:rPr>
          <w:rFonts w:eastAsia="Times New Roman" w:cstheme="minorHAnsi"/>
          <w:color w:val="000000"/>
          <w:sz w:val="20"/>
          <w:szCs w:val="20"/>
          <w:lang w:eastAsia="pl-PL"/>
        </w:rPr>
        <w:tab/>
      </w:r>
    </w:p>
    <w:p w14:paraId="6BD08988" w14:textId="1F5F934B"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Badania Wykonawcy są wykonywane przez Wykonawcę lub jego zleceniobiorców celem </w:t>
      </w:r>
      <w:r w:rsidR="00336D00" w:rsidRPr="004853EB">
        <w:rPr>
          <w:rFonts w:eastAsia="Times New Roman" w:cstheme="minorHAnsi"/>
          <w:color w:val="000000"/>
          <w:sz w:val="20"/>
          <w:szCs w:val="20"/>
          <w:lang w:eastAsia="pl-PL"/>
        </w:rPr>
        <w:t>sprawdzenia</w:t>
      </w:r>
      <w:r w:rsidRPr="004853EB">
        <w:rPr>
          <w:rFonts w:eastAsia="Times New Roman" w:cstheme="minorHAnsi"/>
          <w:color w:val="000000"/>
          <w:sz w:val="20"/>
          <w:szCs w:val="20"/>
          <w:lang w:eastAsia="pl-PL"/>
        </w:rPr>
        <w:t xml:space="preserve"> czy jakość materiałów budowlanych (mieszanek mineralno-asfaltowych i ich składników, lepiszczy i materiałów do uszczelnień itp.) oraz gotowej warstwy (wbudowane warstwy asfaltowe, połączenia itp.) spełniają wymagania określone w kontrakcie. </w:t>
      </w:r>
    </w:p>
    <w:p w14:paraId="3A3914C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Wykonawca powinien wykonywać te badania podczas realizacji kontraktu, z niezbędną starannością </w:t>
      </w:r>
      <w:r w:rsidRPr="004853EB">
        <w:rPr>
          <w:rFonts w:eastAsia="Times New Roman" w:cstheme="minorHAnsi"/>
          <w:color w:val="000000"/>
          <w:sz w:val="20"/>
          <w:szCs w:val="20"/>
          <w:lang w:eastAsia="pl-PL"/>
        </w:rPr>
        <w:br/>
        <w:t>i w wymaganym zakresie. Wyniki należy zapisywać w protokołach. W razie stwierdzenia uchybień w stosunku do wymagań kontraktu, ich przyczyny należy niezwłocznie usunąć.</w:t>
      </w:r>
    </w:p>
    <w:p w14:paraId="3ADEDF3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Wyniki badań Wykonawcy należy przekazywać Inżynierowi na jego żądanie. Inżynier może zdecydować </w:t>
      </w:r>
      <w:r w:rsidRPr="004853EB">
        <w:rPr>
          <w:rFonts w:eastAsia="Times New Roman" w:cstheme="minorHAnsi"/>
          <w:color w:val="000000"/>
          <w:sz w:val="20"/>
          <w:szCs w:val="20"/>
          <w:lang w:eastAsia="pl-PL"/>
        </w:rPr>
        <w:br/>
        <w:t>o dokonaniu odbioru na podstawie badań Wykonawcy. W razie zastrzeżeń Inżynier może przeprowadzić badania kontrolne według pktu 6.5.</w:t>
      </w:r>
    </w:p>
    <w:p w14:paraId="1325774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Zakres badań Wykonawcy związany z wykonywaniem nawierzchni:</w:t>
      </w:r>
    </w:p>
    <w:p w14:paraId="1F5CB648"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pomiar temperatury powietrza,</w:t>
      </w:r>
    </w:p>
    <w:p w14:paraId="42C9AE70"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pomiar temperatury mieszanki mineralno-asfaltowej podczas wykonywania nawierzchni (wg PN-EN 12697-13 [38]),</w:t>
      </w:r>
    </w:p>
    <w:p w14:paraId="4E35E710"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ocena wizualna mieszanki mineralno-asfaltowej,</w:t>
      </w:r>
    </w:p>
    <w:p w14:paraId="04EE2BA1"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ocena wizualna posypki,</w:t>
      </w:r>
    </w:p>
    <w:p w14:paraId="400C78A9"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wykaz ilości materiałów lub grubości wykonanej warstwy,</w:t>
      </w:r>
    </w:p>
    <w:p w14:paraId="397DB593"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pomiar spadku poprzecznego warstwy asfaltowej,</w:t>
      </w:r>
    </w:p>
    <w:p w14:paraId="26AB9B80"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pomiar równości warstwy asfaltowej (wg pktu 6.5.4.4),</w:t>
      </w:r>
    </w:p>
    <w:p w14:paraId="207941D6"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dokumentacja działań podejmowanych celem zapewnienia odpowiednich właściwości przeciwpoślizgowych,</w:t>
      </w:r>
    </w:p>
    <w:p w14:paraId="66DF7B64"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pomiar parametrów geometrycznych poboczy,</w:t>
      </w:r>
    </w:p>
    <w:p w14:paraId="268DA490"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ocena wizualna jednorodności powierzchni warstwy,</w:t>
      </w:r>
    </w:p>
    <w:p w14:paraId="22EEFE1C"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ocena wizualna jakości wykonania połączeń technologicznych.</w:t>
      </w:r>
    </w:p>
    <w:p w14:paraId="45972AD3"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5352B266"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299" w:name="_Toc97034702"/>
      <w:bookmarkStart w:id="3300" w:name="_Toc97035390"/>
      <w:bookmarkStart w:id="3301" w:name="_Toc194476985"/>
      <w:bookmarkStart w:id="3302" w:name="_Toc227825467"/>
      <w:r w:rsidRPr="004853EB">
        <w:rPr>
          <w:rFonts w:eastAsia="Times New Roman" w:cstheme="minorHAnsi"/>
          <w:b/>
          <w:bCs/>
          <w:color w:val="000000"/>
          <w:sz w:val="20"/>
          <w:szCs w:val="20"/>
          <w:lang w:eastAsia="pl-PL"/>
        </w:rPr>
        <w:t>6.5. Badania kontrolne zamawiającego</w:t>
      </w:r>
      <w:bookmarkEnd w:id="3299"/>
      <w:bookmarkEnd w:id="3300"/>
      <w:bookmarkEnd w:id="3301"/>
      <w:bookmarkEnd w:id="3302"/>
    </w:p>
    <w:p w14:paraId="2692D36A" w14:textId="5F7F20B4"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Badania kontrolne są badaniami Inżyniera, których celem jest </w:t>
      </w:r>
      <w:r w:rsidR="00336D00" w:rsidRPr="004853EB">
        <w:rPr>
          <w:rFonts w:eastAsia="Times New Roman" w:cstheme="minorHAnsi"/>
          <w:color w:val="000000"/>
          <w:sz w:val="20"/>
          <w:szCs w:val="20"/>
          <w:lang w:eastAsia="pl-PL"/>
        </w:rPr>
        <w:t>sprawdzenie</w:t>
      </w:r>
      <w:r w:rsidRPr="004853EB">
        <w:rPr>
          <w:rFonts w:eastAsia="Times New Roman" w:cstheme="minorHAnsi"/>
          <w:color w:val="000000"/>
          <w:sz w:val="20"/>
          <w:szCs w:val="20"/>
          <w:lang w:eastAsia="pl-PL"/>
        </w:rPr>
        <w:t xml:space="preserv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14:paraId="69C5539C"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Rodzaj i zakres badań kontrolnych Zamawiającego mieszanki mineralno-asfaltowej i wykonanej warstwy jest następujący: </w:t>
      </w:r>
    </w:p>
    <w:p w14:paraId="52257A29" w14:textId="77777777" w:rsidR="00CC1EF4" w:rsidRPr="004853EB" w:rsidRDefault="00CC1EF4">
      <w:pPr>
        <w:numPr>
          <w:ilvl w:val="0"/>
          <w:numId w:val="102"/>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badania materiałów wsadowych do mieszanki mineralno-asfaltowej (asfaltów, kruszyw, wypełniacza </w:t>
      </w:r>
      <w:r w:rsidRPr="004853EB">
        <w:rPr>
          <w:rFonts w:eastAsia="Times New Roman" w:cstheme="minorHAnsi"/>
          <w:color w:val="000000"/>
          <w:sz w:val="20"/>
          <w:szCs w:val="20"/>
          <w:lang w:eastAsia="pl-PL"/>
        </w:rPr>
        <w:br/>
        <w:t>i dodatków).</w:t>
      </w:r>
    </w:p>
    <w:p w14:paraId="02CC65B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Mieszanka mineralno-asfaltowa:</w:t>
      </w:r>
    </w:p>
    <w:p w14:paraId="7666E9C1" w14:textId="77777777" w:rsidR="00CC1EF4" w:rsidRPr="004853EB" w:rsidRDefault="00CC1EF4">
      <w:pPr>
        <w:numPr>
          <w:ilvl w:val="0"/>
          <w:numId w:val="103"/>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uziarnienie,</w:t>
      </w:r>
    </w:p>
    <w:p w14:paraId="65228DDF" w14:textId="77777777" w:rsidR="00CC1EF4" w:rsidRPr="004853EB" w:rsidRDefault="00CC1EF4">
      <w:pPr>
        <w:numPr>
          <w:ilvl w:val="0"/>
          <w:numId w:val="103"/>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zawartość lepiszcza,</w:t>
      </w:r>
    </w:p>
    <w:p w14:paraId="79A97F0C" w14:textId="77777777" w:rsidR="00CC1EF4" w:rsidRPr="004853EB" w:rsidRDefault="00CC1EF4">
      <w:pPr>
        <w:numPr>
          <w:ilvl w:val="0"/>
          <w:numId w:val="103"/>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gęstość i zawartość wolnych przestrzeni próbki.</w:t>
      </w:r>
    </w:p>
    <w:p w14:paraId="767BE3C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Warunki technologiczne wbudowywania mieszanki mineralno-asfaltowej:</w:t>
      </w:r>
    </w:p>
    <w:p w14:paraId="09DEED71" w14:textId="1B490254" w:rsidR="00CC1EF4" w:rsidRPr="004853EB" w:rsidRDefault="00CC1EF4">
      <w:pPr>
        <w:numPr>
          <w:ilvl w:val="0"/>
          <w:numId w:val="104"/>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pomiar temperatury powietrza podczas </w:t>
      </w:r>
      <w:r w:rsidR="00336D00" w:rsidRPr="004853EB">
        <w:rPr>
          <w:rFonts w:eastAsia="Times New Roman" w:cstheme="minorHAnsi"/>
          <w:color w:val="000000"/>
          <w:sz w:val="20"/>
          <w:szCs w:val="20"/>
          <w:lang w:eastAsia="pl-PL"/>
        </w:rPr>
        <w:t>pobrania próby</w:t>
      </w:r>
      <w:r w:rsidRPr="004853EB">
        <w:rPr>
          <w:rFonts w:eastAsia="Times New Roman" w:cstheme="minorHAnsi"/>
          <w:color w:val="000000"/>
          <w:sz w:val="20"/>
          <w:szCs w:val="20"/>
          <w:lang w:eastAsia="pl-PL"/>
        </w:rPr>
        <w:t xml:space="preserve"> do badań,</w:t>
      </w:r>
    </w:p>
    <w:p w14:paraId="4847C3EB" w14:textId="77777777" w:rsidR="00CC1EF4" w:rsidRPr="004853EB" w:rsidRDefault="00CC1EF4">
      <w:pPr>
        <w:numPr>
          <w:ilvl w:val="0"/>
          <w:numId w:val="104"/>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pomiar temperatury mieszanki mineralno-asfaltowej,</w:t>
      </w:r>
    </w:p>
    <w:p w14:paraId="0433ED3C" w14:textId="77777777" w:rsidR="00CC1EF4" w:rsidRPr="004853EB" w:rsidRDefault="00CC1EF4">
      <w:pPr>
        <w:numPr>
          <w:ilvl w:val="0"/>
          <w:numId w:val="104"/>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ocena wizualna dostarczonej mieszanki mineralno-asfaltowej.</w:t>
      </w:r>
    </w:p>
    <w:p w14:paraId="5720C8A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Wykonana warstwa:</w:t>
      </w:r>
    </w:p>
    <w:p w14:paraId="1FBD73F3" w14:textId="77777777" w:rsidR="00CC1EF4" w:rsidRPr="004853EB" w:rsidRDefault="00CC1EF4">
      <w:pPr>
        <w:numPr>
          <w:ilvl w:val="0"/>
          <w:numId w:val="105"/>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wskaźnik zagęszczenia</w:t>
      </w:r>
    </w:p>
    <w:p w14:paraId="4215F23E" w14:textId="77777777" w:rsidR="00CC1EF4" w:rsidRPr="004853EB" w:rsidRDefault="00CC1EF4">
      <w:pPr>
        <w:numPr>
          <w:ilvl w:val="0"/>
          <w:numId w:val="105"/>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grubość warstwy lub ilość zużytego materiału,</w:t>
      </w:r>
    </w:p>
    <w:p w14:paraId="5EFAFA81" w14:textId="77777777" w:rsidR="00CC1EF4" w:rsidRPr="004853EB" w:rsidRDefault="00CC1EF4">
      <w:pPr>
        <w:numPr>
          <w:ilvl w:val="0"/>
          <w:numId w:val="105"/>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równość podłużna i poprzeczna,</w:t>
      </w:r>
    </w:p>
    <w:p w14:paraId="5D6919BA" w14:textId="77777777" w:rsidR="00CC1EF4" w:rsidRPr="004853EB" w:rsidRDefault="00CC1EF4">
      <w:pPr>
        <w:numPr>
          <w:ilvl w:val="0"/>
          <w:numId w:val="105"/>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spadki poprzeczne,</w:t>
      </w:r>
    </w:p>
    <w:p w14:paraId="240CDFDF" w14:textId="77777777" w:rsidR="00CC1EF4" w:rsidRPr="004853EB" w:rsidRDefault="00CC1EF4">
      <w:pPr>
        <w:numPr>
          <w:ilvl w:val="0"/>
          <w:numId w:val="105"/>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zawartość wolnych przestrzeni,</w:t>
      </w:r>
    </w:p>
    <w:p w14:paraId="1CF525B0" w14:textId="77777777" w:rsidR="00CC1EF4" w:rsidRPr="004853EB" w:rsidRDefault="00CC1EF4">
      <w:pPr>
        <w:numPr>
          <w:ilvl w:val="0"/>
          <w:numId w:val="105"/>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złącza technologiczne,</w:t>
      </w:r>
    </w:p>
    <w:p w14:paraId="03B382D8" w14:textId="77777777" w:rsidR="00CC1EF4" w:rsidRPr="004853EB" w:rsidRDefault="00CC1EF4">
      <w:pPr>
        <w:numPr>
          <w:ilvl w:val="0"/>
          <w:numId w:val="105"/>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szerokość warstwy,</w:t>
      </w:r>
    </w:p>
    <w:p w14:paraId="18AF4AE6" w14:textId="77777777" w:rsidR="00CC1EF4" w:rsidRPr="004853EB" w:rsidRDefault="00CC1EF4">
      <w:pPr>
        <w:numPr>
          <w:ilvl w:val="0"/>
          <w:numId w:val="105"/>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rzędne wysokościowe,</w:t>
      </w:r>
    </w:p>
    <w:p w14:paraId="17D91666" w14:textId="77777777" w:rsidR="00CC1EF4" w:rsidRPr="004853EB" w:rsidRDefault="00CC1EF4">
      <w:pPr>
        <w:numPr>
          <w:ilvl w:val="0"/>
          <w:numId w:val="105"/>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ukształtowanie osi w planie,</w:t>
      </w:r>
    </w:p>
    <w:p w14:paraId="7E3D0D69" w14:textId="77777777" w:rsidR="00CC1EF4" w:rsidRPr="004853EB" w:rsidRDefault="00CC1EF4">
      <w:pPr>
        <w:numPr>
          <w:ilvl w:val="0"/>
          <w:numId w:val="105"/>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ocena wizualna warstwy,</w:t>
      </w:r>
    </w:p>
    <w:p w14:paraId="0738647E" w14:textId="77777777" w:rsidR="00CC1EF4" w:rsidRPr="004853EB" w:rsidRDefault="00CC1EF4">
      <w:pPr>
        <w:numPr>
          <w:ilvl w:val="0"/>
          <w:numId w:val="105"/>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właściwości przeciwpoślizgowe warstwy ścieralnej.</w:t>
      </w:r>
    </w:p>
    <w:p w14:paraId="1973E641" w14:textId="77777777" w:rsidR="00CC1EF4" w:rsidRPr="004853EB" w:rsidRDefault="00CC1EF4" w:rsidP="00CC1EF4">
      <w:pPr>
        <w:keepNext/>
        <w:spacing w:before="120" w:after="120" w:line="240" w:lineRule="auto"/>
        <w:jc w:val="both"/>
        <w:rPr>
          <w:rFonts w:eastAsia="Times New Roman" w:cstheme="minorHAnsi"/>
          <w:b/>
          <w:color w:val="000000"/>
          <w:sz w:val="20"/>
          <w:szCs w:val="20"/>
          <w:lang w:eastAsia="pl-PL"/>
        </w:rPr>
      </w:pPr>
      <w:r w:rsidRPr="004853EB">
        <w:rPr>
          <w:rFonts w:eastAsia="Times New Roman" w:cstheme="minorHAnsi"/>
          <w:b/>
          <w:color w:val="000000"/>
          <w:sz w:val="20"/>
          <w:szCs w:val="20"/>
          <w:lang w:eastAsia="pl-PL"/>
        </w:rPr>
        <w:t xml:space="preserve">6.5.1. </w:t>
      </w:r>
      <w:r w:rsidRPr="004853EB">
        <w:rPr>
          <w:rFonts w:eastAsia="Times New Roman" w:cstheme="minorHAnsi"/>
          <w:color w:val="000000"/>
          <w:sz w:val="20"/>
          <w:szCs w:val="20"/>
          <w:lang w:eastAsia="pl-PL"/>
        </w:rPr>
        <w:t>Badanie materiałów wsadowych</w:t>
      </w:r>
    </w:p>
    <w:p w14:paraId="0E551319" w14:textId="04CB7B89"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Właściwości materiałów wsadowych należy oceniać na podstawie badań pobranych próbek w miejscu </w:t>
      </w:r>
      <w:r w:rsidR="00336D00" w:rsidRPr="004853EB">
        <w:rPr>
          <w:rFonts w:eastAsia="Times New Roman" w:cstheme="minorHAnsi"/>
          <w:color w:val="000000"/>
          <w:sz w:val="20"/>
          <w:szCs w:val="20"/>
          <w:lang w:eastAsia="pl-PL"/>
        </w:rPr>
        <w:t>produkcji mieszanki</w:t>
      </w:r>
      <w:r w:rsidRPr="004853EB">
        <w:rPr>
          <w:rFonts w:eastAsia="Times New Roman" w:cstheme="minorHAnsi"/>
          <w:color w:val="000000"/>
          <w:sz w:val="20"/>
          <w:szCs w:val="20"/>
          <w:lang w:eastAsia="pl-PL"/>
        </w:rPr>
        <w:t xml:space="preserve"> mineralno-asfaltowej. </w:t>
      </w:r>
    </w:p>
    <w:p w14:paraId="70CA647F"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Do oceny jakości materiałów wsadowych mieszanki mineralno-asfaltowej, za zgodą nadzoru </w:t>
      </w:r>
      <w:r w:rsidRPr="004853EB">
        <w:rPr>
          <w:rFonts w:eastAsia="Times New Roman" w:cstheme="minorHAnsi"/>
          <w:color w:val="000000"/>
          <w:sz w:val="20"/>
          <w:szCs w:val="20"/>
          <w:lang w:eastAsia="pl-PL"/>
        </w:rPr>
        <w:br/>
        <w:t xml:space="preserve">i Zamawiającego mogą posłużyć wyniki badań wykonanych w ramach zakładowej kontroli produkcji. </w:t>
      </w:r>
    </w:p>
    <w:p w14:paraId="1F7E41BE" w14:textId="77777777" w:rsidR="00CC1EF4" w:rsidRPr="004853EB" w:rsidRDefault="00CC1EF4" w:rsidP="00CC1EF4">
      <w:pPr>
        <w:spacing w:before="120" w:after="120" w:line="240" w:lineRule="auto"/>
        <w:ind w:right="-57"/>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6.5.1.1.</w:t>
      </w:r>
      <w:r w:rsidRPr="004853EB">
        <w:rPr>
          <w:rFonts w:eastAsia="Times New Roman" w:cstheme="minorHAnsi"/>
          <w:b/>
          <w:color w:val="000000"/>
          <w:sz w:val="20"/>
          <w:szCs w:val="20"/>
          <w:lang w:eastAsia="pl-PL"/>
        </w:rPr>
        <w:t xml:space="preserve"> </w:t>
      </w:r>
      <w:r w:rsidRPr="004853EB">
        <w:rPr>
          <w:rFonts w:eastAsia="Times New Roman" w:cstheme="minorHAnsi"/>
          <w:color w:val="000000"/>
          <w:sz w:val="20"/>
          <w:szCs w:val="20"/>
          <w:lang w:eastAsia="pl-PL"/>
        </w:rPr>
        <w:t>Kruszywa i wypełniacz</w:t>
      </w:r>
    </w:p>
    <w:p w14:paraId="49ACD530" w14:textId="77777777" w:rsidR="00CC1EF4" w:rsidRPr="004853EB" w:rsidRDefault="00CC1EF4" w:rsidP="00CC1EF4">
      <w:pPr>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Z kruszywa należy pobrać i zbadać średnie próbki. Wielkość pobranej średniej próbki nie może być mniejsza niż: </w:t>
      </w:r>
    </w:p>
    <w:p w14:paraId="067B7100" w14:textId="77777777" w:rsidR="00CC1EF4" w:rsidRPr="004853EB" w:rsidRDefault="00CC1EF4">
      <w:pPr>
        <w:widowControl w:val="0"/>
        <w:numPr>
          <w:ilvl w:val="0"/>
          <w:numId w:val="97"/>
        </w:numPr>
        <w:tabs>
          <w:tab w:val="left" w:pos="426"/>
        </w:tabs>
        <w:spacing w:after="0" w:line="240" w:lineRule="auto"/>
        <w:ind w:left="426" w:right="-57" w:hanging="426"/>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wypełniacz</w:t>
      </w:r>
      <w:r w:rsidRPr="004853EB">
        <w:rPr>
          <w:rFonts w:eastAsia="Times New Roman" w:cstheme="minorHAnsi"/>
          <w:color w:val="000000"/>
          <w:sz w:val="20"/>
          <w:szCs w:val="20"/>
          <w:lang w:eastAsia="pl-PL"/>
        </w:rPr>
        <w:tab/>
      </w:r>
      <w:r w:rsidRPr="004853EB">
        <w:rPr>
          <w:rFonts w:eastAsia="Times New Roman" w:cstheme="minorHAnsi"/>
          <w:color w:val="000000"/>
          <w:sz w:val="20"/>
          <w:szCs w:val="20"/>
          <w:lang w:eastAsia="pl-PL"/>
        </w:rPr>
        <w:tab/>
      </w:r>
      <w:r w:rsidRPr="004853EB">
        <w:rPr>
          <w:rFonts w:eastAsia="Times New Roman" w:cstheme="minorHAnsi"/>
          <w:color w:val="000000"/>
          <w:sz w:val="20"/>
          <w:szCs w:val="20"/>
          <w:lang w:eastAsia="pl-PL"/>
        </w:rPr>
        <w:tab/>
      </w:r>
      <w:r w:rsidRPr="004853EB">
        <w:rPr>
          <w:rFonts w:eastAsia="Times New Roman" w:cstheme="minorHAnsi"/>
          <w:color w:val="000000"/>
          <w:sz w:val="20"/>
          <w:szCs w:val="20"/>
          <w:lang w:eastAsia="pl-PL"/>
        </w:rPr>
        <w:tab/>
      </w:r>
      <w:r w:rsidRPr="004853EB">
        <w:rPr>
          <w:rFonts w:eastAsia="Times New Roman" w:cstheme="minorHAnsi"/>
          <w:color w:val="000000"/>
          <w:sz w:val="20"/>
          <w:szCs w:val="20"/>
          <w:lang w:eastAsia="pl-PL"/>
        </w:rPr>
        <w:tab/>
        <w:t>2 kg,</w:t>
      </w:r>
    </w:p>
    <w:p w14:paraId="48AAC951" w14:textId="77777777" w:rsidR="00CC1EF4" w:rsidRPr="004853EB" w:rsidRDefault="00CC1EF4">
      <w:pPr>
        <w:widowControl w:val="0"/>
        <w:numPr>
          <w:ilvl w:val="0"/>
          <w:numId w:val="97"/>
        </w:numPr>
        <w:tabs>
          <w:tab w:val="left" w:pos="426"/>
        </w:tabs>
        <w:spacing w:after="0" w:line="240" w:lineRule="auto"/>
        <w:ind w:left="426" w:right="-57" w:hanging="426"/>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kruszywa o uziarnieniu do 8 mm</w:t>
      </w:r>
      <w:r w:rsidRPr="004853EB">
        <w:rPr>
          <w:rFonts w:eastAsia="Times New Roman" w:cstheme="minorHAnsi"/>
          <w:color w:val="000000"/>
          <w:sz w:val="20"/>
          <w:szCs w:val="20"/>
          <w:lang w:eastAsia="pl-PL"/>
        </w:rPr>
        <w:tab/>
      </w:r>
      <w:r w:rsidRPr="004853EB">
        <w:rPr>
          <w:rFonts w:eastAsia="Times New Roman" w:cstheme="minorHAnsi"/>
          <w:color w:val="000000"/>
          <w:sz w:val="20"/>
          <w:szCs w:val="20"/>
          <w:lang w:eastAsia="pl-PL"/>
        </w:rPr>
        <w:tab/>
        <w:t>5 kg,</w:t>
      </w:r>
    </w:p>
    <w:p w14:paraId="5AFA0ABB" w14:textId="77777777" w:rsidR="00CC1EF4" w:rsidRPr="004853EB" w:rsidRDefault="00CC1EF4">
      <w:pPr>
        <w:widowControl w:val="0"/>
        <w:numPr>
          <w:ilvl w:val="0"/>
          <w:numId w:val="97"/>
        </w:numPr>
        <w:tabs>
          <w:tab w:val="left" w:pos="426"/>
        </w:tabs>
        <w:spacing w:after="0" w:line="240" w:lineRule="auto"/>
        <w:ind w:left="426" w:right="-57" w:hanging="426"/>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kruszywa o uziarnieniu powyżej 8 mm</w:t>
      </w:r>
      <w:r w:rsidRPr="004853EB">
        <w:rPr>
          <w:rFonts w:eastAsia="Times New Roman" w:cstheme="minorHAnsi"/>
          <w:color w:val="000000"/>
          <w:sz w:val="20"/>
          <w:szCs w:val="20"/>
          <w:lang w:eastAsia="pl-PL"/>
        </w:rPr>
        <w:tab/>
      </w:r>
      <w:r w:rsidRPr="004853EB">
        <w:rPr>
          <w:rFonts w:eastAsia="Times New Roman" w:cstheme="minorHAnsi"/>
          <w:color w:val="000000"/>
          <w:sz w:val="20"/>
          <w:szCs w:val="20"/>
          <w:lang w:eastAsia="pl-PL"/>
        </w:rPr>
        <w:tab/>
        <w:t>15 kg.</w:t>
      </w:r>
    </w:p>
    <w:p w14:paraId="457A8DC3" w14:textId="28467B82" w:rsidR="00CC1EF4" w:rsidRPr="004853EB" w:rsidRDefault="00CC1EF4" w:rsidP="00CC1EF4">
      <w:pPr>
        <w:widowControl w:val="0"/>
        <w:tabs>
          <w:tab w:val="left" w:pos="426"/>
        </w:tabs>
        <w:spacing w:after="0" w:line="240" w:lineRule="auto"/>
        <w:ind w:right="-57"/>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r>
      <w:r w:rsidRPr="004853EB">
        <w:rPr>
          <w:rFonts w:eastAsia="Times New Roman" w:cstheme="minorHAnsi"/>
          <w:color w:val="000000"/>
          <w:sz w:val="20"/>
          <w:szCs w:val="20"/>
          <w:lang w:eastAsia="pl-PL"/>
        </w:rPr>
        <w:tab/>
        <w:t xml:space="preserve">Wypełniacz i kruszywa powinny spełniać wymagania podane w </w:t>
      </w:r>
      <w:r w:rsidR="00336D00" w:rsidRPr="004853EB">
        <w:rPr>
          <w:rFonts w:eastAsia="Times New Roman" w:cstheme="minorHAnsi"/>
          <w:color w:val="000000"/>
          <w:sz w:val="20"/>
          <w:szCs w:val="20"/>
          <w:lang w:eastAsia="pl-PL"/>
        </w:rPr>
        <w:t>pkcie 2.3.</w:t>
      </w:r>
      <w:r w:rsidRPr="004853EB">
        <w:rPr>
          <w:rFonts w:eastAsia="Times New Roman" w:cstheme="minorHAnsi"/>
          <w:color w:val="000000"/>
          <w:sz w:val="20"/>
          <w:szCs w:val="20"/>
          <w:lang w:eastAsia="pl-PL"/>
        </w:rPr>
        <w:t xml:space="preserve"> i 2.4.</w:t>
      </w:r>
    </w:p>
    <w:p w14:paraId="099D45EA" w14:textId="77777777" w:rsidR="00CC1EF4" w:rsidRPr="004853EB" w:rsidRDefault="00CC1EF4" w:rsidP="00CC1EF4">
      <w:pPr>
        <w:spacing w:before="120" w:after="120" w:line="240" w:lineRule="auto"/>
        <w:ind w:right="-57"/>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6.5.1.2. Lepiszcze </w:t>
      </w:r>
    </w:p>
    <w:p w14:paraId="718FCDD7" w14:textId="2C83F507" w:rsidR="00CC1EF4" w:rsidRPr="004853EB" w:rsidRDefault="00CC1EF4" w:rsidP="00CC1EF4">
      <w:pPr>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Z lepiszcza należy pobrać próbkę średnią składająca się z 3 próbek częściowych po 2 kg. Z tego jedną próbkę częściową należy poddać badaniom. Ponadto </w:t>
      </w:r>
      <w:r w:rsidR="00336D00" w:rsidRPr="004853EB">
        <w:rPr>
          <w:rFonts w:eastAsia="Times New Roman" w:cstheme="minorHAnsi"/>
          <w:color w:val="000000"/>
          <w:sz w:val="20"/>
          <w:szCs w:val="20"/>
          <w:lang w:eastAsia="pl-PL"/>
        </w:rPr>
        <w:t>należy zbadać</w:t>
      </w:r>
      <w:r w:rsidRPr="004853EB">
        <w:rPr>
          <w:rFonts w:eastAsia="Times New Roman" w:cstheme="minorHAnsi"/>
          <w:color w:val="000000"/>
          <w:sz w:val="20"/>
          <w:szCs w:val="20"/>
          <w:lang w:eastAsia="pl-PL"/>
        </w:rPr>
        <w:t xml:space="preserve"> kolejną próbkę, jeżeli wygląd zewnętrzny (jednolitość, kolor, zapach, zanieczyszczenia) może budzić obawy.</w:t>
      </w:r>
    </w:p>
    <w:p w14:paraId="34D894E9" w14:textId="77777777" w:rsidR="00CC1EF4" w:rsidRPr="004853EB" w:rsidRDefault="00CC1EF4" w:rsidP="00CC1EF4">
      <w:pPr>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powinny spełniać wymagania podane w pkcie 2.2.</w:t>
      </w:r>
    </w:p>
    <w:p w14:paraId="73D58662" w14:textId="77777777" w:rsidR="00CC1EF4" w:rsidRPr="004853EB" w:rsidRDefault="00CC1EF4" w:rsidP="00CC1EF4">
      <w:pPr>
        <w:spacing w:before="120" w:after="120" w:line="240" w:lineRule="auto"/>
        <w:ind w:right="-57"/>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6.5.1.3. Materiały do uszczelniania połączeń </w:t>
      </w:r>
    </w:p>
    <w:p w14:paraId="61915257" w14:textId="77777777" w:rsidR="00CC1EF4" w:rsidRPr="004853EB" w:rsidRDefault="00CC1EF4" w:rsidP="00CC1EF4">
      <w:pPr>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 lepiszcza lub materiałów termoplastycznych należy pobrać próbki średnie składające się z 3 próbek częściowych po 2 kg. Z tego jedną próbkę częściową należy poddać badaniom. Ponadto należy pobrać i zbadać kolejną próbkę, jeżeli zewnętrzny wygląd (jednolitość, kolor, połysk, zapach, zanieczyszczenia) może budzić obawy.</w:t>
      </w:r>
    </w:p>
    <w:p w14:paraId="1F10AD72" w14:textId="77777777" w:rsidR="00CC1EF4" w:rsidRPr="004853EB" w:rsidRDefault="00CC1EF4" w:rsidP="00CC1EF4">
      <w:pPr>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Materiały do uszczelniania połączeń powinny spełniać wymagania podane w pkcie 2.6.</w:t>
      </w:r>
    </w:p>
    <w:p w14:paraId="5DDAC016" w14:textId="77777777" w:rsidR="00CC1EF4" w:rsidRPr="004853EB" w:rsidRDefault="00CC1EF4" w:rsidP="00CC1EF4">
      <w:pPr>
        <w:keepNext/>
        <w:spacing w:before="120" w:after="120" w:line="240" w:lineRule="auto"/>
        <w:ind w:right="-57"/>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6.5.2.</w:t>
      </w:r>
      <w:r w:rsidRPr="004853EB">
        <w:rPr>
          <w:rFonts w:eastAsia="Times New Roman" w:cstheme="minorHAnsi"/>
          <w:color w:val="000000"/>
          <w:sz w:val="20"/>
          <w:szCs w:val="20"/>
          <w:lang w:eastAsia="pl-PL"/>
        </w:rPr>
        <w:t xml:space="preserve"> Badania mieszanki mineralno-asfaltowej  </w:t>
      </w:r>
    </w:p>
    <w:p w14:paraId="2C07E562"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45F7AED4"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Do oceny jakości mieszanki mineralno-asfaltowej za zgodą nadzoru i Zamawiającego mogą posłużyć wyniki badań wykonanych w ramach zakładowej kontroli produkcji.  </w:t>
      </w:r>
    </w:p>
    <w:p w14:paraId="49FAC6C5"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Na etapie oceny jakości wbudowanej mieszanki mineralno-asfaltowej podaje się wartości dopuszczalne </w:t>
      </w:r>
      <w:r w:rsidRPr="004853EB">
        <w:rPr>
          <w:rFonts w:eastAsia="Times New Roman" w:cstheme="minorHAnsi"/>
          <w:color w:val="000000"/>
          <w:sz w:val="20"/>
          <w:szCs w:val="20"/>
          <w:lang w:eastAsia="pl-PL"/>
        </w:rPr>
        <w:br/>
        <w:t>i tolerancje, w których uwzględnia się: rozrzut występujący przy pobieraniu próbek, dokładność metod badań oraz odstępstwa uwarunkowane metodą pracy.</w:t>
      </w:r>
    </w:p>
    <w:p w14:paraId="34A83F8B"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Właściwości materiałów budowlanych należy określać dla każdej warstwy technologicznej, a metody badań powinny być zgodne z wymaganiami podanymi poniżej, chyba że ST lub dokumentacja projektowa podają inaczej. </w:t>
      </w:r>
    </w:p>
    <w:p w14:paraId="359A9861" w14:textId="77777777" w:rsidR="00CC1EF4" w:rsidRPr="004853EB" w:rsidRDefault="00CC1EF4" w:rsidP="00CC1EF4">
      <w:pPr>
        <w:keepNext/>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6.5.2.1. Uziarnienie </w:t>
      </w:r>
    </w:p>
    <w:p w14:paraId="06D495C3" w14:textId="77777777" w:rsidR="00CC1EF4" w:rsidRPr="004853EB" w:rsidRDefault="00CC1EF4" w:rsidP="00CC1EF4">
      <w:pPr>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Uziarnienie każdej próbki pobranej z luźnej mieszanki mineralno-asfaltowej nie może odbiegać od wartości projektowanej, z uwzględnieniem dopuszczalnych odchyłek podanych w tablicy 20, w zależności od liczby wyników badań z danego odcinka budowy. Wyniki badań nie uwzględniają badań kontrolnych dodatkowych.</w:t>
      </w:r>
    </w:p>
    <w:p w14:paraId="2482091F" w14:textId="77777777" w:rsidR="00CC1EF4" w:rsidRPr="004853EB" w:rsidRDefault="00CC1EF4" w:rsidP="00CC1EF4">
      <w:pPr>
        <w:spacing w:before="120" w:after="120" w:line="240" w:lineRule="auto"/>
        <w:ind w:left="1134" w:hanging="1134"/>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Tablica 20.</w:t>
      </w:r>
      <w:r w:rsidRPr="004853EB">
        <w:rPr>
          <w:rFonts w:eastAsia="Times New Roman" w:cstheme="minorHAnsi"/>
          <w:color w:val="000000"/>
          <w:sz w:val="20"/>
          <w:szCs w:val="20"/>
          <w:lang w:eastAsia="pl-PL"/>
        </w:rPr>
        <w:tab/>
        <w:t xml:space="preserve">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8"/>
        <w:gridCol w:w="730"/>
        <w:gridCol w:w="894"/>
        <w:gridCol w:w="1016"/>
        <w:gridCol w:w="960"/>
        <w:gridCol w:w="894"/>
        <w:gridCol w:w="906"/>
      </w:tblGrid>
      <w:tr w:rsidR="00CC1EF4" w:rsidRPr="004853EB" w14:paraId="394DA82A" w14:textId="77777777" w:rsidTr="00E95D02">
        <w:tc>
          <w:tcPr>
            <w:tcW w:w="2988" w:type="dxa"/>
            <w:vMerge w:val="restart"/>
          </w:tcPr>
          <w:p w14:paraId="2BA4B557" w14:textId="77777777" w:rsidR="00CC1EF4" w:rsidRPr="004853EB" w:rsidRDefault="00CC1EF4" w:rsidP="00CC1EF4">
            <w:pPr>
              <w:tabs>
                <w:tab w:val="left" w:pos="1877"/>
              </w:tabs>
              <w:spacing w:after="0" w:line="240" w:lineRule="auto"/>
              <w:ind w:right="-57"/>
              <w:jc w:val="both"/>
              <w:rPr>
                <w:rFonts w:eastAsia="Times New Roman" w:cstheme="minorHAnsi"/>
                <w:color w:val="000000"/>
                <w:sz w:val="18"/>
                <w:szCs w:val="18"/>
                <w:lang w:eastAsia="pl-PL"/>
              </w:rPr>
            </w:pPr>
          </w:p>
          <w:p w14:paraId="68CDA498" w14:textId="77777777" w:rsidR="00CC1EF4" w:rsidRPr="004853EB" w:rsidRDefault="00CC1EF4" w:rsidP="00CC1EF4">
            <w:pPr>
              <w:tabs>
                <w:tab w:val="left" w:pos="1877"/>
              </w:tabs>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Kruszywo o wymiarze</w:t>
            </w:r>
          </w:p>
        </w:tc>
        <w:tc>
          <w:tcPr>
            <w:tcW w:w="5400" w:type="dxa"/>
            <w:gridSpan w:val="6"/>
          </w:tcPr>
          <w:p w14:paraId="34303AD4"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Liczba wyników badań</w:t>
            </w:r>
          </w:p>
        </w:tc>
      </w:tr>
      <w:tr w:rsidR="00CC1EF4" w:rsidRPr="004853EB" w14:paraId="40AD4E54" w14:textId="77777777" w:rsidTr="00E95D02">
        <w:tc>
          <w:tcPr>
            <w:tcW w:w="2988" w:type="dxa"/>
            <w:vMerge/>
          </w:tcPr>
          <w:p w14:paraId="7339223B" w14:textId="77777777" w:rsidR="00CC1EF4" w:rsidRPr="004853EB" w:rsidRDefault="00CC1EF4" w:rsidP="00CC1EF4">
            <w:pPr>
              <w:tabs>
                <w:tab w:val="left" w:pos="1877"/>
              </w:tabs>
              <w:spacing w:after="0" w:line="240" w:lineRule="auto"/>
              <w:ind w:right="-57"/>
              <w:jc w:val="both"/>
              <w:rPr>
                <w:rFonts w:eastAsia="Times New Roman" w:cstheme="minorHAnsi"/>
                <w:color w:val="000000"/>
                <w:sz w:val="18"/>
                <w:szCs w:val="18"/>
                <w:lang w:eastAsia="pl-PL"/>
              </w:rPr>
            </w:pPr>
          </w:p>
        </w:tc>
        <w:tc>
          <w:tcPr>
            <w:tcW w:w="730" w:type="dxa"/>
          </w:tcPr>
          <w:p w14:paraId="71E31C81"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w:t>
            </w:r>
          </w:p>
        </w:tc>
        <w:tc>
          <w:tcPr>
            <w:tcW w:w="894" w:type="dxa"/>
          </w:tcPr>
          <w:p w14:paraId="30C9706F"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w:t>
            </w:r>
          </w:p>
        </w:tc>
        <w:tc>
          <w:tcPr>
            <w:tcW w:w="1016" w:type="dxa"/>
          </w:tcPr>
          <w:p w14:paraId="3AEB17A2"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 3</w:t>
            </w:r>
          </w:p>
          <w:p w14:paraId="67F67C5D"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do 4</w:t>
            </w:r>
          </w:p>
        </w:tc>
        <w:tc>
          <w:tcPr>
            <w:tcW w:w="960" w:type="dxa"/>
          </w:tcPr>
          <w:p w14:paraId="760DE5CE"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od 5 </w:t>
            </w:r>
          </w:p>
          <w:p w14:paraId="0E3610DE"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do 8</w:t>
            </w:r>
          </w:p>
        </w:tc>
        <w:tc>
          <w:tcPr>
            <w:tcW w:w="894" w:type="dxa"/>
          </w:tcPr>
          <w:p w14:paraId="4B31C008"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od 9 </w:t>
            </w:r>
          </w:p>
          <w:p w14:paraId="4EA0D343"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do 19</w:t>
            </w:r>
          </w:p>
        </w:tc>
        <w:tc>
          <w:tcPr>
            <w:tcW w:w="906" w:type="dxa"/>
          </w:tcPr>
          <w:p w14:paraId="0AD5A1D0"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≥20</w:t>
            </w:r>
          </w:p>
        </w:tc>
      </w:tr>
      <w:tr w:rsidR="00CC1EF4" w:rsidRPr="004853EB" w14:paraId="6A3CCE24" w14:textId="77777777" w:rsidTr="00E95D02">
        <w:tc>
          <w:tcPr>
            <w:tcW w:w="2988" w:type="dxa"/>
          </w:tcPr>
          <w:p w14:paraId="53A2B4F8" w14:textId="77777777" w:rsidR="00CC1EF4" w:rsidRPr="004853EB" w:rsidRDefault="00CC1EF4" w:rsidP="00CC1EF4">
            <w:pPr>
              <w:tabs>
                <w:tab w:val="left" w:pos="1877"/>
              </w:tabs>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&lt;0,063 mm, [%(m/m)], mieszanki gruboziarniste</w:t>
            </w:r>
          </w:p>
        </w:tc>
        <w:tc>
          <w:tcPr>
            <w:tcW w:w="730" w:type="dxa"/>
          </w:tcPr>
          <w:p w14:paraId="240580BC"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±4,0</w:t>
            </w:r>
          </w:p>
        </w:tc>
        <w:tc>
          <w:tcPr>
            <w:tcW w:w="894" w:type="dxa"/>
          </w:tcPr>
          <w:p w14:paraId="022882B1"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±3,6</w:t>
            </w:r>
          </w:p>
        </w:tc>
        <w:tc>
          <w:tcPr>
            <w:tcW w:w="1016" w:type="dxa"/>
          </w:tcPr>
          <w:p w14:paraId="672A8455"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±3,2</w:t>
            </w:r>
          </w:p>
        </w:tc>
        <w:tc>
          <w:tcPr>
            <w:tcW w:w="960" w:type="dxa"/>
          </w:tcPr>
          <w:p w14:paraId="6523AE62"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±2,9</w:t>
            </w:r>
          </w:p>
        </w:tc>
        <w:tc>
          <w:tcPr>
            <w:tcW w:w="894" w:type="dxa"/>
          </w:tcPr>
          <w:p w14:paraId="24E5DFF6"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±2,4</w:t>
            </w:r>
          </w:p>
        </w:tc>
        <w:tc>
          <w:tcPr>
            <w:tcW w:w="906" w:type="dxa"/>
          </w:tcPr>
          <w:p w14:paraId="21CDAB99"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±2,0</w:t>
            </w:r>
          </w:p>
        </w:tc>
      </w:tr>
      <w:tr w:rsidR="00CC1EF4" w:rsidRPr="004853EB" w14:paraId="7ABBF7D9" w14:textId="77777777" w:rsidTr="00E95D02">
        <w:tc>
          <w:tcPr>
            <w:tcW w:w="2988" w:type="dxa"/>
          </w:tcPr>
          <w:p w14:paraId="39BD38CF" w14:textId="77777777" w:rsidR="00CC1EF4" w:rsidRPr="004853EB" w:rsidRDefault="00CC1EF4" w:rsidP="00CC1EF4">
            <w:pPr>
              <w:tabs>
                <w:tab w:val="left" w:pos="1877"/>
              </w:tabs>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lastRenderedPageBreak/>
              <w:t>&lt;0,063 mm, [%(m/m)], mieszanki drobnoziarniste</w:t>
            </w:r>
          </w:p>
        </w:tc>
        <w:tc>
          <w:tcPr>
            <w:tcW w:w="730" w:type="dxa"/>
          </w:tcPr>
          <w:p w14:paraId="2B392F19"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±3,0</w:t>
            </w:r>
          </w:p>
        </w:tc>
        <w:tc>
          <w:tcPr>
            <w:tcW w:w="894" w:type="dxa"/>
          </w:tcPr>
          <w:p w14:paraId="4BD09A03"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±2,7</w:t>
            </w:r>
          </w:p>
        </w:tc>
        <w:tc>
          <w:tcPr>
            <w:tcW w:w="1016" w:type="dxa"/>
          </w:tcPr>
          <w:p w14:paraId="1CB14D51"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±2,4</w:t>
            </w:r>
          </w:p>
        </w:tc>
        <w:tc>
          <w:tcPr>
            <w:tcW w:w="960" w:type="dxa"/>
          </w:tcPr>
          <w:p w14:paraId="58EFE94D"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±2,1</w:t>
            </w:r>
          </w:p>
        </w:tc>
        <w:tc>
          <w:tcPr>
            <w:tcW w:w="894" w:type="dxa"/>
          </w:tcPr>
          <w:p w14:paraId="06D616C1"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±1,8</w:t>
            </w:r>
          </w:p>
        </w:tc>
        <w:tc>
          <w:tcPr>
            <w:tcW w:w="906" w:type="dxa"/>
          </w:tcPr>
          <w:p w14:paraId="5E338D2E"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±1,5</w:t>
            </w:r>
          </w:p>
        </w:tc>
      </w:tr>
      <w:tr w:rsidR="00CC1EF4" w:rsidRPr="004853EB" w14:paraId="31C2839A" w14:textId="77777777" w:rsidTr="00E95D02">
        <w:tc>
          <w:tcPr>
            <w:tcW w:w="2988" w:type="dxa"/>
          </w:tcPr>
          <w:p w14:paraId="18202D61" w14:textId="77777777" w:rsidR="00CC1EF4" w:rsidRPr="004853EB" w:rsidRDefault="00CC1EF4" w:rsidP="00CC1EF4">
            <w:pPr>
              <w:tabs>
                <w:tab w:val="left" w:pos="1877"/>
              </w:tabs>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&lt;0,125 mm, [%(m/m)], mieszanki gruboziarniste</w:t>
            </w:r>
          </w:p>
        </w:tc>
        <w:tc>
          <w:tcPr>
            <w:tcW w:w="730" w:type="dxa"/>
          </w:tcPr>
          <w:p w14:paraId="2579AB4C"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w:t>
            </w:r>
          </w:p>
        </w:tc>
        <w:tc>
          <w:tcPr>
            <w:tcW w:w="894" w:type="dxa"/>
          </w:tcPr>
          <w:p w14:paraId="47AD39E8"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±4,4</w:t>
            </w:r>
          </w:p>
        </w:tc>
        <w:tc>
          <w:tcPr>
            <w:tcW w:w="1016" w:type="dxa"/>
          </w:tcPr>
          <w:p w14:paraId="5B935511"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±3,9</w:t>
            </w:r>
          </w:p>
        </w:tc>
        <w:tc>
          <w:tcPr>
            <w:tcW w:w="960" w:type="dxa"/>
          </w:tcPr>
          <w:p w14:paraId="3E335A92"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±3,4</w:t>
            </w:r>
          </w:p>
        </w:tc>
        <w:tc>
          <w:tcPr>
            <w:tcW w:w="894" w:type="dxa"/>
          </w:tcPr>
          <w:p w14:paraId="5326745F"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±2,7</w:t>
            </w:r>
          </w:p>
        </w:tc>
        <w:tc>
          <w:tcPr>
            <w:tcW w:w="906" w:type="dxa"/>
          </w:tcPr>
          <w:p w14:paraId="054B387B"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±2,0</w:t>
            </w:r>
          </w:p>
        </w:tc>
      </w:tr>
      <w:tr w:rsidR="00CC1EF4" w:rsidRPr="004853EB" w14:paraId="2EF904D5" w14:textId="77777777" w:rsidTr="00E95D02">
        <w:tc>
          <w:tcPr>
            <w:tcW w:w="2988" w:type="dxa"/>
          </w:tcPr>
          <w:p w14:paraId="0E3F7846" w14:textId="77777777" w:rsidR="00CC1EF4" w:rsidRPr="004853EB" w:rsidRDefault="00CC1EF4" w:rsidP="00CC1EF4">
            <w:pPr>
              <w:tabs>
                <w:tab w:val="left" w:pos="1877"/>
              </w:tabs>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&lt;0,125 mm, [%(m/m)], mieszanki drobnoziarniste</w:t>
            </w:r>
          </w:p>
        </w:tc>
        <w:tc>
          <w:tcPr>
            <w:tcW w:w="730" w:type="dxa"/>
          </w:tcPr>
          <w:p w14:paraId="33F5DA4A"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±4,0</w:t>
            </w:r>
          </w:p>
        </w:tc>
        <w:tc>
          <w:tcPr>
            <w:tcW w:w="894" w:type="dxa"/>
          </w:tcPr>
          <w:p w14:paraId="79C41FF2"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±3,6</w:t>
            </w:r>
          </w:p>
        </w:tc>
        <w:tc>
          <w:tcPr>
            <w:tcW w:w="1016" w:type="dxa"/>
          </w:tcPr>
          <w:p w14:paraId="740A89A9"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±3,3</w:t>
            </w:r>
          </w:p>
        </w:tc>
        <w:tc>
          <w:tcPr>
            <w:tcW w:w="960" w:type="dxa"/>
          </w:tcPr>
          <w:p w14:paraId="5350173F"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±2,9</w:t>
            </w:r>
          </w:p>
        </w:tc>
        <w:tc>
          <w:tcPr>
            <w:tcW w:w="894" w:type="dxa"/>
          </w:tcPr>
          <w:p w14:paraId="4298B9A8"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±2,5</w:t>
            </w:r>
          </w:p>
        </w:tc>
        <w:tc>
          <w:tcPr>
            <w:tcW w:w="906" w:type="dxa"/>
          </w:tcPr>
          <w:p w14:paraId="78173FD7"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±2,0</w:t>
            </w:r>
          </w:p>
        </w:tc>
      </w:tr>
      <w:tr w:rsidR="00CC1EF4" w:rsidRPr="004853EB" w14:paraId="63AF6492" w14:textId="77777777" w:rsidTr="00E95D02">
        <w:tc>
          <w:tcPr>
            <w:tcW w:w="2988" w:type="dxa"/>
          </w:tcPr>
          <w:p w14:paraId="223B1E3F" w14:textId="77777777" w:rsidR="00CC1EF4" w:rsidRPr="004853EB" w:rsidRDefault="00CC1EF4" w:rsidP="00CC1EF4">
            <w:pPr>
              <w:tabs>
                <w:tab w:val="left" w:pos="1877"/>
              </w:tabs>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 0,063 mm do 2 mm</w:t>
            </w:r>
          </w:p>
        </w:tc>
        <w:tc>
          <w:tcPr>
            <w:tcW w:w="730" w:type="dxa"/>
          </w:tcPr>
          <w:p w14:paraId="51041992"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w:t>
            </w:r>
          </w:p>
        </w:tc>
        <w:tc>
          <w:tcPr>
            <w:tcW w:w="894" w:type="dxa"/>
          </w:tcPr>
          <w:p w14:paraId="2555E935"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±6,1</w:t>
            </w:r>
          </w:p>
        </w:tc>
        <w:tc>
          <w:tcPr>
            <w:tcW w:w="1016" w:type="dxa"/>
          </w:tcPr>
          <w:p w14:paraId="6BE050B2"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w:t>
            </w:r>
          </w:p>
        </w:tc>
        <w:tc>
          <w:tcPr>
            <w:tcW w:w="960" w:type="dxa"/>
          </w:tcPr>
          <w:p w14:paraId="1784B095"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±4,1</w:t>
            </w:r>
          </w:p>
        </w:tc>
        <w:tc>
          <w:tcPr>
            <w:tcW w:w="894" w:type="dxa"/>
          </w:tcPr>
          <w:p w14:paraId="5876F79A"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±3,3</w:t>
            </w:r>
          </w:p>
        </w:tc>
        <w:tc>
          <w:tcPr>
            <w:tcW w:w="906" w:type="dxa"/>
          </w:tcPr>
          <w:p w14:paraId="6705C6FA"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±3,0</w:t>
            </w:r>
          </w:p>
        </w:tc>
      </w:tr>
      <w:tr w:rsidR="00CC1EF4" w:rsidRPr="004853EB" w14:paraId="70C38904" w14:textId="77777777" w:rsidTr="00E95D02">
        <w:tc>
          <w:tcPr>
            <w:tcW w:w="2988" w:type="dxa"/>
          </w:tcPr>
          <w:p w14:paraId="5AB229A0" w14:textId="77777777" w:rsidR="00CC1EF4" w:rsidRPr="004853EB" w:rsidRDefault="00CC1EF4" w:rsidP="00CC1EF4">
            <w:pPr>
              <w:tabs>
                <w:tab w:val="left" w:pos="1877"/>
              </w:tabs>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&gt;2 mm </w:t>
            </w:r>
          </w:p>
        </w:tc>
        <w:tc>
          <w:tcPr>
            <w:tcW w:w="730" w:type="dxa"/>
          </w:tcPr>
          <w:p w14:paraId="7FF3D13D"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w:t>
            </w:r>
          </w:p>
        </w:tc>
        <w:tc>
          <w:tcPr>
            <w:tcW w:w="894" w:type="dxa"/>
          </w:tcPr>
          <w:p w14:paraId="47AF0380"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±6,1</w:t>
            </w:r>
          </w:p>
        </w:tc>
        <w:tc>
          <w:tcPr>
            <w:tcW w:w="1016" w:type="dxa"/>
          </w:tcPr>
          <w:p w14:paraId="20262689"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w:t>
            </w:r>
          </w:p>
        </w:tc>
        <w:tc>
          <w:tcPr>
            <w:tcW w:w="960" w:type="dxa"/>
          </w:tcPr>
          <w:p w14:paraId="72A111DC"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±4,1</w:t>
            </w:r>
          </w:p>
        </w:tc>
        <w:tc>
          <w:tcPr>
            <w:tcW w:w="894" w:type="dxa"/>
          </w:tcPr>
          <w:p w14:paraId="283718B0"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±3,3</w:t>
            </w:r>
          </w:p>
        </w:tc>
        <w:tc>
          <w:tcPr>
            <w:tcW w:w="906" w:type="dxa"/>
          </w:tcPr>
          <w:p w14:paraId="64BAE3D7"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±3,0</w:t>
            </w:r>
          </w:p>
        </w:tc>
      </w:tr>
      <w:tr w:rsidR="00CC1EF4" w:rsidRPr="004853EB" w14:paraId="3FB95C3D" w14:textId="77777777" w:rsidTr="00E95D02">
        <w:tc>
          <w:tcPr>
            <w:tcW w:w="2988" w:type="dxa"/>
          </w:tcPr>
          <w:p w14:paraId="186C5D76" w14:textId="77777777" w:rsidR="00CC1EF4" w:rsidRPr="004853EB" w:rsidRDefault="00CC1EF4" w:rsidP="00CC1EF4">
            <w:pPr>
              <w:tabs>
                <w:tab w:val="left" w:pos="1877"/>
              </w:tabs>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Ziarna grube </w:t>
            </w:r>
          </w:p>
          <w:p w14:paraId="104A26DA" w14:textId="77777777" w:rsidR="00CC1EF4" w:rsidRPr="004853EB" w:rsidRDefault="00CC1EF4" w:rsidP="00CC1EF4">
            <w:pPr>
              <w:tabs>
                <w:tab w:val="left" w:pos="1877"/>
              </w:tabs>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(mieszanki drobnoziarniste)</w:t>
            </w:r>
          </w:p>
        </w:tc>
        <w:tc>
          <w:tcPr>
            <w:tcW w:w="730" w:type="dxa"/>
          </w:tcPr>
          <w:p w14:paraId="07C12867"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    +5</w:t>
            </w:r>
          </w:p>
        </w:tc>
        <w:tc>
          <w:tcPr>
            <w:tcW w:w="894" w:type="dxa"/>
          </w:tcPr>
          <w:p w14:paraId="1837BB88"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-6,7   +4,7</w:t>
            </w:r>
          </w:p>
        </w:tc>
        <w:tc>
          <w:tcPr>
            <w:tcW w:w="1016" w:type="dxa"/>
          </w:tcPr>
          <w:p w14:paraId="2D220828"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-5,8   +4,5</w:t>
            </w:r>
          </w:p>
        </w:tc>
        <w:tc>
          <w:tcPr>
            <w:tcW w:w="960" w:type="dxa"/>
          </w:tcPr>
          <w:p w14:paraId="0D9F9F68"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-5,1   +4,3</w:t>
            </w:r>
          </w:p>
        </w:tc>
        <w:tc>
          <w:tcPr>
            <w:tcW w:w="894" w:type="dxa"/>
          </w:tcPr>
          <w:p w14:paraId="3FB30716"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-4,4   +4,1</w:t>
            </w:r>
          </w:p>
        </w:tc>
        <w:tc>
          <w:tcPr>
            <w:tcW w:w="906" w:type="dxa"/>
          </w:tcPr>
          <w:p w14:paraId="5223BA92" w14:textId="77777777" w:rsidR="00CC1EF4" w:rsidRPr="004853EB" w:rsidRDefault="00CC1EF4" w:rsidP="00CC1EF4">
            <w:pPr>
              <w:spacing w:before="120"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±4,0</w:t>
            </w:r>
          </w:p>
        </w:tc>
      </w:tr>
      <w:tr w:rsidR="00CC1EF4" w:rsidRPr="004853EB" w14:paraId="17AC3400" w14:textId="77777777" w:rsidTr="00E95D02">
        <w:tc>
          <w:tcPr>
            <w:tcW w:w="2988" w:type="dxa"/>
          </w:tcPr>
          <w:p w14:paraId="45146AE6" w14:textId="77777777" w:rsidR="00CC1EF4" w:rsidRPr="004853EB" w:rsidRDefault="00CC1EF4" w:rsidP="00CC1EF4">
            <w:pPr>
              <w:tabs>
                <w:tab w:val="left" w:pos="1877"/>
              </w:tabs>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Ziarna grube </w:t>
            </w:r>
          </w:p>
          <w:p w14:paraId="3B55D21F" w14:textId="77777777" w:rsidR="00CC1EF4" w:rsidRPr="004853EB" w:rsidRDefault="00CC1EF4" w:rsidP="00CC1EF4">
            <w:pPr>
              <w:tabs>
                <w:tab w:val="left" w:pos="1877"/>
              </w:tabs>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(mieszanki gruboziarniste)</w:t>
            </w:r>
          </w:p>
        </w:tc>
        <w:tc>
          <w:tcPr>
            <w:tcW w:w="730" w:type="dxa"/>
          </w:tcPr>
          <w:p w14:paraId="666ABD8F"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-9 +5,0</w:t>
            </w:r>
          </w:p>
        </w:tc>
        <w:tc>
          <w:tcPr>
            <w:tcW w:w="894" w:type="dxa"/>
          </w:tcPr>
          <w:p w14:paraId="27F71009"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-7,6 +5,0</w:t>
            </w:r>
          </w:p>
        </w:tc>
        <w:tc>
          <w:tcPr>
            <w:tcW w:w="1016" w:type="dxa"/>
          </w:tcPr>
          <w:p w14:paraId="4C2EF120"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-6,8 +5,0</w:t>
            </w:r>
          </w:p>
        </w:tc>
        <w:tc>
          <w:tcPr>
            <w:tcW w:w="960" w:type="dxa"/>
          </w:tcPr>
          <w:p w14:paraId="3FE539E2"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-6,1 +5,0</w:t>
            </w:r>
          </w:p>
        </w:tc>
        <w:tc>
          <w:tcPr>
            <w:tcW w:w="894" w:type="dxa"/>
          </w:tcPr>
          <w:p w14:paraId="57EA6419"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-5,5 +5,0</w:t>
            </w:r>
          </w:p>
        </w:tc>
        <w:tc>
          <w:tcPr>
            <w:tcW w:w="906" w:type="dxa"/>
          </w:tcPr>
          <w:p w14:paraId="560EFA7B" w14:textId="77777777" w:rsidR="00CC1EF4" w:rsidRPr="004853EB" w:rsidRDefault="00CC1EF4" w:rsidP="00CC1EF4">
            <w:pPr>
              <w:spacing w:before="120"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w:t>
            </w:r>
          </w:p>
        </w:tc>
      </w:tr>
    </w:tbl>
    <w:p w14:paraId="4453AC61"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Jeżeli w składzie mieszanki mineralno-asfaltowej określono dodatki kruszywa o szczególnych właściwościach, np. kruszywo rozjaśniające lub odporne na polerowanie, to dopuszczalna odchyłka zawartości tego kruszywa wynosi:</w:t>
      </w:r>
    </w:p>
    <w:p w14:paraId="5908F0E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 20% w wypadku kruszywa grubego,</w:t>
      </w:r>
    </w:p>
    <w:p w14:paraId="470EF52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±30% w wypadku kruszywa drobnego.</w:t>
      </w:r>
    </w:p>
    <w:p w14:paraId="23DFE98F"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6.5.2.2. Zawartość lepiszcza </w:t>
      </w:r>
    </w:p>
    <w:p w14:paraId="600FC73F" w14:textId="77777777" w:rsidR="00CC1EF4" w:rsidRPr="004853EB" w:rsidRDefault="00CC1EF4" w:rsidP="00CC1EF4">
      <w:pPr>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Zawartość rozpuszczalnego lepiszcza z każdej próbki pobranej z mieszanki mineralno-asfaltowej nie może odbiegać od wartości projektowanej, z uwzględnieniem podanych dopuszczalnych odchyłek, w zależności od liczby wyników badań z danego odcinka budowy (tablica 21). Do wyników badań nie zalicza się badań kontrolnych dodatkowych.</w:t>
      </w:r>
    </w:p>
    <w:p w14:paraId="585BB3D9" w14:textId="77777777" w:rsidR="00CC1EF4" w:rsidRPr="004853EB" w:rsidRDefault="00CC1EF4" w:rsidP="00CC1EF4">
      <w:pPr>
        <w:spacing w:before="120" w:after="120" w:line="240" w:lineRule="auto"/>
        <w:ind w:left="1200" w:right="-57" w:hanging="120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Tablica 21. 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48"/>
        <w:gridCol w:w="960"/>
        <w:gridCol w:w="1002"/>
        <w:gridCol w:w="1158"/>
        <w:gridCol w:w="1058"/>
        <w:gridCol w:w="1178"/>
        <w:gridCol w:w="1364"/>
      </w:tblGrid>
      <w:tr w:rsidR="00CC1EF4" w:rsidRPr="004853EB" w14:paraId="6B1469BE" w14:textId="77777777" w:rsidTr="00E95D02">
        <w:tc>
          <w:tcPr>
            <w:tcW w:w="2148" w:type="dxa"/>
            <w:vMerge w:val="restart"/>
          </w:tcPr>
          <w:p w14:paraId="510F5E41" w14:textId="77777777" w:rsidR="00CC1EF4" w:rsidRPr="004853EB" w:rsidRDefault="00CC1EF4" w:rsidP="00CC1EF4">
            <w:pPr>
              <w:spacing w:before="120"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Rodzaj mieszanki</w:t>
            </w:r>
          </w:p>
        </w:tc>
        <w:tc>
          <w:tcPr>
            <w:tcW w:w="6720" w:type="dxa"/>
            <w:gridSpan w:val="6"/>
          </w:tcPr>
          <w:p w14:paraId="559FB5F5"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Liczba wyników badań</w:t>
            </w:r>
          </w:p>
        </w:tc>
      </w:tr>
      <w:tr w:rsidR="00CC1EF4" w:rsidRPr="004853EB" w14:paraId="4BA7F618" w14:textId="77777777" w:rsidTr="00E95D02">
        <w:tc>
          <w:tcPr>
            <w:tcW w:w="2148" w:type="dxa"/>
            <w:vMerge/>
          </w:tcPr>
          <w:p w14:paraId="092993E4"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p>
        </w:tc>
        <w:tc>
          <w:tcPr>
            <w:tcW w:w="960" w:type="dxa"/>
          </w:tcPr>
          <w:p w14:paraId="1B1B3AAB"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w:t>
            </w:r>
          </w:p>
        </w:tc>
        <w:tc>
          <w:tcPr>
            <w:tcW w:w="1002" w:type="dxa"/>
          </w:tcPr>
          <w:p w14:paraId="7EA6655E"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w:t>
            </w:r>
          </w:p>
        </w:tc>
        <w:tc>
          <w:tcPr>
            <w:tcW w:w="1158" w:type="dxa"/>
          </w:tcPr>
          <w:p w14:paraId="508BD0A4"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 3 do 4</w:t>
            </w:r>
          </w:p>
        </w:tc>
        <w:tc>
          <w:tcPr>
            <w:tcW w:w="1058" w:type="dxa"/>
          </w:tcPr>
          <w:p w14:paraId="1ED00968"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Od 5 </w:t>
            </w:r>
          </w:p>
          <w:p w14:paraId="2E05AEDA" w14:textId="77777777" w:rsidR="00CC1EF4" w:rsidRPr="004853EB" w:rsidRDefault="00CC1EF4" w:rsidP="00CC1EF4">
            <w:pPr>
              <w:spacing w:after="0" w:line="240" w:lineRule="auto"/>
              <w:ind w:right="-57"/>
              <w:jc w:val="both"/>
              <w:rPr>
                <w:rFonts w:eastAsia="Times New Roman" w:cstheme="minorHAnsi"/>
                <w:color w:val="000000"/>
                <w:sz w:val="18"/>
                <w:szCs w:val="18"/>
                <w:vertAlign w:val="superscript"/>
                <w:lang w:eastAsia="pl-PL"/>
              </w:rPr>
            </w:pPr>
            <w:r w:rsidRPr="004853EB">
              <w:rPr>
                <w:rFonts w:eastAsia="Times New Roman" w:cstheme="minorHAnsi"/>
                <w:color w:val="000000"/>
                <w:sz w:val="18"/>
                <w:szCs w:val="18"/>
                <w:lang w:eastAsia="pl-PL"/>
              </w:rPr>
              <w:t>do 8</w:t>
            </w:r>
            <w:r w:rsidRPr="004853EB">
              <w:rPr>
                <w:rFonts w:eastAsia="Times New Roman" w:cstheme="minorHAnsi"/>
                <w:color w:val="000000"/>
                <w:sz w:val="18"/>
                <w:szCs w:val="18"/>
                <w:vertAlign w:val="superscript"/>
                <w:lang w:eastAsia="pl-PL"/>
              </w:rPr>
              <w:t>a)</w:t>
            </w:r>
          </w:p>
        </w:tc>
        <w:tc>
          <w:tcPr>
            <w:tcW w:w="1178" w:type="dxa"/>
          </w:tcPr>
          <w:p w14:paraId="2B11B365"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Od 9 </w:t>
            </w:r>
          </w:p>
          <w:p w14:paraId="611BE722" w14:textId="77777777" w:rsidR="00CC1EF4" w:rsidRPr="004853EB" w:rsidRDefault="00CC1EF4" w:rsidP="00CC1EF4">
            <w:pPr>
              <w:spacing w:after="0" w:line="240" w:lineRule="auto"/>
              <w:ind w:right="-57"/>
              <w:jc w:val="both"/>
              <w:rPr>
                <w:rFonts w:eastAsia="Times New Roman" w:cstheme="minorHAnsi"/>
                <w:color w:val="000000"/>
                <w:sz w:val="18"/>
                <w:szCs w:val="18"/>
                <w:vertAlign w:val="superscript"/>
                <w:lang w:eastAsia="pl-PL"/>
              </w:rPr>
            </w:pPr>
            <w:r w:rsidRPr="004853EB">
              <w:rPr>
                <w:rFonts w:eastAsia="Times New Roman" w:cstheme="minorHAnsi"/>
                <w:color w:val="000000"/>
                <w:sz w:val="18"/>
                <w:szCs w:val="18"/>
                <w:lang w:eastAsia="pl-PL"/>
              </w:rPr>
              <w:t>do 19</w:t>
            </w:r>
            <w:r w:rsidRPr="004853EB">
              <w:rPr>
                <w:rFonts w:eastAsia="Times New Roman" w:cstheme="minorHAnsi"/>
                <w:color w:val="000000"/>
                <w:sz w:val="18"/>
                <w:szCs w:val="18"/>
                <w:vertAlign w:val="superscript"/>
                <w:lang w:eastAsia="pl-PL"/>
              </w:rPr>
              <w:t>a)</w:t>
            </w:r>
          </w:p>
        </w:tc>
        <w:tc>
          <w:tcPr>
            <w:tcW w:w="1364" w:type="dxa"/>
          </w:tcPr>
          <w:p w14:paraId="067EDB19"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≥20</w:t>
            </w:r>
          </w:p>
        </w:tc>
      </w:tr>
      <w:tr w:rsidR="00CC1EF4" w:rsidRPr="004853EB" w14:paraId="1036104B" w14:textId="77777777" w:rsidTr="00E95D02">
        <w:tc>
          <w:tcPr>
            <w:tcW w:w="2148" w:type="dxa"/>
          </w:tcPr>
          <w:p w14:paraId="0598D069"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Mieszanki gruboziarniste</w:t>
            </w:r>
          </w:p>
        </w:tc>
        <w:tc>
          <w:tcPr>
            <w:tcW w:w="960" w:type="dxa"/>
          </w:tcPr>
          <w:p w14:paraId="52800FE1"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±0,6</w:t>
            </w:r>
          </w:p>
        </w:tc>
        <w:tc>
          <w:tcPr>
            <w:tcW w:w="1002" w:type="dxa"/>
          </w:tcPr>
          <w:p w14:paraId="15EE0C5F"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±0,55</w:t>
            </w:r>
          </w:p>
        </w:tc>
        <w:tc>
          <w:tcPr>
            <w:tcW w:w="1158" w:type="dxa"/>
          </w:tcPr>
          <w:p w14:paraId="685D65FC"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±0,50</w:t>
            </w:r>
          </w:p>
        </w:tc>
        <w:tc>
          <w:tcPr>
            <w:tcW w:w="1058" w:type="dxa"/>
          </w:tcPr>
          <w:p w14:paraId="621E6DB4"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±0,40</w:t>
            </w:r>
          </w:p>
        </w:tc>
        <w:tc>
          <w:tcPr>
            <w:tcW w:w="1178" w:type="dxa"/>
          </w:tcPr>
          <w:p w14:paraId="44638794"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±0,35</w:t>
            </w:r>
          </w:p>
        </w:tc>
        <w:tc>
          <w:tcPr>
            <w:tcW w:w="1364" w:type="dxa"/>
          </w:tcPr>
          <w:p w14:paraId="395515E7"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±0,30</w:t>
            </w:r>
          </w:p>
        </w:tc>
      </w:tr>
      <w:tr w:rsidR="00CC1EF4" w:rsidRPr="004853EB" w14:paraId="23FD37AF" w14:textId="77777777" w:rsidTr="00E95D02">
        <w:tc>
          <w:tcPr>
            <w:tcW w:w="2148" w:type="dxa"/>
          </w:tcPr>
          <w:p w14:paraId="051BCAC4"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Mieszanki drobnoziarniste</w:t>
            </w:r>
          </w:p>
        </w:tc>
        <w:tc>
          <w:tcPr>
            <w:tcW w:w="960" w:type="dxa"/>
          </w:tcPr>
          <w:p w14:paraId="163E798D"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±0,5</w:t>
            </w:r>
          </w:p>
        </w:tc>
        <w:tc>
          <w:tcPr>
            <w:tcW w:w="1002" w:type="dxa"/>
          </w:tcPr>
          <w:p w14:paraId="75C9E079"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±0,45</w:t>
            </w:r>
          </w:p>
        </w:tc>
        <w:tc>
          <w:tcPr>
            <w:tcW w:w="1158" w:type="dxa"/>
          </w:tcPr>
          <w:p w14:paraId="5CB58262"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±0,40</w:t>
            </w:r>
          </w:p>
        </w:tc>
        <w:tc>
          <w:tcPr>
            <w:tcW w:w="1058" w:type="dxa"/>
          </w:tcPr>
          <w:p w14:paraId="3A57D054"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±0,40</w:t>
            </w:r>
          </w:p>
        </w:tc>
        <w:tc>
          <w:tcPr>
            <w:tcW w:w="1178" w:type="dxa"/>
          </w:tcPr>
          <w:p w14:paraId="55E0017A"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±0,35</w:t>
            </w:r>
          </w:p>
        </w:tc>
        <w:tc>
          <w:tcPr>
            <w:tcW w:w="1364" w:type="dxa"/>
          </w:tcPr>
          <w:p w14:paraId="0DA592CB"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±0,30</w:t>
            </w:r>
          </w:p>
        </w:tc>
      </w:tr>
      <w:tr w:rsidR="00CC1EF4" w:rsidRPr="004853EB" w14:paraId="00A5D488" w14:textId="77777777" w:rsidTr="00E95D02">
        <w:tc>
          <w:tcPr>
            <w:tcW w:w="8868" w:type="dxa"/>
            <w:gridSpan w:val="7"/>
          </w:tcPr>
          <w:p w14:paraId="444E086B" w14:textId="77777777" w:rsidR="00CC1EF4" w:rsidRPr="004853EB" w:rsidRDefault="00CC1EF4">
            <w:pPr>
              <w:numPr>
                <w:ilvl w:val="0"/>
                <w:numId w:val="88"/>
              </w:numPr>
              <w:tabs>
                <w:tab w:val="left" w:pos="426"/>
              </w:tabs>
              <w:spacing w:after="0" w:line="240" w:lineRule="auto"/>
              <w:ind w:left="426"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14:paraId="74D708D8" w14:textId="77777777" w:rsidR="00CC1EF4" w:rsidRPr="004853EB" w:rsidRDefault="00CC1EF4" w:rsidP="00CC1EF4">
      <w:pPr>
        <w:spacing w:after="0" w:line="240" w:lineRule="auto"/>
        <w:ind w:right="-57" w:firstLine="709"/>
        <w:jc w:val="both"/>
        <w:rPr>
          <w:rFonts w:eastAsia="Times New Roman" w:cstheme="minorHAnsi"/>
          <w:color w:val="000000"/>
          <w:sz w:val="20"/>
          <w:szCs w:val="20"/>
          <w:lang w:eastAsia="pl-PL"/>
        </w:rPr>
      </w:pPr>
    </w:p>
    <w:p w14:paraId="787B4372" w14:textId="77777777" w:rsidR="00CC1EF4" w:rsidRPr="004853EB" w:rsidRDefault="00CC1EF4" w:rsidP="00CC1EF4">
      <w:pPr>
        <w:keepNext/>
        <w:spacing w:before="120" w:after="120" w:line="240" w:lineRule="auto"/>
        <w:ind w:right="-57"/>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6.5.2.3. Gęstość i zawartość wolnych przestrzeni</w:t>
      </w:r>
    </w:p>
    <w:p w14:paraId="2BD77742" w14:textId="5D5BC8F6" w:rsidR="00CC1EF4" w:rsidRPr="004853EB" w:rsidRDefault="00CC1EF4" w:rsidP="00CC1EF4">
      <w:pPr>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Zawartość wolnych przestrzeni w próbce Marshalla pobranej z mieszanki mineralno-asfaltowej lub wyjątkowo powtórnie rozgrzanej próbki pobranej z nawierzchni nie może wykroczyć poza wartości podane </w:t>
      </w:r>
      <w:r w:rsidR="00336D00">
        <w:rPr>
          <w:rFonts w:eastAsia="Times New Roman" w:cstheme="minorHAnsi"/>
          <w:color w:val="000000"/>
          <w:sz w:val="20"/>
          <w:szCs w:val="20"/>
          <w:lang w:eastAsia="pl-PL"/>
        </w:rPr>
        <w:br/>
      </w:r>
      <w:r w:rsidRPr="004853EB">
        <w:rPr>
          <w:rFonts w:eastAsia="Times New Roman" w:cstheme="minorHAnsi"/>
          <w:color w:val="000000"/>
          <w:sz w:val="20"/>
          <w:szCs w:val="20"/>
          <w:lang w:eastAsia="pl-PL"/>
        </w:rPr>
        <w:t>w pkcie 2.10 o więcej niż 1,5% (v/v).</w:t>
      </w:r>
    </w:p>
    <w:p w14:paraId="0406E8C9"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6.5.3. </w:t>
      </w:r>
      <w:r w:rsidRPr="004853EB">
        <w:rPr>
          <w:rFonts w:eastAsia="Times New Roman" w:cstheme="minorHAnsi"/>
          <w:color w:val="000000"/>
          <w:sz w:val="20"/>
          <w:szCs w:val="20"/>
          <w:lang w:eastAsia="pl-PL"/>
        </w:rPr>
        <w:t xml:space="preserve">Warunki technologiczne wbudowywania mieszanki mineralno-asfaltowej </w:t>
      </w:r>
    </w:p>
    <w:p w14:paraId="181D1747"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Temperatura powietrza powinna być mierzona przed i w czasie robót; nie powinna być mniejsza niż podano w tablicy 17.  </w:t>
      </w:r>
    </w:p>
    <w:p w14:paraId="2F12B15F" w14:textId="2542A336"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Pomiar temperatury </w:t>
      </w:r>
      <w:r w:rsidR="00336D00" w:rsidRPr="004853EB">
        <w:rPr>
          <w:rFonts w:eastAsia="Times New Roman" w:cstheme="minorHAnsi"/>
          <w:color w:val="000000"/>
          <w:sz w:val="20"/>
          <w:szCs w:val="20"/>
          <w:lang w:eastAsia="pl-PL"/>
        </w:rPr>
        <w:t>mieszanki mineralno</w:t>
      </w:r>
      <w:r w:rsidRPr="004853EB">
        <w:rPr>
          <w:rFonts w:eastAsia="Times New Roman" w:cstheme="minorHAnsi"/>
          <w:color w:val="000000"/>
          <w:sz w:val="20"/>
          <w:szCs w:val="20"/>
          <w:lang w:eastAsia="pl-PL"/>
        </w:rPr>
        <w:t xml:space="preserve">-asfaltowej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14:paraId="7B2B5449" w14:textId="1C9F13E5" w:rsidR="00CC1EF4" w:rsidRPr="004853EB" w:rsidRDefault="00CC1EF4" w:rsidP="00CC1EF4">
      <w:pPr>
        <w:numPr>
          <w:ilvl w:val="12"/>
          <w:numId w:val="0"/>
        </w:num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Pomiar temperatury </w:t>
      </w:r>
      <w:r w:rsidR="00336D00" w:rsidRPr="004853EB">
        <w:rPr>
          <w:rFonts w:eastAsia="Times New Roman" w:cstheme="minorHAnsi"/>
          <w:color w:val="000000"/>
          <w:sz w:val="20"/>
          <w:szCs w:val="20"/>
          <w:lang w:eastAsia="pl-PL"/>
        </w:rPr>
        <w:t>mieszanki mineralno</w:t>
      </w:r>
      <w:r w:rsidRPr="004853EB">
        <w:rPr>
          <w:rFonts w:eastAsia="Times New Roman" w:cstheme="minorHAnsi"/>
          <w:color w:val="000000"/>
          <w:sz w:val="20"/>
          <w:szCs w:val="20"/>
          <w:lang w:eastAsia="pl-PL"/>
        </w:rPr>
        <w:t xml:space="preserve">-asfaltowej należy wykonać zgodnie z wymaganiami normy PN-EN 12697-13 [38]. </w:t>
      </w:r>
    </w:p>
    <w:p w14:paraId="484D7F5D" w14:textId="77777777" w:rsidR="00CC1EF4" w:rsidRPr="004853EB" w:rsidRDefault="00CC1EF4" w:rsidP="00CC1EF4">
      <w:pPr>
        <w:spacing w:after="0" w:line="240" w:lineRule="auto"/>
        <w:ind w:firstLine="709"/>
        <w:jc w:val="both"/>
        <w:rPr>
          <w:rFonts w:eastAsia="Times New Roman" w:cstheme="minorHAnsi"/>
          <w:b/>
          <w:color w:val="000000"/>
          <w:sz w:val="20"/>
          <w:szCs w:val="20"/>
          <w:lang w:eastAsia="pl-PL"/>
        </w:rPr>
      </w:pPr>
      <w:r w:rsidRPr="004853EB">
        <w:rPr>
          <w:rFonts w:eastAsia="Times New Roman" w:cstheme="minorHAnsi"/>
          <w:color w:val="000000"/>
          <w:sz w:val="20"/>
          <w:szCs w:val="20"/>
          <w:lang w:eastAsia="pl-PL"/>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601BDC97"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lastRenderedPageBreak/>
        <w:t>6.5.4.</w:t>
      </w:r>
      <w:r w:rsidRPr="004853EB">
        <w:rPr>
          <w:rFonts w:eastAsia="Times New Roman" w:cstheme="minorHAnsi"/>
          <w:color w:val="000000"/>
          <w:sz w:val="20"/>
          <w:szCs w:val="20"/>
          <w:lang w:eastAsia="pl-PL"/>
        </w:rPr>
        <w:t xml:space="preserve"> Wykonania warstwa</w:t>
      </w:r>
    </w:p>
    <w:p w14:paraId="27EA6379" w14:textId="77777777" w:rsidR="00CC1EF4" w:rsidRPr="004853EB" w:rsidRDefault="00CC1EF4" w:rsidP="00CC1EF4">
      <w:pPr>
        <w:spacing w:after="120" w:line="240" w:lineRule="auto"/>
        <w:ind w:right="-57"/>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6.5.4.1. Wskaźnik zagęszczenia i zawartość wolnych przestrzeni </w:t>
      </w:r>
    </w:p>
    <w:p w14:paraId="65F6F1E5" w14:textId="10CD821C"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Zagęszczenie wykonanej warstwy wyrażone wskaźnikiem zagęszczenia oraz zawartością wolnych przestrzeni nie może przekroczyć wartości </w:t>
      </w:r>
      <w:r w:rsidR="00336D00" w:rsidRPr="004853EB">
        <w:rPr>
          <w:rFonts w:eastAsia="Times New Roman" w:cstheme="minorHAnsi"/>
          <w:color w:val="000000"/>
          <w:sz w:val="20"/>
          <w:szCs w:val="20"/>
          <w:lang w:eastAsia="pl-PL"/>
        </w:rPr>
        <w:t>dopuszczalnych podanych</w:t>
      </w:r>
      <w:r w:rsidRPr="004853EB">
        <w:rPr>
          <w:rFonts w:eastAsia="Times New Roman" w:cstheme="minorHAnsi"/>
          <w:color w:val="000000"/>
          <w:sz w:val="20"/>
          <w:szCs w:val="20"/>
          <w:lang w:eastAsia="pl-PL"/>
        </w:rPr>
        <w:t xml:space="preserve"> w tablicy 23. Dotyczy to każdego pojedynczego oznaczenia danej właściwości.</w:t>
      </w:r>
    </w:p>
    <w:p w14:paraId="4DAACF5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Określenie gęstości objętościowej należy wykonywać według PN-EN 12697-6 [34].</w:t>
      </w:r>
    </w:p>
    <w:p w14:paraId="2CE0D45C"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Tablica 23.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680"/>
        <w:gridCol w:w="2400"/>
      </w:tblGrid>
      <w:tr w:rsidR="00CC1EF4" w:rsidRPr="004853EB" w14:paraId="63C6D125" w14:textId="77777777" w:rsidTr="00E95D02">
        <w:tc>
          <w:tcPr>
            <w:tcW w:w="2748" w:type="dxa"/>
          </w:tcPr>
          <w:p w14:paraId="483F9727"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4A9682D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Typ i wymiar mieszanki</w:t>
            </w:r>
          </w:p>
        </w:tc>
        <w:tc>
          <w:tcPr>
            <w:tcW w:w="1680" w:type="dxa"/>
          </w:tcPr>
          <w:p w14:paraId="0B2568FE"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Wskaźnik zagęszczenia</w:t>
            </w:r>
          </w:p>
          <w:p w14:paraId="35397C51" w14:textId="77777777" w:rsidR="00CC1EF4" w:rsidRPr="004853EB" w:rsidRDefault="00CC1EF4" w:rsidP="00CC1EF4">
            <w:pPr>
              <w:spacing w:after="0" w:line="240" w:lineRule="auto"/>
              <w:ind w:right="-421"/>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         [%]</w:t>
            </w:r>
          </w:p>
        </w:tc>
        <w:tc>
          <w:tcPr>
            <w:tcW w:w="2400" w:type="dxa"/>
          </w:tcPr>
          <w:p w14:paraId="7962F10F" w14:textId="5BCF8723"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Zawartość wolnych przestrzeni w </w:t>
            </w:r>
            <w:r w:rsidR="00336D00" w:rsidRPr="004853EB">
              <w:rPr>
                <w:rFonts w:eastAsia="Times New Roman" w:cstheme="minorHAnsi"/>
                <w:color w:val="000000"/>
                <w:sz w:val="18"/>
                <w:szCs w:val="18"/>
                <w:lang w:eastAsia="pl-PL"/>
              </w:rPr>
              <w:t>warstwie [</w:t>
            </w:r>
            <w:r w:rsidRPr="004853EB">
              <w:rPr>
                <w:rFonts w:eastAsia="Times New Roman" w:cstheme="minorHAnsi"/>
                <w:color w:val="000000"/>
                <w:sz w:val="18"/>
                <w:szCs w:val="18"/>
                <w:lang w:eastAsia="pl-PL"/>
              </w:rPr>
              <w:t>%(v/v)]</w:t>
            </w:r>
          </w:p>
        </w:tc>
      </w:tr>
      <w:tr w:rsidR="00CC1EF4" w:rsidRPr="004853EB" w14:paraId="33575E62" w14:textId="77777777" w:rsidTr="00E95D02">
        <w:tc>
          <w:tcPr>
            <w:tcW w:w="2748" w:type="dxa"/>
          </w:tcPr>
          <w:p w14:paraId="5D526CA7" w14:textId="77777777" w:rsidR="00CC1EF4" w:rsidRPr="004853EB" w:rsidRDefault="00CC1EF4" w:rsidP="00CC1EF4">
            <w:pPr>
              <w:spacing w:before="40" w:after="4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AC8S,     KR3-KR4</w:t>
            </w:r>
          </w:p>
        </w:tc>
        <w:tc>
          <w:tcPr>
            <w:tcW w:w="1680" w:type="dxa"/>
          </w:tcPr>
          <w:p w14:paraId="3E1F384E" w14:textId="77777777" w:rsidR="00CC1EF4" w:rsidRPr="004853EB" w:rsidRDefault="00CC1EF4" w:rsidP="00CC1EF4">
            <w:pPr>
              <w:spacing w:before="40" w:after="4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98</w:t>
            </w:r>
          </w:p>
        </w:tc>
        <w:tc>
          <w:tcPr>
            <w:tcW w:w="2400" w:type="dxa"/>
          </w:tcPr>
          <w:p w14:paraId="4EBFE8EB" w14:textId="77777777" w:rsidR="00CC1EF4" w:rsidRPr="004853EB" w:rsidRDefault="00CC1EF4" w:rsidP="00CC1EF4">
            <w:pPr>
              <w:spacing w:before="40" w:after="4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1,5÷5,0</w:t>
            </w:r>
          </w:p>
        </w:tc>
      </w:tr>
      <w:tr w:rsidR="00CC1EF4" w:rsidRPr="004853EB" w14:paraId="4AA2EA52" w14:textId="77777777" w:rsidTr="00E95D02">
        <w:tc>
          <w:tcPr>
            <w:tcW w:w="2748" w:type="dxa"/>
          </w:tcPr>
          <w:p w14:paraId="39CC955E" w14:textId="77777777" w:rsidR="00CC1EF4" w:rsidRPr="004853EB" w:rsidRDefault="00CC1EF4" w:rsidP="00CC1EF4">
            <w:pPr>
              <w:spacing w:before="40" w:after="4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AC11S,   KR3-KR4</w:t>
            </w:r>
          </w:p>
        </w:tc>
        <w:tc>
          <w:tcPr>
            <w:tcW w:w="1680" w:type="dxa"/>
          </w:tcPr>
          <w:p w14:paraId="788B00BA" w14:textId="77777777" w:rsidR="00CC1EF4" w:rsidRPr="004853EB" w:rsidRDefault="00CC1EF4" w:rsidP="00CC1EF4">
            <w:pPr>
              <w:spacing w:before="40" w:after="4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98</w:t>
            </w:r>
          </w:p>
        </w:tc>
        <w:tc>
          <w:tcPr>
            <w:tcW w:w="2400" w:type="dxa"/>
          </w:tcPr>
          <w:p w14:paraId="07A7C7A6" w14:textId="77777777" w:rsidR="00CC1EF4" w:rsidRPr="004853EB" w:rsidRDefault="00CC1EF4" w:rsidP="00CC1EF4">
            <w:pPr>
              <w:spacing w:before="40" w:after="4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1,5÷5,0</w:t>
            </w:r>
          </w:p>
        </w:tc>
      </w:tr>
    </w:tbl>
    <w:p w14:paraId="67041C69" w14:textId="77777777" w:rsidR="00CC1EF4" w:rsidRPr="004853EB" w:rsidRDefault="00CC1EF4" w:rsidP="00CC1EF4">
      <w:pPr>
        <w:spacing w:after="120" w:line="240" w:lineRule="auto"/>
        <w:ind w:right="-57" w:firstLine="709"/>
        <w:jc w:val="both"/>
        <w:rPr>
          <w:rFonts w:eastAsia="Times New Roman" w:cstheme="minorHAnsi"/>
          <w:color w:val="000000"/>
          <w:sz w:val="18"/>
          <w:szCs w:val="18"/>
          <w:lang w:eastAsia="pl-PL"/>
        </w:rPr>
      </w:pPr>
    </w:p>
    <w:p w14:paraId="23C2D312" w14:textId="28B80F8A" w:rsidR="00CC1EF4" w:rsidRPr="004853EB" w:rsidRDefault="00CC1EF4" w:rsidP="00CC1EF4">
      <w:pPr>
        <w:spacing w:after="12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Wskaźnik zagęszczenia i zawartość wolnych </w:t>
      </w:r>
      <w:r w:rsidR="00336D00" w:rsidRPr="004853EB">
        <w:rPr>
          <w:rFonts w:eastAsia="Times New Roman" w:cstheme="minorHAnsi"/>
          <w:color w:val="000000"/>
          <w:sz w:val="20"/>
          <w:szCs w:val="20"/>
          <w:lang w:eastAsia="pl-PL"/>
        </w:rPr>
        <w:t>przestrzeni należy</w:t>
      </w:r>
      <w:r w:rsidRPr="004853EB">
        <w:rPr>
          <w:rFonts w:eastAsia="Times New Roman" w:cstheme="minorHAnsi"/>
          <w:color w:val="000000"/>
          <w:sz w:val="20"/>
          <w:szCs w:val="20"/>
          <w:lang w:eastAsia="pl-PL"/>
        </w:rPr>
        <w:t xml:space="preserve"> badać dla każdej warstwy i na każde rozpoczęte 6000 m</w:t>
      </w:r>
      <w:r w:rsidRPr="004853EB">
        <w:rPr>
          <w:rFonts w:eastAsia="Times New Roman" w:cstheme="minorHAnsi"/>
          <w:color w:val="000000"/>
          <w:sz w:val="20"/>
          <w:szCs w:val="20"/>
          <w:vertAlign w:val="superscript"/>
          <w:lang w:eastAsia="pl-PL"/>
        </w:rPr>
        <w:t>2</w:t>
      </w:r>
      <w:r w:rsidRPr="004853EB">
        <w:rPr>
          <w:rFonts w:eastAsia="Times New Roman" w:cstheme="minorHAnsi"/>
          <w:color w:val="000000"/>
          <w:sz w:val="20"/>
          <w:szCs w:val="20"/>
          <w:lang w:eastAsia="pl-PL"/>
        </w:rPr>
        <w:t xml:space="preserve"> nawierzchni jedna próbka; w razie potrzeby liczba próbek może zostać zwiększona </w:t>
      </w:r>
      <w:r w:rsidRPr="004853EB">
        <w:rPr>
          <w:rFonts w:eastAsia="Times New Roman" w:cstheme="minorHAnsi"/>
          <w:color w:val="000000"/>
          <w:sz w:val="20"/>
          <w:szCs w:val="20"/>
          <w:lang w:eastAsia="pl-PL"/>
        </w:rPr>
        <w:br/>
        <w:t>(np. nawierzchnie dróg w terenie zabudowy, nawierzchnie mostowe).</w:t>
      </w:r>
    </w:p>
    <w:p w14:paraId="042814BD" w14:textId="77777777" w:rsidR="00CC1EF4" w:rsidRPr="004853EB" w:rsidRDefault="00CC1EF4" w:rsidP="00CC1EF4">
      <w:pPr>
        <w:keepNext/>
        <w:spacing w:after="120" w:line="240" w:lineRule="auto"/>
        <w:ind w:right="-57"/>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 6.5.4.2. Grubość warstwy lub ilość zużytego materiału  </w:t>
      </w:r>
    </w:p>
    <w:p w14:paraId="10B036CF"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Grubość wykonanej warstwy oznaczana według PN-EN 12697-36 [44] oraz ilość wbudowanego materiału na określoną powierzchnię (dotyczy przede wszystkim cienkich warstw) mogą odbiegać od projektu o wartości podane w tablicy 24.</w:t>
      </w:r>
    </w:p>
    <w:p w14:paraId="533353C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14:paraId="7320E18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Za grubość warstwy lub warstw przyjmuje się średnią arytmetyczną wszystkich pojedynczych oznaczeń grubości warstwy na całym odcinku budowy lub odcinku częściowym.</w:t>
      </w:r>
    </w:p>
    <w:p w14:paraId="4F7A31F8" w14:textId="77777777" w:rsidR="00CC1EF4" w:rsidRPr="004853EB" w:rsidRDefault="00CC1EF4" w:rsidP="00CC1EF4">
      <w:pPr>
        <w:spacing w:before="120" w:after="120" w:line="240" w:lineRule="auto"/>
        <w:ind w:left="992" w:hanging="992"/>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Tablica 24. Dopuszczalne odchyłki grubości warstwy oraz ilości materiału na określonej powierzchni,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8"/>
        <w:gridCol w:w="1643"/>
      </w:tblGrid>
      <w:tr w:rsidR="00CC1EF4" w:rsidRPr="004853EB" w14:paraId="4318E198" w14:textId="77777777" w:rsidTr="00E95D02">
        <w:tc>
          <w:tcPr>
            <w:tcW w:w="6348" w:type="dxa"/>
          </w:tcPr>
          <w:p w14:paraId="1DDBDD39" w14:textId="77777777" w:rsidR="00CC1EF4" w:rsidRPr="004853EB" w:rsidRDefault="00CC1EF4" w:rsidP="00CC1EF4">
            <w:pPr>
              <w:spacing w:before="24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Warunki oceny</w:t>
            </w:r>
          </w:p>
        </w:tc>
        <w:tc>
          <w:tcPr>
            <w:tcW w:w="1643" w:type="dxa"/>
          </w:tcPr>
          <w:p w14:paraId="16C29D4A"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Warstwa asfaltowa AC</w:t>
            </w:r>
            <w:r w:rsidRPr="004853EB">
              <w:rPr>
                <w:rFonts w:eastAsia="Times New Roman" w:cstheme="minorHAnsi"/>
                <w:color w:val="000000"/>
                <w:sz w:val="18"/>
                <w:szCs w:val="18"/>
                <w:vertAlign w:val="superscript"/>
                <w:lang w:eastAsia="pl-PL"/>
              </w:rPr>
              <w:t>a)</w:t>
            </w:r>
          </w:p>
        </w:tc>
      </w:tr>
      <w:tr w:rsidR="00CC1EF4" w:rsidRPr="004853EB" w14:paraId="391EFB39" w14:textId="77777777" w:rsidTr="00E95D02">
        <w:trPr>
          <w:trHeight w:val="1330"/>
        </w:trPr>
        <w:tc>
          <w:tcPr>
            <w:tcW w:w="6348" w:type="dxa"/>
            <w:tcBorders>
              <w:bottom w:val="nil"/>
            </w:tcBorders>
          </w:tcPr>
          <w:p w14:paraId="2C93698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 – Średnia z wielu oznaczeń grubości oraz ilości</w:t>
            </w:r>
          </w:p>
          <w:p w14:paraId="2E440356" w14:textId="77777777" w:rsidR="00CC1EF4" w:rsidRPr="004853EB" w:rsidRDefault="00CC1EF4">
            <w:pPr>
              <w:numPr>
                <w:ilvl w:val="0"/>
                <w:numId w:val="118"/>
              </w:numPr>
              <w:overflowPunct w:val="0"/>
              <w:autoSpaceDE w:val="0"/>
              <w:autoSpaceDN w:val="0"/>
              <w:adjustRightInd w:val="0"/>
              <w:spacing w:after="0" w:line="240" w:lineRule="auto"/>
              <w:jc w:val="both"/>
              <w:textAlignment w:val="baseline"/>
              <w:rPr>
                <w:rFonts w:eastAsia="Times New Roman" w:cstheme="minorHAnsi"/>
                <w:color w:val="000000"/>
                <w:sz w:val="18"/>
                <w:szCs w:val="18"/>
                <w:lang w:eastAsia="pl-PL"/>
              </w:rPr>
            </w:pPr>
            <w:r w:rsidRPr="004853EB">
              <w:rPr>
                <w:rFonts w:eastAsia="Times New Roman" w:cstheme="minorHAnsi"/>
                <w:color w:val="000000"/>
                <w:sz w:val="18"/>
                <w:szCs w:val="18"/>
                <w:lang w:eastAsia="pl-PL"/>
              </w:rPr>
              <w:t>–  duży odcinek budowy, powierzchnia większa niż 6000 m</w:t>
            </w:r>
            <w:r w:rsidRPr="004853EB">
              <w:rPr>
                <w:rFonts w:eastAsia="Times New Roman" w:cstheme="minorHAnsi"/>
                <w:color w:val="000000"/>
                <w:sz w:val="18"/>
                <w:szCs w:val="18"/>
                <w:vertAlign w:val="superscript"/>
                <w:lang w:eastAsia="pl-PL"/>
              </w:rPr>
              <w:t>2</w:t>
            </w:r>
            <w:r w:rsidRPr="004853EB">
              <w:rPr>
                <w:rFonts w:eastAsia="Times New Roman" w:cstheme="minorHAnsi"/>
                <w:color w:val="000000"/>
                <w:sz w:val="18"/>
                <w:szCs w:val="18"/>
                <w:lang w:eastAsia="pl-PL"/>
              </w:rPr>
              <w:t xml:space="preserve"> lub</w:t>
            </w:r>
          </w:p>
          <w:p w14:paraId="0240C2ED" w14:textId="7BEA20AC" w:rsidR="00CC1EF4" w:rsidRPr="004853EB" w:rsidRDefault="00CC1EF4" w:rsidP="00CC1EF4">
            <w:pPr>
              <w:spacing w:after="0" w:line="240" w:lineRule="auto"/>
              <w:ind w:left="600" w:hanging="600"/>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     – droga ograniczona krawężnikami, powierzchnia </w:t>
            </w:r>
            <w:r w:rsidR="00336D00" w:rsidRPr="004853EB">
              <w:rPr>
                <w:rFonts w:eastAsia="Times New Roman" w:cstheme="minorHAnsi"/>
                <w:color w:val="000000"/>
                <w:sz w:val="18"/>
                <w:szCs w:val="18"/>
                <w:lang w:eastAsia="pl-PL"/>
              </w:rPr>
              <w:t>większa niż</w:t>
            </w:r>
            <w:r w:rsidRPr="004853EB">
              <w:rPr>
                <w:rFonts w:eastAsia="Times New Roman" w:cstheme="minorHAnsi"/>
                <w:color w:val="000000"/>
                <w:sz w:val="18"/>
                <w:szCs w:val="18"/>
                <w:lang w:eastAsia="pl-PL"/>
              </w:rPr>
              <w:t xml:space="preserve"> 1000 m</w:t>
            </w:r>
            <w:r w:rsidRPr="004853EB">
              <w:rPr>
                <w:rFonts w:eastAsia="Times New Roman" w:cstheme="minorHAnsi"/>
                <w:color w:val="000000"/>
                <w:sz w:val="18"/>
                <w:szCs w:val="18"/>
                <w:vertAlign w:val="superscript"/>
                <w:lang w:eastAsia="pl-PL"/>
              </w:rPr>
              <w:t>2</w:t>
            </w:r>
            <w:r w:rsidRPr="004853EB">
              <w:rPr>
                <w:rFonts w:eastAsia="Times New Roman" w:cstheme="minorHAnsi"/>
                <w:color w:val="000000"/>
                <w:sz w:val="18"/>
                <w:szCs w:val="18"/>
                <w:lang w:eastAsia="pl-PL"/>
              </w:rPr>
              <w:t xml:space="preserve"> lub</w:t>
            </w:r>
          </w:p>
          <w:p w14:paraId="0982B8EC" w14:textId="77777777" w:rsidR="00CC1EF4" w:rsidRPr="004853EB" w:rsidRDefault="00CC1EF4" w:rsidP="00CC1EF4">
            <w:pPr>
              <w:spacing w:after="0" w:line="240" w:lineRule="auto"/>
              <w:ind w:left="426" w:hanging="426"/>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     –  warstwa ścieralna, ilość większa niż 50 kg/m</w:t>
            </w:r>
            <w:r w:rsidRPr="004853EB">
              <w:rPr>
                <w:rFonts w:eastAsia="Times New Roman" w:cstheme="minorHAnsi"/>
                <w:color w:val="000000"/>
                <w:sz w:val="18"/>
                <w:szCs w:val="18"/>
                <w:vertAlign w:val="superscript"/>
                <w:lang w:eastAsia="pl-PL"/>
              </w:rPr>
              <w:t>2</w:t>
            </w:r>
          </w:p>
        </w:tc>
        <w:tc>
          <w:tcPr>
            <w:tcW w:w="1643" w:type="dxa"/>
            <w:tcBorders>
              <w:bottom w:val="nil"/>
            </w:tcBorders>
          </w:tcPr>
          <w:p w14:paraId="76FCD966"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5D2D2092"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27475BC7"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7798B9D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10</w:t>
            </w:r>
          </w:p>
        </w:tc>
      </w:tr>
      <w:tr w:rsidR="00CC1EF4" w:rsidRPr="004853EB" w14:paraId="46CC0A46" w14:textId="77777777" w:rsidTr="00E95D02">
        <w:trPr>
          <w:trHeight w:val="510"/>
        </w:trPr>
        <w:tc>
          <w:tcPr>
            <w:tcW w:w="6348" w:type="dxa"/>
            <w:tcBorders>
              <w:top w:val="nil"/>
            </w:tcBorders>
          </w:tcPr>
          <w:p w14:paraId="74988C80" w14:textId="3AAD46CC" w:rsidR="00CC1EF4" w:rsidRPr="004853EB" w:rsidRDefault="00CC1EF4" w:rsidP="00CC1EF4">
            <w:pPr>
              <w:spacing w:after="0" w:line="240" w:lineRule="auto"/>
              <w:ind w:left="426" w:hanging="426"/>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2.  </w:t>
            </w:r>
            <w:r w:rsidR="00336D00" w:rsidRPr="004853EB">
              <w:rPr>
                <w:rFonts w:eastAsia="Times New Roman" w:cstheme="minorHAnsi"/>
                <w:color w:val="000000"/>
                <w:sz w:val="18"/>
                <w:szCs w:val="18"/>
                <w:lang w:eastAsia="pl-PL"/>
              </w:rPr>
              <w:t>– mały</w:t>
            </w:r>
            <w:r w:rsidRPr="004853EB">
              <w:rPr>
                <w:rFonts w:eastAsia="Times New Roman" w:cstheme="minorHAnsi"/>
                <w:color w:val="000000"/>
                <w:sz w:val="18"/>
                <w:szCs w:val="18"/>
                <w:lang w:eastAsia="pl-PL"/>
              </w:rPr>
              <w:t xml:space="preserve"> odcinek budowy lub</w:t>
            </w:r>
          </w:p>
          <w:p w14:paraId="1B52FFB1" w14:textId="77777777" w:rsidR="00CC1EF4" w:rsidRPr="004853EB" w:rsidRDefault="00CC1EF4" w:rsidP="00CC1EF4">
            <w:pPr>
              <w:spacing w:after="0" w:line="240" w:lineRule="auto"/>
              <w:ind w:left="426" w:hanging="426"/>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     –  warstwa ścieralna, ilość większa niż 50 kg/m</w:t>
            </w:r>
            <w:r w:rsidRPr="004853EB">
              <w:rPr>
                <w:rFonts w:eastAsia="Times New Roman" w:cstheme="minorHAnsi"/>
                <w:color w:val="000000"/>
                <w:sz w:val="18"/>
                <w:szCs w:val="18"/>
                <w:vertAlign w:val="superscript"/>
                <w:lang w:eastAsia="pl-PL"/>
              </w:rPr>
              <w:t>2</w:t>
            </w:r>
          </w:p>
        </w:tc>
        <w:tc>
          <w:tcPr>
            <w:tcW w:w="1643" w:type="dxa"/>
            <w:tcBorders>
              <w:top w:val="nil"/>
            </w:tcBorders>
          </w:tcPr>
          <w:p w14:paraId="5A27E012"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±15</w:t>
            </w:r>
          </w:p>
        </w:tc>
      </w:tr>
      <w:tr w:rsidR="00CC1EF4" w:rsidRPr="004853EB" w14:paraId="0CB8A267" w14:textId="77777777" w:rsidTr="00E95D02">
        <w:tc>
          <w:tcPr>
            <w:tcW w:w="6348" w:type="dxa"/>
          </w:tcPr>
          <w:p w14:paraId="1CB30350"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B – Pojedyncze oznaczenie grubości</w:t>
            </w:r>
          </w:p>
        </w:tc>
        <w:tc>
          <w:tcPr>
            <w:tcW w:w="1643" w:type="dxa"/>
          </w:tcPr>
          <w:p w14:paraId="1A92CC69"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25</w:t>
            </w:r>
          </w:p>
        </w:tc>
      </w:tr>
      <w:tr w:rsidR="00CC1EF4" w:rsidRPr="004853EB" w14:paraId="4C0D4E7A" w14:textId="77777777" w:rsidTr="00E95D02">
        <w:tc>
          <w:tcPr>
            <w:tcW w:w="7991" w:type="dxa"/>
            <w:gridSpan w:val="2"/>
          </w:tcPr>
          <w:p w14:paraId="223AFD1F" w14:textId="21CE0B95" w:rsidR="00CC1EF4" w:rsidRPr="004853EB" w:rsidRDefault="00CC1EF4" w:rsidP="00CC1EF4">
            <w:pPr>
              <w:spacing w:after="0" w:line="240" w:lineRule="auto"/>
              <w:ind w:left="284" w:hanging="284"/>
              <w:jc w:val="both"/>
              <w:rPr>
                <w:rFonts w:eastAsia="Times New Roman" w:cstheme="minorHAnsi"/>
                <w:color w:val="000000"/>
                <w:sz w:val="18"/>
                <w:szCs w:val="18"/>
                <w:lang w:eastAsia="pl-PL"/>
              </w:rPr>
            </w:pPr>
            <w:r w:rsidRPr="004853EB">
              <w:rPr>
                <w:rFonts w:eastAsia="Times New Roman" w:cstheme="minorHAnsi"/>
                <w:color w:val="000000"/>
                <w:sz w:val="18"/>
                <w:szCs w:val="18"/>
                <w:vertAlign w:val="superscript"/>
                <w:lang w:eastAsia="pl-PL"/>
              </w:rPr>
              <w:t>a)</w:t>
            </w:r>
            <w:r w:rsidRPr="004853EB">
              <w:rPr>
                <w:rFonts w:eastAsia="Times New Roman" w:cstheme="minorHAnsi"/>
                <w:color w:val="000000"/>
                <w:sz w:val="18"/>
                <w:szCs w:val="18"/>
                <w:lang w:eastAsia="pl-PL"/>
              </w:rPr>
              <w:t xml:space="preserve"> w wypadku budowy dwuetapowej, </w:t>
            </w:r>
            <w:r w:rsidR="00336D00" w:rsidRPr="004853EB">
              <w:rPr>
                <w:rFonts w:eastAsia="Times New Roman" w:cstheme="minorHAnsi"/>
                <w:color w:val="000000"/>
                <w:sz w:val="18"/>
                <w:szCs w:val="18"/>
                <w:lang w:eastAsia="pl-PL"/>
              </w:rPr>
              <w:t>tzn.,</w:t>
            </w:r>
            <w:r w:rsidRPr="004853EB">
              <w:rPr>
                <w:rFonts w:eastAsia="Times New Roman" w:cstheme="minorHAnsi"/>
                <w:color w:val="000000"/>
                <w:sz w:val="18"/>
                <w:szCs w:val="18"/>
                <w:lang w:eastAsia="pl-PL"/>
              </w:rPr>
              <w:t xml:space="preserve"> gdy warstwa ścieralna jest układana z opóźnieniem, wartość z wiersza B odpowiednio obowiązuje; w pierwszym etapie budowy do górnej warstwy nawierzchni obowiązuje wartość 25%, a do łącznej grubości warstw etapu 1 ÷ 15%</w:t>
            </w:r>
          </w:p>
        </w:tc>
      </w:tr>
    </w:tbl>
    <w:p w14:paraId="35886B59"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6.5.4.3. Spadki poprzeczne</w:t>
      </w:r>
    </w:p>
    <w:p w14:paraId="4D8B04A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Spadki poprzeczne nawierzchni należy badać nie rzadziej niż co 20 m oraz w punktach głównych łuków poziomych.</w:t>
      </w:r>
    </w:p>
    <w:p w14:paraId="693F6EC2" w14:textId="7B5277DC"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Spadki poprzeczne powinny być zgodne z dokumentacją projektową, z tolerancją</w:t>
      </w:r>
      <w:r w:rsidR="00336D00">
        <w:rPr>
          <w:rFonts w:eastAsia="Times New Roman" w:cstheme="minorHAnsi"/>
          <w:color w:val="000000"/>
          <w:sz w:val="20"/>
          <w:szCs w:val="20"/>
          <w:lang w:eastAsia="pl-PL"/>
        </w:rPr>
        <w:t xml:space="preserve"> </w:t>
      </w:r>
      <w:r w:rsidRPr="004853EB">
        <w:rPr>
          <w:rFonts w:eastAsia="Times New Roman" w:cstheme="minorHAnsi"/>
          <w:color w:val="000000"/>
          <w:sz w:val="20"/>
          <w:szCs w:val="20"/>
          <w:lang w:eastAsia="pl-PL"/>
        </w:rPr>
        <w:sym w:font="Symbol" w:char="00B1"/>
      </w:r>
      <w:r w:rsidRPr="004853EB">
        <w:rPr>
          <w:rFonts w:eastAsia="Times New Roman" w:cstheme="minorHAnsi"/>
          <w:color w:val="000000"/>
          <w:sz w:val="20"/>
          <w:szCs w:val="20"/>
          <w:lang w:eastAsia="pl-PL"/>
        </w:rPr>
        <w:t xml:space="preserve"> 0,5%. </w:t>
      </w:r>
    </w:p>
    <w:p w14:paraId="418909BA"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6.5.4.4. Równość podłużna i poprzeczna </w:t>
      </w:r>
    </w:p>
    <w:p w14:paraId="41470B1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Pomiary równości podłużnej należy wykonywać w środku każdego ocenianego pasa ruchu.</w:t>
      </w:r>
    </w:p>
    <w:p w14:paraId="5D809DF5" w14:textId="25CD249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Do oceny równości podłużnej warstwy ścieralnej nawierzchni drogi klasy G i dróg wyższych klas należy stosować metodę profilometryczną bazującą na wskaźnikach równości IRI. Zasady wyznaczania oraz </w:t>
      </w:r>
      <w:r w:rsidRPr="004853EB">
        <w:rPr>
          <w:rFonts w:eastAsia="Times New Roman" w:cstheme="minorHAnsi"/>
          <w:color w:val="000000"/>
          <w:sz w:val="20"/>
          <w:szCs w:val="20"/>
          <w:lang w:eastAsia="pl-PL"/>
        </w:rPr>
        <w:lastRenderedPageBreak/>
        <w:t xml:space="preserve">dopuszczalne wartości wskaźnika IRI wymagane przy odbiorze nawierzchni określono w rozporządzeniu </w:t>
      </w:r>
      <w:r w:rsidR="00336D00">
        <w:rPr>
          <w:rFonts w:eastAsia="Times New Roman" w:cstheme="minorHAnsi"/>
          <w:color w:val="000000"/>
          <w:sz w:val="20"/>
          <w:szCs w:val="20"/>
          <w:lang w:eastAsia="pl-PL"/>
        </w:rPr>
        <w:br/>
      </w:r>
      <w:r w:rsidRPr="004853EB">
        <w:rPr>
          <w:rFonts w:eastAsia="Times New Roman" w:cstheme="minorHAnsi"/>
          <w:color w:val="000000"/>
          <w:sz w:val="20"/>
          <w:szCs w:val="20"/>
          <w:lang w:eastAsia="pl-PL"/>
        </w:rPr>
        <w:t>w sprawie warunków technicznych jakim powinny odpowiadać drogi i ich usytuowanie [72].</w:t>
      </w:r>
    </w:p>
    <w:p w14:paraId="2A38B9D7" w14:textId="4A017D76"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Do oceny równości podłużnej warstwy ścieralnej nawierzchni drogi klasy Z, L i D oraz placów i parkingów należy stosować metodę pomiaru ciągłego równoważną użyciu łaty i klina z wykorzystaniem planografu </w:t>
      </w:r>
      <w:r w:rsidRPr="004853EB">
        <w:rPr>
          <w:rFonts w:eastAsia="Times New Roman" w:cstheme="minorHAnsi"/>
          <w:color w:val="000000"/>
          <w:sz w:val="20"/>
          <w:szCs w:val="20"/>
          <w:lang w:eastAsia="pl-PL"/>
        </w:rPr>
        <w:br/>
        <w:t xml:space="preserve">(w miejscach niedostępnych dla planografu pomiar ciągły z użyciem łaty 4-metrowej i klina). Zasady wyznaczania oraz dopuszczalne odbiorcze wartości odchyleń równości podłużnej warstwy określono w rozporządzeniu </w:t>
      </w:r>
      <w:r w:rsidR="00336D00">
        <w:rPr>
          <w:rFonts w:eastAsia="Times New Roman" w:cstheme="minorHAnsi"/>
          <w:color w:val="000000"/>
          <w:sz w:val="20"/>
          <w:szCs w:val="20"/>
          <w:lang w:eastAsia="pl-PL"/>
        </w:rPr>
        <w:br/>
      </w:r>
      <w:r w:rsidRPr="004853EB">
        <w:rPr>
          <w:rFonts w:eastAsia="Times New Roman" w:cstheme="minorHAnsi"/>
          <w:color w:val="000000"/>
          <w:sz w:val="20"/>
          <w:szCs w:val="20"/>
          <w:lang w:eastAsia="pl-PL"/>
        </w:rPr>
        <w:t>w sprawie warunków technicznych jakim powinny odpowiadać drogi i ich usytuowanie [72].</w:t>
      </w:r>
    </w:p>
    <w:p w14:paraId="5D3E2DE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Do oceny równości poprzecznej warstw nawierzchni dróg wszystkich klas oraz placów i parkingów należy stosować metodę pomiaru profilometrycznego równoważną użyciu łaty o długości 2 m i klina, umożliwiającą wyznaczenie odchylenia równości w przekroju poprzecznym pasa ruchu/elementu drogi.</w:t>
      </w:r>
    </w:p>
    <w:p w14:paraId="35746EC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W miejscach niedostępnych dla profilografu pomiar równości poprzecznej warstw nawierzchni należy wykonać z użyciem łaty i klina. Długość łaty w pomiarze równości poprzecznej powinien wynosić 2 m. Pomiar powinien być wykonany nie rzadziej niż co 5 m.</w:t>
      </w:r>
    </w:p>
    <w:p w14:paraId="4ECAC36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Zasady wyznaczaniu odchylenia oraz wartości dopuszczalne odchyleń równości poprzecznej przy odbiorze warstwy określono w rozporządzeniu w sprawie warunków technicznych, jakim powinny odpowiadać drogi publiczne i ich usytuowanie [72].</w:t>
      </w:r>
    </w:p>
    <w:p w14:paraId="53B70A9A"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6.5.4.5. Złącza technologiczne </w:t>
      </w:r>
    </w:p>
    <w:p w14:paraId="301E9B06"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Złącza podłużne i poprzeczne, sprawdzone wizualnie, powinny być równe i związane, wykonane w linii prostej, równolegle lub prostopadle do osi drogi. Przylegające warstwy powinny być w jednym poziomie.</w:t>
      </w:r>
    </w:p>
    <w:p w14:paraId="212E104B"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6.5.4.6. Szerokość warstwy </w:t>
      </w:r>
    </w:p>
    <w:p w14:paraId="7F33E249" w14:textId="74F1DDC7" w:rsidR="00CC1EF4" w:rsidRPr="004853EB" w:rsidRDefault="00CC1EF4" w:rsidP="00CC1EF4">
      <w:pPr>
        <w:numPr>
          <w:ilvl w:val="12"/>
          <w:numId w:val="0"/>
        </w:num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Szerokość warstwy, mierzona 10 razy na 1 km każdej jezdni powinna być zgodna z dokumentacją projektową, z </w:t>
      </w:r>
      <w:r w:rsidR="00336D00" w:rsidRPr="004853EB">
        <w:rPr>
          <w:rFonts w:eastAsia="Times New Roman" w:cstheme="minorHAnsi"/>
          <w:color w:val="000000"/>
          <w:sz w:val="20"/>
          <w:szCs w:val="20"/>
          <w:lang w:eastAsia="pl-PL"/>
        </w:rPr>
        <w:t>tolerancją w</w:t>
      </w:r>
      <w:r w:rsidRPr="004853EB">
        <w:rPr>
          <w:rFonts w:eastAsia="Times New Roman" w:cstheme="minorHAnsi"/>
          <w:color w:val="000000"/>
          <w:sz w:val="20"/>
          <w:szCs w:val="20"/>
          <w:lang w:eastAsia="pl-PL"/>
        </w:rPr>
        <w:t xml:space="preserve"> zakresie od 0 do +5 cm, przy czym szerokość warstwy wiążącej powinna być odpowiednio szersza, tak aby stanowiła odsadzkę dla warstwy ścieralnej. W przypadku wyprofilowanej ukośnej krawędzi szerokość należy mierzyć w środku linii skosu.</w:t>
      </w:r>
    </w:p>
    <w:p w14:paraId="047D10F2" w14:textId="77777777" w:rsidR="00CC1EF4" w:rsidRPr="004853EB" w:rsidRDefault="00CC1EF4" w:rsidP="00CC1EF4">
      <w:pPr>
        <w:numPr>
          <w:ilvl w:val="12"/>
          <w:numId w:val="0"/>
        </w:num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6.5.4.7. Rzędne wysokościowe </w:t>
      </w:r>
    </w:p>
    <w:p w14:paraId="4CFFC24B" w14:textId="46E37DFD"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14:paraId="0ACDA1CC"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6.5.4.8. Ukształtowanie osi w planie </w:t>
      </w:r>
    </w:p>
    <w:p w14:paraId="0DC4CDD4"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Ukształtowanie osi w planie, mierzone co 100 m, nie powinno różnić się od dokumentacji projektowej </w:t>
      </w:r>
      <w:r w:rsidRPr="004853EB">
        <w:rPr>
          <w:rFonts w:eastAsia="Times New Roman" w:cstheme="minorHAnsi"/>
          <w:color w:val="000000"/>
          <w:sz w:val="20"/>
          <w:szCs w:val="20"/>
          <w:lang w:eastAsia="pl-PL"/>
        </w:rPr>
        <w:br/>
        <w:t>o więcej niż ± 5 cm.</w:t>
      </w:r>
    </w:p>
    <w:p w14:paraId="5218F2C4"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6.5.4.9. Ocena wizualna warstwy </w:t>
      </w:r>
    </w:p>
    <w:p w14:paraId="22261E40"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Wygląd zewnętrzny warstwy, sprawdzony wizualnie, powinien być jednorodny, bez spękań, deformacji, plam i wykruszeń.</w:t>
      </w:r>
    </w:p>
    <w:p w14:paraId="2B6336F2"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6.5.5. </w:t>
      </w:r>
      <w:r w:rsidRPr="004853EB">
        <w:rPr>
          <w:rFonts w:eastAsia="Times New Roman" w:cstheme="minorHAnsi"/>
          <w:color w:val="000000"/>
          <w:sz w:val="20"/>
          <w:szCs w:val="20"/>
          <w:lang w:eastAsia="pl-PL"/>
        </w:rPr>
        <w:t>Badania kontrolne dodatkowe</w:t>
      </w:r>
    </w:p>
    <w:p w14:paraId="183FB68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W wypadku uznania, że jeden z wyników badań kontrolnych nie jest reprezentatywny dla ocenianego odcinka budowy, Wykonawca ma prawo żądać przeprowadzenia badań kontrolnych dodatkowych.</w:t>
      </w:r>
    </w:p>
    <w:p w14:paraId="5F4975D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203A801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Do odbioru uwzględniane są wyniki badań kontrolnych i badań kontrolnych dodatkowych do wyznaczonych odcinków częściowych.</w:t>
      </w:r>
    </w:p>
    <w:p w14:paraId="7F4FC02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Koszty badań kontrolnych dodatkowych zażądanych przez Wykonawcę ponosi Wykonawca.</w:t>
      </w:r>
    </w:p>
    <w:p w14:paraId="318C5A70" w14:textId="77777777" w:rsidR="00CC1EF4" w:rsidRPr="004853EB" w:rsidRDefault="00CC1EF4" w:rsidP="00CC1EF4">
      <w:pPr>
        <w:keepNext/>
        <w:spacing w:before="120"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6.5.6. </w:t>
      </w:r>
      <w:r w:rsidRPr="004853EB">
        <w:rPr>
          <w:rFonts w:eastAsia="Times New Roman" w:cstheme="minorHAnsi"/>
          <w:color w:val="000000"/>
          <w:sz w:val="20"/>
          <w:szCs w:val="20"/>
          <w:lang w:eastAsia="pl-PL"/>
        </w:rPr>
        <w:t>Badania arbitrażowe</w:t>
      </w:r>
    </w:p>
    <w:p w14:paraId="7076374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Badania arbitrażowe są powtórzeniem badań kontrolnych, co do których istnieją uzasadnione wątpliwości ze strony Inżyniera lub Wykonawcy (np. na podstawie własnych badań).</w:t>
      </w:r>
    </w:p>
    <w:p w14:paraId="0234832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Badania arbitrażowe wykonuje na wniosek strony kontraktu niezależne laboratorium, które nie wykonywało badań kontrolnych.</w:t>
      </w:r>
    </w:p>
    <w:p w14:paraId="3398448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ab/>
        <w:t>Koszty badań arbitrażowych wraz ze wszystkimi kosztami ubocznymi ponosi strona, na której niekorzyść przemawia wynik badania.</w:t>
      </w:r>
    </w:p>
    <w:p w14:paraId="73892B28"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303" w:name="_Toc412637950"/>
    </w:p>
    <w:p w14:paraId="70499F01"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304" w:name="_Toc68686966"/>
      <w:bookmarkStart w:id="3305" w:name="_Toc68690564"/>
      <w:bookmarkStart w:id="3306" w:name="_Toc97034703"/>
      <w:bookmarkStart w:id="3307" w:name="_Toc97035391"/>
      <w:bookmarkStart w:id="3308" w:name="_Toc194476986"/>
      <w:bookmarkStart w:id="3309" w:name="_Toc227825468"/>
      <w:r w:rsidRPr="004853EB">
        <w:rPr>
          <w:rFonts w:eastAsia="Times New Roman" w:cstheme="minorHAnsi"/>
          <w:b/>
          <w:bCs/>
          <w:color w:val="000000"/>
          <w:sz w:val="20"/>
          <w:szCs w:val="20"/>
          <w:lang w:eastAsia="pl-PL"/>
        </w:rPr>
        <w:t>7. O</w:t>
      </w:r>
      <w:bookmarkEnd w:id="3303"/>
      <w:r w:rsidRPr="004853EB">
        <w:rPr>
          <w:rFonts w:eastAsia="Times New Roman" w:cstheme="minorHAnsi"/>
          <w:b/>
          <w:bCs/>
          <w:color w:val="000000"/>
          <w:sz w:val="20"/>
          <w:szCs w:val="20"/>
          <w:lang w:eastAsia="pl-PL"/>
        </w:rPr>
        <w:t>BMIAR ROBÓT</w:t>
      </w:r>
      <w:bookmarkEnd w:id="3304"/>
      <w:bookmarkEnd w:id="3305"/>
      <w:bookmarkEnd w:id="3306"/>
      <w:bookmarkEnd w:id="3307"/>
      <w:bookmarkEnd w:id="3308"/>
      <w:bookmarkEnd w:id="3309"/>
    </w:p>
    <w:p w14:paraId="5365E4C5"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p>
    <w:p w14:paraId="070639B4"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310" w:name="_Toc97034704"/>
      <w:bookmarkStart w:id="3311" w:name="_Toc97035392"/>
      <w:bookmarkStart w:id="3312" w:name="_Toc194476987"/>
      <w:bookmarkStart w:id="3313" w:name="_Toc227825469"/>
      <w:r w:rsidRPr="004853EB">
        <w:rPr>
          <w:rFonts w:eastAsia="Times New Roman" w:cstheme="minorHAnsi"/>
          <w:b/>
          <w:bCs/>
          <w:color w:val="000000"/>
          <w:sz w:val="20"/>
          <w:szCs w:val="20"/>
          <w:lang w:eastAsia="pl-PL"/>
        </w:rPr>
        <w:t>7.1. Ogólne zasady obmiaru robót</w:t>
      </w:r>
      <w:bookmarkEnd w:id="3310"/>
      <w:bookmarkEnd w:id="3311"/>
      <w:bookmarkEnd w:id="3312"/>
      <w:bookmarkEnd w:id="3313"/>
    </w:p>
    <w:p w14:paraId="14E06398" w14:textId="66B7394C" w:rsidR="00CC1EF4" w:rsidRPr="004853EB" w:rsidRDefault="00CC1EF4" w:rsidP="00CC1EF4">
      <w:pPr>
        <w:numPr>
          <w:ilvl w:val="12"/>
          <w:numId w:val="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Ogólne zasady obmiaru robót podano w </w:t>
      </w:r>
      <w:r w:rsidR="00336D00" w:rsidRPr="004853EB">
        <w:rPr>
          <w:rFonts w:eastAsia="Times New Roman" w:cstheme="minorHAnsi"/>
          <w:color w:val="000000"/>
          <w:sz w:val="20"/>
          <w:szCs w:val="20"/>
          <w:lang w:eastAsia="pl-PL"/>
        </w:rPr>
        <w:t>ST D</w:t>
      </w:r>
      <w:r w:rsidRPr="004853EB">
        <w:rPr>
          <w:rFonts w:eastAsia="Times New Roman" w:cstheme="minorHAnsi"/>
          <w:color w:val="000000"/>
          <w:sz w:val="20"/>
          <w:szCs w:val="20"/>
          <w:lang w:eastAsia="pl-PL"/>
        </w:rPr>
        <w:t>-M-00.00.00 „Wymagania ogólne” [1] pkt 7.</w:t>
      </w:r>
    </w:p>
    <w:p w14:paraId="7F597058"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p>
    <w:p w14:paraId="2537CDAA"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314" w:name="_Toc97034705"/>
      <w:bookmarkStart w:id="3315" w:name="_Toc97035393"/>
      <w:bookmarkStart w:id="3316" w:name="_Toc194476988"/>
      <w:bookmarkStart w:id="3317" w:name="_Toc227825470"/>
      <w:r w:rsidRPr="004853EB">
        <w:rPr>
          <w:rFonts w:eastAsia="Times New Roman" w:cstheme="minorHAnsi"/>
          <w:b/>
          <w:bCs/>
          <w:color w:val="000000"/>
          <w:sz w:val="20"/>
          <w:szCs w:val="20"/>
          <w:lang w:eastAsia="pl-PL"/>
        </w:rPr>
        <w:t>7.2. Jednostka obmiarowa</w:t>
      </w:r>
      <w:bookmarkEnd w:id="3314"/>
      <w:bookmarkEnd w:id="3315"/>
      <w:bookmarkEnd w:id="3316"/>
      <w:bookmarkEnd w:id="3317"/>
    </w:p>
    <w:p w14:paraId="68D9C99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Jednostką obmiarową jest m</w:t>
      </w:r>
      <w:r w:rsidRPr="004853EB">
        <w:rPr>
          <w:rFonts w:eastAsia="Times New Roman" w:cstheme="minorHAnsi"/>
          <w:color w:val="000000"/>
          <w:sz w:val="20"/>
          <w:szCs w:val="20"/>
          <w:vertAlign w:val="superscript"/>
          <w:lang w:eastAsia="pl-PL"/>
        </w:rPr>
        <w:t>2</w:t>
      </w:r>
      <w:r w:rsidRPr="004853EB">
        <w:rPr>
          <w:rFonts w:eastAsia="Times New Roman" w:cstheme="minorHAnsi"/>
          <w:color w:val="000000"/>
          <w:sz w:val="20"/>
          <w:szCs w:val="20"/>
          <w:lang w:eastAsia="pl-PL"/>
        </w:rPr>
        <w:t xml:space="preserve"> (metr kwadratowy) wykonanej warstwy ścieralnej z betonu asfaltowego (AC).</w:t>
      </w:r>
    </w:p>
    <w:p w14:paraId="0617E06E"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318" w:name="_Toc412637951"/>
    </w:p>
    <w:p w14:paraId="5D099A60"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319" w:name="_Toc68686967"/>
      <w:bookmarkStart w:id="3320" w:name="_Toc68690565"/>
      <w:bookmarkStart w:id="3321" w:name="_Toc97034706"/>
      <w:bookmarkStart w:id="3322" w:name="_Toc97035394"/>
      <w:bookmarkStart w:id="3323" w:name="_Toc194476989"/>
      <w:bookmarkStart w:id="3324" w:name="_Toc227825471"/>
      <w:r w:rsidRPr="004853EB">
        <w:rPr>
          <w:rFonts w:eastAsia="Times New Roman" w:cstheme="minorHAnsi"/>
          <w:b/>
          <w:bCs/>
          <w:color w:val="000000"/>
          <w:sz w:val="20"/>
          <w:szCs w:val="20"/>
          <w:lang w:eastAsia="pl-PL"/>
        </w:rPr>
        <w:t>8. O</w:t>
      </w:r>
      <w:bookmarkEnd w:id="3318"/>
      <w:r w:rsidRPr="004853EB">
        <w:rPr>
          <w:rFonts w:eastAsia="Times New Roman" w:cstheme="minorHAnsi"/>
          <w:b/>
          <w:bCs/>
          <w:color w:val="000000"/>
          <w:sz w:val="20"/>
          <w:szCs w:val="20"/>
          <w:lang w:eastAsia="pl-PL"/>
        </w:rPr>
        <w:t>DBIÓR ROBÓT</w:t>
      </w:r>
      <w:bookmarkEnd w:id="3319"/>
      <w:bookmarkEnd w:id="3320"/>
      <w:bookmarkEnd w:id="3321"/>
      <w:bookmarkEnd w:id="3322"/>
      <w:bookmarkEnd w:id="3323"/>
      <w:bookmarkEnd w:id="3324"/>
    </w:p>
    <w:p w14:paraId="54743A7A" w14:textId="7F94644E" w:rsidR="00CC1EF4" w:rsidRPr="004853EB" w:rsidRDefault="00CC1EF4" w:rsidP="00CC1EF4">
      <w:pPr>
        <w:numPr>
          <w:ilvl w:val="12"/>
          <w:numId w:val="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Ogólne zasady odbioru robót podano w </w:t>
      </w:r>
      <w:r w:rsidR="00336D00" w:rsidRPr="004853EB">
        <w:rPr>
          <w:rFonts w:eastAsia="Times New Roman" w:cstheme="minorHAnsi"/>
          <w:color w:val="000000"/>
          <w:sz w:val="20"/>
          <w:szCs w:val="20"/>
          <w:lang w:eastAsia="pl-PL"/>
        </w:rPr>
        <w:t>ST D</w:t>
      </w:r>
      <w:r w:rsidRPr="004853EB">
        <w:rPr>
          <w:rFonts w:eastAsia="Times New Roman" w:cstheme="minorHAnsi"/>
          <w:color w:val="000000"/>
          <w:sz w:val="20"/>
          <w:szCs w:val="20"/>
          <w:lang w:eastAsia="pl-PL"/>
        </w:rPr>
        <w:t>-M-00.00.00 „Wymagania ogólne” [1] pkt 8.</w:t>
      </w:r>
    </w:p>
    <w:p w14:paraId="09F43FDA" w14:textId="77777777" w:rsidR="00CC1EF4" w:rsidRPr="004853EB" w:rsidRDefault="00CC1EF4" w:rsidP="00CC1EF4">
      <w:pPr>
        <w:numPr>
          <w:ilvl w:val="12"/>
          <w:numId w:val="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Roboty uznaje się za wykonane zgodnie z dokumentacją projektową, ST i wymaganiami Inżyniera, jeżeli wszystkie pomiary i badania z zachowaniem tolerancji według pktu 6 dały wyniki pozytywne.</w:t>
      </w:r>
    </w:p>
    <w:p w14:paraId="7A424663"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325" w:name="_Toc412637952"/>
    </w:p>
    <w:p w14:paraId="5B934D02"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326" w:name="_Toc68686968"/>
      <w:bookmarkStart w:id="3327" w:name="_Toc68690566"/>
      <w:bookmarkStart w:id="3328" w:name="_Toc97034707"/>
      <w:bookmarkStart w:id="3329" w:name="_Toc97035395"/>
      <w:bookmarkStart w:id="3330" w:name="_Toc194476990"/>
      <w:bookmarkStart w:id="3331" w:name="_Toc227825472"/>
      <w:r w:rsidRPr="004853EB">
        <w:rPr>
          <w:rFonts w:eastAsia="Times New Roman" w:cstheme="minorHAnsi"/>
          <w:b/>
          <w:bCs/>
          <w:color w:val="000000"/>
          <w:sz w:val="20"/>
          <w:szCs w:val="20"/>
          <w:lang w:eastAsia="pl-PL"/>
        </w:rPr>
        <w:t>9. P</w:t>
      </w:r>
      <w:bookmarkEnd w:id="3325"/>
      <w:r w:rsidRPr="004853EB">
        <w:rPr>
          <w:rFonts w:eastAsia="Times New Roman" w:cstheme="minorHAnsi"/>
          <w:b/>
          <w:bCs/>
          <w:color w:val="000000"/>
          <w:sz w:val="20"/>
          <w:szCs w:val="20"/>
          <w:lang w:eastAsia="pl-PL"/>
        </w:rPr>
        <w:t>ODSTAWA PŁATNOŚCI</w:t>
      </w:r>
      <w:bookmarkEnd w:id="3326"/>
      <w:bookmarkEnd w:id="3327"/>
      <w:bookmarkEnd w:id="3328"/>
      <w:bookmarkEnd w:id="3329"/>
      <w:bookmarkEnd w:id="3330"/>
      <w:bookmarkEnd w:id="3331"/>
    </w:p>
    <w:p w14:paraId="3CFE281C"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p>
    <w:p w14:paraId="7D55809A"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332" w:name="_Toc97034708"/>
      <w:bookmarkStart w:id="3333" w:name="_Toc97035396"/>
      <w:bookmarkStart w:id="3334" w:name="_Toc194476991"/>
      <w:bookmarkStart w:id="3335" w:name="_Toc227825473"/>
      <w:r w:rsidRPr="004853EB">
        <w:rPr>
          <w:rFonts w:eastAsia="Times New Roman" w:cstheme="minorHAnsi"/>
          <w:b/>
          <w:bCs/>
          <w:color w:val="000000"/>
          <w:sz w:val="20"/>
          <w:szCs w:val="20"/>
          <w:lang w:eastAsia="pl-PL"/>
        </w:rPr>
        <w:t>9.1. Ogólne ustalenia dotyczące podstawy płatności</w:t>
      </w:r>
      <w:bookmarkEnd w:id="3332"/>
      <w:bookmarkEnd w:id="3333"/>
      <w:bookmarkEnd w:id="3334"/>
      <w:bookmarkEnd w:id="3335"/>
    </w:p>
    <w:p w14:paraId="54338A42" w14:textId="77777777" w:rsidR="00CC1EF4" w:rsidRPr="004853EB" w:rsidRDefault="00CC1EF4" w:rsidP="00CC1EF4">
      <w:pPr>
        <w:numPr>
          <w:ilvl w:val="12"/>
          <w:numId w:val="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Ogólne ustalenia dotyczące podstawy płatności podano w ST D-M-00.00.00 „Wymagania ogólne” [1] </w:t>
      </w:r>
      <w:r w:rsidRPr="004853EB">
        <w:rPr>
          <w:rFonts w:eastAsia="Times New Roman" w:cstheme="minorHAnsi"/>
          <w:color w:val="000000"/>
          <w:sz w:val="20"/>
          <w:szCs w:val="20"/>
          <w:lang w:eastAsia="pl-PL"/>
        </w:rPr>
        <w:br/>
        <w:t>pkt 9.</w:t>
      </w:r>
    </w:p>
    <w:p w14:paraId="584BD89F"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p>
    <w:p w14:paraId="70C23303"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336" w:name="_Toc97034709"/>
      <w:bookmarkStart w:id="3337" w:name="_Toc97035397"/>
      <w:bookmarkStart w:id="3338" w:name="_Toc194476992"/>
      <w:bookmarkStart w:id="3339" w:name="_Toc227825474"/>
      <w:r w:rsidRPr="004853EB">
        <w:rPr>
          <w:rFonts w:eastAsia="Times New Roman" w:cstheme="minorHAnsi"/>
          <w:b/>
          <w:bCs/>
          <w:color w:val="000000"/>
          <w:sz w:val="20"/>
          <w:szCs w:val="20"/>
          <w:lang w:eastAsia="pl-PL"/>
        </w:rPr>
        <w:t>9.2. Cena jednostki obmiarowej</w:t>
      </w:r>
      <w:bookmarkEnd w:id="3336"/>
      <w:bookmarkEnd w:id="3337"/>
      <w:bookmarkEnd w:id="3338"/>
      <w:bookmarkEnd w:id="3339"/>
    </w:p>
    <w:p w14:paraId="652BDF77" w14:textId="77777777" w:rsidR="00CC1EF4" w:rsidRPr="004853EB" w:rsidRDefault="00CC1EF4" w:rsidP="00CC1EF4">
      <w:pPr>
        <w:numPr>
          <w:ilvl w:val="12"/>
          <w:numId w:val="0"/>
        </w:num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Cena wykonania 1 m</w:t>
      </w:r>
      <w:r w:rsidRPr="004853EB">
        <w:rPr>
          <w:rFonts w:eastAsia="Times New Roman" w:cstheme="minorHAnsi"/>
          <w:color w:val="000000"/>
          <w:sz w:val="20"/>
          <w:szCs w:val="20"/>
          <w:vertAlign w:val="superscript"/>
          <w:lang w:eastAsia="pl-PL"/>
        </w:rPr>
        <w:t>2</w:t>
      </w:r>
      <w:r w:rsidRPr="004853EB">
        <w:rPr>
          <w:rFonts w:eastAsia="Times New Roman" w:cstheme="minorHAnsi"/>
          <w:color w:val="000000"/>
          <w:sz w:val="20"/>
          <w:szCs w:val="20"/>
          <w:lang w:eastAsia="pl-PL"/>
        </w:rPr>
        <w:t xml:space="preserve"> warstwy ścieralnej z betonu asfaltowego (AC) obejmuje:</w:t>
      </w:r>
    </w:p>
    <w:p w14:paraId="5F28CF4A"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prace pomiarowe i roboty przygotowawcze, </w:t>
      </w:r>
    </w:p>
    <w:p w14:paraId="3BA53BC6"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oznakowanie robót,</w:t>
      </w:r>
    </w:p>
    <w:p w14:paraId="4CF2F85D"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oczyszczenie i skropienie podłoża,</w:t>
      </w:r>
    </w:p>
    <w:p w14:paraId="202EF508"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dostarczenie materiałów i sprzętu,</w:t>
      </w:r>
    </w:p>
    <w:p w14:paraId="447B074D"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opracowanie recepty laboratoryjnej,</w:t>
      </w:r>
    </w:p>
    <w:p w14:paraId="3ED3F52E"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wykonanie próby technologicznej i odcinka próbnego,</w:t>
      </w:r>
    </w:p>
    <w:p w14:paraId="6471C83D"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wyprodukowanie mieszanki betonu asfaltowego i jej transport na miejsce wbudowania,</w:t>
      </w:r>
    </w:p>
    <w:p w14:paraId="7C1BC6E4"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posmarowanie lepiszczem lub pokrycie taśmą asfaltową krawędzi urządzeń obcych i krawężników,</w:t>
      </w:r>
    </w:p>
    <w:p w14:paraId="50AA06E6"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rozłożenie i zagęszczenie mieszanki betonu asfaltowego,</w:t>
      </w:r>
    </w:p>
    <w:p w14:paraId="25D778F4"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obcięcie krawędzi i posmarowanie lepiszczem,</w:t>
      </w:r>
    </w:p>
    <w:p w14:paraId="5647E27C" w14:textId="73142DEE"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przeprowadzenie pomiarów i </w:t>
      </w:r>
      <w:r w:rsidR="00336D00" w:rsidRPr="004853EB">
        <w:rPr>
          <w:rFonts w:eastAsia="Times New Roman" w:cstheme="minorHAnsi"/>
          <w:color w:val="000000"/>
          <w:sz w:val="20"/>
          <w:szCs w:val="20"/>
          <w:lang w:eastAsia="pl-PL"/>
        </w:rPr>
        <w:t>badań wymaganych</w:t>
      </w:r>
      <w:r w:rsidRPr="004853EB">
        <w:rPr>
          <w:rFonts w:eastAsia="Times New Roman" w:cstheme="minorHAnsi"/>
          <w:color w:val="000000"/>
          <w:sz w:val="20"/>
          <w:szCs w:val="20"/>
          <w:lang w:eastAsia="pl-PL"/>
        </w:rPr>
        <w:t xml:space="preserve"> w specyfikacji technicznej,</w:t>
      </w:r>
    </w:p>
    <w:p w14:paraId="1EC89194"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b/>
          <w:color w:val="000000"/>
          <w:sz w:val="20"/>
          <w:szCs w:val="20"/>
          <w:lang w:eastAsia="pl-PL"/>
        </w:rPr>
      </w:pPr>
      <w:r w:rsidRPr="004853EB">
        <w:rPr>
          <w:rFonts w:eastAsia="Times New Roman" w:cstheme="minorHAnsi"/>
          <w:color w:val="000000"/>
          <w:sz w:val="20"/>
          <w:szCs w:val="20"/>
          <w:lang w:eastAsia="pl-PL"/>
        </w:rPr>
        <w:t>odwiezienie sprzętu.</w:t>
      </w:r>
    </w:p>
    <w:p w14:paraId="0F85AF23"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169C996D"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340" w:name="_Toc97034710"/>
      <w:bookmarkStart w:id="3341" w:name="_Toc97035398"/>
      <w:bookmarkStart w:id="3342" w:name="_Toc194476993"/>
      <w:bookmarkStart w:id="3343" w:name="_Toc227825475"/>
      <w:r w:rsidRPr="004853EB">
        <w:rPr>
          <w:rFonts w:eastAsia="Times New Roman" w:cstheme="minorHAnsi"/>
          <w:b/>
          <w:bCs/>
          <w:color w:val="000000"/>
          <w:sz w:val="20"/>
          <w:szCs w:val="20"/>
          <w:lang w:eastAsia="pl-PL"/>
        </w:rPr>
        <w:t>9.3. Sposób rozliczenia robót tymczasowych i prac towarzyszących</w:t>
      </w:r>
      <w:bookmarkEnd w:id="3340"/>
      <w:bookmarkEnd w:id="3341"/>
      <w:bookmarkEnd w:id="3342"/>
      <w:bookmarkEnd w:id="3343"/>
    </w:p>
    <w:p w14:paraId="10B6978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Cena wykonania robót określonych niniejszą ST obejmuje:</w:t>
      </w:r>
    </w:p>
    <w:p w14:paraId="47E0FBD3"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roboty tymczasowe, które są potrzebne do wykonania robót podstawowych, ale nie są przekazywane Zamawiającemu i są usuwane po wykonaniu robót podstawowych,</w:t>
      </w:r>
    </w:p>
    <w:p w14:paraId="1D29B44E"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prace towarzyszące, które są niezbędne do wykonania robót podstawowych, niezaliczane do robót tymczasowych, jak geodezyjne wytyczenie robót itd.</w:t>
      </w:r>
    </w:p>
    <w:p w14:paraId="63F6E854"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344" w:name="_Toc412637953"/>
    </w:p>
    <w:p w14:paraId="123BD01C"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345" w:name="_Toc68686969"/>
      <w:bookmarkStart w:id="3346" w:name="_Toc68690567"/>
      <w:bookmarkStart w:id="3347" w:name="_Toc97034711"/>
      <w:bookmarkStart w:id="3348" w:name="_Toc97035399"/>
      <w:bookmarkStart w:id="3349" w:name="_Toc194476994"/>
      <w:bookmarkStart w:id="3350" w:name="_Toc227825476"/>
      <w:r w:rsidRPr="004853EB">
        <w:rPr>
          <w:rFonts w:eastAsia="Times New Roman" w:cstheme="minorHAnsi"/>
          <w:b/>
          <w:bCs/>
          <w:color w:val="000000"/>
          <w:sz w:val="20"/>
          <w:szCs w:val="20"/>
          <w:lang w:eastAsia="pl-PL"/>
        </w:rPr>
        <w:t>10. P</w:t>
      </w:r>
      <w:bookmarkEnd w:id="3344"/>
      <w:r w:rsidRPr="004853EB">
        <w:rPr>
          <w:rFonts w:eastAsia="Times New Roman" w:cstheme="minorHAnsi"/>
          <w:b/>
          <w:bCs/>
          <w:color w:val="000000"/>
          <w:sz w:val="20"/>
          <w:szCs w:val="20"/>
          <w:lang w:eastAsia="pl-PL"/>
        </w:rPr>
        <w:t>RZEPISY ZWIĄZANE</w:t>
      </w:r>
      <w:bookmarkEnd w:id="3345"/>
      <w:bookmarkEnd w:id="3346"/>
      <w:bookmarkEnd w:id="3347"/>
      <w:bookmarkEnd w:id="3348"/>
      <w:bookmarkEnd w:id="3349"/>
      <w:bookmarkEnd w:id="3350"/>
    </w:p>
    <w:p w14:paraId="1BAB83BD"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1DE99AAA"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351" w:name="_Toc97034712"/>
      <w:bookmarkStart w:id="3352" w:name="_Toc97035400"/>
      <w:bookmarkStart w:id="3353" w:name="_Toc194476995"/>
      <w:bookmarkStart w:id="3354" w:name="_Toc227825477"/>
      <w:r w:rsidRPr="004853EB">
        <w:rPr>
          <w:rFonts w:eastAsia="Times New Roman" w:cstheme="minorHAnsi"/>
          <w:b/>
          <w:bCs/>
          <w:color w:val="000000"/>
          <w:sz w:val="20"/>
          <w:szCs w:val="20"/>
          <w:lang w:eastAsia="pl-PL"/>
        </w:rPr>
        <w:t>10.1. Ogólne specyfikacje techniczne (ST)</w:t>
      </w:r>
      <w:bookmarkEnd w:id="3351"/>
      <w:bookmarkEnd w:id="3352"/>
      <w:bookmarkEnd w:id="3353"/>
      <w:bookmarkEnd w:id="3354"/>
    </w:p>
    <w:tbl>
      <w:tblPr>
        <w:tblW w:w="0" w:type="auto"/>
        <w:tblLayout w:type="fixed"/>
        <w:tblCellMar>
          <w:left w:w="70" w:type="dxa"/>
          <w:right w:w="70" w:type="dxa"/>
        </w:tblCellMar>
        <w:tblLook w:val="0000" w:firstRow="0" w:lastRow="0" w:firstColumn="0" w:lastColumn="0" w:noHBand="0" w:noVBand="0"/>
      </w:tblPr>
      <w:tblGrid>
        <w:gridCol w:w="670"/>
        <w:gridCol w:w="1701"/>
        <w:gridCol w:w="6492"/>
      </w:tblGrid>
      <w:tr w:rsidR="00CC1EF4" w:rsidRPr="004853EB" w14:paraId="2D6AEA19" w14:textId="77777777" w:rsidTr="00E95D02">
        <w:tc>
          <w:tcPr>
            <w:tcW w:w="670" w:type="dxa"/>
          </w:tcPr>
          <w:p w14:paraId="25DF3DA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w:t>
            </w:r>
          </w:p>
        </w:tc>
        <w:tc>
          <w:tcPr>
            <w:tcW w:w="1701" w:type="dxa"/>
          </w:tcPr>
          <w:p w14:paraId="004D1DF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 D-M-00.00.00</w:t>
            </w:r>
          </w:p>
        </w:tc>
        <w:tc>
          <w:tcPr>
            <w:tcW w:w="6492" w:type="dxa"/>
          </w:tcPr>
          <w:p w14:paraId="29834E9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Wymagania ogólne</w:t>
            </w:r>
          </w:p>
        </w:tc>
      </w:tr>
      <w:tr w:rsidR="00CC1EF4" w:rsidRPr="004853EB" w14:paraId="0DF9A70B" w14:textId="77777777" w:rsidTr="00E95D02">
        <w:tc>
          <w:tcPr>
            <w:tcW w:w="670" w:type="dxa"/>
          </w:tcPr>
          <w:p w14:paraId="79A390E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1a.</w:t>
            </w:r>
          </w:p>
        </w:tc>
        <w:tc>
          <w:tcPr>
            <w:tcW w:w="1701" w:type="dxa"/>
          </w:tcPr>
          <w:p w14:paraId="12F9F2B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D-04.03.01a</w:t>
            </w:r>
          </w:p>
        </w:tc>
        <w:tc>
          <w:tcPr>
            <w:tcW w:w="6492" w:type="dxa"/>
          </w:tcPr>
          <w:p w14:paraId="19E1FED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Połączenie międzywarstwowe nawierzchni drogowej emulsją asfaltową</w:t>
            </w:r>
          </w:p>
        </w:tc>
      </w:tr>
    </w:tbl>
    <w:p w14:paraId="3D8A01ED"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355" w:name="_Toc97034713"/>
      <w:bookmarkStart w:id="3356" w:name="_Toc97035401"/>
      <w:bookmarkStart w:id="3357" w:name="_Toc194476996"/>
      <w:bookmarkStart w:id="3358" w:name="_Toc227825478"/>
      <w:r w:rsidRPr="004853EB">
        <w:rPr>
          <w:rFonts w:eastAsia="Times New Roman" w:cstheme="minorHAnsi"/>
          <w:b/>
          <w:bCs/>
          <w:color w:val="000000"/>
          <w:sz w:val="20"/>
          <w:szCs w:val="20"/>
          <w:lang w:eastAsia="pl-PL"/>
        </w:rPr>
        <w:t>10.2. Normy</w:t>
      </w:r>
      <w:bookmarkEnd w:id="3355"/>
      <w:bookmarkEnd w:id="3356"/>
      <w:bookmarkEnd w:id="3357"/>
      <w:bookmarkEnd w:id="3358"/>
    </w:p>
    <w:p w14:paraId="7278AC06" w14:textId="77777777" w:rsidR="00CC1EF4" w:rsidRPr="004853EB" w:rsidRDefault="00CC1EF4" w:rsidP="00CC1EF4">
      <w:pPr>
        <w:spacing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(Zestawienie zawiera dodatkowo normy PN-EN związane z badaniami materiałów występujących w niniejszej ST)</w:t>
      </w:r>
    </w:p>
    <w:tbl>
      <w:tblPr>
        <w:tblW w:w="9044" w:type="dxa"/>
        <w:tblLayout w:type="fixed"/>
        <w:tblLook w:val="01E0" w:firstRow="1" w:lastRow="1" w:firstColumn="1" w:lastColumn="1" w:noHBand="0" w:noVBand="0"/>
      </w:tblPr>
      <w:tblGrid>
        <w:gridCol w:w="708"/>
        <w:gridCol w:w="2280"/>
        <w:gridCol w:w="6000"/>
        <w:gridCol w:w="56"/>
      </w:tblGrid>
      <w:tr w:rsidR="00CC1EF4" w:rsidRPr="004853EB" w14:paraId="455A7C19" w14:textId="77777777" w:rsidTr="00E95D02">
        <w:trPr>
          <w:gridAfter w:val="1"/>
          <w:wAfter w:w="56" w:type="dxa"/>
        </w:trPr>
        <w:tc>
          <w:tcPr>
            <w:tcW w:w="708" w:type="dxa"/>
          </w:tcPr>
          <w:p w14:paraId="1A6C549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w:t>
            </w:r>
          </w:p>
        </w:tc>
        <w:tc>
          <w:tcPr>
            <w:tcW w:w="2280" w:type="dxa"/>
          </w:tcPr>
          <w:p w14:paraId="48F6332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196-2</w:t>
            </w:r>
          </w:p>
        </w:tc>
        <w:tc>
          <w:tcPr>
            <w:tcW w:w="6000" w:type="dxa"/>
          </w:tcPr>
          <w:p w14:paraId="2814E9C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Metody badania cementu – Część 2: Analiza chemiczna cementu</w:t>
            </w:r>
          </w:p>
        </w:tc>
      </w:tr>
      <w:tr w:rsidR="00CC1EF4" w:rsidRPr="004853EB" w14:paraId="6200F3BF" w14:textId="77777777" w:rsidTr="00E95D02">
        <w:trPr>
          <w:gridAfter w:val="1"/>
          <w:wAfter w:w="56" w:type="dxa"/>
        </w:trPr>
        <w:tc>
          <w:tcPr>
            <w:tcW w:w="708" w:type="dxa"/>
          </w:tcPr>
          <w:p w14:paraId="3B57930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w:t>
            </w:r>
          </w:p>
        </w:tc>
        <w:tc>
          <w:tcPr>
            <w:tcW w:w="2280" w:type="dxa"/>
          </w:tcPr>
          <w:p w14:paraId="29AFC25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459-2</w:t>
            </w:r>
          </w:p>
        </w:tc>
        <w:tc>
          <w:tcPr>
            <w:tcW w:w="6000" w:type="dxa"/>
          </w:tcPr>
          <w:p w14:paraId="56BE6A4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Wapno budowlane – Część 2: Metody badań</w:t>
            </w:r>
          </w:p>
        </w:tc>
      </w:tr>
      <w:tr w:rsidR="00CC1EF4" w:rsidRPr="004853EB" w14:paraId="72631824" w14:textId="77777777" w:rsidTr="00E95D02">
        <w:trPr>
          <w:gridAfter w:val="1"/>
          <w:wAfter w:w="56" w:type="dxa"/>
        </w:trPr>
        <w:tc>
          <w:tcPr>
            <w:tcW w:w="708" w:type="dxa"/>
          </w:tcPr>
          <w:p w14:paraId="5993D62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w:t>
            </w:r>
          </w:p>
        </w:tc>
        <w:tc>
          <w:tcPr>
            <w:tcW w:w="2280" w:type="dxa"/>
          </w:tcPr>
          <w:p w14:paraId="178C7CD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932-3</w:t>
            </w:r>
          </w:p>
        </w:tc>
        <w:tc>
          <w:tcPr>
            <w:tcW w:w="6000" w:type="dxa"/>
          </w:tcPr>
          <w:p w14:paraId="039E7E6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Badania podstawowych właściwości kruszyw – Procedura </w:t>
            </w:r>
            <w:r w:rsidRPr="004853EB">
              <w:rPr>
                <w:rFonts w:eastAsia="Times New Roman" w:cstheme="minorHAnsi"/>
                <w:color w:val="000000"/>
                <w:sz w:val="20"/>
                <w:szCs w:val="20"/>
                <w:lang w:eastAsia="pl-PL"/>
              </w:rPr>
              <w:br/>
              <w:t>i terminologia uproszczonego opisu petrograficznego</w:t>
            </w:r>
          </w:p>
        </w:tc>
      </w:tr>
      <w:tr w:rsidR="00CC1EF4" w:rsidRPr="004853EB" w14:paraId="1B51C2A3" w14:textId="77777777" w:rsidTr="00E95D02">
        <w:trPr>
          <w:gridAfter w:val="1"/>
          <w:wAfter w:w="56" w:type="dxa"/>
        </w:trPr>
        <w:tc>
          <w:tcPr>
            <w:tcW w:w="708" w:type="dxa"/>
          </w:tcPr>
          <w:p w14:paraId="5EA2132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5.</w:t>
            </w:r>
          </w:p>
        </w:tc>
        <w:tc>
          <w:tcPr>
            <w:tcW w:w="2280" w:type="dxa"/>
          </w:tcPr>
          <w:p w14:paraId="0AC6164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933-1</w:t>
            </w:r>
          </w:p>
        </w:tc>
        <w:tc>
          <w:tcPr>
            <w:tcW w:w="6000" w:type="dxa"/>
          </w:tcPr>
          <w:p w14:paraId="6C51DB2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geometrycznych właściwości kruszyw – Część 1: Oznaczanie składu ziarnowego – Metoda przesiewania</w:t>
            </w:r>
          </w:p>
        </w:tc>
      </w:tr>
      <w:tr w:rsidR="00CC1EF4" w:rsidRPr="004853EB" w14:paraId="3E4DEBE5" w14:textId="77777777" w:rsidTr="00E95D02">
        <w:trPr>
          <w:gridAfter w:val="1"/>
          <w:wAfter w:w="56" w:type="dxa"/>
        </w:trPr>
        <w:tc>
          <w:tcPr>
            <w:tcW w:w="708" w:type="dxa"/>
          </w:tcPr>
          <w:p w14:paraId="2AA49BB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w:t>
            </w:r>
          </w:p>
        </w:tc>
        <w:tc>
          <w:tcPr>
            <w:tcW w:w="2280" w:type="dxa"/>
          </w:tcPr>
          <w:p w14:paraId="07F7882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933-3</w:t>
            </w:r>
          </w:p>
        </w:tc>
        <w:tc>
          <w:tcPr>
            <w:tcW w:w="6000" w:type="dxa"/>
          </w:tcPr>
          <w:p w14:paraId="3E2F795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geometrycznych właściwości kruszyw – Część 3: Oznaczanie kształtu ziarn za pomocą wskaźnika płaskości</w:t>
            </w:r>
          </w:p>
        </w:tc>
      </w:tr>
      <w:tr w:rsidR="00CC1EF4" w:rsidRPr="004853EB" w14:paraId="7188F1D9" w14:textId="77777777" w:rsidTr="00E95D02">
        <w:trPr>
          <w:gridAfter w:val="1"/>
          <w:wAfter w:w="56" w:type="dxa"/>
        </w:trPr>
        <w:tc>
          <w:tcPr>
            <w:tcW w:w="708" w:type="dxa"/>
          </w:tcPr>
          <w:p w14:paraId="4E5F975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7.</w:t>
            </w:r>
          </w:p>
        </w:tc>
        <w:tc>
          <w:tcPr>
            <w:tcW w:w="2280" w:type="dxa"/>
          </w:tcPr>
          <w:p w14:paraId="443ECF8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933-4</w:t>
            </w:r>
          </w:p>
        </w:tc>
        <w:tc>
          <w:tcPr>
            <w:tcW w:w="6000" w:type="dxa"/>
          </w:tcPr>
          <w:p w14:paraId="38AD75B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geometrycznych właściwości kruszyw – Część 4: Oznaczanie kształtu ziarn – Wskaźnik kształtu</w:t>
            </w:r>
          </w:p>
        </w:tc>
      </w:tr>
      <w:tr w:rsidR="00CC1EF4" w:rsidRPr="004853EB" w14:paraId="2E8B9E44" w14:textId="77777777" w:rsidTr="00E95D02">
        <w:trPr>
          <w:gridAfter w:val="1"/>
          <w:wAfter w:w="56" w:type="dxa"/>
        </w:trPr>
        <w:tc>
          <w:tcPr>
            <w:tcW w:w="708" w:type="dxa"/>
          </w:tcPr>
          <w:p w14:paraId="2DB2F6E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8.</w:t>
            </w:r>
          </w:p>
        </w:tc>
        <w:tc>
          <w:tcPr>
            <w:tcW w:w="2280" w:type="dxa"/>
          </w:tcPr>
          <w:p w14:paraId="45B723D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933-5</w:t>
            </w:r>
          </w:p>
        </w:tc>
        <w:tc>
          <w:tcPr>
            <w:tcW w:w="6000" w:type="dxa"/>
          </w:tcPr>
          <w:p w14:paraId="1DE67E6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geometrycznych właściwości kruszyw – Oznaczanie procentowej zawartości ziarn o powierzchniach powstałych w wyniku przekruszenia lub łamania kruszyw grubych</w:t>
            </w:r>
          </w:p>
        </w:tc>
      </w:tr>
      <w:tr w:rsidR="00CC1EF4" w:rsidRPr="004853EB" w14:paraId="289BA923" w14:textId="77777777" w:rsidTr="00E95D02">
        <w:trPr>
          <w:gridAfter w:val="1"/>
          <w:wAfter w:w="56" w:type="dxa"/>
        </w:trPr>
        <w:tc>
          <w:tcPr>
            <w:tcW w:w="708" w:type="dxa"/>
          </w:tcPr>
          <w:p w14:paraId="3D436BA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9.</w:t>
            </w:r>
          </w:p>
        </w:tc>
        <w:tc>
          <w:tcPr>
            <w:tcW w:w="2280" w:type="dxa"/>
          </w:tcPr>
          <w:p w14:paraId="5E867E9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933-6</w:t>
            </w:r>
          </w:p>
        </w:tc>
        <w:tc>
          <w:tcPr>
            <w:tcW w:w="6000" w:type="dxa"/>
          </w:tcPr>
          <w:p w14:paraId="68B2A61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geometrycznych właściwości kruszyw – Część 6: Ocena właściwości powierzchni – Wskaźnik przepływu kruszyw</w:t>
            </w:r>
          </w:p>
        </w:tc>
      </w:tr>
      <w:tr w:rsidR="00CC1EF4" w:rsidRPr="004853EB" w14:paraId="29BB45AE" w14:textId="77777777" w:rsidTr="00E95D02">
        <w:trPr>
          <w:gridAfter w:val="1"/>
          <w:wAfter w:w="56" w:type="dxa"/>
        </w:trPr>
        <w:tc>
          <w:tcPr>
            <w:tcW w:w="708" w:type="dxa"/>
          </w:tcPr>
          <w:p w14:paraId="76B46E3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10.</w:t>
            </w:r>
          </w:p>
        </w:tc>
        <w:tc>
          <w:tcPr>
            <w:tcW w:w="2280" w:type="dxa"/>
          </w:tcPr>
          <w:p w14:paraId="02F43CC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933-9</w:t>
            </w:r>
          </w:p>
        </w:tc>
        <w:tc>
          <w:tcPr>
            <w:tcW w:w="6000" w:type="dxa"/>
          </w:tcPr>
          <w:p w14:paraId="6ECC2BD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geometrycznych właściwości kruszyw – Część 9: Ocena zawartości drobnych cząstek – Badania błękitem metylenowym</w:t>
            </w:r>
          </w:p>
        </w:tc>
      </w:tr>
      <w:tr w:rsidR="00CC1EF4" w:rsidRPr="004853EB" w14:paraId="7326942C" w14:textId="77777777" w:rsidTr="00E95D02">
        <w:tc>
          <w:tcPr>
            <w:tcW w:w="708" w:type="dxa"/>
          </w:tcPr>
          <w:p w14:paraId="106CFBF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11.</w:t>
            </w:r>
          </w:p>
        </w:tc>
        <w:tc>
          <w:tcPr>
            <w:tcW w:w="2280" w:type="dxa"/>
          </w:tcPr>
          <w:p w14:paraId="400A8E0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933-10</w:t>
            </w:r>
          </w:p>
        </w:tc>
        <w:tc>
          <w:tcPr>
            <w:tcW w:w="6056" w:type="dxa"/>
            <w:gridSpan w:val="2"/>
          </w:tcPr>
          <w:p w14:paraId="6FF70924" w14:textId="6832E624"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Badania geometrycznych właściwości kruszyw – Część 10: Ocena zawartości drobnych cząstek – Uziarnienie wypełniaczy (przesiewanie </w:t>
            </w:r>
            <w:r w:rsidR="00336D00">
              <w:rPr>
                <w:rFonts w:eastAsia="Times New Roman" w:cstheme="minorHAnsi"/>
                <w:color w:val="000000"/>
                <w:sz w:val="20"/>
                <w:szCs w:val="20"/>
                <w:lang w:eastAsia="pl-PL"/>
              </w:rPr>
              <w:br/>
            </w:r>
            <w:r w:rsidRPr="004853EB">
              <w:rPr>
                <w:rFonts w:eastAsia="Times New Roman" w:cstheme="minorHAnsi"/>
                <w:color w:val="000000"/>
                <w:sz w:val="20"/>
                <w:szCs w:val="20"/>
                <w:lang w:eastAsia="pl-PL"/>
              </w:rPr>
              <w:t>w strumieniu powietrza)</w:t>
            </w:r>
          </w:p>
        </w:tc>
      </w:tr>
      <w:tr w:rsidR="00CC1EF4" w:rsidRPr="004853EB" w14:paraId="29568785" w14:textId="77777777" w:rsidTr="00E95D02">
        <w:tc>
          <w:tcPr>
            <w:tcW w:w="708" w:type="dxa"/>
          </w:tcPr>
          <w:p w14:paraId="2A0F63F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12.</w:t>
            </w:r>
          </w:p>
        </w:tc>
        <w:tc>
          <w:tcPr>
            <w:tcW w:w="2280" w:type="dxa"/>
          </w:tcPr>
          <w:p w14:paraId="2B7B61B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1097-2</w:t>
            </w:r>
          </w:p>
        </w:tc>
        <w:tc>
          <w:tcPr>
            <w:tcW w:w="6056" w:type="dxa"/>
            <w:gridSpan w:val="2"/>
          </w:tcPr>
          <w:p w14:paraId="3761431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mechanicznych i fizycznych właściwości kruszyw – Część 2: Metody oznaczania odporności na rozdrabnianie</w:t>
            </w:r>
          </w:p>
        </w:tc>
      </w:tr>
      <w:tr w:rsidR="00CC1EF4" w:rsidRPr="004853EB" w14:paraId="4C1B6D5F" w14:textId="77777777" w:rsidTr="00E95D02">
        <w:tc>
          <w:tcPr>
            <w:tcW w:w="708" w:type="dxa"/>
          </w:tcPr>
          <w:p w14:paraId="7799B07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13.</w:t>
            </w:r>
          </w:p>
        </w:tc>
        <w:tc>
          <w:tcPr>
            <w:tcW w:w="2280" w:type="dxa"/>
          </w:tcPr>
          <w:p w14:paraId="5E13931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1097-4</w:t>
            </w:r>
          </w:p>
        </w:tc>
        <w:tc>
          <w:tcPr>
            <w:tcW w:w="6056" w:type="dxa"/>
            <w:gridSpan w:val="2"/>
          </w:tcPr>
          <w:p w14:paraId="2FFE5BF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mechanicznych i fizycznych właściwości kruszyw – Część 4: Oznaczanie pustych przestrzeni suchego, zagęszczonego wypełniacza</w:t>
            </w:r>
          </w:p>
        </w:tc>
      </w:tr>
      <w:tr w:rsidR="00CC1EF4" w:rsidRPr="004853EB" w14:paraId="24C45B33" w14:textId="77777777" w:rsidTr="00E95D02">
        <w:tc>
          <w:tcPr>
            <w:tcW w:w="708" w:type="dxa"/>
          </w:tcPr>
          <w:p w14:paraId="533FB06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14.</w:t>
            </w:r>
          </w:p>
        </w:tc>
        <w:tc>
          <w:tcPr>
            <w:tcW w:w="2280" w:type="dxa"/>
          </w:tcPr>
          <w:p w14:paraId="4D5F1F8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1097-5</w:t>
            </w:r>
          </w:p>
        </w:tc>
        <w:tc>
          <w:tcPr>
            <w:tcW w:w="6056" w:type="dxa"/>
            <w:gridSpan w:val="2"/>
          </w:tcPr>
          <w:p w14:paraId="554A770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mechanicznych i fizycznych właściwości kruszyw – Część 5: Oznaczanie zawartości wody przez suszenie w suszarce z wentylacją</w:t>
            </w:r>
          </w:p>
        </w:tc>
      </w:tr>
      <w:tr w:rsidR="00CC1EF4" w:rsidRPr="004853EB" w14:paraId="0721CAB7" w14:textId="77777777" w:rsidTr="00E95D02">
        <w:tc>
          <w:tcPr>
            <w:tcW w:w="708" w:type="dxa"/>
          </w:tcPr>
          <w:p w14:paraId="1BEB745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15.</w:t>
            </w:r>
          </w:p>
        </w:tc>
        <w:tc>
          <w:tcPr>
            <w:tcW w:w="2280" w:type="dxa"/>
          </w:tcPr>
          <w:p w14:paraId="32DB0C0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1097-6</w:t>
            </w:r>
          </w:p>
        </w:tc>
        <w:tc>
          <w:tcPr>
            <w:tcW w:w="6056" w:type="dxa"/>
            <w:gridSpan w:val="2"/>
          </w:tcPr>
          <w:p w14:paraId="1868CA3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mechanicznych i fizycznych właściwości kruszyw – Część 6: Oznaczanie gęstości ziarn i nasiąkliwości</w:t>
            </w:r>
          </w:p>
        </w:tc>
      </w:tr>
      <w:tr w:rsidR="00CC1EF4" w:rsidRPr="004853EB" w14:paraId="236F2BCD" w14:textId="77777777" w:rsidTr="00E95D02">
        <w:tc>
          <w:tcPr>
            <w:tcW w:w="708" w:type="dxa"/>
          </w:tcPr>
          <w:p w14:paraId="366A8D3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16.</w:t>
            </w:r>
          </w:p>
        </w:tc>
        <w:tc>
          <w:tcPr>
            <w:tcW w:w="2280" w:type="dxa"/>
          </w:tcPr>
          <w:p w14:paraId="30B7924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1097-7</w:t>
            </w:r>
          </w:p>
        </w:tc>
        <w:tc>
          <w:tcPr>
            <w:tcW w:w="6056" w:type="dxa"/>
            <w:gridSpan w:val="2"/>
          </w:tcPr>
          <w:p w14:paraId="0D7382D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mechanicznych i fizycznych właściwości kruszyw – Część 7: Oznaczanie gęstości wypełniacza – Metoda piknometryczna</w:t>
            </w:r>
          </w:p>
        </w:tc>
      </w:tr>
      <w:tr w:rsidR="00CC1EF4" w:rsidRPr="004853EB" w14:paraId="6176C40B" w14:textId="77777777" w:rsidTr="00E95D02">
        <w:tc>
          <w:tcPr>
            <w:tcW w:w="708" w:type="dxa"/>
          </w:tcPr>
          <w:p w14:paraId="7AF02C1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17.</w:t>
            </w:r>
          </w:p>
        </w:tc>
        <w:tc>
          <w:tcPr>
            <w:tcW w:w="2280" w:type="dxa"/>
          </w:tcPr>
          <w:p w14:paraId="6AD764C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1097-8</w:t>
            </w:r>
          </w:p>
        </w:tc>
        <w:tc>
          <w:tcPr>
            <w:tcW w:w="6056" w:type="dxa"/>
            <w:gridSpan w:val="2"/>
          </w:tcPr>
          <w:p w14:paraId="6442605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mechanicznych i fizycznych właściwości kruszyw – Część 8: Oznaczanie polerowalności kamienia</w:t>
            </w:r>
          </w:p>
        </w:tc>
      </w:tr>
      <w:tr w:rsidR="00CC1EF4" w:rsidRPr="004853EB" w14:paraId="073377B9" w14:textId="77777777" w:rsidTr="00E95D02">
        <w:tc>
          <w:tcPr>
            <w:tcW w:w="708" w:type="dxa"/>
          </w:tcPr>
          <w:p w14:paraId="244BBD0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18.</w:t>
            </w:r>
          </w:p>
        </w:tc>
        <w:tc>
          <w:tcPr>
            <w:tcW w:w="2280" w:type="dxa"/>
          </w:tcPr>
          <w:p w14:paraId="08A07A8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1367-3</w:t>
            </w:r>
          </w:p>
        </w:tc>
        <w:tc>
          <w:tcPr>
            <w:tcW w:w="6056" w:type="dxa"/>
            <w:gridSpan w:val="2"/>
          </w:tcPr>
          <w:p w14:paraId="0F889E7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właściwości cieplnych i odporności kruszyw na działanie czynników atmosferycznych – Część 3: Badanie bazaltowej zgorzeli słonecznej metodą gotowania</w:t>
            </w:r>
          </w:p>
        </w:tc>
      </w:tr>
      <w:tr w:rsidR="00CC1EF4" w:rsidRPr="004853EB" w14:paraId="722D0D80" w14:textId="77777777" w:rsidTr="00E95D02">
        <w:tc>
          <w:tcPr>
            <w:tcW w:w="708" w:type="dxa"/>
          </w:tcPr>
          <w:p w14:paraId="5C84B4C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19.</w:t>
            </w:r>
          </w:p>
        </w:tc>
        <w:tc>
          <w:tcPr>
            <w:tcW w:w="2280" w:type="dxa"/>
          </w:tcPr>
          <w:p w14:paraId="6A18BF9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1367-6</w:t>
            </w:r>
          </w:p>
        </w:tc>
        <w:tc>
          <w:tcPr>
            <w:tcW w:w="6056" w:type="dxa"/>
            <w:gridSpan w:val="2"/>
          </w:tcPr>
          <w:p w14:paraId="527BCB2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właściwości cieplnych i odporności kruszyw na działanie czynników atmosferycznych - Część 6: Mrozoodporność w obecności soli</w:t>
            </w:r>
          </w:p>
        </w:tc>
      </w:tr>
      <w:tr w:rsidR="00CC1EF4" w:rsidRPr="004853EB" w14:paraId="6B54F915" w14:textId="77777777" w:rsidTr="00E95D02">
        <w:tc>
          <w:tcPr>
            <w:tcW w:w="708" w:type="dxa"/>
          </w:tcPr>
          <w:p w14:paraId="456BD72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20.</w:t>
            </w:r>
          </w:p>
        </w:tc>
        <w:tc>
          <w:tcPr>
            <w:tcW w:w="2280" w:type="dxa"/>
          </w:tcPr>
          <w:p w14:paraId="552972C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1426</w:t>
            </w:r>
          </w:p>
        </w:tc>
        <w:tc>
          <w:tcPr>
            <w:tcW w:w="6056" w:type="dxa"/>
            <w:gridSpan w:val="2"/>
          </w:tcPr>
          <w:p w14:paraId="3225B31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produkty asfaltowe – Oznaczanie penetracji igłą</w:t>
            </w:r>
          </w:p>
        </w:tc>
      </w:tr>
      <w:tr w:rsidR="00CC1EF4" w:rsidRPr="004853EB" w14:paraId="2FEBF37A" w14:textId="77777777" w:rsidTr="00E95D02">
        <w:tc>
          <w:tcPr>
            <w:tcW w:w="708" w:type="dxa"/>
          </w:tcPr>
          <w:p w14:paraId="35E4988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21.</w:t>
            </w:r>
          </w:p>
        </w:tc>
        <w:tc>
          <w:tcPr>
            <w:tcW w:w="2280" w:type="dxa"/>
          </w:tcPr>
          <w:p w14:paraId="1DBB931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1427</w:t>
            </w:r>
          </w:p>
        </w:tc>
        <w:tc>
          <w:tcPr>
            <w:tcW w:w="6056" w:type="dxa"/>
            <w:gridSpan w:val="2"/>
          </w:tcPr>
          <w:p w14:paraId="40058C8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produkty asfaltowe – Oznaczanie temperatury mięknienia – Metoda Pierścień i Kula</w:t>
            </w:r>
          </w:p>
        </w:tc>
      </w:tr>
      <w:tr w:rsidR="00CC1EF4" w:rsidRPr="004853EB" w14:paraId="4212AB43" w14:textId="77777777" w:rsidTr="00E95D02">
        <w:tc>
          <w:tcPr>
            <w:tcW w:w="708" w:type="dxa"/>
          </w:tcPr>
          <w:p w14:paraId="09E8552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22.</w:t>
            </w:r>
          </w:p>
        </w:tc>
        <w:tc>
          <w:tcPr>
            <w:tcW w:w="2280" w:type="dxa"/>
          </w:tcPr>
          <w:p w14:paraId="31179E1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1744-1</w:t>
            </w:r>
          </w:p>
        </w:tc>
        <w:tc>
          <w:tcPr>
            <w:tcW w:w="6056" w:type="dxa"/>
            <w:gridSpan w:val="2"/>
          </w:tcPr>
          <w:p w14:paraId="7218F24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chemicznych właściwości kruszyw – Analiza chemiczna</w:t>
            </w:r>
          </w:p>
        </w:tc>
      </w:tr>
      <w:tr w:rsidR="00CC1EF4" w:rsidRPr="004853EB" w14:paraId="41E76A81" w14:textId="77777777" w:rsidTr="00E95D02">
        <w:tc>
          <w:tcPr>
            <w:tcW w:w="708" w:type="dxa"/>
          </w:tcPr>
          <w:p w14:paraId="614108B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23.</w:t>
            </w:r>
          </w:p>
        </w:tc>
        <w:tc>
          <w:tcPr>
            <w:tcW w:w="2280" w:type="dxa"/>
          </w:tcPr>
          <w:p w14:paraId="16F883D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12591</w:t>
            </w:r>
          </w:p>
        </w:tc>
        <w:tc>
          <w:tcPr>
            <w:tcW w:w="6056" w:type="dxa"/>
            <w:gridSpan w:val="2"/>
          </w:tcPr>
          <w:p w14:paraId="56E59DE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produkty asfaltowe – Wymagania dla asfaltów drogowych</w:t>
            </w:r>
          </w:p>
        </w:tc>
      </w:tr>
      <w:tr w:rsidR="00CC1EF4" w:rsidRPr="004853EB" w14:paraId="0BC89E7E" w14:textId="77777777" w:rsidTr="00E95D02">
        <w:tc>
          <w:tcPr>
            <w:tcW w:w="708" w:type="dxa"/>
          </w:tcPr>
          <w:p w14:paraId="65EDAA8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24.</w:t>
            </w:r>
          </w:p>
        </w:tc>
        <w:tc>
          <w:tcPr>
            <w:tcW w:w="2280" w:type="dxa"/>
          </w:tcPr>
          <w:p w14:paraId="69B505A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12592</w:t>
            </w:r>
          </w:p>
        </w:tc>
        <w:tc>
          <w:tcPr>
            <w:tcW w:w="6056" w:type="dxa"/>
            <w:gridSpan w:val="2"/>
          </w:tcPr>
          <w:p w14:paraId="60A7432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produkty asfaltowe – Oznaczanie rozpuszczalności</w:t>
            </w:r>
          </w:p>
        </w:tc>
      </w:tr>
      <w:tr w:rsidR="00CC1EF4" w:rsidRPr="004853EB" w14:paraId="32F1D47A" w14:textId="77777777" w:rsidTr="00E95D02">
        <w:tc>
          <w:tcPr>
            <w:tcW w:w="708" w:type="dxa"/>
          </w:tcPr>
          <w:p w14:paraId="2A75016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25.</w:t>
            </w:r>
          </w:p>
        </w:tc>
        <w:tc>
          <w:tcPr>
            <w:tcW w:w="2280" w:type="dxa"/>
          </w:tcPr>
          <w:p w14:paraId="65C34D5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12593</w:t>
            </w:r>
          </w:p>
        </w:tc>
        <w:tc>
          <w:tcPr>
            <w:tcW w:w="6056" w:type="dxa"/>
            <w:gridSpan w:val="2"/>
          </w:tcPr>
          <w:p w14:paraId="1079FD2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produkty asfaltowe – Oznaczanie temperatury łamliwości Fraassa</w:t>
            </w:r>
          </w:p>
        </w:tc>
      </w:tr>
      <w:tr w:rsidR="00CC1EF4" w:rsidRPr="004853EB" w14:paraId="5A17045A" w14:textId="77777777" w:rsidTr="00E95D02">
        <w:tc>
          <w:tcPr>
            <w:tcW w:w="708" w:type="dxa"/>
          </w:tcPr>
          <w:p w14:paraId="02712A3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26.</w:t>
            </w:r>
          </w:p>
        </w:tc>
        <w:tc>
          <w:tcPr>
            <w:tcW w:w="2280" w:type="dxa"/>
          </w:tcPr>
          <w:p w14:paraId="4A6CFD9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12595</w:t>
            </w:r>
          </w:p>
        </w:tc>
        <w:tc>
          <w:tcPr>
            <w:tcW w:w="6056" w:type="dxa"/>
            <w:gridSpan w:val="2"/>
          </w:tcPr>
          <w:p w14:paraId="52491E2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Oznaczanie lepkości kinematycznej</w:t>
            </w:r>
          </w:p>
        </w:tc>
      </w:tr>
      <w:tr w:rsidR="00CC1EF4" w:rsidRPr="004853EB" w14:paraId="65AFB5E5" w14:textId="77777777" w:rsidTr="00E95D02">
        <w:tc>
          <w:tcPr>
            <w:tcW w:w="708" w:type="dxa"/>
          </w:tcPr>
          <w:p w14:paraId="400EDB6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27.</w:t>
            </w:r>
          </w:p>
        </w:tc>
        <w:tc>
          <w:tcPr>
            <w:tcW w:w="2280" w:type="dxa"/>
          </w:tcPr>
          <w:p w14:paraId="15037E5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12596</w:t>
            </w:r>
          </w:p>
        </w:tc>
        <w:tc>
          <w:tcPr>
            <w:tcW w:w="6056" w:type="dxa"/>
            <w:gridSpan w:val="2"/>
          </w:tcPr>
          <w:p w14:paraId="4212C8D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Oznaczanie lepkości dynamicznej metodą próżniowej kapilary</w:t>
            </w:r>
          </w:p>
        </w:tc>
      </w:tr>
      <w:tr w:rsidR="00CC1EF4" w:rsidRPr="004853EB" w14:paraId="59EE0D57" w14:textId="77777777" w:rsidTr="00E95D02">
        <w:tc>
          <w:tcPr>
            <w:tcW w:w="708" w:type="dxa"/>
          </w:tcPr>
          <w:p w14:paraId="20E2119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28.</w:t>
            </w:r>
          </w:p>
        </w:tc>
        <w:tc>
          <w:tcPr>
            <w:tcW w:w="2280" w:type="dxa"/>
          </w:tcPr>
          <w:p w14:paraId="1BC8DFC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12606-1</w:t>
            </w:r>
          </w:p>
        </w:tc>
        <w:tc>
          <w:tcPr>
            <w:tcW w:w="6056" w:type="dxa"/>
            <w:gridSpan w:val="2"/>
          </w:tcPr>
          <w:p w14:paraId="043E026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Oznaczanie zawartości parafiny – Część 1: Metoda destylacji</w:t>
            </w:r>
          </w:p>
        </w:tc>
      </w:tr>
      <w:tr w:rsidR="00CC1EF4" w:rsidRPr="004853EB" w14:paraId="75FC6C89" w14:textId="77777777" w:rsidTr="00E95D02">
        <w:tc>
          <w:tcPr>
            <w:tcW w:w="708" w:type="dxa"/>
          </w:tcPr>
          <w:p w14:paraId="1C82B51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29.</w:t>
            </w:r>
          </w:p>
        </w:tc>
        <w:tc>
          <w:tcPr>
            <w:tcW w:w="2280" w:type="dxa"/>
          </w:tcPr>
          <w:p w14:paraId="5D6A488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12607-1</w:t>
            </w:r>
          </w:p>
        </w:tc>
        <w:tc>
          <w:tcPr>
            <w:tcW w:w="6056" w:type="dxa"/>
            <w:gridSpan w:val="2"/>
          </w:tcPr>
          <w:p w14:paraId="516DA26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Oznaczanie odporności na starzenie pod wpływem ciepła i powietrza – Część 1: Metoda RTFOT</w:t>
            </w:r>
          </w:p>
        </w:tc>
      </w:tr>
      <w:tr w:rsidR="00CC1EF4" w:rsidRPr="004853EB" w14:paraId="71164C54" w14:textId="77777777" w:rsidTr="00E95D02">
        <w:tc>
          <w:tcPr>
            <w:tcW w:w="708" w:type="dxa"/>
          </w:tcPr>
          <w:p w14:paraId="6FDCAE2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30.</w:t>
            </w:r>
          </w:p>
        </w:tc>
        <w:tc>
          <w:tcPr>
            <w:tcW w:w="2280" w:type="dxa"/>
          </w:tcPr>
          <w:p w14:paraId="00127EC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12607-3</w:t>
            </w:r>
          </w:p>
        </w:tc>
        <w:tc>
          <w:tcPr>
            <w:tcW w:w="6056" w:type="dxa"/>
            <w:gridSpan w:val="2"/>
          </w:tcPr>
          <w:p w14:paraId="6095E24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Oznaczanie odporności na starzenie pod wpływem ciepła i powietrza – Część 3: Metoda RFT</w:t>
            </w:r>
          </w:p>
        </w:tc>
      </w:tr>
      <w:tr w:rsidR="00CC1EF4" w:rsidRPr="004853EB" w14:paraId="412518C8" w14:textId="77777777" w:rsidTr="00E95D02">
        <w:tc>
          <w:tcPr>
            <w:tcW w:w="708" w:type="dxa"/>
          </w:tcPr>
          <w:p w14:paraId="7F7B232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31.</w:t>
            </w:r>
          </w:p>
        </w:tc>
        <w:tc>
          <w:tcPr>
            <w:tcW w:w="2280" w:type="dxa"/>
          </w:tcPr>
          <w:p w14:paraId="31FFA97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12697-1</w:t>
            </w:r>
          </w:p>
        </w:tc>
        <w:tc>
          <w:tcPr>
            <w:tcW w:w="6056" w:type="dxa"/>
            <w:gridSpan w:val="2"/>
          </w:tcPr>
          <w:p w14:paraId="38160E0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1: Zawartość lepiszcza rozpuszczalnego</w:t>
            </w:r>
          </w:p>
        </w:tc>
      </w:tr>
      <w:tr w:rsidR="00CC1EF4" w:rsidRPr="004853EB" w14:paraId="6E70A18D" w14:textId="77777777" w:rsidTr="00E95D02">
        <w:tc>
          <w:tcPr>
            <w:tcW w:w="708" w:type="dxa"/>
          </w:tcPr>
          <w:p w14:paraId="47347C4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32.</w:t>
            </w:r>
          </w:p>
        </w:tc>
        <w:tc>
          <w:tcPr>
            <w:tcW w:w="2280" w:type="dxa"/>
          </w:tcPr>
          <w:p w14:paraId="438FD46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12697-2</w:t>
            </w:r>
          </w:p>
        </w:tc>
        <w:tc>
          <w:tcPr>
            <w:tcW w:w="6056" w:type="dxa"/>
            <w:gridSpan w:val="2"/>
          </w:tcPr>
          <w:p w14:paraId="7FD3765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2: Oznaczanie składu ziarnowego</w:t>
            </w:r>
          </w:p>
        </w:tc>
      </w:tr>
      <w:tr w:rsidR="00CC1EF4" w:rsidRPr="004853EB" w14:paraId="3DBC4D9A" w14:textId="77777777" w:rsidTr="00E95D02">
        <w:tc>
          <w:tcPr>
            <w:tcW w:w="708" w:type="dxa"/>
          </w:tcPr>
          <w:p w14:paraId="71F2A16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33.</w:t>
            </w:r>
          </w:p>
        </w:tc>
        <w:tc>
          <w:tcPr>
            <w:tcW w:w="2280" w:type="dxa"/>
          </w:tcPr>
          <w:p w14:paraId="0427882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12697-5</w:t>
            </w:r>
          </w:p>
        </w:tc>
        <w:tc>
          <w:tcPr>
            <w:tcW w:w="6056" w:type="dxa"/>
            <w:gridSpan w:val="2"/>
          </w:tcPr>
          <w:p w14:paraId="7B9FD50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5: Oznaczanie gęstości</w:t>
            </w:r>
          </w:p>
        </w:tc>
      </w:tr>
      <w:tr w:rsidR="00CC1EF4" w:rsidRPr="004853EB" w14:paraId="41C7377B" w14:textId="77777777" w:rsidTr="00E95D02">
        <w:tc>
          <w:tcPr>
            <w:tcW w:w="708" w:type="dxa"/>
          </w:tcPr>
          <w:p w14:paraId="7BF9E1B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34.</w:t>
            </w:r>
          </w:p>
        </w:tc>
        <w:tc>
          <w:tcPr>
            <w:tcW w:w="2280" w:type="dxa"/>
          </w:tcPr>
          <w:p w14:paraId="3C54077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12697-6</w:t>
            </w:r>
          </w:p>
        </w:tc>
        <w:tc>
          <w:tcPr>
            <w:tcW w:w="6056" w:type="dxa"/>
            <w:gridSpan w:val="2"/>
          </w:tcPr>
          <w:p w14:paraId="7EB0054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6: Oznaczanie gęstości objętościowej próbek mieszanki mineralno-asfaltowej</w:t>
            </w:r>
          </w:p>
        </w:tc>
      </w:tr>
      <w:tr w:rsidR="00CC1EF4" w:rsidRPr="004853EB" w14:paraId="60635A57" w14:textId="77777777" w:rsidTr="00E95D02">
        <w:tc>
          <w:tcPr>
            <w:tcW w:w="708" w:type="dxa"/>
          </w:tcPr>
          <w:p w14:paraId="12A836A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35.</w:t>
            </w:r>
          </w:p>
        </w:tc>
        <w:tc>
          <w:tcPr>
            <w:tcW w:w="2280" w:type="dxa"/>
          </w:tcPr>
          <w:p w14:paraId="5A44D39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12697-8</w:t>
            </w:r>
          </w:p>
        </w:tc>
        <w:tc>
          <w:tcPr>
            <w:tcW w:w="6056" w:type="dxa"/>
            <w:gridSpan w:val="2"/>
          </w:tcPr>
          <w:p w14:paraId="1D7659E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8: Oznaczanie zawartości wolnej przestrzeni</w:t>
            </w:r>
          </w:p>
        </w:tc>
      </w:tr>
      <w:tr w:rsidR="00CC1EF4" w:rsidRPr="004853EB" w14:paraId="190BE2B4" w14:textId="77777777" w:rsidTr="00E95D02">
        <w:tc>
          <w:tcPr>
            <w:tcW w:w="708" w:type="dxa"/>
          </w:tcPr>
          <w:p w14:paraId="5E8DA5A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36.</w:t>
            </w:r>
          </w:p>
        </w:tc>
        <w:tc>
          <w:tcPr>
            <w:tcW w:w="2280" w:type="dxa"/>
          </w:tcPr>
          <w:p w14:paraId="7B17EC2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12697-11</w:t>
            </w:r>
          </w:p>
        </w:tc>
        <w:tc>
          <w:tcPr>
            <w:tcW w:w="6056" w:type="dxa"/>
            <w:gridSpan w:val="2"/>
          </w:tcPr>
          <w:p w14:paraId="5FCB65C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badania mieszanek mineralno-asfaltowych na gorąco – Część 11: Oznaczanie powinowactwa pomiędzy kruszywem i asfaltem</w:t>
            </w:r>
          </w:p>
        </w:tc>
      </w:tr>
      <w:tr w:rsidR="00CC1EF4" w:rsidRPr="004853EB" w14:paraId="23893C64" w14:textId="77777777" w:rsidTr="00E95D02">
        <w:tc>
          <w:tcPr>
            <w:tcW w:w="708" w:type="dxa"/>
          </w:tcPr>
          <w:p w14:paraId="7804C65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37.</w:t>
            </w:r>
          </w:p>
        </w:tc>
        <w:tc>
          <w:tcPr>
            <w:tcW w:w="2280" w:type="dxa"/>
          </w:tcPr>
          <w:p w14:paraId="6A39E53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12697-12</w:t>
            </w:r>
          </w:p>
        </w:tc>
        <w:tc>
          <w:tcPr>
            <w:tcW w:w="6056" w:type="dxa"/>
            <w:gridSpan w:val="2"/>
          </w:tcPr>
          <w:p w14:paraId="4A1BB20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badania mieszanek mineralno-asfaltowych na gorąco – Część 12: Określanie wrażliwości próbek asfaltowych na wodę</w:t>
            </w:r>
          </w:p>
        </w:tc>
      </w:tr>
      <w:tr w:rsidR="00CC1EF4" w:rsidRPr="004853EB" w14:paraId="63AB880F" w14:textId="77777777" w:rsidTr="00E95D02">
        <w:tc>
          <w:tcPr>
            <w:tcW w:w="708" w:type="dxa"/>
          </w:tcPr>
          <w:p w14:paraId="62DE823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38.</w:t>
            </w:r>
          </w:p>
        </w:tc>
        <w:tc>
          <w:tcPr>
            <w:tcW w:w="2280" w:type="dxa"/>
          </w:tcPr>
          <w:p w14:paraId="0D37946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12697-13</w:t>
            </w:r>
          </w:p>
        </w:tc>
        <w:tc>
          <w:tcPr>
            <w:tcW w:w="6056" w:type="dxa"/>
            <w:gridSpan w:val="2"/>
          </w:tcPr>
          <w:p w14:paraId="28446A3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13: Pomiar temperatury</w:t>
            </w:r>
          </w:p>
        </w:tc>
      </w:tr>
      <w:tr w:rsidR="00CC1EF4" w:rsidRPr="004853EB" w14:paraId="3AA8FEB1" w14:textId="77777777" w:rsidTr="00E95D02">
        <w:tc>
          <w:tcPr>
            <w:tcW w:w="708" w:type="dxa"/>
          </w:tcPr>
          <w:p w14:paraId="468F9D9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39.</w:t>
            </w:r>
          </w:p>
        </w:tc>
        <w:tc>
          <w:tcPr>
            <w:tcW w:w="2280" w:type="dxa"/>
          </w:tcPr>
          <w:p w14:paraId="0E9E54A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12697-22</w:t>
            </w:r>
          </w:p>
        </w:tc>
        <w:tc>
          <w:tcPr>
            <w:tcW w:w="6056" w:type="dxa"/>
            <w:gridSpan w:val="2"/>
          </w:tcPr>
          <w:p w14:paraId="6B230CA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22: Koleinowanie</w:t>
            </w:r>
          </w:p>
        </w:tc>
      </w:tr>
      <w:tr w:rsidR="00CC1EF4" w:rsidRPr="004853EB" w14:paraId="4759A233" w14:textId="77777777" w:rsidTr="00E95D02">
        <w:tc>
          <w:tcPr>
            <w:tcW w:w="708" w:type="dxa"/>
          </w:tcPr>
          <w:p w14:paraId="003FA3B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40.</w:t>
            </w:r>
          </w:p>
        </w:tc>
        <w:tc>
          <w:tcPr>
            <w:tcW w:w="2280" w:type="dxa"/>
          </w:tcPr>
          <w:p w14:paraId="247988E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12697-22</w:t>
            </w:r>
          </w:p>
        </w:tc>
        <w:tc>
          <w:tcPr>
            <w:tcW w:w="6056" w:type="dxa"/>
            <w:gridSpan w:val="2"/>
          </w:tcPr>
          <w:p w14:paraId="658556A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22: Koleinowanie</w:t>
            </w:r>
          </w:p>
        </w:tc>
      </w:tr>
      <w:tr w:rsidR="00CC1EF4" w:rsidRPr="004853EB" w14:paraId="7019D3AA" w14:textId="77777777" w:rsidTr="00E95D02">
        <w:tc>
          <w:tcPr>
            <w:tcW w:w="708" w:type="dxa"/>
          </w:tcPr>
          <w:p w14:paraId="54B0697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41.</w:t>
            </w:r>
          </w:p>
        </w:tc>
        <w:tc>
          <w:tcPr>
            <w:tcW w:w="2280" w:type="dxa"/>
          </w:tcPr>
          <w:p w14:paraId="0ECA425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12697-24</w:t>
            </w:r>
          </w:p>
        </w:tc>
        <w:tc>
          <w:tcPr>
            <w:tcW w:w="6056" w:type="dxa"/>
            <w:gridSpan w:val="2"/>
          </w:tcPr>
          <w:p w14:paraId="005FA3C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24: Odporność na zmęczenie</w:t>
            </w:r>
          </w:p>
        </w:tc>
      </w:tr>
      <w:tr w:rsidR="00CC1EF4" w:rsidRPr="004853EB" w14:paraId="71B8467B" w14:textId="77777777" w:rsidTr="00E95D02">
        <w:tc>
          <w:tcPr>
            <w:tcW w:w="708" w:type="dxa"/>
          </w:tcPr>
          <w:p w14:paraId="29DA159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42.</w:t>
            </w:r>
          </w:p>
        </w:tc>
        <w:tc>
          <w:tcPr>
            <w:tcW w:w="2280" w:type="dxa"/>
          </w:tcPr>
          <w:p w14:paraId="2E7A712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12697-26</w:t>
            </w:r>
          </w:p>
        </w:tc>
        <w:tc>
          <w:tcPr>
            <w:tcW w:w="6056" w:type="dxa"/>
            <w:gridSpan w:val="2"/>
          </w:tcPr>
          <w:p w14:paraId="2A53F3A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26: Sztywność</w:t>
            </w:r>
          </w:p>
        </w:tc>
      </w:tr>
      <w:tr w:rsidR="00CC1EF4" w:rsidRPr="004853EB" w14:paraId="3356FD16" w14:textId="77777777" w:rsidTr="00E95D02">
        <w:tc>
          <w:tcPr>
            <w:tcW w:w="708" w:type="dxa"/>
          </w:tcPr>
          <w:p w14:paraId="4574C89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43.</w:t>
            </w:r>
          </w:p>
        </w:tc>
        <w:tc>
          <w:tcPr>
            <w:tcW w:w="2280" w:type="dxa"/>
          </w:tcPr>
          <w:p w14:paraId="2C3FC52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12697-27</w:t>
            </w:r>
          </w:p>
        </w:tc>
        <w:tc>
          <w:tcPr>
            <w:tcW w:w="6056" w:type="dxa"/>
            <w:gridSpan w:val="2"/>
          </w:tcPr>
          <w:p w14:paraId="257C79B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27: Pobieranie próbek</w:t>
            </w:r>
          </w:p>
        </w:tc>
      </w:tr>
      <w:tr w:rsidR="00CC1EF4" w:rsidRPr="004853EB" w14:paraId="73984ADD" w14:textId="77777777" w:rsidTr="00E95D02">
        <w:tc>
          <w:tcPr>
            <w:tcW w:w="708" w:type="dxa"/>
          </w:tcPr>
          <w:p w14:paraId="2B37FC0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44.</w:t>
            </w:r>
          </w:p>
        </w:tc>
        <w:tc>
          <w:tcPr>
            <w:tcW w:w="2280" w:type="dxa"/>
          </w:tcPr>
          <w:p w14:paraId="1DCC538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12697-36</w:t>
            </w:r>
          </w:p>
        </w:tc>
        <w:tc>
          <w:tcPr>
            <w:tcW w:w="6056" w:type="dxa"/>
            <w:gridSpan w:val="2"/>
          </w:tcPr>
          <w:p w14:paraId="42ACA08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36: Oznaczanie grubości nawierzchni asfaltowych</w:t>
            </w:r>
          </w:p>
        </w:tc>
      </w:tr>
      <w:tr w:rsidR="00CC1EF4" w:rsidRPr="004853EB" w14:paraId="213E942F" w14:textId="77777777" w:rsidTr="00E95D02">
        <w:tc>
          <w:tcPr>
            <w:tcW w:w="708" w:type="dxa"/>
          </w:tcPr>
          <w:p w14:paraId="347CF3F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45.</w:t>
            </w:r>
          </w:p>
        </w:tc>
        <w:tc>
          <w:tcPr>
            <w:tcW w:w="2280" w:type="dxa"/>
          </w:tcPr>
          <w:p w14:paraId="38A882A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12697-39</w:t>
            </w:r>
          </w:p>
        </w:tc>
        <w:tc>
          <w:tcPr>
            <w:tcW w:w="6056" w:type="dxa"/>
            <w:gridSpan w:val="2"/>
          </w:tcPr>
          <w:p w14:paraId="33AA244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39: Oznaczanie zawartości lepiszcza metodą spalania</w:t>
            </w:r>
          </w:p>
        </w:tc>
      </w:tr>
      <w:tr w:rsidR="00CC1EF4" w:rsidRPr="004853EB" w14:paraId="07A0DC60" w14:textId="77777777" w:rsidTr="00E95D02">
        <w:tc>
          <w:tcPr>
            <w:tcW w:w="708" w:type="dxa"/>
          </w:tcPr>
          <w:p w14:paraId="78C7812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46.</w:t>
            </w:r>
          </w:p>
        </w:tc>
        <w:tc>
          <w:tcPr>
            <w:tcW w:w="2280" w:type="dxa"/>
          </w:tcPr>
          <w:p w14:paraId="18B18F5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12697-41</w:t>
            </w:r>
          </w:p>
        </w:tc>
        <w:tc>
          <w:tcPr>
            <w:tcW w:w="6056" w:type="dxa"/>
            <w:gridSpan w:val="2"/>
          </w:tcPr>
          <w:p w14:paraId="6ED54AB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41: Odporność na płyny zapobiegające oblodzeniu</w:t>
            </w:r>
          </w:p>
        </w:tc>
      </w:tr>
      <w:tr w:rsidR="00CC1EF4" w:rsidRPr="004853EB" w14:paraId="6BEC73BE" w14:textId="77777777" w:rsidTr="00E95D02">
        <w:tc>
          <w:tcPr>
            <w:tcW w:w="708" w:type="dxa"/>
          </w:tcPr>
          <w:p w14:paraId="41330CD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47.</w:t>
            </w:r>
          </w:p>
        </w:tc>
        <w:tc>
          <w:tcPr>
            <w:tcW w:w="2280" w:type="dxa"/>
          </w:tcPr>
          <w:p w14:paraId="5E80764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12697-43</w:t>
            </w:r>
          </w:p>
        </w:tc>
        <w:tc>
          <w:tcPr>
            <w:tcW w:w="6056" w:type="dxa"/>
            <w:gridSpan w:val="2"/>
          </w:tcPr>
          <w:p w14:paraId="0145C03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43: Odporność na paliwo</w:t>
            </w:r>
          </w:p>
        </w:tc>
      </w:tr>
      <w:tr w:rsidR="00CC1EF4" w:rsidRPr="004853EB" w14:paraId="590DD313" w14:textId="77777777" w:rsidTr="00E95D02">
        <w:tc>
          <w:tcPr>
            <w:tcW w:w="708" w:type="dxa"/>
          </w:tcPr>
          <w:p w14:paraId="692137D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48.</w:t>
            </w:r>
          </w:p>
        </w:tc>
        <w:tc>
          <w:tcPr>
            <w:tcW w:w="2280" w:type="dxa"/>
          </w:tcPr>
          <w:p w14:paraId="3A67DCD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12846-1</w:t>
            </w:r>
          </w:p>
        </w:tc>
        <w:tc>
          <w:tcPr>
            <w:tcW w:w="6056" w:type="dxa"/>
            <w:gridSpan w:val="2"/>
          </w:tcPr>
          <w:p w14:paraId="3D90049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Oznaczanie czasu wypływu lepkościomierzem wypływowym - Część 1: Emulsje asfaltowe</w:t>
            </w:r>
          </w:p>
        </w:tc>
      </w:tr>
      <w:tr w:rsidR="00CC1EF4" w:rsidRPr="004853EB" w14:paraId="52311FB8" w14:textId="77777777" w:rsidTr="00E95D02">
        <w:tc>
          <w:tcPr>
            <w:tcW w:w="708" w:type="dxa"/>
          </w:tcPr>
          <w:p w14:paraId="02676A2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49.</w:t>
            </w:r>
          </w:p>
        </w:tc>
        <w:tc>
          <w:tcPr>
            <w:tcW w:w="2280" w:type="dxa"/>
          </w:tcPr>
          <w:p w14:paraId="5460235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13043</w:t>
            </w:r>
          </w:p>
        </w:tc>
        <w:tc>
          <w:tcPr>
            <w:tcW w:w="6056" w:type="dxa"/>
            <w:gridSpan w:val="2"/>
          </w:tcPr>
          <w:p w14:paraId="0739DF1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Kruszywa do mieszanek bitumicznych i powierzchniowych utrwaleń stosowanych na drogach, lotniskach i innych powierzchniach przeznaczonych do ruchu</w:t>
            </w:r>
          </w:p>
        </w:tc>
      </w:tr>
      <w:tr w:rsidR="00CC1EF4" w:rsidRPr="004853EB" w14:paraId="6767606E" w14:textId="77777777" w:rsidTr="00E95D02">
        <w:tc>
          <w:tcPr>
            <w:tcW w:w="708" w:type="dxa"/>
          </w:tcPr>
          <w:p w14:paraId="419ABAE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50.</w:t>
            </w:r>
          </w:p>
        </w:tc>
        <w:tc>
          <w:tcPr>
            <w:tcW w:w="2280" w:type="dxa"/>
          </w:tcPr>
          <w:p w14:paraId="6801CAD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13108-1</w:t>
            </w:r>
          </w:p>
        </w:tc>
        <w:tc>
          <w:tcPr>
            <w:tcW w:w="6056" w:type="dxa"/>
            <w:gridSpan w:val="2"/>
          </w:tcPr>
          <w:p w14:paraId="27CFBBE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Wymagania – Część 1: Beton asfaltowy</w:t>
            </w:r>
          </w:p>
        </w:tc>
      </w:tr>
      <w:tr w:rsidR="00CC1EF4" w:rsidRPr="004853EB" w14:paraId="5186EA4D" w14:textId="77777777" w:rsidTr="00E95D02">
        <w:tc>
          <w:tcPr>
            <w:tcW w:w="708" w:type="dxa"/>
          </w:tcPr>
          <w:p w14:paraId="03EB56E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51.</w:t>
            </w:r>
          </w:p>
        </w:tc>
        <w:tc>
          <w:tcPr>
            <w:tcW w:w="2280" w:type="dxa"/>
          </w:tcPr>
          <w:p w14:paraId="767251F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13108-4</w:t>
            </w:r>
          </w:p>
        </w:tc>
        <w:tc>
          <w:tcPr>
            <w:tcW w:w="6056" w:type="dxa"/>
            <w:gridSpan w:val="2"/>
          </w:tcPr>
          <w:p w14:paraId="1ABFF78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Wymagania - Część 4: Mieszanka HRA</w:t>
            </w:r>
          </w:p>
        </w:tc>
      </w:tr>
      <w:tr w:rsidR="00CC1EF4" w:rsidRPr="004853EB" w14:paraId="1D07419B" w14:textId="77777777" w:rsidTr="00E95D02">
        <w:tc>
          <w:tcPr>
            <w:tcW w:w="708" w:type="dxa"/>
          </w:tcPr>
          <w:p w14:paraId="3FD76F0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52.</w:t>
            </w:r>
          </w:p>
        </w:tc>
        <w:tc>
          <w:tcPr>
            <w:tcW w:w="2280" w:type="dxa"/>
          </w:tcPr>
          <w:p w14:paraId="46CB3E5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13108-20</w:t>
            </w:r>
          </w:p>
        </w:tc>
        <w:tc>
          <w:tcPr>
            <w:tcW w:w="6056" w:type="dxa"/>
            <w:gridSpan w:val="2"/>
          </w:tcPr>
          <w:p w14:paraId="7E22EDB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Wymagania – Część 20: Badanie typu</w:t>
            </w:r>
          </w:p>
        </w:tc>
      </w:tr>
      <w:tr w:rsidR="00CC1EF4" w:rsidRPr="004853EB" w14:paraId="5ADB1D49" w14:textId="77777777" w:rsidTr="00E95D02">
        <w:tc>
          <w:tcPr>
            <w:tcW w:w="708" w:type="dxa"/>
          </w:tcPr>
          <w:p w14:paraId="3A6C97F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53.</w:t>
            </w:r>
          </w:p>
        </w:tc>
        <w:tc>
          <w:tcPr>
            <w:tcW w:w="2280" w:type="dxa"/>
          </w:tcPr>
          <w:p w14:paraId="730EFBE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13108-21</w:t>
            </w:r>
          </w:p>
        </w:tc>
        <w:tc>
          <w:tcPr>
            <w:tcW w:w="6056" w:type="dxa"/>
            <w:gridSpan w:val="2"/>
          </w:tcPr>
          <w:p w14:paraId="20E3B67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Wymagania - Część 21: Zakładowa kontrola produkcji</w:t>
            </w:r>
          </w:p>
        </w:tc>
      </w:tr>
      <w:tr w:rsidR="00CC1EF4" w:rsidRPr="004853EB" w14:paraId="5A9350BA" w14:textId="77777777" w:rsidTr="00E95D02">
        <w:tc>
          <w:tcPr>
            <w:tcW w:w="708" w:type="dxa"/>
          </w:tcPr>
          <w:p w14:paraId="22FF6C9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54.</w:t>
            </w:r>
          </w:p>
        </w:tc>
        <w:tc>
          <w:tcPr>
            <w:tcW w:w="2280" w:type="dxa"/>
          </w:tcPr>
          <w:p w14:paraId="3BF6768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13179-1</w:t>
            </w:r>
          </w:p>
        </w:tc>
        <w:tc>
          <w:tcPr>
            <w:tcW w:w="6056" w:type="dxa"/>
            <w:gridSpan w:val="2"/>
          </w:tcPr>
          <w:p w14:paraId="792D514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kruszyw wypełniających stosowanych do mieszanek bitumicznych – Część 1: Badanie metodą pierścienia delta i kuli</w:t>
            </w:r>
          </w:p>
        </w:tc>
      </w:tr>
      <w:tr w:rsidR="00CC1EF4" w:rsidRPr="004853EB" w14:paraId="408A5B3E" w14:textId="77777777" w:rsidTr="00E95D02">
        <w:tc>
          <w:tcPr>
            <w:tcW w:w="708" w:type="dxa"/>
          </w:tcPr>
          <w:p w14:paraId="608CE43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55.</w:t>
            </w:r>
          </w:p>
        </w:tc>
        <w:tc>
          <w:tcPr>
            <w:tcW w:w="2280" w:type="dxa"/>
          </w:tcPr>
          <w:p w14:paraId="181CA48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13179-2</w:t>
            </w:r>
          </w:p>
        </w:tc>
        <w:tc>
          <w:tcPr>
            <w:tcW w:w="6056" w:type="dxa"/>
            <w:gridSpan w:val="2"/>
          </w:tcPr>
          <w:p w14:paraId="1DE04A2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kruszyw wypełniających stosowanych do mieszanek bitumicznych – Część 2: Liczba bitumiczna</w:t>
            </w:r>
          </w:p>
        </w:tc>
      </w:tr>
      <w:tr w:rsidR="00CC1EF4" w:rsidRPr="004853EB" w14:paraId="350FEC91" w14:textId="77777777" w:rsidTr="00E95D02">
        <w:tc>
          <w:tcPr>
            <w:tcW w:w="708" w:type="dxa"/>
          </w:tcPr>
          <w:p w14:paraId="16DB2A8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56.</w:t>
            </w:r>
          </w:p>
        </w:tc>
        <w:tc>
          <w:tcPr>
            <w:tcW w:w="2280" w:type="dxa"/>
          </w:tcPr>
          <w:p w14:paraId="70FB17B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13398</w:t>
            </w:r>
          </w:p>
        </w:tc>
        <w:tc>
          <w:tcPr>
            <w:tcW w:w="6056" w:type="dxa"/>
            <w:gridSpan w:val="2"/>
          </w:tcPr>
          <w:p w14:paraId="6BC9BAC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Oznaczanie nawrotu sprężystego asfaltów modyfikowanych</w:t>
            </w:r>
          </w:p>
        </w:tc>
      </w:tr>
      <w:tr w:rsidR="00CC1EF4" w:rsidRPr="004853EB" w14:paraId="62F889AE" w14:textId="77777777" w:rsidTr="00E95D02">
        <w:tc>
          <w:tcPr>
            <w:tcW w:w="708" w:type="dxa"/>
          </w:tcPr>
          <w:p w14:paraId="3EF3430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57.</w:t>
            </w:r>
          </w:p>
        </w:tc>
        <w:tc>
          <w:tcPr>
            <w:tcW w:w="2280" w:type="dxa"/>
          </w:tcPr>
          <w:p w14:paraId="155F40E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13399</w:t>
            </w:r>
          </w:p>
        </w:tc>
        <w:tc>
          <w:tcPr>
            <w:tcW w:w="6056" w:type="dxa"/>
            <w:gridSpan w:val="2"/>
          </w:tcPr>
          <w:p w14:paraId="0249C43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Asfalty i lepiszcza asfaltowe – Oznaczanie stabilności podczas magazynowania asfaltów modyfikowanych </w:t>
            </w:r>
          </w:p>
        </w:tc>
      </w:tr>
      <w:tr w:rsidR="00CC1EF4" w:rsidRPr="004853EB" w14:paraId="772CCA60" w14:textId="77777777" w:rsidTr="00E95D02">
        <w:tc>
          <w:tcPr>
            <w:tcW w:w="708" w:type="dxa"/>
          </w:tcPr>
          <w:p w14:paraId="73C6B80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58.</w:t>
            </w:r>
          </w:p>
        </w:tc>
        <w:tc>
          <w:tcPr>
            <w:tcW w:w="2280" w:type="dxa"/>
          </w:tcPr>
          <w:p w14:paraId="298F7B0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13587</w:t>
            </w:r>
          </w:p>
        </w:tc>
        <w:tc>
          <w:tcPr>
            <w:tcW w:w="6056" w:type="dxa"/>
            <w:gridSpan w:val="2"/>
          </w:tcPr>
          <w:p w14:paraId="007081B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Oznaczanie właściwości mechanicznych lepiszczy asfaltowych metodą rozciągania</w:t>
            </w:r>
          </w:p>
        </w:tc>
      </w:tr>
      <w:tr w:rsidR="00CC1EF4" w:rsidRPr="004853EB" w14:paraId="617FA4B2" w14:textId="77777777" w:rsidTr="00E95D02">
        <w:tc>
          <w:tcPr>
            <w:tcW w:w="708" w:type="dxa"/>
          </w:tcPr>
          <w:p w14:paraId="0C5CCBF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59.</w:t>
            </w:r>
          </w:p>
        </w:tc>
        <w:tc>
          <w:tcPr>
            <w:tcW w:w="2280" w:type="dxa"/>
          </w:tcPr>
          <w:p w14:paraId="5F09E1A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13588</w:t>
            </w:r>
          </w:p>
        </w:tc>
        <w:tc>
          <w:tcPr>
            <w:tcW w:w="6056" w:type="dxa"/>
            <w:gridSpan w:val="2"/>
          </w:tcPr>
          <w:p w14:paraId="1922A77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Oznaczanie kohezji lepiszczy asfaltowych metodą testu wahadłowego</w:t>
            </w:r>
          </w:p>
        </w:tc>
      </w:tr>
      <w:tr w:rsidR="00CC1EF4" w:rsidRPr="004853EB" w14:paraId="3B92E0DC" w14:textId="77777777" w:rsidTr="00E95D02">
        <w:tc>
          <w:tcPr>
            <w:tcW w:w="708" w:type="dxa"/>
          </w:tcPr>
          <w:p w14:paraId="78DE356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60.</w:t>
            </w:r>
          </w:p>
        </w:tc>
        <w:tc>
          <w:tcPr>
            <w:tcW w:w="2280" w:type="dxa"/>
          </w:tcPr>
          <w:p w14:paraId="7FB38A1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13589</w:t>
            </w:r>
          </w:p>
        </w:tc>
        <w:tc>
          <w:tcPr>
            <w:tcW w:w="6056" w:type="dxa"/>
            <w:gridSpan w:val="2"/>
          </w:tcPr>
          <w:p w14:paraId="25C617F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Oznaczanie siły rozciągania asfaltów modyfikowanych – Metoda z duktylometrem</w:t>
            </w:r>
          </w:p>
        </w:tc>
      </w:tr>
      <w:tr w:rsidR="00CC1EF4" w:rsidRPr="004853EB" w14:paraId="49D8C2A8" w14:textId="77777777" w:rsidTr="00E95D02">
        <w:tc>
          <w:tcPr>
            <w:tcW w:w="708" w:type="dxa"/>
          </w:tcPr>
          <w:p w14:paraId="0CC9284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61.</w:t>
            </w:r>
          </w:p>
        </w:tc>
        <w:tc>
          <w:tcPr>
            <w:tcW w:w="2280" w:type="dxa"/>
          </w:tcPr>
          <w:p w14:paraId="1C19C7F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13703</w:t>
            </w:r>
          </w:p>
        </w:tc>
        <w:tc>
          <w:tcPr>
            <w:tcW w:w="6056" w:type="dxa"/>
            <w:gridSpan w:val="2"/>
          </w:tcPr>
          <w:p w14:paraId="24180DD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Oznaczanie energii odkształcenia</w:t>
            </w:r>
          </w:p>
        </w:tc>
      </w:tr>
      <w:tr w:rsidR="00CC1EF4" w:rsidRPr="004853EB" w14:paraId="5C85A62B" w14:textId="77777777" w:rsidTr="00E95D02">
        <w:tc>
          <w:tcPr>
            <w:tcW w:w="708" w:type="dxa"/>
          </w:tcPr>
          <w:p w14:paraId="1BB08C0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62.</w:t>
            </w:r>
          </w:p>
        </w:tc>
        <w:tc>
          <w:tcPr>
            <w:tcW w:w="2280" w:type="dxa"/>
          </w:tcPr>
          <w:p w14:paraId="5EF9096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13808</w:t>
            </w:r>
          </w:p>
        </w:tc>
        <w:tc>
          <w:tcPr>
            <w:tcW w:w="6056" w:type="dxa"/>
            <w:gridSpan w:val="2"/>
          </w:tcPr>
          <w:p w14:paraId="12EB00A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Zasady specyfikacji kationowych emulsji asfaltowych</w:t>
            </w:r>
          </w:p>
        </w:tc>
      </w:tr>
      <w:tr w:rsidR="00CC1EF4" w:rsidRPr="004853EB" w14:paraId="6DCF3663" w14:textId="77777777" w:rsidTr="00E95D02">
        <w:tc>
          <w:tcPr>
            <w:tcW w:w="708" w:type="dxa"/>
          </w:tcPr>
          <w:p w14:paraId="0E4497B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63.</w:t>
            </w:r>
          </w:p>
        </w:tc>
        <w:tc>
          <w:tcPr>
            <w:tcW w:w="2280" w:type="dxa"/>
          </w:tcPr>
          <w:p w14:paraId="787DF88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13924-2</w:t>
            </w:r>
          </w:p>
        </w:tc>
        <w:tc>
          <w:tcPr>
            <w:tcW w:w="6056" w:type="dxa"/>
            <w:gridSpan w:val="2"/>
          </w:tcPr>
          <w:p w14:paraId="13B3A50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Asfalty i lepiszcza asfaltowe - Zasady klasyfikacji asfaltów drogowych specjalnych - Część 2: Asfalty drogowe wielorodzajowe </w:t>
            </w:r>
          </w:p>
        </w:tc>
      </w:tr>
      <w:tr w:rsidR="00CC1EF4" w:rsidRPr="004853EB" w14:paraId="53BD5881" w14:textId="77777777" w:rsidTr="00E95D02">
        <w:tc>
          <w:tcPr>
            <w:tcW w:w="708" w:type="dxa"/>
          </w:tcPr>
          <w:p w14:paraId="4166784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63a</w:t>
            </w:r>
          </w:p>
        </w:tc>
        <w:tc>
          <w:tcPr>
            <w:tcW w:w="2280" w:type="dxa"/>
          </w:tcPr>
          <w:p w14:paraId="1321805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PN-EN </w:t>
            </w:r>
          </w:p>
          <w:p w14:paraId="0745015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13924-2:2014-4/Ap1:2014-07</w:t>
            </w:r>
          </w:p>
        </w:tc>
        <w:tc>
          <w:tcPr>
            <w:tcW w:w="6056" w:type="dxa"/>
            <w:gridSpan w:val="2"/>
          </w:tcPr>
          <w:p w14:paraId="7D52275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Zasady klasyfikacji asfaltów drogowych specjalnych - Część 2: Asfalty drogowe wielorodzajowe – poprawka do Polskiej Normy</w:t>
            </w:r>
          </w:p>
        </w:tc>
      </w:tr>
      <w:tr w:rsidR="00CC1EF4" w:rsidRPr="004853EB" w14:paraId="6B85D444" w14:textId="77777777" w:rsidTr="00E95D02">
        <w:tc>
          <w:tcPr>
            <w:tcW w:w="708" w:type="dxa"/>
          </w:tcPr>
          <w:p w14:paraId="21F9236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64.</w:t>
            </w:r>
          </w:p>
        </w:tc>
        <w:tc>
          <w:tcPr>
            <w:tcW w:w="2280" w:type="dxa"/>
          </w:tcPr>
          <w:p w14:paraId="6DD01EC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14023</w:t>
            </w:r>
          </w:p>
        </w:tc>
        <w:tc>
          <w:tcPr>
            <w:tcW w:w="6056" w:type="dxa"/>
            <w:gridSpan w:val="2"/>
          </w:tcPr>
          <w:p w14:paraId="6438A10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Zasady specyfikacji asfaltów modyfikowanych polimerami</w:t>
            </w:r>
          </w:p>
        </w:tc>
      </w:tr>
      <w:tr w:rsidR="00CC1EF4" w:rsidRPr="004853EB" w14:paraId="5D66BF6E" w14:textId="77777777" w:rsidTr="00E95D02">
        <w:tc>
          <w:tcPr>
            <w:tcW w:w="708" w:type="dxa"/>
          </w:tcPr>
          <w:p w14:paraId="082D2F4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64a.</w:t>
            </w:r>
          </w:p>
        </w:tc>
        <w:tc>
          <w:tcPr>
            <w:tcW w:w="2280" w:type="dxa"/>
          </w:tcPr>
          <w:p w14:paraId="487BE3A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14023:2011/Ap1</w:t>
            </w:r>
          </w:p>
          <w:p w14:paraId="53D9593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:2014-04</w:t>
            </w:r>
          </w:p>
        </w:tc>
        <w:tc>
          <w:tcPr>
            <w:tcW w:w="6056" w:type="dxa"/>
            <w:gridSpan w:val="2"/>
          </w:tcPr>
          <w:p w14:paraId="544104E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Zasady klasyfikacji asfaltów modyfikowanych polimerami – poprawka do Polskiej Normy</w:t>
            </w:r>
          </w:p>
        </w:tc>
      </w:tr>
      <w:tr w:rsidR="00CC1EF4" w:rsidRPr="004853EB" w14:paraId="108D777F" w14:textId="77777777" w:rsidTr="00E95D02">
        <w:tc>
          <w:tcPr>
            <w:tcW w:w="708" w:type="dxa"/>
          </w:tcPr>
          <w:p w14:paraId="49CAB5C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65.</w:t>
            </w:r>
          </w:p>
        </w:tc>
        <w:tc>
          <w:tcPr>
            <w:tcW w:w="2280" w:type="dxa"/>
          </w:tcPr>
          <w:p w14:paraId="00AD675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14188-1</w:t>
            </w:r>
          </w:p>
        </w:tc>
        <w:tc>
          <w:tcPr>
            <w:tcW w:w="6056" w:type="dxa"/>
            <w:gridSpan w:val="2"/>
          </w:tcPr>
          <w:p w14:paraId="1761733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Wypełniacze szczelin i zalewy drogowe – Część 1: Wymagania wobec zalew drogowych na gorąco</w:t>
            </w:r>
          </w:p>
        </w:tc>
      </w:tr>
      <w:tr w:rsidR="00CC1EF4" w:rsidRPr="004853EB" w14:paraId="31E7AB76" w14:textId="77777777" w:rsidTr="00E95D02">
        <w:tc>
          <w:tcPr>
            <w:tcW w:w="708" w:type="dxa"/>
          </w:tcPr>
          <w:p w14:paraId="1E2E0DC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66.</w:t>
            </w:r>
          </w:p>
        </w:tc>
        <w:tc>
          <w:tcPr>
            <w:tcW w:w="2280" w:type="dxa"/>
          </w:tcPr>
          <w:p w14:paraId="67D45EA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14188-2</w:t>
            </w:r>
          </w:p>
        </w:tc>
        <w:tc>
          <w:tcPr>
            <w:tcW w:w="6056" w:type="dxa"/>
            <w:gridSpan w:val="2"/>
          </w:tcPr>
          <w:p w14:paraId="59411C4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Wypełniacze szczelin i zalewy drogowe – Część 2: Wymagania wobec zalew drogowych na zimno</w:t>
            </w:r>
          </w:p>
        </w:tc>
      </w:tr>
      <w:tr w:rsidR="00CC1EF4" w:rsidRPr="004853EB" w14:paraId="7913D6AB" w14:textId="77777777" w:rsidTr="00E95D02">
        <w:tc>
          <w:tcPr>
            <w:tcW w:w="708" w:type="dxa"/>
          </w:tcPr>
          <w:p w14:paraId="1FA9A08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67.</w:t>
            </w:r>
          </w:p>
        </w:tc>
        <w:tc>
          <w:tcPr>
            <w:tcW w:w="2280" w:type="dxa"/>
          </w:tcPr>
          <w:p w14:paraId="497FA8D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22592</w:t>
            </w:r>
          </w:p>
        </w:tc>
        <w:tc>
          <w:tcPr>
            <w:tcW w:w="6056" w:type="dxa"/>
            <w:gridSpan w:val="2"/>
          </w:tcPr>
          <w:p w14:paraId="417D257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Przetwory naftowe – Oznaczanie temperatury zapłonu i palenia – Pomiar metodą otwartego tygla Clevelanda</w:t>
            </w:r>
          </w:p>
        </w:tc>
      </w:tr>
      <w:tr w:rsidR="00CC1EF4" w:rsidRPr="004853EB" w14:paraId="6D815B86" w14:textId="77777777" w:rsidTr="00E95D02">
        <w:tc>
          <w:tcPr>
            <w:tcW w:w="708" w:type="dxa"/>
          </w:tcPr>
          <w:p w14:paraId="091F490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68.</w:t>
            </w:r>
          </w:p>
        </w:tc>
        <w:tc>
          <w:tcPr>
            <w:tcW w:w="2280" w:type="dxa"/>
          </w:tcPr>
          <w:p w14:paraId="10420CA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ISO 2592</w:t>
            </w:r>
          </w:p>
        </w:tc>
        <w:tc>
          <w:tcPr>
            <w:tcW w:w="6056" w:type="dxa"/>
            <w:gridSpan w:val="2"/>
          </w:tcPr>
          <w:p w14:paraId="50EB49F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Oznaczanie temperatury zapłonu i palenia – Metoda otwartego tygla Clevelanda</w:t>
            </w:r>
          </w:p>
        </w:tc>
      </w:tr>
    </w:tbl>
    <w:p w14:paraId="16A118DF"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359" w:name="_Toc97034714"/>
      <w:bookmarkStart w:id="3360" w:name="_Toc97035402"/>
      <w:bookmarkStart w:id="3361" w:name="_Toc194476997"/>
      <w:bookmarkStart w:id="3362" w:name="_Toc227825479"/>
      <w:r w:rsidRPr="004853EB">
        <w:rPr>
          <w:rFonts w:eastAsia="Times New Roman" w:cstheme="minorHAnsi"/>
          <w:b/>
          <w:bCs/>
          <w:color w:val="000000"/>
          <w:sz w:val="20"/>
          <w:szCs w:val="20"/>
          <w:lang w:eastAsia="pl-PL"/>
        </w:rPr>
        <w:t>10.3. Wymagania techniczne</w:t>
      </w:r>
      <w:bookmarkEnd w:id="3359"/>
      <w:bookmarkEnd w:id="3360"/>
      <w:bookmarkEnd w:id="3361"/>
      <w:bookmarkEnd w:id="3362"/>
      <w:r w:rsidRPr="004853EB">
        <w:rPr>
          <w:rFonts w:eastAsia="Times New Roman" w:cstheme="minorHAnsi"/>
          <w:b/>
          <w:bCs/>
          <w:color w:val="000000"/>
          <w:sz w:val="20"/>
          <w:szCs w:val="20"/>
          <w:lang w:eastAsia="pl-PL"/>
        </w:rPr>
        <w:t xml:space="preserve"> </w:t>
      </w:r>
    </w:p>
    <w:p w14:paraId="3D43D9C9" w14:textId="77777777" w:rsidR="00CC1EF4" w:rsidRPr="004853EB" w:rsidRDefault="00CC1EF4">
      <w:pPr>
        <w:numPr>
          <w:ilvl w:val="0"/>
          <w:numId w:val="114"/>
        </w:numPr>
        <w:tabs>
          <w:tab w:val="left" w:pos="567"/>
        </w:tabs>
        <w:overflowPunct w:val="0"/>
        <w:autoSpaceDE w:val="0"/>
        <w:autoSpaceDN w:val="0"/>
        <w:adjustRightInd w:val="0"/>
        <w:spacing w:after="0" w:line="240" w:lineRule="auto"/>
        <w:ind w:left="567" w:hanging="425"/>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WT-1 Kruszywa 2014. Kruszywa do mieszanek mineralno-asfaltowych i powierzchniowych utrwaleń na drogach krajowych. Załącznik do Zarządzenia nr 46 Generalnego Dyrektora Dróg Krajowych i Autostrad </w:t>
      </w:r>
      <w:r w:rsidRPr="004853EB">
        <w:rPr>
          <w:rFonts w:eastAsia="Times New Roman" w:cstheme="minorHAnsi"/>
          <w:color w:val="000000"/>
          <w:sz w:val="20"/>
          <w:szCs w:val="20"/>
          <w:lang w:eastAsia="pl-PL"/>
        </w:rPr>
        <w:br/>
        <w:t>z dnia 25 września 2014 r.</w:t>
      </w:r>
    </w:p>
    <w:p w14:paraId="6F06C564" w14:textId="77777777" w:rsidR="00CC1EF4" w:rsidRPr="004853EB" w:rsidRDefault="00CC1EF4">
      <w:pPr>
        <w:numPr>
          <w:ilvl w:val="0"/>
          <w:numId w:val="114"/>
        </w:numPr>
        <w:tabs>
          <w:tab w:val="left" w:pos="567"/>
        </w:tabs>
        <w:overflowPunct w:val="0"/>
        <w:autoSpaceDE w:val="0"/>
        <w:autoSpaceDN w:val="0"/>
        <w:adjustRightInd w:val="0"/>
        <w:spacing w:after="0" w:line="240" w:lineRule="auto"/>
        <w:ind w:left="567" w:hanging="425"/>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WT-2 Mieszanki mineralno-asfaltowe. Załącznik do Zarządzenia nr 54 Generalnego Dyrektora Dróg Krajowych i Autostrad z dnia 18 listopada 2014 r.</w:t>
      </w:r>
    </w:p>
    <w:p w14:paraId="71CF7134"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363" w:name="_Toc97034715"/>
      <w:bookmarkStart w:id="3364" w:name="_Toc97035403"/>
      <w:bookmarkStart w:id="3365" w:name="_Toc194476998"/>
      <w:bookmarkStart w:id="3366" w:name="_Toc227825480"/>
      <w:r w:rsidRPr="004853EB">
        <w:rPr>
          <w:rFonts w:eastAsia="Times New Roman" w:cstheme="minorHAnsi"/>
          <w:b/>
          <w:bCs/>
          <w:color w:val="000000"/>
          <w:sz w:val="20"/>
          <w:szCs w:val="20"/>
          <w:lang w:eastAsia="pl-PL"/>
        </w:rPr>
        <w:t>10.4. Inne dokumenty</w:t>
      </w:r>
      <w:bookmarkEnd w:id="3363"/>
      <w:bookmarkEnd w:id="3364"/>
      <w:bookmarkEnd w:id="3365"/>
      <w:bookmarkEnd w:id="3366"/>
    </w:p>
    <w:p w14:paraId="3E36DD0A" w14:textId="77777777" w:rsidR="00CC1EF4" w:rsidRPr="004853EB" w:rsidRDefault="00CC1EF4">
      <w:pPr>
        <w:numPr>
          <w:ilvl w:val="0"/>
          <w:numId w:val="114"/>
        </w:numPr>
        <w:tabs>
          <w:tab w:val="left" w:pos="567"/>
        </w:tabs>
        <w:overflowPunct w:val="0"/>
        <w:autoSpaceDE w:val="0"/>
        <w:autoSpaceDN w:val="0"/>
        <w:adjustRightInd w:val="0"/>
        <w:spacing w:after="0" w:line="240" w:lineRule="auto"/>
        <w:ind w:left="567" w:hanging="501"/>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Katalog typowych konstrukcji nawierzchni podatnych i półsztywnych. Załącznik do Zarządzenia nr 31 Generalnego Dyrektora Dróg Krajowych i Autostrad z dnia 16 czerwca 2014 r.</w:t>
      </w:r>
    </w:p>
    <w:p w14:paraId="59CA99EE" w14:textId="77777777" w:rsidR="00CC1EF4" w:rsidRPr="004853EB" w:rsidRDefault="00CC1EF4">
      <w:pPr>
        <w:numPr>
          <w:ilvl w:val="0"/>
          <w:numId w:val="114"/>
        </w:numPr>
        <w:tabs>
          <w:tab w:val="left" w:pos="567"/>
        </w:tabs>
        <w:overflowPunct w:val="0"/>
        <w:autoSpaceDE w:val="0"/>
        <w:autoSpaceDN w:val="0"/>
        <w:adjustRightInd w:val="0"/>
        <w:spacing w:after="0" w:line="240" w:lineRule="auto"/>
        <w:ind w:left="567" w:hanging="501"/>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Rozporządzenie Ministra Transportu i Gospodarki Morskiej z dnia 2 marca 1999 r. w sprawie warunków technicznych, jakim powinny odpowiadać drogi publiczne i ich usytuowanie (Dz.U. nr 43, poz. 430 </w:t>
      </w:r>
      <w:r w:rsidRPr="004853EB">
        <w:rPr>
          <w:rFonts w:eastAsia="Times New Roman" w:cstheme="minorHAnsi"/>
          <w:color w:val="000000"/>
          <w:sz w:val="20"/>
          <w:szCs w:val="20"/>
          <w:lang w:eastAsia="pl-PL"/>
        </w:rPr>
        <w:br/>
        <w:t>z późniejszymi zmianami)</w:t>
      </w:r>
    </w:p>
    <w:p w14:paraId="4C801C5F" w14:textId="77777777" w:rsidR="00CC1EF4" w:rsidRPr="004853EB" w:rsidRDefault="00CC1EF4">
      <w:pPr>
        <w:numPr>
          <w:ilvl w:val="0"/>
          <w:numId w:val="114"/>
        </w:numPr>
        <w:tabs>
          <w:tab w:val="left" w:pos="567"/>
        </w:tabs>
        <w:overflowPunct w:val="0"/>
        <w:autoSpaceDE w:val="0"/>
        <w:autoSpaceDN w:val="0"/>
        <w:adjustRightInd w:val="0"/>
        <w:spacing w:after="0" w:line="240" w:lineRule="auto"/>
        <w:ind w:left="567" w:hanging="501"/>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Ustawa z dnia 19 sierpnia 2011 r. o przewozie drogowym towarów niebezpiecznych (Dz.U. nr 227, poz. 1367 z póżn. zm.)</w:t>
      </w:r>
    </w:p>
    <w:p w14:paraId="69CD4B57" w14:textId="77777777" w:rsidR="00CC1EF4" w:rsidRPr="004853EB" w:rsidRDefault="00CC1EF4" w:rsidP="00CC1EF4">
      <w:pPr>
        <w:spacing w:before="240" w:after="240" w:line="240" w:lineRule="auto"/>
        <w:jc w:val="both"/>
        <w:rPr>
          <w:rFonts w:cstheme="minorHAnsi"/>
          <w:b/>
          <w:sz w:val="20"/>
        </w:rPr>
      </w:pPr>
    </w:p>
    <w:p w14:paraId="03D038DA" w14:textId="77777777" w:rsidR="00CC1EF4" w:rsidRPr="004853EB" w:rsidRDefault="00CC1EF4">
      <w:pPr>
        <w:rPr>
          <w:rFonts w:cstheme="minorHAnsi"/>
        </w:rPr>
      </w:pPr>
    </w:p>
    <w:p w14:paraId="6621BA6A" w14:textId="77777777" w:rsidR="00CC1EF4" w:rsidRPr="004853EB" w:rsidRDefault="00CC1EF4">
      <w:pPr>
        <w:rPr>
          <w:rFonts w:cstheme="minorHAnsi"/>
        </w:rPr>
      </w:pPr>
    </w:p>
    <w:p w14:paraId="36F96FB1" w14:textId="77777777" w:rsidR="00CC1EF4" w:rsidRPr="004853EB" w:rsidRDefault="00CC1EF4">
      <w:pPr>
        <w:rPr>
          <w:rFonts w:cstheme="minorHAnsi"/>
        </w:rPr>
      </w:pPr>
    </w:p>
    <w:p w14:paraId="1A3EA475" w14:textId="77777777" w:rsidR="00CC1EF4" w:rsidRPr="004853EB" w:rsidRDefault="00CC1EF4">
      <w:pPr>
        <w:rPr>
          <w:rFonts w:cstheme="minorHAnsi"/>
        </w:rPr>
      </w:pPr>
    </w:p>
    <w:p w14:paraId="7037D718" w14:textId="77777777" w:rsidR="00CC1EF4" w:rsidRPr="004853EB" w:rsidRDefault="00CC1EF4">
      <w:pPr>
        <w:rPr>
          <w:rFonts w:cstheme="minorHAnsi"/>
        </w:rPr>
      </w:pPr>
    </w:p>
    <w:p w14:paraId="2943B592" w14:textId="77777777" w:rsidR="00CC1EF4" w:rsidRPr="004853EB" w:rsidRDefault="00CC1EF4">
      <w:pPr>
        <w:rPr>
          <w:rFonts w:cstheme="minorHAnsi"/>
        </w:rPr>
      </w:pPr>
    </w:p>
    <w:p w14:paraId="259973A3" w14:textId="77777777" w:rsidR="00CC1EF4" w:rsidRPr="004853EB" w:rsidRDefault="00CC1EF4">
      <w:pPr>
        <w:rPr>
          <w:rFonts w:cstheme="minorHAnsi"/>
        </w:rPr>
      </w:pPr>
    </w:p>
    <w:p w14:paraId="0AF606A4" w14:textId="77777777" w:rsidR="00CC1EF4" w:rsidRPr="004853EB" w:rsidRDefault="00CC1EF4">
      <w:pPr>
        <w:rPr>
          <w:rFonts w:cstheme="minorHAnsi"/>
        </w:rPr>
      </w:pPr>
    </w:p>
    <w:p w14:paraId="1B696D90" w14:textId="77777777" w:rsidR="00CC1EF4" w:rsidRPr="004853EB" w:rsidRDefault="00CC1EF4">
      <w:pPr>
        <w:rPr>
          <w:rFonts w:cstheme="minorHAnsi"/>
        </w:rPr>
      </w:pPr>
    </w:p>
    <w:p w14:paraId="369CF8B1" w14:textId="77777777" w:rsidR="00CC1EF4" w:rsidRPr="004853EB" w:rsidRDefault="00CC1EF4">
      <w:pPr>
        <w:rPr>
          <w:rFonts w:cstheme="minorHAnsi"/>
        </w:rPr>
      </w:pPr>
    </w:p>
    <w:p w14:paraId="5171603A" w14:textId="77777777" w:rsidR="00CC1EF4" w:rsidRPr="004853EB" w:rsidRDefault="00CC1EF4" w:rsidP="003A11E0">
      <w:pPr>
        <w:pStyle w:val="Nagwek1"/>
        <w:rPr>
          <w:rFonts w:asciiTheme="minorHAnsi" w:hAnsiTheme="minorHAnsi" w:cstheme="minorHAnsi"/>
          <w:sz w:val="22"/>
          <w:szCs w:val="22"/>
        </w:rPr>
      </w:pPr>
      <w:bookmarkStart w:id="3367" w:name="_Toc227825481"/>
      <w:r w:rsidRPr="004853EB">
        <w:rPr>
          <w:rFonts w:asciiTheme="minorHAnsi" w:hAnsiTheme="minorHAnsi" w:cstheme="minorHAnsi"/>
          <w:sz w:val="22"/>
          <w:szCs w:val="22"/>
        </w:rPr>
        <w:lastRenderedPageBreak/>
        <w:t>D</w:t>
      </w:r>
      <w:r w:rsidR="003A11E0" w:rsidRPr="004853EB">
        <w:rPr>
          <w:rFonts w:asciiTheme="minorHAnsi" w:hAnsiTheme="minorHAnsi" w:cstheme="minorHAnsi"/>
          <w:sz w:val="22"/>
          <w:szCs w:val="22"/>
        </w:rPr>
        <w:t xml:space="preserve"> - </w:t>
      </w:r>
      <w:r w:rsidRPr="004853EB">
        <w:rPr>
          <w:rFonts w:asciiTheme="minorHAnsi" w:hAnsiTheme="minorHAnsi" w:cstheme="minorHAnsi"/>
          <w:sz w:val="22"/>
          <w:szCs w:val="22"/>
        </w:rPr>
        <w:t>05.03.05b WARSTWA WIĄŻĄCA I WYRÓWNAWCZA Z BETONU ASFALTOWEGO</w:t>
      </w:r>
      <w:bookmarkEnd w:id="3367"/>
    </w:p>
    <w:p w14:paraId="05857853"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368" w:name="_Toc462133766"/>
      <w:bookmarkStart w:id="3369" w:name="_Toc68686949"/>
      <w:bookmarkStart w:id="3370" w:name="_Toc68690547"/>
      <w:bookmarkStart w:id="3371" w:name="_Toc97034609"/>
      <w:bookmarkStart w:id="3372" w:name="_Toc97035297"/>
      <w:bookmarkStart w:id="3373" w:name="_Toc194477000"/>
      <w:bookmarkStart w:id="3374" w:name="_Toc227825482"/>
      <w:r w:rsidRPr="004853EB">
        <w:rPr>
          <w:rFonts w:eastAsia="Times New Roman" w:cstheme="minorHAnsi"/>
          <w:b/>
          <w:caps/>
          <w:kern w:val="28"/>
          <w:sz w:val="20"/>
          <w:szCs w:val="20"/>
          <w:lang w:eastAsia="pl-PL"/>
        </w:rPr>
        <w:t>1. Wstęp</w:t>
      </w:r>
      <w:bookmarkEnd w:id="3368"/>
      <w:bookmarkEnd w:id="3369"/>
      <w:bookmarkEnd w:id="3370"/>
      <w:bookmarkEnd w:id="3371"/>
      <w:bookmarkEnd w:id="3372"/>
      <w:bookmarkEnd w:id="3373"/>
      <w:bookmarkEnd w:id="3374"/>
    </w:p>
    <w:p w14:paraId="6C65C72A"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375" w:name="_Toc97034610"/>
      <w:bookmarkStart w:id="3376" w:name="_Toc97035298"/>
      <w:bookmarkStart w:id="3377" w:name="_Toc194477001"/>
      <w:bookmarkStart w:id="3378" w:name="_Toc227825483"/>
      <w:r w:rsidRPr="004853EB">
        <w:rPr>
          <w:rFonts w:eastAsia="Times New Roman" w:cstheme="minorHAnsi"/>
          <w:b/>
          <w:sz w:val="20"/>
          <w:szCs w:val="20"/>
          <w:lang w:eastAsia="pl-PL"/>
        </w:rPr>
        <w:t>1.1. Przedmiot SST</w:t>
      </w:r>
      <w:bookmarkEnd w:id="3375"/>
      <w:bookmarkEnd w:id="3376"/>
      <w:bookmarkEnd w:id="3377"/>
      <w:bookmarkEnd w:id="3378"/>
    </w:p>
    <w:p w14:paraId="17968D3F" w14:textId="2510D64D" w:rsidR="00CC1EF4" w:rsidRPr="004853EB" w:rsidRDefault="00CC1EF4" w:rsidP="00CC1EF4">
      <w:pPr>
        <w:spacing w:after="0" w:line="240" w:lineRule="auto"/>
        <w:jc w:val="both"/>
        <w:rPr>
          <w:rFonts w:eastAsia="Times New Roman" w:cstheme="minorHAnsi"/>
          <w:bCs/>
          <w:color w:val="000000"/>
          <w:sz w:val="20"/>
          <w:szCs w:val="20"/>
          <w:lang w:eastAsia="pl-PL"/>
        </w:rPr>
      </w:pPr>
      <w:r w:rsidRPr="004853EB">
        <w:rPr>
          <w:rFonts w:eastAsia="Times New Roman" w:cstheme="minorHAnsi"/>
          <w:bCs/>
          <w:color w:val="000000"/>
          <w:sz w:val="20"/>
          <w:szCs w:val="20"/>
          <w:lang w:eastAsia="pl-PL"/>
        </w:rPr>
        <w:t>Przedmiotem niniejszej specyfikacji technicznej (ST) są wymagania dotyczące wykonania i odbioru robót związanych z wykonaniem warstwy wiążącej i wyrównawczej z betonu asfaltowego dla zadania:</w:t>
      </w:r>
      <w:r w:rsidRPr="004853EB">
        <w:rPr>
          <w:rFonts w:eastAsia="Times New Roman" w:cstheme="minorHAnsi"/>
          <w:sz w:val="24"/>
          <w:szCs w:val="24"/>
          <w:lang w:eastAsia="pl-PL"/>
        </w:rPr>
        <w:t xml:space="preserve"> </w:t>
      </w:r>
      <w:r w:rsidRPr="004853EB">
        <w:rPr>
          <w:rFonts w:eastAsia="Times New Roman" w:cstheme="minorHAnsi"/>
          <w:b/>
          <w:bCs/>
          <w:color w:val="000000"/>
          <w:sz w:val="20"/>
          <w:szCs w:val="20"/>
          <w:lang w:eastAsia="pl-PL"/>
        </w:rPr>
        <w:t xml:space="preserve">Przebudowa </w:t>
      </w:r>
      <w:r w:rsidR="00336D00" w:rsidRPr="004853EB">
        <w:rPr>
          <w:rFonts w:eastAsia="Times New Roman" w:cstheme="minorHAnsi"/>
          <w:b/>
          <w:bCs/>
          <w:color w:val="000000"/>
          <w:sz w:val="20"/>
          <w:szCs w:val="20"/>
          <w:lang w:eastAsia="pl-PL"/>
        </w:rPr>
        <w:t>drogi powiatowej</w:t>
      </w:r>
      <w:r w:rsidRPr="004853EB">
        <w:rPr>
          <w:rFonts w:eastAsia="Times New Roman" w:cstheme="minorHAnsi"/>
          <w:b/>
          <w:bCs/>
          <w:color w:val="000000"/>
          <w:sz w:val="20"/>
          <w:szCs w:val="20"/>
          <w:lang w:eastAsia="pl-PL"/>
        </w:rPr>
        <w:t xml:space="preserve"> nr </w:t>
      </w:r>
      <w:r w:rsidR="00BB6660" w:rsidRPr="00BB6660">
        <w:rPr>
          <w:rFonts w:eastAsia="Times New Roman" w:cstheme="minorHAnsi"/>
          <w:b/>
          <w:bCs/>
          <w:color w:val="000000"/>
          <w:sz w:val="20"/>
          <w:szCs w:val="20"/>
          <w:lang w:eastAsia="pl-PL"/>
        </w:rPr>
        <w:t>4506W Zwoleń – Sarnów w miejscowości Łuczynów</w:t>
      </w:r>
      <w:r w:rsidRPr="004853EB">
        <w:rPr>
          <w:rFonts w:eastAsia="Times New Roman" w:cstheme="minorHAnsi"/>
          <w:b/>
          <w:bCs/>
          <w:color w:val="000000"/>
          <w:sz w:val="20"/>
          <w:szCs w:val="20"/>
          <w:lang w:eastAsia="pl-PL"/>
        </w:rPr>
        <w:t>.</w:t>
      </w:r>
    </w:p>
    <w:p w14:paraId="05B56E73" w14:textId="77777777" w:rsidR="00CC1EF4" w:rsidRPr="004853EB" w:rsidRDefault="00CC1EF4" w:rsidP="00CC1EF4">
      <w:pPr>
        <w:spacing w:after="0" w:line="240" w:lineRule="auto"/>
        <w:jc w:val="both"/>
        <w:rPr>
          <w:rFonts w:eastAsia="Times New Roman" w:cstheme="minorHAnsi"/>
          <w:b/>
          <w:bCs/>
          <w:color w:val="000000"/>
          <w:sz w:val="20"/>
          <w:szCs w:val="20"/>
          <w:lang w:eastAsia="pl-PL"/>
        </w:rPr>
      </w:pPr>
    </w:p>
    <w:p w14:paraId="1C5AECF9" w14:textId="77777777" w:rsidR="00CC1EF4" w:rsidRPr="004853EB" w:rsidRDefault="00CC1EF4" w:rsidP="00CC1EF4">
      <w:pPr>
        <w:spacing w:after="0" w:line="240" w:lineRule="auto"/>
        <w:jc w:val="both"/>
        <w:rPr>
          <w:rFonts w:eastAsia="Times New Roman" w:cstheme="minorHAnsi"/>
          <w:b/>
          <w:bCs/>
          <w:color w:val="000000"/>
          <w:sz w:val="20"/>
          <w:szCs w:val="20"/>
          <w:lang w:eastAsia="pl-PL"/>
        </w:rPr>
      </w:pPr>
      <w:r w:rsidRPr="004853EB">
        <w:rPr>
          <w:rFonts w:eastAsia="Times New Roman" w:cstheme="minorHAnsi"/>
          <w:b/>
          <w:bCs/>
          <w:color w:val="000000"/>
          <w:sz w:val="20"/>
          <w:szCs w:val="20"/>
          <w:lang w:eastAsia="pl-PL"/>
        </w:rPr>
        <w:t>1.2.</w:t>
      </w:r>
      <w:r w:rsidRPr="004853EB">
        <w:rPr>
          <w:rFonts w:eastAsia="Times New Roman" w:cstheme="minorHAnsi"/>
          <w:b/>
          <w:bCs/>
          <w:color w:val="000000"/>
          <w:sz w:val="20"/>
          <w:szCs w:val="20"/>
          <w:lang w:eastAsia="pl-PL"/>
        </w:rPr>
        <w:tab/>
        <w:t xml:space="preserve"> Zakres stosowania SST</w:t>
      </w:r>
    </w:p>
    <w:p w14:paraId="6741D2F6" w14:textId="77777777" w:rsidR="00CC1EF4" w:rsidRPr="004853EB" w:rsidRDefault="00CC1EF4" w:rsidP="00CC1EF4">
      <w:pPr>
        <w:spacing w:after="0" w:line="240" w:lineRule="auto"/>
        <w:jc w:val="both"/>
        <w:rPr>
          <w:rFonts w:eastAsia="Times New Roman" w:cstheme="minorHAnsi"/>
          <w:bCs/>
          <w:color w:val="000000"/>
          <w:sz w:val="20"/>
          <w:szCs w:val="20"/>
          <w:lang w:eastAsia="pl-PL"/>
        </w:rPr>
      </w:pPr>
      <w:r w:rsidRPr="004853EB">
        <w:rPr>
          <w:rFonts w:eastAsia="Times New Roman" w:cstheme="minorHAnsi"/>
          <w:bCs/>
          <w:color w:val="000000"/>
          <w:sz w:val="20"/>
          <w:szCs w:val="20"/>
          <w:lang w:eastAsia="pl-PL"/>
        </w:rPr>
        <w:t>Szczegółowa specyfikacja techniczna (SST) jest stosowana jako dokument przetargowy i kontraktowy przy zlecaniu i realizacji robót dla zadania wymienionego w pkt. 1.1.</w:t>
      </w:r>
    </w:p>
    <w:p w14:paraId="634724A5"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3B55C2C1"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379" w:name="_Toc97034611"/>
      <w:bookmarkStart w:id="3380" w:name="_Toc97035299"/>
      <w:bookmarkStart w:id="3381" w:name="_Toc194477002"/>
      <w:bookmarkStart w:id="3382" w:name="_Toc227825484"/>
      <w:r w:rsidRPr="004853EB">
        <w:rPr>
          <w:rFonts w:eastAsia="Times New Roman" w:cstheme="minorHAnsi"/>
          <w:b/>
          <w:bCs/>
          <w:color w:val="000000"/>
          <w:sz w:val="20"/>
          <w:szCs w:val="20"/>
          <w:lang w:eastAsia="pl-PL"/>
        </w:rPr>
        <w:t>1.3. Zakres robót objętych SST</w:t>
      </w:r>
      <w:bookmarkEnd w:id="3379"/>
      <w:bookmarkEnd w:id="3380"/>
      <w:bookmarkEnd w:id="3381"/>
      <w:bookmarkEnd w:id="3382"/>
    </w:p>
    <w:p w14:paraId="641D46C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Ustalenia zawarte w niniejszej specyfikacji dotyczą zasad prowadzenia robót związanych z wykonaniem </w:t>
      </w:r>
      <w:r w:rsidRPr="004853EB">
        <w:rPr>
          <w:rFonts w:eastAsia="Times New Roman" w:cstheme="minorHAnsi"/>
          <w:color w:val="000000"/>
          <w:sz w:val="20"/>
          <w:szCs w:val="20"/>
          <w:lang w:eastAsia="pl-PL"/>
        </w:rPr>
        <w:br/>
        <w:t>i odbiorem warstwy wiążącej i wyrównawczej z betonu asfaltowego wg PN-EN 13108-1 [50] i WT-2 Mieszanki mineralno-asfaltowe 2014 [71] z mieszanki mineralno-asfaltowej dostarczonej od producenta. W przypadku produkcji mieszanki mineralno-asfaltowej przez Wykonawcę dla potrzeb budowy, Wykonawca zobowiązany jest prowadzić zakładową kontrolę produkcji (ZKP) zgodnie z PN-EN 13108-21 [54].</w:t>
      </w:r>
    </w:p>
    <w:p w14:paraId="5230D98B" w14:textId="42748B4E"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Warstwę wiążącą i wyrównawczą z betonu asfaltowego można wykonywać dla dróg kategorii ruchu od KR3 do KR4 (określenie kategorii ruchu podano w punkcie 1.4.8). Stosowane </w:t>
      </w:r>
      <w:r w:rsidR="00336D00" w:rsidRPr="004853EB">
        <w:rPr>
          <w:rFonts w:eastAsia="Times New Roman" w:cstheme="minorHAnsi"/>
          <w:color w:val="000000"/>
          <w:sz w:val="20"/>
          <w:szCs w:val="20"/>
          <w:lang w:eastAsia="pl-PL"/>
        </w:rPr>
        <w:t>mieszanki betonu</w:t>
      </w:r>
      <w:r w:rsidRPr="004853EB">
        <w:rPr>
          <w:rFonts w:eastAsia="Times New Roman" w:cstheme="minorHAnsi"/>
          <w:color w:val="000000"/>
          <w:sz w:val="20"/>
          <w:szCs w:val="20"/>
          <w:lang w:eastAsia="pl-PL"/>
        </w:rPr>
        <w:t xml:space="preserve"> asfaltowego </w:t>
      </w:r>
      <w:r w:rsidRPr="004853EB">
        <w:rPr>
          <w:rFonts w:eastAsia="Times New Roman" w:cstheme="minorHAnsi"/>
          <w:color w:val="000000"/>
          <w:sz w:val="20"/>
          <w:szCs w:val="20"/>
          <w:lang w:eastAsia="pl-PL"/>
        </w:rPr>
        <w:br/>
        <w:t>o wymiarze D (patrz pkt 1.4.5.) podano w tablicy 1.</w:t>
      </w:r>
    </w:p>
    <w:p w14:paraId="37168B81" w14:textId="77777777" w:rsidR="00CC1EF4" w:rsidRPr="004853EB" w:rsidRDefault="00CC1EF4" w:rsidP="00CC1EF4">
      <w:pPr>
        <w:spacing w:before="60" w:after="6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4111"/>
      </w:tblGrid>
      <w:tr w:rsidR="00CC1EF4" w:rsidRPr="004853EB" w14:paraId="20CE94DF" w14:textId="77777777" w:rsidTr="00E95D02">
        <w:trPr>
          <w:trHeight w:val="710"/>
        </w:trPr>
        <w:tc>
          <w:tcPr>
            <w:tcW w:w="1276" w:type="dxa"/>
            <w:vAlign w:val="center"/>
          </w:tcPr>
          <w:p w14:paraId="76F29DD1" w14:textId="77777777" w:rsidR="00CC1EF4" w:rsidRPr="004853EB" w:rsidRDefault="00CC1EF4" w:rsidP="00CC1EF4">
            <w:pPr>
              <w:spacing w:before="6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Kategoria</w:t>
            </w:r>
          </w:p>
          <w:p w14:paraId="549D3F7B" w14:textId="77777777" w:rsidR="00CC1EF4" w:rsidRPr="004853EB" w:rsidRDefault="00CC1EF4" w:rsidP="00CC1EF4">
            <w:pPr>
              <w:spacing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ruchu</w:t>
            </w:r>
          </w:p>
        </w:tc>
        <w:tc>
          <w:tcPr>
            <w:tcW w:w="4111" w:type="dxa"/>
            <w:vAlign w:val="center"/>
          </w:tcPr>
          <w:p w14:paraId="2F992288" w14:textId="0316412C" w:rsidR="00CC1EF4" w:rsidRPr="004853EB" w:rsidRDefault="00336D00"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Mieszanki o</w:t>
            </w:r>
            <w:r w:rsidR="00CC1EF4" w:rsidRPr="004853EB">
              <w:rPr>
                <w:rFonts w:eastAsia="Times New Roman" w:cstheme="minorHAnsi"/>
                <w:color w:val="000000"/>
                <w:sz w:val="18"/>
                <w:szCs w:val="18"/>
                <w:lang w:eastAsia="pl-PL"/>
              </w:rPr>
              <w:t xml:space="preserve"> wymiarze D</w:t>
            </w:r>
            <w:r w:rsidR="00CC1EF4" w:rsidRPr="004853EB">
              <w:rPr>
                <w:rFonts w:eastAsia="Times New Roman" w:cstheme="minorHAnsi"/>
                <w:color w:val="000000"/>
                <w:sz w:val="18"/>
                <w:szCs w:val="18"/>
                <w:vertAlign w:val="superscript"/>
                <w:lang w:eastAsia="pl-PL"/>
              </w:rPr>
              <w:t>1</w:t>
            </w:r>
            <w:r w:rsidRPr="004853EB">
              <w:rPr>
                <w:rFonts w:eastAsia="Times New Roman" w:cstheme="minorHAnsi"/>
                <w:color w:val="000000"/>
                <w:sz w:val="18"/>
                <w:szCs w:val="18"/>
                <w:vertAlign w:val="superscript"/>
                <w:lang w:eastAsia="pl-PL"/>
              </w:rPr>
              <w:t>)</w:t>
            </w:r>
            <w:r w:rsidRPr="004853EB">
              <w:rPr>
                <w:rFonts w:eastAsia="Times New Roman" w:cstheme="minorHAnsi"/>
                <w:color w:val="000000"/>
                <w:sz w:val="18"/>
                <w:szCs w:val="18"/>
                <w:lang w:eastAsia="pl-PL"/>
              </w:rPr>
              <w:t>, mm</w:t>
            </w:r>
          </w:p>
        </w:tc>
      </w:tr>
      <w:tr w:rsidR="00CC1EF4" w:rsidRPr="004853EB" w14:paraId="453ECCD1" w14:textId="77777777" w:rsidTr="00E95D02">
        <w:tc>
          <w:tcPr>
            <w:tcW w:w="1276" w:type="dxa"/>
          </w:tcPr>
          <w:p w14:paraId="30320435"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KR 3-4</w:t>
            </w:r>
          </w:p>
        </w:tc>
        <w:tc>
          <w:tcPr>
            <w:tcW w:w="4111" w:type="dxa"/>
          </w:tcPr>
          <w:p w14:paraId="09D82CE4"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AC16W, AC22W</w:t>
            </w:r>
          </w:p>
        </w:tc>
      </w:tr>
    </w:tbl>
    <w:p w14:paraId="15444B4A" w14:textId="77777777" w:rsidR="00CC1EF4" w:rsidRPr="004853EB" w:rsidRDefault="00CC1EF4" w:rsidP="00CC1EF4">
      <w:pPr>
        <w:tabs>
          <w:tab w:val="left" w:pos="142"/>
        </w:tabs>
        <w:spacing w:after="0" w:line="240" w:lineRule="auto"/>
        <w:ind w:left="142" w:hanging="142"/>
        <w:jc w:val="both"/>
        <w:rPr>
          <w:rFonts w:eastAsia="Times New Roman" w:cstheme="minorHAnsi"/>
          <w:color w:val="000000"/>
          <w:sz w:val="20"/>
          <w:szCs w:val="20"/>
          <w:lang w:eastAsia="pl-PL"/>
        </w:rPr>
      </w:pPr>
      <w:r w:rsidRPr="004853EB">
        <w:rPr>
          <w:rFonts w:eastAsia="Times New Roman" w:cstheme="minorHAnsi"/>
          <w:color w:val="000000"/>
          <w:sz w:val="20"/>
          <w:szCs w:val="20"/>
          <w:vertAlign w:val="superscript"/>
          <w:lang w:eastAsia="pl-PL"/>
        </w:rPr>
        <w:t>1)</w:t>
      </w:r>
      <w:r w:rsidRPr="004853EB">
        <w:rPr>
          <w:rFonts w:eastAsia="Times New Roman" w:cstheme="minorHAnsi"/>
          <w:color w:val="000000"/>
          <w:sz w:val="20"/>
          <w:szCs w:val="20"/>
          <w:vertAlign w:val="superscript"/>
          <w:lang w:eastAsia="pl-PL"/>
        </w:rPr>
        <w:tab/>
      </w:r>
      <w:r w:rsidRPr="004853EB">
        <w:rPr>
          <w:rFonts w:eastAsia="Times New Roman" w:cstheme="minorHAnsi"/>
          <w:color w:val="000000"/>
          <w:sz w:val="20"/>
          <w:szCs w:val="20"/>
          <w:lang w:eastAsia="pl-PL"/>
        </w:rPr>
        <w:t>Podział ze względu na wymiar największego kruszywa w mieszance.</w:t>
      </w:r>
    </w:p>
    <w:p w14:paraId="780915CB" w14:textId="77777777" w:rsidR="00CC1EF4" w:rsidRPr="004853EB" w:rsidRDefault="00CC1EF4" w:rsidP="00CC1EF4">
      <w:pPr>
        <w:spacing w:before="120" w:after="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Uwaga:</w:t>
      </w:r>
      <w:r w:rsidRPr="004853EB">
        <w:rPr>
          <w:rFonts w:eastAsia="Times New Roman" w:cstheme="minorHAnsi"/>
          <w:color w:val="000000"/>
          <w:sz w:val="20"/>
          <w:szCs w:val="20"/>
          <w:lang w:eastAsia="pl-PL"/>
        </w:rPr>
        <w:t xml:space="preserve"> niniejsza ST nie obejmuje wykonania warstw nawierzchni z betonu asfaltowego o wysokim module sztywności.  </w:t>
      </w:r>
    </w:p>
    <w:p w14:paraId="0F960AA1"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0A227BF6"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383" w:name="_Toc97034612"/>
      <w:bookmarkStart w:id="3384" w:name="_Toc97035300"/>
      <w:bookmarkStart w:id="3385" w:name="_Toc194477003"/>
      <w:bookmarkStart w:id="3386" w:name="_Toc227825485"/>
      <w:r w:rsidRPr="004853EB">
        <w:rPr>
          <w:rFonts w:eastAsia="Times New Roman" w:cstheme="minorHAnsi"/>
          <w:b/>
          <w:bCs/>
          <w:color w:val="000000"/>
          <w:sz w:val="20"/>
          <w:szCs w:val="20"/>
          <w:lang w:eastAsia="pl-PL"/>
        </w:rPr>
        <w:t>1.4. Określenia podstawowe</w:t>
      </w:r>
      <w:bookmarkEnd w:id="3383"/>
      <w:bookmarkEnd w:id="3384"/>
      <w:bookmarkEnd w:id="3385"/>
      <w:bookmarkEnd w:id="3386"/>
    </w:p>
    <w:p w14:paraId="67FA4C0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b/>
          <w:color w:val="000000"/>
          <w:sz w:val="20"/>
          <w:szCs w:val="20"/>
          <w:lang w:eastAsia="pl-PL"/>
        </w:rPr>
      </w:pPr>
    </w:p>
    <w:p w14:paraId="08449E10" w14:textId="07CEF99F"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1.4.1. </w:t>
      </w:r>
      <w:r w:rsidRPr="004853EB">
        <w:rPr>
          <w:rFonts w:eastAsia="Times New Roman" w:cstheme="minorHAnsi"/>
          <w:color w:val="000000"/>
          <w:sz w:val="20"/>
          <w:szCs w:val="20"/>
          <w:lang w:eastAsia="pl-PL"/>
        </w:rPr>
        <w:t xml:space="preserve">Nawierzchnia – konstrukcja składająca się z jednej lub kilku warstw służących do przejmowania </w:t>
      </w:r>
      <w:r w:rsidR="00336D00">
        <w:rPr>
          <w:rFonts w:eastAsia="Times New Roman" w:cstheme="minorHAnsi"/>
          <w:color w:val="000000"/>
          <w:sz w:val="20"/>
          <w:szCs w:val="20"/>
          <w:lang w:eastAsia="pl-PL"/>
        </w:rPr>
        <w:br/>
      </w:r>
      <w:r w:rsidRPr="004853EB">
        <w:rPr>
          <w:rFonts w:eastAsia="Times New Roman" w:cstheme="minorHAnsi"/>
          <w:color w:val="000000"/>
          <w:sz w:val="20"/>
          <w:szCs w:val="20"/>
          <w:lang w:eastAsia="pl-PL"/>
        </w:rPr>
        <w:t>i rozkładania obciążeń od ruchu pojazdów na podłoże.</w:t>
      </w:r>
    </w:p>
    <w:p w14:paraId="4B7091A5"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1.4.2. </w:t>
      </w:r>
      <w:r w:rsidRPr="004853EB">
        <w:rPr>
          <w:rFonts w:eastAsia="Times New Roman" w:cstheme="minorHAnsi"/>
          <w:color w:val="000000"/>
          <w:sz w:val="20"/>
          <w:szCs w:val="20"/>
          <w:lang w:eastAsia="pl-PL"/>
        </w:rPr>
        <w:t>Warstwa wiążąca – warstwa nawierzchni między warstwą ścieralną a podbudową.</w:t>
      </w:r>
    </w:p>
    <w:p w14:paraId="38904BDF"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1.4.3. </w:t>
      </w:r>
      <w:r w:rsidRPr="004853EB">
        <w:rPr>
          <w:rFonts w:eastAsia="Times New Roman" w:cstheme="minorHAnsi"/>
          <w:color w:val="000000"/>
          <w:sz w:val="20"/>
          <w:szCs w:val="20"/>
          <w:lang w:eastAsia="pl-PL"/>
        </w:rPr>
        <w:t>Warstwa wyrównawcza – warstwa o zmiennej grubości, ułożona na istniejącej warstwie w celu uzyskania odpowiedniego profilu potrzebnego do ułożenia kolejnej warstwy.</w:t>
      </w:r>
    </w:p>
    <w:p w14:paraId="12BB7731"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1.4.4. </w:t>
      </w:r>
      <w:r w:rsidRPr="004853EB">
        <w:rPr>
          <w:rFonts w:eastAsia="Times New Roman" w:cstheme="minorHAnsi"/>
          <w:color w:val="000000"/>
          <w:sz w:val="20"/>
          <w:szCs w:val="20"/>
          <w:lang w:eastAsia="pl-PL"/>
        </w:rPr>
        <w:t>Mieszanka mineralno-asfaltowa – mieszanka kruszyw i lepiszcza asfaltowego.</w:t>
      </w:r>
    </w:p>
    <w:p w14:paraId="3CD849B9"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1.4.5. </w:t>
      </w:r>
      <w:r w:rsidRPr="004853EB">
        <w:rPr>
          <w:rFonts w:eastAsia="Times New Roman" w:cstheme="minorHAnsi"/>
          <w:color w:val="000000"/>
          <w:sz w:val="20"/>
          <w:szCs w:val="20"/>
          <w:lang w:eastAsia="pl-PL"/>
        </w:rPr>
        <w:t>Wymiar mieszanki mineralno-asfaltowej – określenie mieszanki mineralno-asfaltowej, ze względu na największy wymiar kruszywa D, np. wymiar 11, 16, 22.</w:t>
      </w:r>
    </w:p>
    <w:p w14:paraId="50911D84"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1.4.6. </w:t>
      </w:r>
      <w:r w:rsidRPr="004853EB">
        <w:rPr>
          <w:rFonts w:eastAsia="Times New Roman" w:cstheme="minorHAnsi"/>
          <w:color w:val="000000"/>
          <w:sz w:val="20"/>
          <w:szCs w:val="20"/>
          <w:lang w:eastAsia="pl-PL"/>
        </w:rPr>
        <w:t>Beton asfaltowy – mieszanka mineralno-asfaltowa, w której kruszywo o uziarnieniu ciągłym lub nieciągłym tworzy strukturę wzajemnie klinującą się.</w:t>
      </w:r>
    </w:p>
    <w:p w14:paraId="6A262C97"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1.4.7. </w:t>
      </w:r>
      <w:r w:rsidRPr="004853EB">
        <w:rPr>
          <w:rFonts w:eastAsia="Times New Roman" w:cstheme="minorHAnsi"/>
          <w:color w:val="000000"/>
          <w:sz w:val="20"/>
          <w:szCs w:val="20"/>
          <w:lang w:eastAsia="pl-PL"/>
        </w:rPr>
        <w:t>Uziarnienie – skład ziarnowy kruszywa, wyrażony w procentach masy ziaren przechodzących przez określony zestaw sit.</w:t>
      </w:r>
    </w:p>
    <w:p w14:paraId="55897C50"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1.4.8. </w:t>
      </w:r>
      <w:r w:rsidRPr="004853EB">
        <w:rPr>
          <w:rFonts w:eastAsia="Times New Roman" w:cstheme="minorHAnsi"/>
          <w:color w:val="000000"/>
          <w:sz w:val="20"/>
          <w:szCs w:val="20"/>
          <w:lang w:eastAsia="pl-PL"/>
        </w:rPr>
        <w:t>Kategoria ruchu – obciążenie drogi ruchem samochodowym, wyrażone w osiach obliczeniowych (100 kN) wg „Katalogu typowych konstrukcji nawierzchni podatnych i półsztywnych” GDDKiA [72].</w:t>
      </w:r>
    </w:p>
    <w:p w14:paraId="1672F2A4"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1.4.9. </w:t>
      </w:r>
      <w:r w:rsidRPr="004853EB">
        <w:rPr>
          <w:rFonts w:eastAsia="Times New Roman" w:cstheme="minorHAnsi"/>
          <w:color w:val="000000"/>
          <w:sz w:val="20"/>
          <w:szCs w:val="20"/>
          <w:lang w:eastAsia="pl-PL"/>
        </w:rPr>
        <w:t>Wymiar kruszywa – wielkość ziaren kruszywa, określona przez dolny (d) i górny (D) wymiar sita.</w:t>
      </w:r>
    </w:p>
    <w:p w14:paraId="52D32E6E"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1.4.10. </w:t>
      </w:r>
      <w:r w:rsidRPr="004853EB">
        <w:rPr>
          <w:rFonts w:eastAsia="Times New Roman" w:cstheme="minorHAnsi"/>
          <w:color w:val="000000"/>
          <w:sz w:val="20"/>
          <w:szCs w:val="20"/>
          <w:lang w:eastAsia="pl-PL"/>
        </w:rPr>
        <w:t>Kruszywo grube – kruszywo z ziaren o wymiarze: D ≤ 45 mm oraz d &gt; 2 mm.</w:t>
      </w:r>
    </w:p>
    <w:p w14:paraId="0AA91C4A"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lastRenderedPageBreak/>
        <w:t xml:space="preserve">1.4.11. </w:t>
      </w:r>
      <w:r w:rsidRPr="004853EB">
        <w:rPr>
          <w:rFonts w:eastAsia="Times New Roman" w:cstheme="minorHAnsi"/>
          <w:color w:val="000000"/>
          <w:sz w:val="20"/>
          <w:szCs w:val="20"/>
          <w:lang w:eastAsia="pl-PL"/>
        </w:rPr>
        <w:t>Kruszywo drobne – kruszywo z ziaren o wymiarze: D ≤ 2 mm, którego większa część pozostaje na sicie 0,063 mm.</w:t>
      </w:r>
    </w:p>
    <w:p w14:paraId="14AEECB2"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1.4.12. </w:t>
      </w:r>
      <w:r w:rsidRPr="004853EB">
        <w:rPr>
          <w:rFonts w:eastAsia="Times New Roman" w:cstheme="minorHAnsi"/>
          <w:color w:val="000000"/>
          <w:sz w:val="20"/>
          <w:szCs w:val="20"/>
          <w:lang w:eastAsia="pl-PL"/>
        </w:rPr>
        <w:t>Pył – kruszywo z ziaren przechodzących przez sito 0,063 mm.</w:t>
      </w:r>
    </w:p>
    <w:p w14:paraId="15BB29C8"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1.4.13. </w:t>
      </w:r>
      <w:r w:rsidRPr="004853EB">
        <w:rPr>
          <w:rFonts w:eastAsia="Times New Roman" w:cstheme="minorHAnsi"/>
          <w:color w:val="000000"/>
          <w:sz w:val="20"/>
          <w:szCs w:val="20"/>
          <w:lang w:eastAsia="pl-PL"/>
        </w:rPr>
        <w:t>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14:paraId="483E8B36"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1.4.14.</w:t>
      </w:r>
      <w:r w:rsidRPr="004853EB">
        <w:rPr>
          <w:rFonts w:eastAsia="Times New Roman" w:cstheme="minorHAnsi"/>
          <w:color w:val="000000"/>
          <w:sz w:val="20"/>
          <w:szCs w:val="20"/>
          <w:lang w:eastAsia="pl-PL"/>
        </w:rPr>
        <w:t xml:space="preserve"> Granulat asfaltowy – jest to przetworzony destrukt asfaltowy o udokumentowanej jakości jako materiał składowy w produkcji mieszanek mineralno-asfaltowych w technologii na gorąco.</w:t>
      </w:r>
    </w:p>
    <w:p w14:paraId="226F813E"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1.4.15. </w:t>
      </w:r>
      <w:r w:rsidRPr="004853EB">
        <w:rPr>
          <w:rFonts w:eastAsia="Times New Roman" w:cstheme="minorHAnsi"/>
          <w:color w:val="000000"/>
          <w:sz w:val="20"/>
          <w:szCs w:val="20"/>
          <w:lang w:eastAsia="pl-PL"/>
        </w:rPr>
        <w:t xml:space="preserve">Destrukt asfaltowy – jest to mieszanka mineralno-asfaltowa, która jest uzyskiwana w wyniku frezowania warstw asfaltowych, rozkruszenia płyt wyciętych z nawierzchni asfaltowej, brył uzyskiwanych z płyt oraz </w:t>
      </w:r>
      <w:r w:rsidRPr="004853EB">
        <w:rPr>
          <w:rFonts w:eastAsia="Times New Roman" w:cstheme="minorHAnsi"/>
          <w:color w:val="000000"/>
          <w:sz w:val="20"/>
          <w:szCs w:val="20"/>
          <w:lang w:eastAsia="pl-PL"/>
        </w:rPr>
        <w:br/>
        <w:t>z mieszanki mineralno-asfaltowej odrzuconej lub będącej nadwyżką produkcji.</w:t>
      </w:r>
    </w:p>
    <w:p w14:paraId="2ABDED35"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1.4.16. </w:t>
      </w:r>
      <w:r w:rsidRPr="004853EB">
        <w:rPr>
          <w:rFonts w:eastAsia="Times New Roman" w:cstheme="minorHAnsi"/>
          <w:color w:val="000000"/>
          <w:sz w:val="20"/>
          <w:szCs w:val="20"/>
          <w:lang w:eastAsia="pl-PL"/>
        </w:rPr>
        <w:t>Kationowa emulsja asfaltowa – emulsja, w której emulgator nadaje dodatnie ładunki cząstkom zdyspergowanego asfaltu.</w:t>
      </w:r>
    </w:p>
    <w:p w14:paraId="5341E13F" w14:textId="77777777" w:rsidR="00CC1EF4" w:rsidRPr="004853EB" w:rsidRDefault="00CC1EF4" w:rsidP="00CC1EF4">
      <w:p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1.4.17. </w:t>
      </w:r>
      <w:r w:rsidRPr="004853EB">
        <w:rPr>
          <w:rFonts w:eastAsia="Times New Roman" w:cstheme="minorHAnsi"/>
          <w:color w:val="000000"/>
          <w:sz w:val="20"/>
          <w:szCs w:val="20"/>
          <w:lang w:eastAsia="pl-PL"/>
        </w:rPr>
        <w:t xml:space="preserve">Pozostałe określenia podstawowe są zgodne z obowiązującymi, odpowiednimi polskimi normami </w:t>
      </w:r>
      <w:r w:rsidRPr="004853EB">
        <w:rPr>
          <w:rFonts w:eastAsia="Times New Roman" w:cstheme="minorHAnsi"/>
          <w:color w:val="000000"/>
          <w:sz w:val="20"/>
          <w:szCs w:val="20"/>
          <w:lang w:eastAsia="pl-PL"/>
        </w:rPr>
        <w:br/>
        <w:t>i z definicjami podanymi w OST D-M-00.00.00 „Wymagania ogólne” pkt 1.4.</w:t>
      </w:r>
    </w:p>
    <w:p w14:paraId="216B034F"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1.4.18. </w:t>
      </w:r>
      <w:r w:rsidRPr="004853EB">
        <w:rPr>
          <w:rFonts w:eastAsia="Times New Roman" w:cstheme="minorHAnsi"/>
          <w:color w:val="000000"/>
          <w:sz w:val="20"/>
          <w:szCs w:val="20"/>
          <w:lang w:eastAsia="pl-PL"/>
        </w:rPr>
        <w:t>Symbole i skróty dodatkowe</w:t>
      </w:r>
    </w:p>
    <w:tbl>
      <w:tblPr>
        <w:tblW w:w="0" w:type="auto"/>
        <w:tblLook w:val="04A0" w:firstRow="1" w:lastRow="0" w:firstColumn="1" w:lastColumn="0" w:noHBand="0" w:noVBand="1"/>
      </w:tblPr>
      <w:tblGrid>
        <w:gridCol w:w="817"/>
        <w:gridCol w:w="8186"/>
      </w:tblGrid>
      <w:tr w:rsidR="00CC1EF4" w:rsidRPr="004853EB" w14:paraId="6F053644" w14:textId="77777777" w:rsidTr="00E95D02">
        <w:tc>
          <w:tcPr>
            <w:tcW w:w="817" w:type="dxa"/>
          </w:tcPr>
          <w:p w14:paraId="216AA3E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AC_W</w:t>
            </w:r>
          </w:p>
        </w:tc>
        <w:tc>
          <w:tcPr>
            <w:tcW w:w="8186" w:type="dxa"/>
          </w:tcPr>
          <w:p w14:paraId="131D885E" w14:textId="77777777" w:rsidR="00CC1EF4" w:rsidRPr="004853EB" w:rsidRDefault="00CC1EF4" w:rsidP="00CC1EF4">
            <w:pPr>
              <w:overflowPunct w:val="0"/>
              <w:autoSpaceDE w:val="0"/>
              <w:autoSpaceDN w:val="0"/>
              <w:adjustRightInd w:val="0"/>
              <w:spacing w:after="0" w:line="240" w:lineRule="auto"/>
              <w:ind w:left="176" w:hanging="142"/>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beton asfaltowy do warstwy wiążącej i wyrównawczej,</w:t>
            </w:r>
          </w:p>
        </w:tc>
      </w:tr>
      <w:tr w:rsidR="00CC1EF4" w:rsidRPr="004853EB" w14:paraId="4367A04C" w14:textId="77777777" w:rsidTr="00E95D02">
        <w:tc>
          <w:tcPr>
            <w:tcW w:w="817" w:type="dxa"/>
          </w:tcPr>
          <w:p w14:paraId="35FFD0C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PMB</w:t>
            </w:r>
          </w:p>
        </w:tc>
        <w:tc>
          <w:tcPr>
            <w:tcW w:w="8186" w:type="dxa"/>
          </w:tcPr>
          <w:p w14:paraId="31F948B9" w14:textId="77777777" w:rsidR="00CC1EF4" w:rsidRPr="004853EB" w:rsidRDefault="00CC1EF4" w:rsidP="00CC1EF4">
            <w:pPr>
              <w:tabs>
                <w:tab w:val="left" w:pos="567"/>
                <w:tab w:val="left" w:pos="709"/>
              </w:tabs>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polimeroasfalt (ang. polymer modified bitumen),</w:t>
            </w:r>
          </w:p>
        </w:tc>
      </w:tr>
      <w:tr w:rsidR="00CC1EF4" w:rsidRPr="004853EB" w14:paraId="52CD6A72" w14:textId="77777777" w:rsidTr="00E95D02">
        <w:tc>
          <w:tcPr>
            <w:tcW w:w="817" w:type="dxa"/>
          </w:tcPr>
          <w:p w14:paraId="797D5B3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MG</w:t>
            </w:r>
          </w:p>
        </w:tc>
        <w:tc>
          <w:tcPr>
            <w:tcW w:w="8186" w:type="dxa"/>
          </w:tcPr>
          <w:p w14:paraId="59209A54" w14:textId="77777777" w:rsidR="00CC1EF4" w:rsidRPr="004853EB" w:rsidRDefault="00CC1EF4" w:rsidP="00CC1EF4">
            <w:pPr>
              <w:tabs>
                <w:tab w:val="left" w:pos="176"/>
              </w:tabs>
              <w:overflowPunct w:val="0"/>
              <w:autoSpaceDE w:val="0"/>
              <w:autoSpaceDN w:val="0"/>
              <w:adjustRightInd w:val="0"/>
              <w:spacing w:after="0" w:line="240" w:lineRule="auto"/>
              <w:ind w:left="176" w:hanging="142"/>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asfalt wielorodzajowy (ang. multigrade),</w:t>
            </w:r>
          </w:p>
        </w:tc>
      </w:tr>
      <w:tr w:rsidR="00CC1EF4" w:rsidRPr="004853EB" w14:paraId="223A1547" w14:textId="77777777" w:rsidTr="00E95D02">
        <w:tc>
          <w:tcPr>
            <w:tcW w:w="817" w:type="dxa"/>
          </w:tcPr>
          <w:p w14:paraId="2D7980C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D</w:t>
            </w:r>
          </w:p>
        </w:tc>
        <w:tc>
          <w:tcPr>
            <w:tcW w:w="8186" w:type="dxa"/>
          </w:tcPr>
          <w:p w14:paraId="294DA184" w14:textId="77777777" w:rsidR="00CC1EF4" w:rsidRPr="004853EB" w:rsidRDefault="00CC1EF4" w:rsidP="00CC1EF4">
            <w:pPr>
              <w:tabs>
                <w:tab w:val="left" w:pos="176"/>
              </w:tabs>
              <w:overflowPunct w:val="0"/>
              <w:autoSpaceDE w:val="0"/>
              <w:autoSpaceDN w:val="0"/>
              <w:adjustRightInd w:val="0"/>
              <w:spacing w:after="0" w:line="240" w:lineRule="auto"/>
              <w:ind w:left="176" w:hanging="142"/>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górny wymiar sita (przy określaniu wielkości ziaren kruszywa),</w:t>
            </w:r>
          </w:p>
        </w:tc>
      </w:tr>
      <w:tr w:rsidR="00CC1EF4" w:rsidRPr="004853EB" w14:paraId="2BD3A3D1" w14:textId="77777777" w:rsidTr="00E95D02">
        <w:tc>
          <w:tcPr>
            <w:tcW w:w="817" w:type="dxa"/>
          </w:tcPr>
          <w:p w14:paraId="294F13D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d</w:t>
            </w:r>
          </w:p>
        </w:tc>
        <w:tc>
          <w:tcPr>
            <w:tcW w:w="8186" w:type="dxa"/>
          </w:tcPr>
          <w:p w14:paraId="59B91125" w14:textId="77777777" w:rsidR="00CC1EF4" w:rsidRPr="004853EB" w:rsidRDefault="00CC1EF4" w:rsidP="00CC1EF4">
            <w:pPr>
              <w:overflowPunct w:val="0"/>
              <w:autoSpaceDE w:val="0"/>
              <w:autoSpaceDN w:val="0"/>
              <w:adjustRightInd w:val="0"/>
              <w:spacing w:after="0" w:line="240" w:lineRule="auto"/>
              <w:ind w:left="176" w:hanging="142"/>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dolny wymiar sita (przy określaniu wielkości ziaren kruszywa),</w:t>
            </w:r>
          </w:p>
        </w:tc>
      </w:tr>
      <w:tr w:rsidR="00CC1EF4" w:rsidRPr="004853EB" w14:paraId="70B0A687" w14:textId="77777777" w:rsidTr="00E95D02">
        <w:tc>
          <w:tcPr>
            <w:tcW w:w="817" w:type="dxa"/>
          </w:tcPr>
          <w:p w14:paraId="7140479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C</w:t>
            </w:r>
          </w:p>
        </w:tc>
        <w:tc>
          <w:tcPr>
            <w:tcW w:w="8186" w:type="dxa"/>
          </w:tcPr>
          <w:p w14:paraId="4A0659D2" w14:textId="77777777" w:rsidR="00CC1EF4" w:rsidRPr="004853EB" w:rsidRDefault="00CC1EF4" w:rsidP="00CC1EF4">
            <w:pPr>
              <w:overflowPunct w:val="0"/>
              <w:autoSpaceDE w:val="0"/>
              <w:autoSpaceDN w:val="0"/>
              <w:adjustRightInd w:val="0"/>
              <w:spacing w:after="0" w:line="240" w:lineRule="auto"/>
              <w:ind w:left="176" w:hanging="142"/>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kationowa emulsja asfaltowa,</w:t>
            </w:r>
          </w:p>
        </w:tc>
      </w:tr>
      <w:tr w:rsidR="00CC1EF4" w:rsidRPr="004853EB" w14:paraId="3E08855D" w14:textId="77777777" w:rsidTr="00E95D02">
        <w:tc>
          <w:tcPr>
            <w:tcW w:w="817" w:type="dxa"/>
          </w:tcPr>
          <w:p w14:paraId="43F16FB2"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NPD</w:t>
            </w:r>
          </w:p>
        </w:tc>
        <w:tc>
          <w:tcPr>
            <w:tcW w:w="8186" w:type="dxa"/>
          </w:tcPr>
          <w:p w14:paraId="2056D3D0" w14:textId="77777777" w:rsidR="00CC1EF4" w:rsidRPr="004853EB" w:rsidRDefault="00CC1EF4" w:rsidP="00CC1EF4">
            <w:pPr>
              <w:overflowPunct w:val="0"/>
              <w:autoSpaceDE w:val="0"/>
              <w:autoSpaceDN w:val="0"/>
              <w:adjustRightInd w:val="0"/>
              <w:spacing w:after="0" w:line="240" w:lineRule="auto"/>
              <w:ind w:left="176" w:hanging="142"/>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właściwość użytkowa nie określana (ang. No Performance Determined; producent może jej nie określać),</w:t>
            </w:r>
          </w:p>
        </w:tc>
      </w:tr>
      <w:tr w:rsidR="00CC1EF4" w:rsidRPr="004853EB" w14:paraId="099ED7F9" w14:textId="77777777" w:rsidTr="00E95D02">
        <w:tc>
          <w:tcPr>
            <w:tcW w:w="817" w:type="dxa"/>
          </w:tcPr>
          <w:p w14:paraId="67F1207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TBR</w:t>
            </w:r>
          </w:p>
        </w:tc>
        <w:tc>
          <w:tcPr>
            <w:tcW w:w="8186" w:type="dxa"/>
          </w:tcPr>
          <w:p w14:paraId="287773B6" w14:textId="77777777" w:rsidR="00CC1EF4" w:rsidRPr="004853EB" w:rsidRDefault="00CC1EF4" w:rsidP="00CC1EF4">
            <w:pPr>
              <w:overflowPunct w:val="0"/>
              <w:autoSpaceDE w:val="0"/>
              <w:autoSpaceDN w:val="0"/>
              <w:adjustRightInd w:val="0"/>
              <w:spacing w:after="0" w:line="240" w:lineRule="auto"/>
              <w:ind w:left="176" w:hanging="142"/>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do zadeklarowania (ang. To Be Reported; producent może dostarczyć odpowiednie informacje, jednak nie jest do tego zobowiązany),</w:t>
            </w:r>
          </w:p>
        </w:tc>
      </w:tr>
      <w:tr w:rsidR="00CC1EF4" w:rsidRPr="004853EB" w14:paraId="6F077DD4" w14:textId="77777777" w:rsidTr="00E95D02">
        <w:tc>
          <w:tcPr>
            <w:tcW w:w="817" w:type="dxa"/>
          </w:tcPr>
          <w:p w14:paraId="2DD0308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MOP</w:t>
            </w:r>
          </w:p>
        </w:tc>
        <w:tc>
          <w:tcPr>
            <w:tcW w:w="8186" w:type="dxa"/>
          </w:tcPr>
          <w:p w14:paraId="26E30A1B" w14:textId="77777777" w:rsidR="00CC1EF4" w:rsidRPr="004853EB" w:rsidRDefault="00CC1EF4" w:rsidP="00CC1EF4">
            <w:pPr>
              <w:overflowPunct w:val="0"/>
              <w:autoSpaceDE w:val="0"/>
              <w:autoSpaceDN w:val="0"/>
              <w:adjustRightInd w:val="0"/>
              <w:spacing w:after="0" w:line="240" w:lineRule="auto"/>
              <w:ind w:left="176" w:hanging="142"/>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miejsce obsługi podróżnych,</w:t>
            </w:r>
          </w:p>
        </w:tc>
      </w:tr>
      <w:tr w:rsidR="00CC1EF4" w:rsidRPr="004853EB" w14:paraId="49146726" w14:textId="77777777" w:rsidTr="00E95D02">
        <w:tc>
          <w:tcPr>
            <w:tcW w:w="817" w:type="dxa"/>
          </w:tcPr>
          <w:p w14:paraId="0D732DEC"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ZKP</w:t>
            </w:r>
          </w:p>
        </w:tc>
        <w:tc>
          <w:tcPr>
            <w:tcW w:w="8186" w:type="dxa"/>
          </w:tcPr>
          <w:p w14:paraId="16B56C9C"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zakładowa kontrola produkcji.</w:t>
            </w:r>
          </w:p>
        </w:tc>
      </w:tr>
    </w:tbl>
    <w:p w14:paraId="2EC60BC6"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7EBE8524"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387" w:name="_Toc97034613"/>
      <w:bookmarkStart w:id="3388" w:name="_Toc97035301"/>
      <w:bookmarkStart w:id="3389" w:name="_Toc194477004"/>
      <w:bookmarkStart w:id="3390" w:name="_Toc227825486"/>
      <w:r w:rsidRPr="004853EB">
        <w:rPr>
          <w:rFonts w:eastAsia="Times New Roman" w:cstheme="minorHAnsi"/>
          <w:b/>
          <w:bCs/>
          <w:color w:val="000000"/>
          <w:sz w:val="20"/>
          <w:szCs w:val="20"/>
          <w:lang w:eastAsia="pl-PL"/>
        </w:rPr>
        <w:t>1.5. Ogólne wymagania dotyczące robót</w:t>
      </w:r>
      <w:bookmarkEnd w:id="3387"/>
      <w:bookmarkEnd w:id="3388"/>
      <w:bookmarkEnd w:id="3389"/>
      <w:bookmarkEnd w:id="3390"/>
    </w:p>
    <w:p w14:paraId="6E06AA9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b/>
          <w:color w:val="000000"/>
          <w:sz w:val="20"/>
          <w:szCs w:val="20"/>
          <w:lang w:eastAsia="pl-PL"/>
        </w:rPr>
        <w:tab/>
      </w:r>
      <w:r w:rsidRPr="004853EB">
        <w:rPr>
          <w:rFonts w:eastAsia="Times New Roman" w:cstheme="minorHAnsi"/>
          <w:color w:val="000000"/>
          <w:sz w:val="20"/>
          <w:szCs w:val="20"/>
          <w:lang w:eastAsia="pl-PL"/>
        </w:rPr>
        <w:t>Ogólne wymagania dotyczące robót podano w OST D-M-00.00.00 „Wymagania ogólne” [1] pkt 1.5.</w:t>
      </w:r>
    </w:p>
    <w:p w14:paraId="10CB4E15"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391" w:name="_Toc412707319"/>
      <w:bookmarkStart w:id="3392" w:name="_Toc68686950"/>
      <w:bookmarkStart w:id="3393" w:name="_Toc68690548"/>
      <w:bookmarkStart w:id="3394" w:name="_Toc97034614"/>
      <w:bookmarkStart w:id="3395" w:name="_Toc97035302"/>
      <w:bookmarkStart w:id="3396" w:name="_Toc194477005"/>
      <w:bookmarkStart w:id="3397" w:name="_Toc227825487"/>
      <w:r w:rsidRPr="004853EB">
        <w:rPr>
          <w:rFonts w:eastAsia="Times New Roman" w:cstheme="minorHAnsi"/>
          <w:b/>
          <w:bCs/>
          <w:color w:val="000000"/>
          <w:sz w:val="20"/>
          <w:szCs w:val="20"/>
          <w:lang w:eastAsia="pl-PL"/>
        </w:rPr>
        <w:t>2. M</w:t>
      </w:r>
      <w:bookmarkEnd w:id="3391"/>
      <w:r w:rsidRPr="004853EB">
        <w:rPr>
          <w:rFonts w:eastAsia="Times New Roman" w:cstheme="minorHAnsi"/>
          <w:b/>
          <w:bCs/>
          <w:color w:val="000000"/>
          <w:sz w:val="20"/>
          <w:szCs w:val="20"/>
          <w:lang w:eastAsia="pl-PL"/>
        </w:rPr>
        <w:t>ATERIAŁY</w:t>
      </w:r>
      <w:bookmarkEnd w:id="3392"/>
      <w:bookmarkEnd w:id="3393"/>
      <w:bookmarkEnd w:id="3394"/>
      <w:bookmarkEnd w:id="3395"/>
      <w:bookmarkEnd w:id="3396"/>
      <w:bookmarkEnd w:id="3397"/>
    </w:p>
    <w:p w14:paraId="627F2C68"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43D77523"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398" w:name="_Toc97034615"/>
      <w:bookmarkStart w:id="3399" w:name="_Toc97035303"/>
      <w:bookmarkStart w:id="3400" w:name="_Toc194477006"/>
      <w:bookmarkStart w:id="3401" w:name="_Toc227825488"/>
      <w:r w:rsidRPr="004853EB">
        <w:rPr>
          <w:rFonts w:eastAsia="Times New Roman" w:cstheme="minorHAnsi"/>
          <w:b/>
          <w:bCs/>
          <w:color w:val="000000"/>
          <w:sz w:val="20"/>
          <w:szCs w:val="20"/>
          <w:lang w:eastAsia="pl-PL"/>
        </w:rPr>
        <w:t>2.1. Ogólne wymagania dotyczące materiałów</w:t>
      </w:r>
      <w:bookmarkEnd w:id="3398"/>
      <w:bookmarkEnd w:id="3399"/>
      <w:bookmarkEnd w:id="3400"/>
      <w:bookmarkEnd w:id="3401"/>
    </w:p>
    <w:p w14:paraId="3BB59402" w14:textId="1BEEFF7B"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Ogólne wymagania dotyczące materiałów, ich pozyskiwania i składowania, podano </w:t>
      </w:r>
      <w:r w:rsidR="00336D00" w:rsidRPr="004853EB">
        <w:rPr>
          <w:rFonts w:eastAsia="Times New Roman" w:cstheme="minorHAnsi"/>
          <w:color w:val="000000"/>
          <w:sz w:val="20"/>
          <w:szCs w:val="20"/>
          <w:lang w:eastAsia="pl-PL"/>
        </w:rPr>
        <w:t>w OST</w:t>
      </w:r>
      <w:r w:rsidRPr="004853EB">
        <w:rPr>
          <w:rFonts w:eastAsia="Times New Roman" w:cstheme="minorHAnsi"/>
          <w:color w:val="000000"/>
          <w:sz w:val="20"/>
          <w:szCs w:val="20"/>
          <w:lang w:eastAsia="pl-PL"/>
        </w:rPr>
        <w:t xml:space="preserve"> D-M-00.00.00 „Wymagania ogólne” [1] pkt 2.</w:t>
      </w:r>
    </w:p>
    <w:p w14:paraId="3FFBF7D4"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405F5775"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402" w:name="_Toc97034616"/>
      <w:bookmarkStart w:id="3403" w:name="_Toc97035304"/>
      <w:bookmarkStart w:id="3404" w:name="_Toc194477007"/>
      <w:bookmarkStart w:id="3405" w:name="_Toc227825489"/>
      <w:r w:rsidRPr="004853EB">
        <w:rPr>
          <w:rFonts w:eastAsia="Times New Roman" w:cstheme="minorHAnsi"/>
          <w:b/>
          <w:bCs/>
          <w:color w:val="000000"/>
          <w:sz w:val="20"/>
          <w:szCs w:val="20"/>
          <w:lang w:eastAsia="pl-PL"/>
        </w:rPr>
        <w:t>2.2. Materiały stosowane do betonu asfaltowego do warstwy wyrównawczej i wiążącej</w:t>
      </w:r>
      <w:bookmarkEnd w:id="3402"/>
      <w:bookmarkEnd w:id="3403"/>
      <w:bookmarkEnd w:id="3404"/>
      <w:bookmarkEnd w:id="3405"/>
    </w:p>
    <w:p w14:paraId="24AAFC5F"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Rodzaje stosowanych materiałów do betonu asfaltowego do warstwy wyrównawczej i wiążącej </w:t>
      </w:r>
      <w:r w:rsidRPr="004853EB">
        <w:rPr>
          <w:rFonts w:eastAsia="Times New Roman" w:cstheme="minorHAnsi"/>
          <w:color w:val="000000"/>
          <w:sz w:val="20"/>
          <w:szCs w:val="20"/>
          <w:lang w:eastAsia="pl-PL"/>
        </w:rPr>
        <w:br/>
        <w:t xml:space="preserve">w zależności od kategorii ruchu podano w tablicy 2. </w:t>
      </w:r>
    </w:p>
    <w:p w14:paraId="4EA08C52" w14:textId="77777777" w:rsidR="00CC1EF4" w:rsidRPr="004853EB" w:rsidRDefault="00CC1EF4" w:rsidP="00CC1EF4">
      <w:pPr>
        <w:spacing w:before="60" w:after="60" w:line="240" w:lineRule="auto"/>
        <w:ind w:left="900" w:hanging="900"/>
        <w:jc w:val="both"/>
        <w:rPr>
          <w:rFonts w:eastAsia="Times New Roman" w:cstheme="minorHAnsi"/>
          <w:color w:val="000000"/>
          <w:sz w:val="20"/>
          <w:szCs w:val="20"/>
          <w:lang w:eastAsia="pl-PL"/>
        </w:rPr>
      </w:pPr>
    </w:p>
    <w:p w14:paraId="00340E65" w14:textId="3810C3B7" w:rsidR="00CC1EF4" w:rsidRPr="004853EB" w:rsidRDefault="00CC1EF4" w:rsidP="00CC1EF4">
      <w:pPr>
        <w:spacing w:before="60" w:after="60" w:line="240" w:lineRule="auto"/>
        <w:ind w:left="900" w:hanging="90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Tablica 2. </w:t>
      </w:r>
      <w:r w:rsidR="00336D00" w:rsidRPr="004853EB">
        <w:rPr>
          <w:rFonts w:eastAsia="Times New Roman" w:cstheme="minorHAnsi"/>
          <w:color w:val="000000"/>
          <w:sz w:val="20"/>
          <w:szCs w:val="20"/>
          <w:lang w:eastAsia="pl-PL"/>
        </w:rPr>
        <w:t>Materiały do</w:t>
      </w:r>
      <w:r w:rsidRPr="004853EB">
        <w:rPr>
          <w:rFonts w:eastAsia="Times New Roman" w:cstheme="minorHAnsi"/>
          <w:color w:val="000000"/>
          <w:sz w:val="20"/>
          <w:szCs w:val="20"/>
          <w:lang w:eastAsia="pl-PL"/>
        </w:rPr>
        <w:t xml:space="preserve"> warstwy wiążącej i wyrównawczej z betonu asfaltowego</w:t>
      </w:r>
    </w:p>
    <w:p w14:paraId="6818DBAE" w14:textId="77777777" w:rsidR="00CC1EF4" w:rsidRPr="004853EB" w:rsidRDefault="00CC1EF4" w:rsidP="00CC1EF4">
      <w:pPr>
        <w:spacing w:after="0" w:line="240" w:lineRule="auto"/>
        <w:ind w:left="993" w:hanging="993"/>
        <w:jc w:val="both"/>
        <w:rPr>
          <w:rFonts w:eastAsia="Times New Roman" w:cstheme="minorHAnsi"/>
          <w:color w:val="000000"/>
          <w:sz w:val="20"/>
          <w:szCs w:val="20"/>
          <w:lang w:eastAsia="pl-P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00"/>
        <w:gridCol w:w="2880"/>
        <w:gridCol w:w="2760"/>
        <w:gridCol w:w="12"/>
      </w:tblGrid>
      <w:tr w:rsidR="00CC1EF4" w:rsidRPr="004853EB" w14:paraId="2F2F6B01" w14:textId="77777777" w:rsidTr="00E95D02">
        <w:tc>
          <w:tcPr>
            <w:tcW w:w="3000" w:type="dxa"/>
            <w:vMerge w:val="restart"/>
          </w:tcPr>
          <w:p w14:paraId="1CB09BC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Materiał</w:t>
            </w:r>
          </w:p>
        </w:tc>
        <w:tc>
          <w:tcPr>
            <w:tcW w:w="5652" w:type="dxa"/>
            <w:gridSpan w:val="3"/>
          </w:tcPr>
          <w:p w14:paraId="3E53C81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Kategoria ruchu</w:t>
            </w:r>
          </w:p>
        </w:tc>
      </w:tr>
      <w:tr w:rsidR="00CC1EF4" w:rsidRPr="004853EB" w14:paraId="3F486D50" w14:textId="77777777" w:rsidTr="00E95D02">
        <w:trPr>
          <w:gridAfter w:val="1"/>
          <w:wAfter w:w="12" w:type="dxa"/>
        </w:trPr>
        <w:tc>
          <w:tcPr>
            <w:tcW w:w="3000" w:type="dxa"/>
            <w:vMerge/>
          </w:tcPr>
          <w:p w14:paraId="4928C0A2"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5640" w:type="dxa"/>
            <w:gridSpan w:val="2"/>
          </w:tcPr>
          <w:p w14:paraId="3B72D45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KR3 ÷ KR4</w:t>
            </w:r>
          </w:p>
        </w:tc>
      </w:tr>
      <w:tr w:rsidR="00CC1EF4" w:rsidRPr="004853EB" w14:paraId="7E18C69C" w14:textId="77777777" w:rsidTr="00E95D02">
        <w:trPr>
          <w:gridAfter w:val="1"/>
          <w:wAfter w:w="12" w:type="dxa"/>
        </w:trPr>
        <w:tc>
          <w:tcPr>
            <w:tcW w:w="3000" w:type="dxa"/>
          </w:tcPr>
          <w:p w14:paraId="589664E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Mieszanka mineralno-asfaltowa o wymiarze D, [mm]</w:t>
            </w:r>
          </w:p>
        </w:tc>
        <w:tc>
          <w:tcPr>
            <w:tcW w:w="2880" w:type="dxa"/>
          </w:tcPr>
          <w:p w14:paraId="1CA9359A"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227A265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16</w:t>
            </w:r>
          </w:p>
        </w:tc>
        <w:tc>
          <w:tcPr>
            <w:tcW w:w="2760" w:type="dxa"/>
          </w:tcPr>
          <w:p w14:paraId="431CD54E"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442FF00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22</w:t>
            </w:r>
          </w:p>
        </w:tc>
      </w:tr>
      <w:tr w:rsidR="00CC1EF4" w:rsidRPr="004853EB" w14:paraId="32878A5E" w14:textId="77777777" w:rsidTr="00E95D02">
        <w:trPr>
          <w:gridAfter w:val="1"/>
          <w:wAfter w:w="12" w:type="dxa"/>
        </w:trPr>
        <w:tc>
          <w:tcPr>
            <w:tcW w:w="3000" w:type="dxa"/>
          </w:tcPr>
          <w:p w14:paraId="17884F1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Lepiszcze asfaltowe</w:t>
            </w:r>
          </w:p>
        </w:tc>
        <w:tc>
          <w:tcPr>
            <w:tcW w:w="5640" w:type="dxa"/>
            <w:gridSpan w:val="2"/>
          </w:tcPr>
          <w:p w14:paraId="634F58C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35/50, 50/70</w:t>
            </w:r>
          </w:p>
          <w:p w14:paraId="760ED829"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r>
      <w:tr w:rsidR="00CC1EF4" w:rsidRPr="004853EB" w14:paraId="22E9EC4A" w14:textId="77777777" w:rsidTr="00E95D02">
        <w:tc>
          <w:tcPr>
            <w:tcW w:w="3000" w:type="dxa"/>
          </w:tcPr>
          <w:p w14:paraId="14D3FA2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Kruszywa mineralne</w:t>
            </w:r>
          </w:p>
        </w:tc>
        <w:tc>
          <w:tcPr>
            <w:tcW w:w="5652" w:type="dxa"/>
            <w:gridSpan w:val="3"/>
          </w:tcPr>
          <w:p w14:paraId="2330D1B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Tabele 7, 8, 9,10 wg WT-1 2014 [70]</w:t>
            </w:r>
          </w:p>
        </w:tc>
      </w:tr>
    </w:tbl>
    <w:p w14:paraId="031A9D11"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2F0841E9"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406" w:name="_Toc97034617"/>
      <w:bookmarkStart w:id="3407" w:name="_Toc97035305"/>
      <w:bookmarkStart w:id="3408" w:name="_Toc194477008"/>
      <w:bookmarkStart w:id="3409" w:name="_Toc227825490"/>
      <w:r w:rsidRPr="004853EB">
        <w:rPr>
          <w:rFonts w:eastAsia="Times New Roman" w:cstheme="minorHAnsi"/>
          <w:b/>
          <w:bCs/>
          <w:color w:val="000000"/>
          <w:sz w:val="20"/>
          <w:szCs w:val="20"/>
          <w:lang w:eastAsia="pl-PL"/>
        </w:rPr>
        <w:t>2.3. Lepiszcza asfaltowe</w:t>
      </w:r>
      <w:bookmarkEnd w:id="3406"/>
      <w:bookmarkEnd w:id="3407"/>
      <w:bookmarkEnd w:id="3408"/>
      <w:bookmarkEnd w:id="3409"/>
    </w:p>
    <w:p w14:paraId="6AD54BF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Należy stosować asfalty drogowe wg PN-EN 12591 [22].</w:t>
      </w:r>
    </w:p>
    <w:p w14:paraId="13D0BFD7" w14:textId="77777777" w:rsidR="00CC1EF4" w:rsidRPr="004853EB" w:rsidRDefault="00CC1EF4" w:rsidP="00CC1EF4">
      <w:pPr>
        <w:spacing w:after="0" w:line="240" w:lineRule="auto"/>
        <w:ind w:firstLine="708"/>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 xml:space="preserve">Asfalty drogowe powinny spełniać wymagania podane w tablicy 3. </w:t>
      </w:r>
    </w:p>
    <w:p w14:paraId="4A5C650F"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Tablica 3. Wymagania wobec asfaltów drogowych wg PN-EN 12591 [22]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325"/>
        <w:gridCol w:w="851"/>
        <w:gridCol w:w="265"/>
        <w:gridCol w:w="1719"/>
        <w:gridCol w:w="1150"/>
        <w:gridCol w:w="1150"/>
      </w:tblGrid>
      <w:tr w:rsidR="00CC1EF4" w:rsidRPr="004853EB" w14:paraId="3A69F322" w14:textId="77777777" w:rsidTr="00E95D02">
        <w:tc>
          <w:tcPr>
            <w:tcW w:w="543" w:type="dxa"/>
            <w:vMerge w:val="restart"/>
            <w:vAlign w:val="center"/>
          </w:tcPr>
          <w:p w14:paraId="559DD50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Lp.</w:t>
            </w:r>
          </w:p>
        </w:tc>
        <w:tc>
          <w:tcPr>
            <w:tcW w:w="4176" w:type="dxa"/>
            <w:gridSpan w:val="2"/>
            <w:vMerge w:val="restart"/>
            <w:vAlign w:val="center"/>
          </w:tcPr>
          <w:p w14:paraId="2301581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Właściwości</w:t>
            </w:r>
          </w:p>
        </w:tc>
        <w:tc>
          <w:tcPr>
            <w:tcW w:w="1984" w:type="dxa"/>
            <w:gridSpan w:val="2"/>
            <w:vMerge w:val="restart"/>
            <w:vAlign w:val="center"/>
          </w:tcPr>
          <w:p w14:paraId="059C295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Metoda</w:t>
            </w:r>
          </w:p>
          <w:p w14:paraId="52EACC0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badania</w:t>
            </w:r>
          </w:p>
        </w:tc>
        <w:tc>
          <w:tcPr>
            <w:tcW w:w="2300" w:type="dxa"/>
            <w:gridSpan w:val="2"/>
          </w:tcPr>
          <w:p w14:paraId="14A288E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Rodzaj asfaltu</w:t>
            </w:r>
          </w:p>
        </w:tc>
      </w:tr>
      <w:tr w:rsidR="00CC1EF4" w:rsidRPr="004853EB" w14:paraId="186CEE33" w14:textId="77777777" w:rsidTr="00E95D02">
        <w:tc>
          <w:tcPr>
            <w:tcW w:w="543" w:type="dxa"/>
            <w:vMerge/>
          </w:tcPr>
          <w:p w14:paraId="0DA13F90"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4176" w:type="dxa"/>
            <w:gridSpan w:val="2"/>
            <w:vMerge/>
          </w:tcPr>
          <w:p w14:paraId="7E10337A"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1984" w:type="dxa"/>
            <w:gridSpan w:val="2"/>
            <w:vMerge/>
          </w:tcPr>
          <w:p w14:paraId="4E93CA0D"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1150" w:type="dxa"/>
          </w:tcPr>
          <w:p w14:paraId="16BB42F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35/50</w:t>
            </w:r>
          </w:p>
        </w:tc>
        <w:tc>
          <w:tcPr>
            <w:tcW w:w="1150" w:type="dxa"/>
          </w:tcPr>
          <w:p w14:paraId="2903F8C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50/70</w:t>
            </w:r>
          </w:p>
        </w:tc>
      </w:tr>
      <w:tr w:rsidR="00CC1EF4" w:rsidRPr="004853EB" w14:paraId="23C616A1" w14:textId="77777777" w:rsidTr="00E95D02">
        <w:tc>
          <w:tcPr>
            <w:tcW w:w="9003" w:type="dxa"/>
            <w:gridSpan w:val="7"/>
          </w:tcPr>
          <w:p w14:paraId="25FADB9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WŁAŚCIWOŚCI   OBLIGATORYJNE</w:t>
            </w:r>
          </w:p>
        </w:tc>
      </w:tr>
      <w:tr w:rsidR="00CC1EF4" w:rsidRPr="004853EB" w14:paraId="1FE0BB97" w14:textId="77777777" w:rsidTr="00E95D02">
        <w:tc>
          <w:tcPr>
            <w:tcW w:w="543" w:type="dxa"/>
          </w:tcPr>
          <w:p w14:paraId="015EE6E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w:t>
            </w:r>
          </w:p>
        </w:tc>
        <w:tc>
          <w:tcPr>
            <w:tcW w:w="3325" w:type="dxa"/>
          </w:tcPr>
          <w:p w14:paraId="30CBBE5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Penetracja w 25°C</w:t>
            </w:r>
          </w:p>
        </w:tc>
        <w:tc>
          <w:tcPr>
            <w:tcW w:w="1116" w:type="dxa"/>
            <w:gridSpan w:val="2"/>
          </w:tcPr>
          <w:p w14:paraId="13512A4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0,1 mm</w:t>
            </w:r>
          </w:p>
        </w:tc>
        <w:tc>
          <w:tcPr>
            <w:tcW w:w="1719" w:type="dxa"/>
          </w:tcPr>
          <w:p w14:paraId="2BD0C18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1426 [19]</w:t>
            </w:r>
          </w:p>
        </w:tc>
        <w:tc>
          <w:tcPr>
            <w:tcW w:w="1150" w:type="dxa"/>
          </w:tcPr>
          <w:p w14:paraId="029C0E7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35÷50</w:t>
            </w:r>
          </w:p>
        </w:tc>
        <w:tc>
          <w:tcPr>
            <w:tcW w:w="1150" w:type="dxa"/>
          </w:tcPr>
          <w:p w14:paraId="37E323C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50÷70</w:t>
            </w:r>
          </w:p>
        </w:tc>
      </w:tr>
      <w:tr w:rsidR="00CC1EF4" w:rsidRPr="004853EB" w14:paraId="7710C468" w14:textId="77777777" w:rsidTr="00E95D02">
        <w:tc>
          <w:tcPr>
            <w:tcW w:w="543" w:type="dxa"/>
          </w:tcPr>
          <w:p w14:paraId="0B894F5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w:t>
            </w:r>
          </w:p>
        </w:tc>
        <w:tc>
          <w:tcPr>
            <w:tcW w:w="3325" w:type="dxa"/>
          </w:tcPr>
          <w:p w14:paraId="2DB4D0D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Temperatura mięknienia</w:t>
            </w:r>
          </w:p>
        </w:tc>
        <w:tc>
          <w:tcPr>
            <w:tcW w:w="1116" w:type="dxa"/>
            <w:gridSpan w:val="2"/>
          </w:tcPr>
          <w:p w14:paraId="0CBD5A1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°C</w:t>
            </w:r>
          </w:p>
        </w:tc>
        <w:tc>
          <w:tcPr>
            <w:tcW w:w="1719" w:type="dxa"/>
          </w:tcPr>
          <w:p w14:paraId="573714B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1427 [20]</w:t>
            </w:r>
          </w:p>
        </w:tc>
        <w:tc>
          <w:tcPr>
            <w:tcW w:w="1150" w:type="dxa"/>
          </w:tcPr>
          <w:p w14:paraId="7722152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50÷58</w:t>
            </w:r>
          </w:p>
        </w:tc>
        <w:tc>
          <w:tcPr>
            <w:tcW w:w="1150" w:type="dxa"/>
          </w:tcPr>
          <w:p w14:paraId="719187B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46÷54</w:t>
            </w:r>
          </w:p>
        </w:tc>
      </w:tr>
      <w:tr w:rsidR="00CC1EF4" w:rsidRPr="004853EB" w14:paraId="3E409FD1" w14:textId="77777777" w:rsidTr="00E95D02">
        <w:tc>
          <w:tcPr>
            <w:tcW w:w="543" w:type="dxa"/>
          </w:tcPr>
          <w:p w14:paraId="594BC1E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w:t>
            </w:r>
          </w:p>
        </w:tc>
        <w:tc>
          <w:tcPr>
            <w:tcW w:w="3325" w:type="dxa"/>
          </w:tcPr>
          <w:p w14:paraId="4A5A284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Temperatura zapłonu, </w:t>
            </w:r>
          </w:p>
          <w:p w14:paraId="7FC7636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nie mniej niż</w:t>
            </w:r>
          </w:p>
        </w:tc>
        <w:tc>
          <w:tcPr>
            <w:tcW w:w="1116" w:type="dxa"/>
            <w:gridSpan w:val="2"/>
          </w:tcPr>
          <w:p w14:paraId="1F3DA18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°C</w:t>
            </w:r>
          </w:p>
        </w:tc>
        <w:tc>
          <w:tcPr>
            <w:tcW w:w="1719" w:type="dxa"/>
          </w:tcPr>
          <w:p w14:paraId="1A6A0DD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22592 [68]</w:t>
            </w:r>
          </w:p>
        </w:tc>
        <w:tc>
          <w:tcPr>
            <w:tcW w:w="1150" w:type="dxa"/>
          </w:tcPr>
          <w:p w14:paraId="71A280A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240</w:t>
            </w:r>
          </w:p>
        </w:tc>
        <w:tc>
          <w:tcPr>
            <w:tcW w:w="1150" w:type="dxa"/>
          </w:tcPr>
          <w:p w14:paraId="022E1DF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230</w:t>
            </w:r>
          </w:p>
        </w:tc>
      </w:tr>
      <w:tr w:rsidR="00CC1EF4" w:rsidRPr="004853EB" w14:paraId="5549F2E9" w14:textId="77777777" w:rsidTr="00E95D02">
        <w:tc>
          <w:tcPr>
            <w:tcW w:w="543" w:type="dxa"/>
          </w:tcPr>
          <w:p w14:paraId="503FDDE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w:t>
            </w:r>
          </w:p>
        </w:tc>
        <w:tc>
          <w:tcPr>
            <w:tcW w:w="3325" w:type="dxa"/>
          </w:tcPr>
          <w:p w14:paraId="3D30FAF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Zawartość składników rozpuszczalnych, nie mniej niż</w:t>
            </w:r>
          </w:p>
        </w:tc>
        <w:tc>
          <w:tcPr>
            <w:tcW w:w="1116" w:type="dxa"/>
            <w:gridSpan w:val="2"/>
          </w:tcPr>
          <w:p w14:paraId="1B191FA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m/m</w:t>
            </w:r>
          </w:p>
        </w:tc>
        <w:tc>
          <w:tcPr>
            <w:tcW w:w="1719" w:type="dxa"/>
          </w:tcPr>
          <w:p w14:paraId="2DE0843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12592 [23]</w:t>
            </w:r>
          </w:p>
        </w:tc>
        <w:tc>
          <w:tcPr>
            <w:tcW w:w="1150" w:type="dxa"/>
          </w:tcPr>
          <w:p w14:paraId="193DFCF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99</w:t>
            </w:r>
          </w:p>
        </w:tc>
        <w:tc>
          <w:tcPr>
            <w:tcW w:w="1150" w:type="dxa"/>
          </w:tcPr>
          <w:p w14:paraId="7A1D68C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99</w:t>
            </w:r>
          </w:p>
        </w:tc>
      </w:tr>
      <w:tr w:rsidR="00CC1EF4" w:rsidRPr="004853EB" w14:paraId="6AB8D016" w14:textId="77777777" w:rsidTr="00E95D02">
        <w:tc>
          <w:tcPr>
            <w:tcW w:w="543" w:type="dxa"/>
          </w:tcPr>
          <w:p w14:paraId="10F8B34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w:t>
            </w:r>
          </w:p>
        </w:tc>
        <w:tc>
          <w:tcPr>
            <w:tcW w:w="3325" w:type="dxa"/>
          </w:tcPr>
          <w:p w14:paraId="3002947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Zmiana masy po starzeniu (ubytek lub przyrost), </w:t>
            </w:r>
          </w:p>
          <w:p w14:paraId="6E05913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nie więcej niż</w:t>
            </w:r>
          </w:p>
        </w:tc>
        <w:tc>
          <w:tcPr>
            <w:tcW w:w="1116" w:type="dxa"/>
            <w:gridSpan w:val="2"/>
          </w:tcPr>
          <w:p w14:paraId="66A190FF"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5F447D8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m/m</w:t>
            </w:r>
          </w:p>
        </w:tc>
        <w:tc>
          <w:tcPr>
            <w:tcW w:w="1719" w:type="dxa"/>
          </w:tcPr>
          <w:p w14:paraId="619147D0"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12607-1 [28]</w:t>
            </w:r>
          </w:p>
        </w:tc>
        <w:tc>
          <w:tcPr>
            <w:tcW w:w="1150" w:type="dxa"/>
          </w:tcPr>
          <w:p w14:paraId="1D7CDC3E"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5A19FCA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0,5</w:t>
            </w:r>
          </w:p>
        </w:tc>
        <w:tc>
          <w:tcPr>
            <w:tcW w:w="1150" w:type="dxa"/>
          </w:tcPr>
          <w:p w14:paraId="31FE9379"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0E6C45A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0,5</w:t>
            </w:r>
          </w:p>
        </w:tc>
      </w:tr>
      <w:tr w:rsidR="00CC1EF4" w:rsidRPr="004853EB" w14:paraId="7B53D75D" w14:textId="77777777" w:rsidTr="00E95D02">
        <w:tc>
          <w:tcPr>
            <w:tcW w:w="543" w:type="dxa"/>
          </w:tcPr>
          <w:p w14:paraId="4F13D39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w:t>
            </w:r>
          </w:p>
        </w:tc>
        <w:tc>
          <w:tcPr>
            <w:tcW w:w="3325" w:type="dxa"/>
          </w:tcPr>
          <w:p w14:paraId="46A8AAB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Pozostała penetracja po starzeniu, nie mniej niż</w:t>
            </w:r>
          </w:p>
        </w:tc>
        <w:tc>
          <w:tcPr>
            <w:tcW w:w="1116" w:type="dxa"/>
            <w:gridSpan w:val="2"/>
          </w:tcPr>
          <w:p w14:paraId="4FA9C8B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t>
            </w:r>
          </w:p>
        </w:tc>
        <w:tc>
          <w:tcPr>
            <w:tcW w:w="1719" w:type="dxa"/>
          </w:tcPr>
          <w:p w14:paraId="3F85914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1426 [19]</w:t>
            </w:r>
          </w:p>
        </w:tc>
        <w:tc>
          <w:tcPr>
            <w:tcW w:w="1150" w:type="dxa"/>
          </w:tcPr>
          <w:p w14:paraId="0222721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53</w:t>
            </w:r>
          </w:p>
        </w:tc>
        <w:tc>
          <w:tcPr>
            <w:tcW w:w="1150" w:type="dxa"/>
          </w:tcPr>
          <w:p w14:paraId="7E7F790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w:t>
            </w:r>
          </w:p>
        </w:tc>
      </w:tr>
      <w:tr w:rsidR="00CC1EF4" w:rsidRPr="004853EB" w14:paraId="58BF4123" w14:textId="77777777" w:rsidTr="00E95D02">
        <w:tc>
          <w:tcPr>
            <w:tcW w:w="543" w:type="dxa"/>
          </w:tcPr>
          <w:p w14:paraId="5A7A146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7</w:t>
            </w:r>
          </w:p>
        </w:tc>
        <w:tc>
          <w:tcPr>
            <w:tcW w:w="3325" w:type="dxa"/>
          </w:tcPr>
          <w:p w14:paraId="186E8D5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Temperatura mięknienia po starzeniu, nie mniej niż</w:t>
            </w:r>
          </w:p>
        </w:tc>
        <w:tc>
          <w:tcPr>
            <w:tcW w:w="1116" w:type="dxa"/>
            <w:gridSpan w:val="2"/>
          </w:tcPr>
          <w:p w14:paraId="6431F49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°C</w:t>
            </w:r>
          </w:p>
        </w:tc>
        <w:tc>
          <w:tcPr>
            <w:tcW w:w="1719" w:type="dxa"/>
          </w:tcPr>
          <w:p w14:paraId="6B81FDF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1427 [20]</w:t>
            </w:r>
          </w:p>
        </w:tc>
        <w:tc>
          <w:tcPr>
            <w:tcW w:w="1150" w:type="dxa"/>
          </w:tcPr>
          <w:p w14:paraId="74F962F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52</w:t>
            </w:r>
          </w:p>
        </w:tc>
        <w:tc>
          <w:tcPr>
            <w:tcW w:w="1150" w:type="dxa"/>
          </w:tcPr>
          <w:p w14:paraId="1E55B2F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48</w:t>
            </w:r>
          </w:p>
        </w:tc>
      </w:tr>
      <w:tr w:rsidR="00CC1EF4" w:rsidRPr="004853EB" w14:paraId="692474F2" w14:textId="77777777" w:rsidTr="00E95D02">
        <w:tc>
          <w:tcPr>
            <w:tcW w:w="543" w:type="dxa"/>
          </w:tcPr>
          <w:p w14:paraId="3C32B74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w:t>
            </w:r>
          </w:p>
        </w:tc>
        <w:tc>
          <w:tcPr>
            <w:tcW w:w="3325" w:type="dxa"/>
          </w:tcPr>
          <w:p w14:paraId="00ADF74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Wzrost temp. mięknienia po starzeniu, nie więcej niż</w:t>
            </w:r>
          </w:p>
        </w:tc>
        <w:tc>
          <w:tcPr>
            <w:tcW w:w="1116" w:type="dxa"/>
            <w:gridSpan w:val="2"/>
          </w:tcPr>
          <w:p w14:paraId="2CF472D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°C</w:t>
            </w:r>
          </w:p>
        </w:tc>
        <w:tc>
          <w:tcPr>
            <w:tcW w:w="1719" w:type="dxa"/>
          </w:tcPr>
          <w:p w14:paraId="38E6EC0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1427 [20]</w:t>
            </w:r>
          </w:p>
        </w:tc>
        <w:tc>
          <w:tcPr>
            <w:tcW w:w="1150" w:type="dxa"/>
          </w:tcPr>
          <w:p w14:paraId="0DFA0E9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w:t>
            </w:r>
          </w:p>
        </w:tc>
        <w:tc>
          <w:tcPr>
            <w:tcW w:w="1150" w:type="dxa"/>
          </w:tcPr>
          <w:p w14:paraId="4D0F906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9</w:t>
            </w:r>
          </w:p>
        </w:tc>
      </w:tr>
      <w:tr w:rsidR="00CC1EF4" w:rsidRPr="004853EB" w14:paraId="4BA0631E" w14:textId="77777777" w:rsidTr="00E95D02">
        <w:tc>
          <w:tcPr>
            <w:tcW w:w="9003" w:type="dxa"/>
            <w:gridSpan w:val="7"/>
          </w:tcPr>
          <w:p w14:paraId="36A74F7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WŁAŚCIWOŚCI   SPECJALNE   KRAJOWE</w:t>
            </w:r>
          </w:p>
        </w:tc>
      </w:tr>
      <w:tr w:rsidR="00CC1EF4" w:rsidRPr="004853EB" w14:paraId="007DA5B3" w14:textId="77777777" w:rsidTr="00E95D02">
        <w:tc>
          <w:tcPr>
            <w:tcW w:w="543" w:type="dxa"/>
          </w:tcPr>
          <w:p w14:paraId="63075C6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9</w:t>
            </w:r>
          </w:p>
        </w:tc>
        <w:tc>
          <w:tcPr>
            <w:tcW w:w="3325" w:type="dxa"/>
          </w:tcPr>
          <w:p w14:paraId="2C70A17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Temperatura łamliwości Fraassa, nie więcej niż</w:t>
            </w:r>
          </w:p>
        </w:tc>
        <w:tc>
          <w:tcPr>
            <w:tcW w:w="851" w:type="dxa"/>
          </w:tcPr>
          <w:p w14:paraId="77EF98C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°C</w:t>
            </w:r>
          </w:p>
        </w:tc>
        <w:tc>
          <w:tcPr>
            <w:tcW w:w="1984" w:type="dxa"/>
            <w:gridSpan w:val="2"/>
          </w:tcPr>
          <w:p w14:paraId="3DC5648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12593 [24]</w:t>
            </w:r>
          </w:p>
        </w:tc>
        <w:tc>
          <w:tcPr>
            <w:tcW w:w="1150" w:type="dxa"/>
          </w:tcPr>
          <w:p w14:paraId="58AFA06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w:t>
            </w:r>
          </w:p>
        </w:tc>
        <w:tc>
          <w:tcPr>
            <w:tcW w:w="1150" w:type="dxa"/>
          </w:tcPr>
          <w:p w14:paraId="64AA9E0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w:t>
            </w:r>
          </w:p>
        </w:tc>
      </w:tr>
      <w:tr w:rsidR="00CC1EF4" w:rsidRPr="004853EB" w14:paraId="762941FA" w14:textId="77777777" w:rsidTr="00E95D02">
        <w:tc>
          <w:tcPr>
            <w:tcW w:w="543" w:type="dxa"/>
          </w:tcPr>
          <w:p w14:paraId="6F4A831D"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10</w:t>
            </w:r>
          </w:p>
        </w:tc>
        <w:tc>
          <w:tcPr>
            <w:tcW w:w="3325" w:type="dxa"/>
          </w:tcPr>
          <w:p w14:paraId="1894ED7E"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Indeks penetracji</w:t>
            </w:r>
          </w:p>
        </w:tc>
        <w:tc>
          <w:tcPr>
            <w:tcW w:w="851" w:type="dxa"/>
          </w:tcPr>
          <w:p w14:paraId="2467C6D4"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t>
            </w:r>
          </w:p>
        </w:tc>
        <w:tc>
          <w:tcPr>
            <w:tcW w:w="1984" w:type="dxa"/>
            <w:gridSpan w:val="2"/>
          </w:tcPr>
          <w:p w14:paraId="3C437481"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12591[22]</w:t>
            </w:r>
          </w:p>
        </w:tc>
        <w:tc>
          <w:tcPr>
            <w:tcW w:w="1150" w:type="dxa"/>
          </w:tcPr>
          <w:p w14:paraId="02D9494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Brak wymagań</w:t>
            </w:r>
          </w:p>
        </w:tc>
        <w:tc>
          <w:tcPr>
            <w:tcW w:w="1150" w:type="dxa"/>
          </w:tcPr>
          <w:p w14:paraId="64DC655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Brak wymagań</w:t>
            </w:r>
          </w:p>
        </w:tc>
      </w:tr>
      <w:tr w:rsidR="00CC1EF4" w:rsidRPr="004853EB" w14:paraId="002CA4FE" w14:textId="77777777" w:rsidTr="00E95D02">
        <w:tc>
          <w:tcPr>
            <w:tcW w:w="543" w:type="dxa"/>
          </w:tcPr>
          <w:p w14:paraId="27D51692"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11</w:t>
            </w:r>
          </w:p>
        </w:tc>
        <w:tc>
          <w:tcPr>
            <w:tcW w:w="3325" w:type="dxa"/>
          </w:tcPr>
          <w:p w14:paraId="34CFB788"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Lepkość dynamiczna w 60°C</w:t>
            </w:r>
          </w:p>
        </w:tc>
        <w:tc>
          <w:tcPr>
            <w:tcW w:w="851" w:type="dxa"/>
          </w:tcPr>
          <w:p w14:paraId="1FC0A3BE"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Pa s</w:t>
            </w:r>
          </w:p>
        </w:tc>
        <w:tc>
          <w:tcPr>
            <w:tcW w:w="1984" w:type="dxa"/>
            <w:gridSpan w:val="2"/>
          </w:tcPr>
          <w:p w14:paraId="3C566081"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12596[26]</w:t>
            </w:r>
          </w:p>
        </w:tc>
        <w:tc>
          <w:tcPr>
            <w:tcW w:w="1150" w:type="dxa"/>
          </w:tcPr>
          <w:p w14:paraId="58C0FC5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Brak wymagań</w:t>
            </w:r>
          </w:p>
        </w:tc>
        <w:tc>
          <w:tcPr>
            <w:tcW w:w="1150" w:type="dxa"/>
          </w:tcPr>
          <w:p w14:paraId="7E9DA0B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Brak wymagań</w:t>
            </w:r>
          </w:p>
        </w:tc>
      </w:tr>
      <w:tr w:rsidR="00CC1EF4" w:rsidRPr="004853EB" w14:paraId="0C6C8925" w14:textId="77777777" w:rsidTr="00E95D02">
        <w:tc>
          <w:tcPr>
            <w:tcW w:w="543" w:type="dxa"/>
          </w:tcPr>
          <w:p w14:paraId="4BC26370"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12</w:t>
            </w:r>
          </w:p>
        </w:tc>
        <w:tc>
          <w:tcPr>
            <w:tcW w:w="3325" w:type="dxa"/>
          </w:tcPr>
          <w:p w14:paraId="7B6D9E3F"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Lepkość kinematyczna w 135°C</w:t>
            </w:r>
          </w:p>
        </w:tc>
        <w:tc>
          <w:tcPr>
            <w:tcW w:w="851" w:type="dxa"/>
          </w:tcPr>
          <w:p w14:paraId="375CC7F4"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mm</w:t>
            </w:r>
            <w:r w:rsidRPr="004853EB">
              <w:rPr>
                <w:rFonts w:eastAsia="Times New Roman" w:cstheme="minorHAnsi"/>
                <w:color w:val="000000"/>
                <w:sz w:val="18"/>
                <w:szCs w:val="18"/>
                <w:vertAlign w:val="superscript"/>
                <w:lang w:eastAsia="pl-PL"/>
              </w:rPr>
              <w:t>2</w:t>
            </w:r>
            <w:r w:rsidRPr="004853EB">
              <w:rPr>
                <w:rFonts w:eastAsia="Times New Roman" w:cstheme="minorHAnsi"/>
                <w:color w:val="000000"/>
                <w:sz w:val="18"/>
                <w:szCs w:val="18"/>
                <w:lang w:eastAsia="pl-PL"/>
              </w:rPr>
              <w:t>/s</w:t>
            </w:r>
          </w:p>
        </w:tc>
        <w:tc>
          <w:tcPr>
            <w:tcW w:w="1984" w:type="dxa"/>
            <w:gridSpan w:val="2"/>
          </w:tcPr>
          <w:p w14:paraId="7D6FB939"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12595[25]</w:t>
            </w:r>
          </w:p>
        </w:tc>
        <w:tc>
          <w:tcPr>
            <w:tcW w:w="1150" w:type="dxa"/>
          </w:tcPr>
          <w:p w14:paraId="4221BAE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Brak wymagań</w:t>
            </w:r>
          </w:p>
        </w:tc>
        <w:tc>
          <w:tcPr>
            <w:tcW w:w="1150" w:type="dxa"/>
          </w:tcPr>
          <w:p w14:paraId="230B87F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Brak wymagań</w:t>
            </w:r>
          </w:p>
        </w:tc>
      </w:tr>
    </w:tbl>
    <w:p w14:paraId="3AD60591" w14:textId="77777777" w:rsidR="00CC1EF4" w:rsidRPr="004853EB" w:rsidRDefault="00CC1EF4" w:rsidP="00CC1EF4">
      <w:pPr>
        <w:spacing w:after="0" w:line="240" w:lineRule="auto"/>
        <w:jc w:val="both"/>
        <w:rPr>
          <w:rFonts w:eastAsia="Times New Roman" w:cstheme="minorHAnsi"/>
          <w:color w:val="000000"/>
          <w:sz w:val="20"/>
          <w:szCs w:val="20"/>
          <w:lang w:eastAsia="pl-PL"/>
        </w:rPr>
      </w:pPr>
    </w:p>
    <w:p w14:paraId="3FA05D33" w14:textId="553BC49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Składowanie asfaltu drogowego powinno odbywać się w </w:t>
      </w:r>
      <w:r w:rsidR="00336D00" w:rsidRPr="004853EB">
        <w:rPr>
          <w:rFonts w:eastAsia="Times New Roman" w:cstheme="minorHAnsi"/>
          <w:color w:val="000000"/>
          <w:sz w:val="20"/>
          <w:szCs w:val="20"/>
          <w:lang w:eastAsia="pl-PL"/>
        </w:rPr>
        <w:t>zbiornikach, wykluczających</w:t>
      </w:r>
      <w:r w:rsidRPr="004853EB">
        <w:rPr>
          <w:rFonts w:eastAsia="Times New Roman" w:cstheme="minorHAnsi"/>
          <w:color w:val="000000"/>
          <w:sz w:val="20"/>
          <w:szCs w:val="20"/>
          <w:lang w:eastAsia="pl-PL"/>
        </w:rPr>
        <w:t xml:space="preserve"> zanieczyszczenie asfaltu i wyposażonych w system grzewczy pośredni (bez kontaktu asfaltu z przewodami grzewczymi). Zbiornik roboczy otaczarki powinien być izolowany termicznie, posiadać automatyczny system grzewczy z tolerancją ± 5°C oraz układ cyrkulacji asfaltu. </w:t>
      </w:r>
    </w:p>
    <w:p w14:paraId="062438FC" w14:textId="03576DE0"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Temperatura lepiszcza asfaltowego w zbiorniku magazynowym (roboczym) nie powinna przekraczać </w:t>
      </w:r>
      <w:r w:rsidRPr="004853EB">
        <w:rPr>
          <w:rFonts w:eastAsia="Times New Roman" w:cstheme="minorHAnsi"/>
          <w:color w:val="000000"/>
          <w:sz w:val="20"/>
          <w:szCs w:val="20"/>
          <w:lang w:eastAsia="pl-PL"/>
        </w:rPr>
        <w:br/>
        <w:t xml:space="preserve">w okresie krótkotrwałym, nie dłuższym niż 5 </w:t>
      </w:r>
      <w:r w:rsidR="00336D00" w:rsidRPr="004853EB">
        <w:rPr>
          <w:rFonts w:eastAsia="Times New Roman" w:cstheme="minorHAnsi"/>
          <w:color w:val="000000"/>
          <w:sz w:val="20"/>
          <w:szCs w:val="20"/>
          <w:lang w:eastAsia="pl-PL"/>
        </w:rPr>
        <w:t>dni, poniższych</w:t>
      </w:r>
      <w:r w:rsidRPr="004853EB">
        <w:rPr>
          <w:rFonts w:eastAsia="Times New Roman" w:cstheme="minorHAnsi"/>
          <w:color w:val="000000"/>
          <w:sz w:val="20"/>
          <w:szCs w:val="20"/>
          <w:lang w:eastAsia="pl-PL"/>
        </w:rPr>
        <w:t xml:space="preserve"> wartości: </w:t>
      </w:r>
    </w:p>
    <w:p w14:paraId="36AACBA7" w14:textId="77777777" w:rsidR="00CC1EF4" w:rsidRPr="004853EB" w:rsidRDefault="00CC1EF4">
      <w:pPr>
        <w:numPr>
          <w:ilvl w:val="0"/>
          <w:numId w:val="11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asfaltu drogowego 35/50: 190°C,</w:t>
      </w:r>
    </w:p>
    <w:p w14:paraId="515390AC" w14:textId="77777777" w:rsidR="00CC1EF4" w:rsidRPr="004853EB" w:rsidRDefault="00CC1EF4">
      <w:pPr>
        <w:numPr>
          <w:ilvl w:val="0"/>
          <w:numId w:val="11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asfaltu drogowego 50/70: 180°C.</w:t>
      </w:r>
    </w:p>
    <w:p w14:paraId="0DE1E982"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 celu ograniczenia ilości emisji gazów cieplarnianych oraz obniżenia temperatury mieszania składników </w:t>
      </w:r>
      <w:r w:rsidRPr="004853EB">
        <w:rPr>
          <w:rFonts w:eastAsia="Times New Roman" w:cstheme="minorHAnsi"/>
          <w:color w:val="000000"/>
          <w:sz w:val="20"/>
          <w:szCs w:val="20"/>
          <w:lang w:eastAsia="pl-PL"/>
        </w:rPr>
        <w:br/>
        <w:t>i poprawienia urabialności mieszanki mineralno-asfaltowej dopuszcza się zastosowanie asfaltu spienionego.</w:t>
      </w:r>
    </w:p>
    <w:p w14:paraId="2EC7DD98"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410" w:name="_Toc97034618"/>
      <w:bookmarkStart w:id="3411" w:name="_Toc97035306"/>
      <w:bookmarkStart w:id="3412" w:name="_Toc194477009"/>
      <w:bookmarkStart w:id="3413" w:name="_Toc227825491"/>
      <w:r w:rsidRPr="004853EB">
        <w:rPr>
          <w:rFonts w:eastAsia="Times New Roman" w:cstheme="minorHAnsi"/>
          <w:b/>
          <w:bCs/>
          <w:color w:val="000000"/>
          <w:sz w:val="20"/>
          <w:szCs w:val="20"/>
          <w:lang w:eastAsia="pl-PL"/>
        </w:rPr>
        <w:t>2.4. Kruszywo</w:t>
      </w:r>
      <w:bookmarkEnd w:id="3410"/>
      <w:bookmarkEnd w:id="3411"/>
      <w:bookmarkEnd w:id="3412"/>
      <w:bookmarkEnd w:id="3413"/>
      <w:r w:rsidRPr="004853EB">
        <w:rPr>
          <w:rFonts w:eastAsia="Times New Roman" w:cstheme="minorHAnsi"/>
          <w:b/>
          <w:bCs/>
          <w:color w:val="000000"/>
          <w:sz w:val="20"/>
          <w:szCs w:val="20"/>
          <w:lang w:eastAsia="pl-PL"/>
        </w:rPr>
        <w:t xml:space="preserve"> </w:t>
      </w:r>
    </w:p>
    <w:p w14:paraId="448CE0FE" w14:textId="54FE5F3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Do warstwy wiążącej i wyrównawczej z betonu asfaltowego należy stosować kruszywo według PN-EN 13043 [49] i WT-1 Kruszywa 2014 [70], obejmujące kruszywo grube, kruszywo </w:t>
      </w:r>
      <w:r w:rsidR="00336D00" w:rsidRPr="004853EB">
        <w:rPr>
          <w:rFonts w:eastAsia="Times New Roman" w:cstheme="minorHAnsi"/>
          <w:color w:val="000000"/>
          <w:sz w:val="20"/>
          <w:szCs w:val="20"/>
          <w:lang w:eastAsia="pl-PL"/>
        </w:rPr>
        <w:t>drobne i</w:t>
      </w:r>
      <w:r w:rsidRPr="004853EB">
        <w:rPr>
          <w:rFonts w:eastAsia="Times New Roman" w:cstheme="minorHAnsi"/>
          <w:color w:val="000000"/>
          <w:sz w:val="20"/>
          <w:szCs w:val="20"/>
          <w:lang w:eastAsia="pl-PL"/>
        </w:rPr>
        <w:t xml:space="preserve"> wypełniacz. W mieszance mineralno-asfaltowej jako kruszywo drobne należy stosować mieszankę kruszywa łamanego i niełamanego lub kruszywo łamane. </w:t>
      </w:r>
    </w:p>
    <w:p w14:paraId="6BA042C4"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Jeżeli stosowana jest mieszanka kruszywa drobnego niełamanego i łamanego, to należy przyjąć proporcje kruszywa łamanego do niełamanego co najmniej 50/50.</w:t>
      </w:r>
    </w:p>
    <w:p w14:paraId="7E2E58E1" w14:textId="7C5A791D"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Wymagania dla kruszyw według WT-1 Kruszywa 2014 [70</w:t>
      </w:r>
      <w:r w:rsidR="00336D00" w:rsidRPr="004853EB">
        <w:rPr>
          <w:rFonts w:eastAsia="Times New Roman" w:cstheme="minorHAnsi"/>
          <w:color w:val="000000"/>
          <w:sz w:val="20"/>
          <w:szCs w:val="20"/>
          <w:lang w:eastAsia="pl-PL"/>
        </w:rPr>
        <w:t>] są</w:t>
      </w:r>
      <w:r w:rsidRPr="004853EB">
        <w:rPr>
          <w:rFonts w:eastAsia="Times New Roman" w:cstheme="minorHAnsi"/>
          <w:color w:val="000000"/>
          <w:sz w:val="20"/>
          <w:szCs w:val="20"/>
          <w:lang w:eastAsia="pl-PL"/>
        </w:rPr>
        <w:t xml:space="preserve"> podane w tablicach poniżej. </w:t>
      </w:r>
    </w:p>
    <w:p w14:paraId="53149D5C" w14:textId="77777777" w:rsidR="00CC1EF4" w:rsidRPr="004853EB" w:rsidRDefault="00CC1EF4" w:rsidP="00CC1EF4">
      <w:pPr>
        <w:spacing w:after="0" w:line="240" w:lineRule="auto"/>
        <w:ind w:left="240" w:hanging="24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 Kruszywo grube do warstwy wiążącej i wyrównawczej z betonu asfaltowego powinno spełniać wymagania podane w tablicy 6.</w:t>
      </w:r>
    </w:p>
    <w:p w14:paraId="58E5A25F" w14:textId="77777777" w:rsidR="00CC1EF4" w:rsidRPr="004853EB" w:rsidRDefault="00CC1EF4" w:rsidP="00CC1EF4">
      <w:pPr>
        <w:spacing w:after="0" w:line="240" w:lineRule="auto"/>
        <w:ind w:left="240" w:hanging="240"/>
        <w:jc w:val="both"/>
        <w:rPr>
          <w:rFonts w:eastAsia="Times New Roman" w:cstheme="minorHAnsi"/>
          <w:color w:val="000000"/>
          <w:sz w:val="20"/>
          <w:szCs w:val="20"/>
          <w:lang w:eastAsia="pl-PL"/>
        </w:rPr>
      </w:pPr>
    </w:p>
    <w:p w14:paraId="7C92E914" w14:textId="77777777" w:rsidR="00CC1EF4" w:rsidRPr="004853EB" w:rsidRDefault="00CC1EF4" w:rsidP="00CC1EF4">
      <w:pPr>
        <w:spacing w:before="120" w:after="120" w:line="240" w:lineRule="auto"/>
        <w:ind w:left="1134" w:hanging="1134"/>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Tablica 6.</w:t>
      </w:r>
      <w:r w:rsidRPr="004853EB">
        <w:rPr>
          <w:rFonts w:eastAsia="Times New Roman" w:cstheme="minorHAnsi"/>
          <w:color w:val="000000"/>
          <w:sz w:val="20"/>
          <w:szCs w:val="20"/>
          <w:lang w:eastAsia="pl-PL"/>
        </w:rPr>
        <w:tab/>
        <w:t>Wymagane właściwości kruszywa grubego do warstwy wiążącej i wyrównawczej z betonu asfaltowego</w:t>
      </w:r>
    </w:p>
    <w:tbl>
      <w:tblPr>
        <w:tblW w:w="81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0"/>
        <w:gridCol w:w="3960"/>
        <w:gridCol w:w="3600"/>
      </w:tblGrid>
      <w:tr w:rsidR="00CC1EF4" w:rsidRPr="004853EB" w14:paraId="06938D47" w14:textId="77777777" w:rsidTr="00E95D02">
        <w:tc>
          <w:tcPr>
            <w:tcW w:w="600" w:type="dxa"/>
            <w:vAlign w:val="center"/>
          </w:tcPr>
          <w:p w14:paraId="2B04AAEA" w14:textId="77777777" w:rsidR="00CC1EF4" w:rsidRPr="004853EB" w:rsidRDefault="00CC1EF4" w:rsidP="00CC1EF4">
            <w:pPr>
              <w:spacing w:before="60" w:after="60" w:line="240" w:lineRule="auto"/>
              <w:ind w:left="-1418" w:right="252"/>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Lp.</w:t>
            </w:r>
          </w:p>
        </w:tc>
        <w:tc>
          <w:tcPr>
            <w:tcW w:w="3960" w:type="dxa"/>
            <w:vAlign w:val="center"/>
          </w:tcPr>
          <w:p w14:paraId="6D1D9637"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Właściwości kruszywa</w:t>
            </w:r>
          </w:p>
        </w:tc>
        <w:tc>
          <w:tcPr>
            <w:tcW w:w="3600" w:type="dxa"/>
          </w:tcPr>
          <w:p w14:paraId="2318B990"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KR3÷KR4</w:t>
            </w:r>
          </w:p>
        </w:tc>
      </w:tr>
      <w:tr w:rsidR="00CC1EF4" w:rsidRPr="004853EB" w14:paraId="766B8ACA" w14:textId="77777777" w:rsidTr="00E95D02">
        <w:tc>
          <w:tcPr>
            <w:tcW w:w="600" w:type="dxa"/>
          </w:tcPr>
          <w:p w14:paraId="659F869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w:t>
            </w:r>
          </w:p>
        </w:tc>
        <w:tc>
          <w:tcPr>
            <w:tcW w:w="3960" w:type="dxa"/>
            <w:vAlign w:val="center"/>
          </w:tcPr>
          <w:p w14:paraId="33FBA96C"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Uziarnienie według PN-EN 933-1[5]; kategoria nie niższa niż:</w:t>
            </w:r>
          </w:p>
        </w:tc>
        <w:tc>
          <w:tcPr>
            <w:tcW w:w="3600" w:type="dxa"/>
            <w:vAlign w:val="center"/>
          </w:tcPr>
          <w:p w14:paraId="589F6827" w14:textId="77777777" w:rsidR="00CC1EF4" w:rsidRPr="004853EB" w:rsidRDefault="00CC1EF4" w:rsidP="00CC1EF4">
            <w:pPr>
              <w:spacing w:after="0" w:line="240" w:lineRule="auto"/>
              <w:jc w:val="both"/>
              <w:rPr>
                <w:rFonts w:eastAsia="Times New Roman" w:cstheme="minorHAnsi"/>
                <w:b/>
                <w:color w:val="000000"/>
                <w:sz w:val="18"/>
                <w:szCs w:val="18"/>
                <w:vertAlign w:val="superscript"/>
                <w:lang w:eastAsia="pl-PL"/>
              </w:rPr>
            </w:pPr>
            <w:r w:rsidRPr="004853EB">
              <w:rPr>
                <w:rFonts w:eastAsia="Times New Roman" w:cstheme="minorHAnsi"/>
                <w:color w:val="000000"/>
                <w:sz w:val="18"/>
                <w:szCs w:val="18"/>
                <w:lang w:eastAsia="pl-PL"/>
              </w:rPr>
              <w:t>G</w:t>
            </w:r>
            <w:r w:rsidRPr="004853EB">
              <w:rPr>
                <w:rFonts w:eastAsia="Times New Roman" w:cstheme="minorHAnsi"/>
                <w:color w:val="000000"/>
                <w:sz w:val="18"/>
                <w:szCs w:val="18"/>
                <w:vertAlign w:val="subscript"/>
                <w:lang w:eastAsia="pl-PL"/>
              </w:rPr>
              <w:t>C</w:t>
            </w:r>
            <w:r w:rsidRPr="004853EB">
              <w:rPr>
                <w:rFonts w:eastAsia="Times New Roman" w:cstheme="minorHAnsi"/>
                <w:color w:val="000000"/>
                <w:sz w:val="18"/>
                <w:szCs w:val="18"/>
                <w:lang w:eastAsia="pl-PL"/>
              </w:rPr>
              <w:t>90/20</w:t>
            </w:r>
          </w:p>
        </w:tc>
      </w:tr>
      <w:tr w:rsidR="00CC1EF4" w:rsidRPr="004853EB" w14:paraId="49E763C7" w14:textId="77777777" w:rsidTr="00E95D02">
        <w:tc>
          <w:tcPr>
            <w:tcW w:w="600" w:type="dxa"/>
          </w:tcPr>
          <w:p w14:paraId="16B8536F"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lastRenderedPageBreak/>
              <w:t>2</w:t>
            </w:r>
          </w:p>
        </w:tc>
        <w:tc>
          <w:tcPr>
            <w:tcW w:w="3960" w:type="dxa"/>
            <w:vAlign w:val="center"/>
          </w:tcPr>
          <w:p w14:paraId="38657A1A"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Tolerancja uziarnienia; odchylenia nie większe niż według kategorii:</w:t>
            </w:r>
          </w:p>
        </w:tc>
        <w:tc>
          <w:tcPr>
            <w:tcW w:w="3600" w:type="dxa"/>
          </w:tcPr>
          <w:p w14:paraId="280A1ACD" w14:textId="77777777" w:rsidR="00CC1EF4" w:rsidRPr="004853EB" w:rsidRDefault="00CC1EF4" w:rsidP="00CC1EF4">
            <w:pPr>
              <w:spacing w:after="0" w:line="240" w:lineRule="auto"/>
              <w:jc w:val="both"/>
              <w:rPr>
                <w:rFonts w:eastAsia="Times New Roman" w:cstheme="minorHAnsi"/>
                <w:color w:val="000000"/>
                <w:sz w:val="18"/>
                <w:szCs w:val="18"/>
                <w:vertAlign w:val="subscript"/>
                <w:lang w:eastAsia="pl-PL"/>
              </w:rPr>
            </w:pPr>
            <w:r w:rsidRPr="004853EB">
              <w:rPr>
                <w:rFonts w:eastAsia="Times New Roman" w:cstheme="minorHAnsi"/>
                <w:color w:val="000000"/>
                <w:sz w:val="18"/>
                <w:szCs w:val="18"/>
                <w:lang w:eastAsia="pl-PL"/>
              </w:rPr>
              <w:t>G</w:t>
            </w:r>
            <w:r w:rsidRPr="004853EB">
              <w:rPr>
                <w:rFonts w:eastAsia="Times New Roman" w:cstheme="minorHAnsi"/>
                <w:color w:val="000000"/>
                <w:sz w:val="18"/>
                <w:szCs w:val="18"/>
                <w:vertAlign w:val="subscript"/>
                <w:lang w:eastAsia="pl-PL"/>
              </w:rPr>
              <w:t>25/15</w:t>
            </w:r>
          </w:p>
          <w:p w14:paraId="26B2FEC5" w14:textId="77777777" w:rsidR="00CC1EF4" w:rsidRPr="004853EB" w:rsidRDefault="00CC1EF4" w:rsidP="00CC1EF4">
            <w:pPr>
              <w:spacing w:after="0" w:line="240" w:lineRule="auto"/>
              <w:jc w:val="both"/>
              <w:rPr>
                <w:rFonts w:eastAsia="Times New Roman" w:cstheme="minorHAnsi"/>
                <w:color w:val="000000"/>
                <w:sz w:val="18"/>
                <w:szCs w:val="18"/>
                <w:vertAlign w:val="subscript"/>
                <w:lang w:eastAsia="pl-PL"/>
              </w:rPr>
            </w:pPr>
            <w:r w:rsidRPr="004853EB">
              <w:rPr>
                <w:rFonts w:eastAsia="Times New Roman" w:cstheme="minorHAnsi"/>
                <w:color w:val="000000"/>
                <w:sz w:val="18"/>
                <w:szCs w:val="18"/>
                <w:lang w:eastAsia="pl-PL"/>
              </w:rPr>
              <w:t>G</w:t>
            </w:r>
            <w:r w:rsidRPr="004853EB">
              <w:rPr>
                <w:rFonts w:eastAsia="Times New Roman" w:cstheme="minorHAnsi"/>
                <w:color w:val="000000"/>
                <w:sz w:val="18"/>
                <w:szCs w:val="18"/>
                <w:vertAlign w:val="subscript"/>
                <w:lang w:eastAsia="pl-PL"/>
              </w:rPr>
              <w:t>20/15</w:t>
            </w:r>
          </w:p>
          <w:p w14:paraId="3BE48C4E"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G</w:t>
            </w:r>
            <w:r w:rsidRPr="004853EB">
              <w:rPr>
                <w:rFonts w:eastAsia="Times New Roman" w:cstheme="minorHAnsi"/>
                <w:color w:val="000000"/>
                <w:sz w:val="18"/>
                <w:szCs w:val="18"/>
                <w:vertAlign w:val="subscript"/>
                <w:lang w:eastAsia="pl-PL"/>
              </w:rPr>
              <w:t>20/17,5</w:t>
            </w:r>
          </w:p>
        </w:tc>
      </w:tr>
      <w:tr w:rsidR="00CC1EF4" w:rsidRPr="004853EB" w14:paraId="505FE8A1" w14:textId="77777777" w:rsidTr="00E95D02">
        <w:tc>
          <w:tcPr>
            <w:tcW w:w="600" w:type="dxa"/>
          </w:tcPr>
          <w:p w14:paraId="4CEBA22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w:t>
            </w:r>
          </w:p>
        </w:tc>
        <w:tc>
          <w:tcPr>
            <w:tcW w:w="3960" w:type="dxa"/>
            <w:vAlign w:val="center"/>
          </w:tcPr>
          <w:p w14:paraId="06B8C2B5"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Zawartość pyłu według PN-EN 933-1 [5]; kategoria nie wyższa niż:</w:t>
            </w:r>
          </w:p>
        </w:tc>
        <w:tc>
          <w:tcPr>
            <w:tcW w:w="3600" w:type="dxa"/>
          </w:tcPr>
          <w:p w14:paraId="79125BFD" w14:textId="77777777" w:rsidR="00CC1EF4" w:rsidRPr="004853EB" w:rsidRDefault="00CC1EF4" w:rsidP="00CC1EF4">
            <w:pPr>
              <w:spacing w:before="120" w:after="0" w:line="240" w:lineRule="auto"/>
              <w:jc w:val="both"/>
              <w:rPr>
                <w:rFonts w:eastAsia="Times New Roman" w:cstheme="minorHAnsi"/>
                <w:b/>
                <w:color w:val="000000"/>
                <w:sz w:val="18"/>
                <w:szCs w:val="18"/>
                <w:lang w:eastAsia="pl-PL"/>
              </w:rPr>
            </w:pPr>
            <w:r w:rsidRPr="004853EB">
              <w:rPr>
                <w:rFonts w:eastAsia="Times New Roman" w:cstheme="minorHAnsi"/>
                <w:i/>
                <w:color w:val="000000"/>
                <w:sz w:val="18"/>
                <w:szCs w:val="18"/>
                <w:lang w:eastAsia="pl-PL"/>
              </w:rPr>
              <w:t>f</w:t>
            </w:r>
            <w:r w:rsidRPr="004853EB">
              <w:rPr>
                <w:rFonts w:eastAsia="Times New Roman" w:cstheme="minorHAnsi"/>
                <w:color w:val="000000"/>
                <w:sz w:val="18"/>
                <w:szCs w:val="18"/>
                <w:vertAlign w:val="subscript"/>
                <w:lang w:eastAsia="pl-PL"/>
              </w:rPr>
              <w:t>2</w:t>
            </w:r>
          </w:p>
        </w:tc>
      </w:tr>
      <w:tr w:rsidR="00CC1EF4" w:rsidRPr="004853EB" w14:paraId="171C957A" w14:textId="77777777" w:rsidTr="00E95D02">
        <w:tc>
          <w:tcPr>
            <w:tcW w:w="600" w:type="dxa"/>
          </w:tcPr>
          <w:p w14:paraId="0A6C3BB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w:t>
            </w:r>
          </w:p>
        </w:tc>
        <w:tc>
          <w:tcPr>
            <w:tcW w:w="3960" w:type="dxa"/>
            <w:vAlign w:val="center"/>
          </w:tcPr>
          <w:p w14:paraId="753C6D91"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Kształt kruszywa według PN-EN 933-3 [6] lub według PN-EN 933-4 [7]; kategoria nie wyższa niż:</w:t>
            </w:r>
          </w:p>
        </w:tc>
        <w:tc>
          <w:tcPr>
            <w:tcW w:w="3600" w:type="dxa"/>
            <w:vAlign w:val="center"/>
          </w:tcPr>
          <w:p w14:paraId="2A443E73"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i/>
                <w:color w:val="000000"/>
                <w:sz w:val="18"/>
                <w:szCs w:val="18"/>
                <w:lang w:eastAsia="pl-PL"/>
              </w:rPr>
              <w:t>FI</w:t>
            </w:r>
            <w:r w:rsidRPr="004853EB">
              <w:rPr>
                <w:rFonts w:eastAsia="Times New Roman" w:cstheme="minorHAnsi"/>
                <w:i/>
                <w:color w:val="000000"/>
                <w:sz w:val="18"/>
                <w:szCs w:val="18"/>
                <w:vertAlign w:val="subscript"/>
                <w:lang w:eastAsia="pl-PL"/>
              </w:rPr>
              <w:t>25</w:t>
            </w:r>
            <w:r w:rsidRPr="004853EB">
              <w:rPr>
                <w:rFonts w:eastAsia="Times New Roman" w:cstheme="minorHAnsi"/>
                <w:color w:val="000000"/>
                <w:sz w:val="18"/>
                <w:szCs w:val="18"/>
                <w:lang w:eastAsia="pl-PL"/>
              </w:rPr>
              <w:t xml:space="preserve"> lub </w:t>
            </w:r>
            <w:r w:rsidRPr="004853EB">
              <w:rPr>
                <w:rFonts w:eastAsia="Times New Roman" w:cstheme="minorHAnsi"/>
                <w:i/>
                <w:color w:val="000000"/>
                <w:sz w:val="18"/>
                <w:szCs w:val="18"/>
                <w:lang w:eastAsia="pl-PL"/>
              </w:rPr>
              <w:t>SI</w:t>
            </w:r>
            <w:r w:rsidRPr="004853EB">
              <w:rPr>
                <w:rFonts w:eastAsia="Times New Roman" w:cstheme="minorHAnsi"/>
                <w:i/>
                <w:color w:val="000000"/>
                <w:sz w:val="18"/>
                <w:szCs w:val="18"/>
                <w:vertAlign w:val="subscript"/>
                <w:lang w:eastAsia="pl-PL"/>
              </w:rPr>
              <w:t>25</w:t>
            </w:r>
          </w:p>
        </w:tc>
      </w:tr>
      <w:tr w:rsidR="00CC1EF4" w:rsidRPr="004853EB" w14:paraId="7486F094" w14:textId="77777777" w:rsidTr="00E95D02">
        <w:tc>
          <w:tcPr>
            <w:tcW w:w="600" w:type="dxa"/>
          </w:tcPr>
          <w:p w14:paraId="3E9F18A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w:t>
            </w:r>
          </w:p>
        </w:tc>
        <w:tc>
          <w:tcPr>
            <w:tcW w:w="3960" w:type="dxa"/>
            <w:vAlign w:val="center"/>
          </w:tcPr>
          <w:p w14:paraId="788276E4"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Procentowa zawartość ziaren o powierzchni przekruszonej i łamanej w kruszywie grubym według PN-EN 933-5 [8]; kategoria nie niższa niż:</w:t>
            </w:r>
          </w:p>
        </w:tc>
        <w:tc>
          <w:tcPr>
            <w:tcW w:w="3600" w:type="dxa"/>
            <w:vAlign w:val="center"/>
          </w:tcPr>
          <w:p w14:paraId="4018050F"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i/>
                <w:color w:val="000000"/>
                <w:sz w:val="18"/>
                <w:szCs w:val="18"/>
                <w:lang w:eastAsia="pl-PL"/>
              </w:rPr>
              <w:t>C</w:t>
            </w:r>
            <w:r w:rsidRPr="004853EB">
              <w:rPr>
                <w:rFonts w:eastAsia="Times New Roman" w:cstheme="minorHAnsi"/>
                <w:i/>
                <w:color w:val="000000"/>
                <w:sz w:val="18"/>
                <w:szCs w:val="18"/>
                <w:vertAlign w:val="subscript"/>
                <w:lang w:eastAsia="pl-PL"/>
              </w:rPr>
              <w:t>50</w:t>
            </w:r>
            <w:r w:rsidRPr="004853EB">
              <w:rPr>
                <w:rFonts w:eastAsia="Times New Roman" w:cstheme="minorHAnsi"/>
                <w:color w:val="000000"/>
                <w:sz w:val="18"/>
                <w:szCs w:val="18"/>
                <w:vertAlign w:val="subscript"/>
                <w:lang w:eastAsia="pl-PL"/>
              </w:rPr>
              <w:t>/10</w:t>
            </w:r>
          </w:p>
        </w:tc>
      </w:tr>
      <w:tr w:rsidR="00CC1EF4" w:rsidRPr="004853EB" w14:paraId="7253B9C2" w14:textId="77777777" w:rsidTr="00E95D02">
        <w:tc>
          <w:tcPr>
            <w:tcW w:w="600" w:type="dxa"/>
          </w:tcPr>
          <w:p w14:paraId="77C85FB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w:t>
            </w:r>
          </w:p>
        </w:tc>
        <w:tc>
          <w:tcPr>
            <w:tcW w:w="3960" w:type="dxa"/>
            <w:vAlign w:val="center"/>
          </w:tcPr>
          <w:p w14:paraId="5D0BE1F1"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Odporność kruszywa na rozdrabnianie według normy PN-EN 1097-2[12], badana na kruszywie o wymiarze 10/14, rozdział 5, kategoria nie wyższa niż:</w:t>
            </w:r>
          </w:p>
        </w:tc>
        <w:tc>
          <w:tcPr>
            <w:tcW w:w="3600" w:type="dxa"/>
            <w:vAlign w:val="center"/>
          </w:tcPr>
          <w:p w14:paraId="2BE7AFE5"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i/>
                <w:color w:val="000000"/>
                <w:sz w:val="18"/>
                <w:szCs w:val="18"/>
                <w:lang w:eastAsia="pl-PL"/>
              </w:rPr>
              <w:t>LA</w:t>
            </w:r>
            <w:r w:rsidRPr="004853EB">
              <w:rPr>
                <w:rFonts w:eastAsia="Times New Roman" w:cstheme="minorHAnsi"/>
                <w:i/>
                <w:color w:val="000000"/>
                <w:sz w:val="18"/>
                <w:szCs w:val="18"/>
                <w:vertAlign w:val="subscript"/>
                <w:lang w:eastAsia="pl-PL"/>
              </w:rPr>
              <w:t>30</w:t>
            </w:r>
          </w:p>
        </w:tc>
      </w:tr>
      <w:tr w:rsidR="00CC1EF4" w:rsidRPr="004853EB" w14:paraId="219E2117" w14:textId="77777777" w:rsidTr="00E95D02">
        <w:tc>
          <w:tcPr>
            <w:tcW w:w="600" w:type="dxa"/>
          </w:tcPr>
          <w:p w14:paraId="110A31F4"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7</w:t>
            </w:r>
          </w:p>
        </w:tc>
        <w:tc>
          <w:tcPr>
            <w:tcW w:w="3960" w:type="dxa"/>
            <w:vAlign w:val="center"/>
          </w:tcPr>
          <w:p w14:paraId="4F2B1576"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Gęstość ziaren według PN-EN 1097-6 [15], rozdział 7, 8 lub 9:</w:t>
            </w:r>
          </w:p>
        </w:tc>
        <w:tc>
          <w:tcPr>
            <w:tcW w:w="3600" w:type="dxa"/>
            <w:vAlign w:val="center"/>
          </w:tcPr>
          <w:p w14:paraId="42E33612"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deklarowana przez producenta</w:t>
            </w:r>
          </w:p>
        </w:tc>
      </w:tr>
      <w:tr w:rsidR="00CC1EF4" w:rsidRPr="004853EB" w14:paraId="14399D23" w14:textId="77777777" w:rsidTr="00E95D02">
        <w:tc>
          <w:tcPr>
            <w:tcW w:w="600" w:type="dxa"/>
          </w:tcPr>
          <w:p w14:paraId="4A682CF2"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w:t>
            </w:r>
          </w:p>
        </w:tc>
        <w:tc>
          <w:tcPr>
            <w:tcW w:w="3960" w:type="dxa"/>
            <w:vAlign w:val="center"/>
          </w:tcPr>
          <w:p w14:paraId="19912598"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Nasiąkliwość według PN-EN 1097-6 [15], rozdział 7, 8 lub 9:</w:t>
            </w:r>
          </w:p>
        </w:tc>
        <w:tc>
          <w:tcPr>
            <w:tcW w:w="3600" w:type="dxa"/>
            <w:vAlign w:val="center"/>
          </w:tcPr>
          <w:p w14:paraId="705BFE59"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deklarowana przez producenta</w:t>
            </w:r>
          </w:p>
        </w:tc>
      </w:tr>
      <w:tr w:rsidR="00CC1EF4" w:rsidRPr="004853EB" w14:paraId="5F50A691" w14:textId="77777777" w:rsidTr="00E95D02">
        <w:tc>
          <w:tcPr>
            <w:tcW w:w="600" w:type="dxa"/>
          </w:tcPr>
          <w:p w14:paraId="014E047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9</w:t>
            </w:r>
          </w:p>
        </w:tc>
        <w:tc>
          <w:tcPr>
            <w:tcW w:w="3960" w:type="dxa"/>
            <w:vAlign w:val="center"/>
          </w:tcPr>
          <w:p w14:paraId="290EC870"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Mrozoodporność według PN-EN 1367-1 [17], badana na kruszywie 8/11, 11/16 lub 8/16; kategoria nie wyższa niż:</w:t>
            </w:r>
          </w:p>
        </w:tc>
        <w:tc>
          <w:tcPr>
            <w:tcW w:w="3600" w:type="dxa"/>
          </w:tcPr>
          <w:p w14:paraId="372C3DCA" w14:textId="77777777" w:rsidR="00CC1EF4" w:rsidRPr="004853EB" w:rsidRDefault="00CC1EF4" w:rsidP="00CC1EF4">
            <w:pPr>
              <w:spacing w:after="0" w:line="240" w:lineRule="auto"/>
              <w:jc w:val="both"/>
              <w:rPr>
                <w:rFonts w:eastAsia="Times New Roman" w:cstheme="minorHAnsi"/>
                <w:i/>
                <w:color w:val="000000"/>
                <w:sz w:val="18"/>
                <w:szCs w:val="18"/>
                <w:lang w:eastAsia="pl-PL"/>
              </w:rPr>
            </w:pPr>
          </w:p>
          <w:p w14:paraId="374B503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i/>
                <w:color w:val="000000"/>
                <w:sz w:val="18"/>
                <w:szCs w:val="18"/>
                <w:lang w:eastAsia="pl-PL"/>
              </w:rPr>
              <w:t>F</w:t>
            </w:r>
            <w:r w:rsidRPr="004853EB">
              <w:rPr>
                <w:rFonts w:eastAsia="Times New Roman" w:cstheme="minorHAnsi"/>
                <w:i/>
                <w:color w:val="000000"/>
                <w:sz w:val="18"/>
                <w:szCs w:val="18"/>
                <w:vertAlign w:val="subscript"/>
                <w:lang w:eastAsia="pl-PL"/>
              </w:rPr>
              <w:t>2</w:t>
            </w:r>
          </w:p>
        </w:tc>
      </w:tr>
      <w:tr w:rsidR="00CC1EF4" w:rsidRPr="004853EB" w14:paraId="3E6734CF" w14:textId="77777777" w:rsidTr="00E95D02">
        <w:tc>
          <w:tcPr>
            <w:tcW w:w="600" w:type="dxa"/>
          </w:tcPr>
          <w:p w14:paraId="3412F40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10</w:t>
            </w:r>
          </w:p>
        </w:tc>
        <w:tc>
          <w:tcPr>
            <w:tcW w:w="3960" w:type="dxa"/>
            <w:vAlign w:val="center"/>
          </w:tcPr>
          <w:p w14:paraId="5629555D"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 xml:space="preserve">„Zgorzel słoneczna” bazaltu według </w:t>
            </w:r>
            <w:r w:rsidRPr="004853EB">
              <w:rPr>
                <w:rFonts w:eastAsia="Times New Roman" w:cstheme="minorHAnsi"/>
                <w:color w:val="000000"/>
                <w:sz w:val="18"/>
                <w:szCs w:val="18"/>
                <w:lang w:eastAsia="pl-PL"/>
              </w:rPr>
              <w:br/>
              <w:t>PN-EN 1367-3 [18]; wymagana kategoria:</w:t>
            </w:r>
          </w:p>
        </w:tc>
        <w:tc>
          <w:tcPr>
            <w:tcW w:w="3600" w:type="dxa"/>
          </w:tcPr>
          <w:p w14:paraId="0ABCA4EF" w14:textId="77777777" w:rsidR="00CC1EF4" w:rsidRPr="004853EB" w:rsidRDefault="00CC1EF4" w:rsidP="00CC1EF4">
            <w:pPr>
              <w:spacing w:after="0" w:line="240" w:lineRule="auto"/>
              <w:jc w:val="both"/>
              <w:rPr>
                <w:rFonts w:eastAsia="Times New Roman" w:cstheme="minorHAnsi"/>
                <w:i/>
                <w:color w:val="000000"/>
                <w:sz w:val="18"/>
                <w:szCs w:val="18"/>
                <w:lang w:eastAsia="pl-PL"/>
              </w:rPr>
            </w:pPr>
          </w:p>
          <w:p w14:paraId="021017A1"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i/>
                <w:color w:val="000000"/>
                <w:sz w:val="18"/>
                <w:szCs w:val="18"/>
                <w:lang w:eastAsia="pl-PL"/>
              </w:rPr>
              <w:t>SB</w:t>
            </w:r>
            <w:r w:rsidRPr="004853EB">
              <w:rPr>
                <w:rFonts w:eastAsia="Times New Roman" w:cstheme="minorHAnsi"/>
                <w:color w:val="000000"/>
                <w:sz w:val="18"/>
                <w:szCs w:val="18"/>
                <w:vertAlign w:val="subscript"/>
                <w:lang w:eastAsia="pl-PL"/>
              </w:rPr>
              <w:t>LA</w:t>
            </w:r>
          </w:p>
        </w:tc>
      </w:tr>
      <w:tr w:rsidR="00CC1EF4" w:rsidRPr="004853EB" w14:paraId="5C49A2A4" w14:textId="77777777" w:rsidTr="00E95D02">
        <w:tc>
          <w:tcPr>
            <w:tcW w:w="600" w:type="dxa"/>
          </w:tcPr>
          <w:p w14:paraId="1861C15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11</w:t>
            </w:r>
          </w:p>
        </w:tc>
        <w:tc>
          <w:tcPr>
            <w:tcW w:w="3960" w:type="dxa"/>
            <w:vAlign w:val="center"/>
          </w:tcPr>
          <w:p w14:paraId="79422247"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Skład chemiczny – uproszczony opis petrograficzny według PN-EN 932-3 [4]</w:t>
            </w:r>
          </w:p>
        </w:tc>
        <w:tc>
          <w:tcPr>
            <w:tcW w:w="3600" w:type="dxa"/>
          </w:tcPr>
          <w:p w14:paraId="792A0689"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deklarowany przez producenta</w:t>
            </w:r>
          </w:p>
        </w:tc>
      </w:tr>
      <w:tr w:rsidR="00CC1EF4" w:rsidRPr="004853EB" w14:paraId="670BB22E" w14:textId="77777777" w:rsidTr="00E95D02">
        <w:tc>
          <w:tcPr>
            <w:tcW w:w="600" w:type="dxa"/>
          </w:tcPr>
          <w:p w14:paraId="0FF1449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12</w:t>
            </w:r>
          </w:p>
        </w:tc>
        <w:tc>
          <w:tcPr>
            <w:tcW w:w="3960" w:type="dxa"/>
            <w:vAlign w:val="center"/>
          </w:tcPr>
          <w:p w14:paraId="35E06A75"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Grube zanieczyszczenia lekkie według PN-EN 1744-1 [21], p. 14.2; kategoria nie wyższa niż:</w:t>
            </w:r>
          </w:p>
        </w:tc>
        <w:tc>
          <w:tcPr>
            <w:tcW w:w="3600" w:type="dxa"/>
          </w:tcPr>
          <w:p w14:paraId="7D60E709" w14:textId="77777777" w:rsidR="00CC1EF4" w:rsidRPr="004853EB" w:rsidRDefault="00CC1EF4" w:rsidP="00CC1EF4">
            <w:pPr>
              <w:spacing w:after="0" w:line="240" w:lineRule="auto"/>
              <w:jc w:val="both"/>
              <w:rPr>
                <w:rFonts w:eastAsia="Times New Roman" w:cstheme="minorHAnsi"/>
                <w:i/>
                <w:color w:val="000000"/>
                <w:sz w:val="18"/>
                <w:szCs w:val="18"/>
                <w:lang w:eastAsia="pl-PL"/>
              </w:rPr>
            </w:pPr>
          </w:p>
          <w:p w14:paraId="098C50FD"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i/>
                <w:color w:val="000000"/>
                <w:sz w:val="18"/>
                <w:szCs w:val="18"/>
                <w:lang w:eastAsia="pl-PL"/>
              </w:rPr>
              <w:t>m</w:t>
            </w:r>
            <w:r w:rsidRPr="004853EB">
              <w:rPr>
                <w:rFonts w:eastAsia="Times New Roman" w:cstheme="minorHAnsi"/>
                <w:color w:val="000000"/>
                <w:sz w:val="18"/>
                <w:szCs w:val="18"/>
                <w:vertAlign w:val="subscript"/>
                <w:lang w:eastAsia="pl-PL"/>
              </w:rPr>
              <w:t>LPC</w:t>
            </w:r>
            <w:r w:rsidRPr="004853EB">
              <w:rPr>
                <w:rFonts w:eastAsia="Times New Roman" w:cstheme="minorHAnsi"/>
                <w:color w:val="000000"/>
                <w:sz w:val="18"/>
                <w:szCs w:val="18"/>
                <w:lang w:eastAsia="pl-PL"/>
              </w:rPr>
              <w:t xml:space="preserve"> 0,1</w:t>
            </w:r>
          </w:p>
        </w:tc>
      </w:tr>
      <w:tr w:rsidR="00CC1EF4" w:rsidRPr="004853EB" w14:paraId="41B58923" w14:textId="77777777" w:rsidTr="00E95D02">
        <w:tc>
          <w:tcPr>
            <w:tcW w:w="600" w:type="dxa"/>
          </w:tcPr>
          <w:p w14:paraId="46BF785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13</w:t>
            </w:r>
          </w:p>
        </w:tc>
        <w:tc>
          <w:tcPr>
            <w:tcW w:w="3960" w:type="dxa"/>
            <w:vAlign w:val="center"/>
          </w:tcPr>
          <w:p w14:paraId="3A793F9B"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Rozpad krzemianowy żużla wielko-piecowego chłodzonego powietrzem według PN-EN 1744-1 [21], p. 19.1:</w:t>
            </w:r>
          </w:p>
        </w:tc>
        <w:tc>
          <w:tcPr>
            <w:tcW w:w="3600" w:type="dxa"/>
            <w:vAlign w:val="center"/>
          </w:tcPr>
          <w:p w14:paraId="588A0382"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wymagana odporność</w:t>
            </w:r>
          </w:p>
        </w:tc>
      </w:tr>
      <w:tr w:rsidR="00CC1EF4" w:rsidRPr="004853EB" w14:paraId="7255AAB1" w14:textId="77777777" w:rsidTr="00E95D02">
        <w:tc>
          <w:tcPr>
            <w:tcW w:w="600" w:type="dxa"/>
          </w:tcPr>
          <w:p w14:paraId="6C5AE7A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14</w:t>
            </w:r>
          </w:p>
        </w:tc>
        <w:tc>
          <w:tcPr>
            <w:tcW w:w="3960" w:type="dxa"/>
            <w:vAlign w:val="center"/>
          </w:tcPr>
          <w:p w14:paraId="767670CC"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Rozpad żelazowy żużla wielko-piecowego chłodzonego powietrzem według PN-EN 1744-1[21], p. 19.2:</w:t>
            </w:r>
          </w:p>
        </w:tc>
        <w:tc>
          <w:tcPr>
            <w:tcW w:w="3600" w:type="dxa"/>
            <w:vAlign w:val="center"/>
          </w:tcPr>
          <w:p w14:paraId="38D22EAE"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wymagana odporność</w:t>
            </w:r>
          </w:p>
        </w:tc>
      </w:tr>
      <w:tr w:rsidR="00CC1EF4" w:rsidRPr="004853EB" w14:paraId="12F61C80" w14:textId="77777777" w:rsidTr="00E95D02">
        <w:tc>
          <w:tcPr>
            <w:tcW w:w="600" w:type="dxa"/>
          </w:tcPr>
          <w:p w14:paraId="5B822E3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15</w:t>
            </w:r>
          </w:p>
        </w:tc>
        <w:tc>
          <w:tcPr>
            <w:tcW w:w="3960" w:type="dxa"/>
            <w:vAlign w:val="center"/>
          </w:tcPr>
          <w:p w14:paraId="2C335BEE"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color w:val="000000"/>
                <w:sz w:val="18"/>
                <w:szCs w:val="18"/>
                <w:lang w:eastAsia="pl-PL"/>
              </w:rPr>
              <w:t>Stałość objętości kruszywa z żużla stalowniczego według PN-EN 1744-1 [21], p. 19.3; kategoria nie wyższa niż:</w:t>
            </w:r>
          </w:p>
        </w:tc>
        <w:tc>
          <w:tcPr>
            <w:tcW w:w="3600" w:type="dxa"/>
          </w:tcPr>
          <w:p w14:paraId="495A8789" w14:textId="77777777" w:rsidR="00CC1EF4" w:rsidRPr="004853EB" w:rsidRDefault="00CC1EF4" w:rsidP="00CC1EF4">
            <w:pPr>
              <w:spacing w:after="0" w:line="240" w:lineRule="auto"/>
              <w:jc w:val="both"/>
              <w:rPr>
                <w:rFonts w:eastAsia="Times New Roman" w:cstheme="minorHAnsi"/>
                <w:i/>
                <w:color w:val="000000"/>
                <w:sz w:val="18"/>
                <w:szCs w:val="18"/>
                <w:lang w:eastAsia="pl-PL"/>
              </w:rPr>
            </w:pPr>
          </w:p>
          <w:p w14:paraId="310E76F3" w14:textId="77777777" w:rsidR="00CC1EF4" w:rsidRPr="004853EB" w:rsidRDefault="00CC1EF4" w:rsidP="00CC1EF4">
            <w:pPr>
              <w:spacing w:after="0" w:line="240" w:lineRule="auto"/>
              <w:jc w:val="both"/>
              <w:rPr>
                <w:rFonts w:eastAsia="Times New Roman" w:cstheme="minorHAnsi"/>
                <w:b/>
                <w:color w:val="000000"/>
                <w:sz w:val="18"/>
                <w:szCs w:val="18"/>
                <w:lang w:eastAsia="pl-PL"/>
              </w:rPr>
            </w:pPr>
            <w:r w:rsidRPr="004853EB">
              <w:rPr>
                <w:rFonts w:eastAsia="Times New Roman" w:cstheme="minorHAnsi"/>
                <w:i/>
                <w:color w:val="000000"/>
                <w:sz w:val="18"/>
                <w:szCs w:val="18"/>
                <w:lang w:eastAsia="pl-PL"/>
              </w:rPr>
              <w:t>V</w:t>
            </w:r>
            <w:r w:rsidRPr="004853EB">
              <w:rPr>
                <w:rFonts w:eastAsia="Times New Roman" w:cstheme="minorHAnsi"/>
                <w:color w:val="000000"/>
                <w:sz w:val="18"/>
                <w:szCs w:val="18"/>
                <w:vertAlign w:val="subscript"/>
                <w:lang w:eastAsia="pl-PL"/>
              </w:rPr>
              <w:t>3,5</w:t>
            </w:r>
          </w:p>
        </w:tc>
      </w:tr>
    </w:tbl>
    <w:p w14:paraId="06B01446" w14:textId="77777777" w:rsidR="00CC1EF4" w:rsidRPr="004853EB" w:rsidRDefault="00CC1EF4" w:rsidP="00CC1EF4">
      <w:pPr>
        <w:spacing w:after="0" w:line="240" w:lineRule="auto"/>
        <w:jc w:val="both"/>
        <w:rPr>
          <w:rFonts w:eastAsia="Times New Roman" w:cstheme="minorHAnsi"/>
          <w:color w:val="000000"/>
          <w:sz w:val="20"/>
          <w:szCs w:val="20"/>
          <w:lang w:eastAsia="pl-PL"/>
        </w:rPr>
      </w:pPr>
    </w:p>
    <w:p w14:paraId="2C0676A1" w14:textId="61A726C1" w:rsidR="00CC1EF4" w:rsidRPr="004853EB" w:rsidRDefault="00CC1EF4" w:rsidP="00CC1EF4">
      <w:pPr>
        <w:shd w:val="clear" w:color="auto" w:fill="FFFFFF"/>
        <w:spacing w:after="0" w:line="240" w:lineRule="auto"/>
        <w:ind w:left="360" w:right="-213" w:hanging="36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 kruszywo niełamane drobne lub o ciągłym uziarnieniu do D≤</w:t>
      </w:r>
      <w:r w:rsidR="00336D00" w:rsidRPr="004853EB">
        <w:rPr>
          <w:rFonts w:eastAsia="Times New Roman" w:cstheme="minorHAnsi"/>
          <w:color w:val="000000"/>
          <w:sz w:val="20"/>
          <w:szCs w:val="20"/>
          <w:lang w:eastAsia="pl-PL"/>
        </w:rPr>
        <w:t>8 do</w:t>
      </w:r>
      <w:r w:rsidRPr="004853EB">
        <w:rPr>
          <w:rFonts w:eastAsia="Times New Roman" w:cstheme="minorHAnsi"/>
          <w:color w:val="000000"/>
          <w:sz w:val="20"/>
          <w:szCs w:val="20"/>
          <w:lang w:eastAsia="pl-PL"/>
        </w:rPr>
        <w:t xml:space="preserve"> warstwy wiążącej i wyrównawczej z betonu </w:t>
      </w:r>
      <w:r w:rsidR="00336D00" w:rsidRPr="004853EB">
        <w:rPr>
          <w:rFonts w:eastAsia="Times New Roman" w:cstheme="minorHAnsi"/>
          <w:color w:val="000000"/>
          <w:sz w:val="20"/>
          <w:szCs w:val="20"/>
          <w:lang w:eastAsia="pl-PL"/>
        </w:rPr>
        <w:t>asfaltowego powinno</w:t>
      </w:r>
      <w:r w:rsidRPr="004853EB">
        <w:rPr>
          <w:rFonts w:eastAsia="Times New Roman" w:cstheme="minorHAnsi"/>
          <w:color w:val="000000"/>
          <w:sz w:val="20"/>
          <w:szCs w:val="20"/>
          <w:lang w:eastAsia="pl-PL"/>
        </w:rPr>
        <w:t xml:space="preserve"> spełniać wymagania podane w </w:t>
      </w:r>
      <w:r w:rsidR="00336D00" w:rsidRPr="004853EB">
        <w:rPr>
          <w:rFonts w:eastAsia="Times New Roman" w:cstheme="minorHAnsi"/>
          <w:color w:val="000000"/>
          <w:sz w:val="20"/>
          <w:szCs w:val="20"/>
          <w:lang w:eastAsia="pl-PL"/>
        </w:rPr>
        <w:t>tablicy 7.</w:t>
      </w:r>
      <w:r w:rsidRPr="004853EB">
        <w:rPr>
          <w:rFonts w:eastAsia="Times New Roman" w:cstheme="minorHAnsi"/>
          <w:color w:val="000000"/>
          <w:sz w:val="20"/>
          <w:szCs w:val="20"/>
          <w:lang w:eastAsia="pl-PL"/>
        </w:rPr>
        <w:t xml:space="preserve"> </w:t>
      </w:r>
    </w:p>
    <w:p w14:paraId="0F01D6FB" w14:textId="4D22A9EC" w:rsidR="00CC1EF4" w:rsidRPr="004853EB" w:rsidRDefault="00CC1EF4" w:rsidP="00CC1EF4">
      <w:pPr>
        <w:shd w:val="clear" w:color="auto" w:fill="FFFFFF"/>
        <w:spacing w:before="120" w:after="120" w:line="240" w:lineRule="auto"/>
        <w:ind w:left="1200" w:hanging="120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Tablica 7. Wymagane właściwości kruszywa niełamanego drobnego lub o ciągłym uziarnieniu do D≤</w:t>
      </w:r>
      <w:r w:rsidR="00336D00" w:rsidRPr="004853EB">
        <w:rPr>
          <w:rFonts w:eastAsia="Times New Roman" w:cstheme="minorHAnsi"/>
          <w:color w:val="000000"/>
          <w:sz w:val="20"/>
          <w:szCs w:val="20"/>
          <w:lang w:eastAsia="pl-PL"/>
        </w:rPr>
        <w:t>8 do</w:t>
      </w:r>
      <w:r w:rsidRPr="004853EB">
        <w:rPr>
          <w:rFonts w:eastAsia="Times New Roman" w:cstheme="minorHAnsi"/>
          <w:color w:val="000000"/>
          <w:sz w:val="20"/>
          <w:szCs w:val="20"/>
          <w:lang w:eastAsia="pl-PL"/>
        </w:rPr>
        <w:t xml:space="preserve"> warstwy wiążącej i </w:t>
      </w:r>
      <w:r w:rsidR="00336D00" w:rsidRPr="004853EB">
        <w:rPr>
          <w:rFonts w:eastAsia="Times New Roman" w:cstheme="minorHAnsi"/>
          <w:color w:val="000000"/>
          <w:sz w:val="20"/>
          <w:szCs w:val="20"/>
          <w:lang w:eastAsia="pl-PL"/>
        </w:rPr>
        <w:t>wyrównawczej z</w:t>
      </w:r>
      <w:r w:rsidRPr="004853EB">
        <w:rPr>
          <w:rFonts w:eastAsia="Times New Roman" w:cstheme="minorHAnsi"/>
          <w:color w:val="000000"/>
          <w:sz w:val="20"/>
          <w:szCs w:val="20"/>
          <w:lang w:eastAsia="pl-PL"/>
        </w:rPr>
        <w:t xml:space="preserve"> betonu asfaltowego</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897"/>
        <w:gridCol w:w="3536"/>
      </w:tblGrid>
      <w:tr w:rsidR="00CC1EF4" w:rsidRPr="004853EB" w14:paraId="7DBEAFAD" w14:textId="77777777" w:rsidTr="00E95D02">
        <w:tc>
          <w:tcPr>
            <w:tcW w:w="675" w:type="dxa"/>
            <w:vMerge w:val="restart"/>
          </w:tcPr>
          <w:p w14:paraId="54A12284"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44B5F8C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Lp.</w:t>
            </w:r>
          </w:p>
        </w:tc>
        <w:tc>
          <w:tcPr>
            <w:tcW w:w="4897" w:type="dxa"/>
            <w:vMerge w:val="restart"/>
          </w:tcPr>
          <w:p w14:paraId="14167198"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3C1092A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Właściwości kruszywa</w:t>
            </w:r>
          </w:p>
        </w:tc>
        <w:tc>
          <w:tcPr>
            <w:tcW w:w="3536" w:type="dxa"/>
          </w:tcPr>
          <w:p w14:paraId="62D6367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Wymagania w zależności </w:t>
            </w:r>
          </w:p>
          <w:p w14:paraId="4EF3E5A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 kategorii ruchu</w:t>
            </w:r>
          </w:p>
        </w:tc>
      </w:tr>
      <w:tr w:rsidR="00CC1EF4" w:rsidRPr="004853EB" w14:paraId="796245AB" w14:textId="77777777" w:rsidTr="00E95D02">
        <w:tc>
          <w:tcPr>
            <w:tcW w:w="675" w:type="dxa"/>
            <w:vMerge/>
          </w:tcPr>
          <w:p w14:paraId="176688E5"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4897" w:type="dxa"/>
            <w:vMerge/>
          </w:tcPr>
          <w:p w14:paraId="539E7535"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3536" w:type="dxa"/>
          </w:tcPr>
          <w:p w14:paraId="01035F0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KR3 </w:t>
            </w:r>
            <w:r w:rsidRPr="004853EB">
              <w:rPr>
                <w:rFonts w:eastAsia="Times New Roman" w:cstheme="minorHAnsi"/>
                <w:color w:val="000000"/>
                <w:sz w:val="18"/>
                <w:szCs w:val="18"/>
                <w:lang w:eastAsia="pl-PL"/>
              </w:rPr>
              <w:sym w:font="Symbol" w:char="F0B8"/>
            </w:r>
            <w:r w:rsidRPr="004853EB">
              <w:rPr>
                <w:rFonts w:eastAsia="Times New Roman" w:cstheme="minorHAnsi"/>
                <w:color w:val="000000"/>
                <w:sz w:val="18"/>
                <w:szCs w:val="18"/>
                <w:lang w:eastAsia="pl-PL"/>
              </w:rPr>
              <w:t xml:space="preserve"> KR4</w:t>
            </w:r>
          </w:p>
        </w:tc>
      </w:tr>
      <w:tr w:rsidR="00CC1EF4" w:rsidRPr="004853EB" w14:paraId="6D06D9B6" w14:textId="77777777" w:rsidTr="00E95D02">
        <w:tc>
          <w:tcPr>
            <w:tcW w:w="675" w:type="dxa"/>
          </w:tcPr>
          <w:p w14:paraId="4A17AA0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w:t>
            </w:r>
          </w:p>
        </w:tc>
        <w:tc>
          <w:tcPr>
            <w:tcW w:w="4897" w:type="dxa"/>
          </w:tcPr>
          <w:p w14:paraId="08E3C6E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Uziarnienie według PN-EN 933-1 [5], wymagana kategoria:</w:t>
            </w:r>
          </w:p>
        </w:tc>
        <w:tc>
          <w:tcPr>
            <w:tcW w:w="3536" w:type="dxa"/>
            <w:vAlign w:val="center"/>
          </w:tcPr>
          <w:p w14:paraId="25529AB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G</w:t>
            </w:r>
            <w:r w:rsidRPr="004853EB">
              <w:rPr>
                <w:rFonts w:eastAsia="Times New Roman" w:cstheme="minorHAnsi"/>
                <w:color w:val="000000"/>
                <w:sz w:val="18"/>
                <w:szCs w:val="18"/>
                <w:vertAlign w:val="subscript"/>
                <w:lang w:eastAsia="pl-PL"/>
              </w:rPr>
              <w:t>F</w:t>
            </w:r>
            <w:r w:rsidRPr="004853EB">
              <w:rPr>
                <w:rFonts w:eastAsia="Times New Roman" w:cstheme="minorHAnsi"/>
                <w:color w:val="000000"/>
                <w:sz w:val="18"/>
                <w:szCs w:val="18"/>
                <w:lang w:eastAsia="pl-PL"/>
              </w:rPr>
              <w:t>85 lub G</w:t>
            </w:r>
            <w:r w:rsidRPr="004853EB">
              <w:rPr>
                <w:rFonts w:eastAsia="Times New Roman" w:cstheme="minorHAnsi"/>
                <w:color w:val="000000"/>
                <w:sz w:val="18"/>
                <w:szCs w:val="18"/>
                <w:vertAlign w:val="subscript"/>
                <w:lang w:eastAsia="pl-PL"/>
              </w:rPr>
              <w:t>A</w:t>
            </w:r>
            <w:r w:rsidRPr="004853EB">
              <w:rPr>
                <w:rFonts w:eastAsia="Times New Roman" w:cstheme="minorHAnsi"/>
                <w:color w:val="000000"/>
                <w:sz w:val="18"/>
                <w:szCs w:val="18"/>
                <w:lang w:eastAsia="pl-PL"/>
              </w:rPr>
              <w:t>85</w:t>
            </w:r>
          </w:p>
        </w:tc>
      </w:tr>
      <w:tr w:rsidR="00CC1EF4" w:rsidRPr="004853EB" w14:paraId="4BA56876" w14:textId="77777777" w:rsidTr="00E95D02">
        <w:tc>
          <w:tcPr>
            <w:tcW w:w="675" w:type="dxa"/>
          </w:tcPr>
          <w:p w14:paraId="3ADB1CE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w:t>
            </w:r>
          </w:p>
        </w:tc>
        <w:tc>
          <w:tcPr>
            <w:tcW w:w="4897" w:type="dxa"/>
          </w:tcPr>
          <w:p w14:paraId="02F047C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Tolerancja uziarnienia; odchylenie nie większe niż według kategorii:</w:t>
            </w:r>
          </w:p>
        </w:tc>
        <w:tc>
          <w:tcPr>
            <w:tcW w:w="3536" w:type="dxa"/>
            <w:vAlign w:val="center"/>
          </w:tcPr>
          <w:p w14:paraId="56FD39F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G</w:t>
            </w:r>
            <w:r w:rsidRPr="004853EB">
              <w:rPr>
                <w:rFonts w:eastAsia="Times New Roman" w:cstheme="minorHAnsi"/>
                <w:color w:val="000000"/>
                <w:sz w:val="18"/>
                <w:szCs w:val="18"/>
                <w:vertAlign w:val="subscript"/>
                <w:lang w:eastAsia="pl-PL"/>
              </w:rPr>
              <w:t>TC</w:t>
            </w:r>
            <w:r w:rsidRPr="004853EB">
              <w:rPr>
                <w:rFonts w:eastAsia="Times New Roman" w:cstheme="minorHAnsi"/>
                <w:color w:val="000000"/>
                <w:sz w:val="18"/>
                <w:szCs w:val="18"/>
                <w:lang w:eastAsia="pl-PL"/>
              </w:rPr>
              <w:t>20</w:t>
            </w:r>
          </w:p>
        </w:tc>
      </w:tr>
      <w:tr w:rsidR="00CC1EF4" w:rsidRPr="004853EB" w14:paraId="332516C5" w14:textId="77777777" w:rsidTr="00E95D02">
        <w:tc>
          <w:tcPr>
            <w:tcW w:w="675" w:type="dxa"/>
          </w:tcPr>
          <w:p w14:paraId="23A55C6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w:t>
            </w:r>
          </w:p>
        </w:tc>
        <w:tc>
          <w:tcPr>
            <w:tcW w:w="4897" w:type="dxa"/>
          </w:tcPr>
          <w:p w14:paraId="19D66D4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Zawartość pyłów według PN-EN 933-1 [5], kategoria nie wyższa niż:</w:t>
            </w:r>
          </w:p>
        </w:tc>
        <w:tc>
          <w:tcPr>
            <w:tcW w:w="3536" w:type="dxa"/>
            <w:vAlign w:val="center"/>
          </w:tcPr>
          <w:p w14:paraId="522A12E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sym w:font="Symbol" w:char="F0A6"/>
            </w:r>
            <w:r w:rsidRPr="004853EB">
              <w:rPr>
                <w:rFonts w:eastAsia="Times New Roman" w:cstheme="minorHAnsi"/>
                <w:color w:val="000000"/>
                <w:sz w:val="18"/>
                <w:szCs w:val="18"/>
                <w:vertAlign w:val="subscript"/>
                <w:lang w:eastAsia="pl-PL"/>
              </w:rPr>
              <w:t>3</w:t>
            </w:r>
          </w:p>
        </w:tc>
      </w:tr>
      <w:tr w:rsidR="00CC1EF4" w:rsidRPr="004853EB" w14:paraId="5F750742" w14:textId="77777777" w:rsidTr="00E95D02">
        <w:tc>
          <w:tcPr>
            <w:tcW w:w="675" w:type="dxa"/>
          </w:tcPr>
          <w:p w14:paraId="30E7430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w:t>
            </w:r>
          </w:p>
        </w:tc>
        <w:tc>
          <w:tcPr>
            <w:tcW w:w="4897" w:type="dxa"/>
          </w:tcPr>
          <w:p w14:paraId="33035DF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Jakość pyłów według PN-EN 933-9 [10]; kategoria nie wyższa niż:</w:t>
            </w:r>
          </w:p>
        </w:tc>
        <w:tc>
          <w:tcPr>
            <w:tcW w:w="3536" w:type="dxa"/>
            <w:vAlign w:val="center"/>
          </w:tcPr>
          <w:p w14:paraId="2339120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MB</w:t>
            </w:r>
            <w:r w:rsidRPr="004853EB">
              <w:rPr>
                <w:rFonts w:eastAsia="Times New Roman" w:cstheme="minorHAnsi"/>
                <w:color w:val="000000"/>
                <w:sz w:val="18"/>
                <w:szCs w:val="18"/>
                <w:vertAlign w:val="subscript"/>
                <w:lang w:eastAsia="pl-PL"/>
              </w:rPr>
              <w:t>F</w:t>
            </w:r>
            <w:r w:rsidRPr="004853EB">
              <w:rPr>
                <w:rFonts w:eastAsia="Times New Roman" w:cstheme="minorHAnsi"/>
                <w:color w:val="000000"/>
                <w:sz w:val="18"/>
                <w:szCs w:val="18"/>
                <w:lang w:eastAsia="pl-PL"/>
              </w:rPr>
              <w:t>10</w:t>
            </w:r>
          </w:p>
        </w:tc>
      </w:tr>
      <w:tr w:rsidR="00CC1EF4" w:rsidRPr="004853EB" w14:paraId="69302A01" w14:textId="77777777" w:rsidTr="00E95D02">
        <w:tc>
          <w:tcPr>
            <w:tcW w:w="675" w:type="dxa"/>
          </w:tcPr>
          <w:p w14:paraId="27A446B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w:t>
            </w:r>
          </w:p>
        </w:tc>
        <w:tc>
          <w:tcPr>
            <w:tcW w:w="4897" w:type="dxa"/>
          </w:tcPr>
          <w:p w14:paraId="6439CF3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Kanciastość kruszywa drobnego według PN-EN 933-6 [9], rozdz. 8, kategoria nie niższa niż:</w:t>
            </w:r>
          </w:p>
        </w:tc>
        <w:tc>
          <w:tcPr>
            <w:tcW w:w="3536" w:type="dxa"/>
            <w:vAlign w:val="center"/>
          </w:tcPr>
          <w:p w14:paraId="18CF710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i/>
                <w:color w:val="000000"/>
                <w:sz w:val="18"/>
                <w:szCs w:val="18"/>
                <w:lang w:eastAsia="pl-PL"/>
              </w:rPr>
              <w:t>E</w:t>
            </w:r>
            <w:r w:rsidRPr="004853EB">
              <w:rPr>
                <w:rFonts w:eastAsia="Times New Roman" w:cstheme="minorHAnsi"/>
                <w:color w:val="000000"/>
                <w:sz w:val="18"/>
                <w:szCs w:val="18"/>
                <w:vertAlign w:val="subscript"/>
                <w:lang w:eastAsia="pl-PL"/>
              </w:rPr>
              <w:t>csDeklarowana</w:t>
            </w:r>
          </w:p>
        </w:tc>
      </w:tr>
      <w:tr w:rsidR="00CC1EF4" w:rsidRPr="004853EB" w14:paraId="78B17B71" w14:textId="77777777" w:rsidTr="00E95D02">
        <w:tc>
          <w:tcPr>
            <w:tcW w:w="675" w:type="dxa"/>
          </w:tcPr>
          <w:p w14:paraId="77C849F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w:t>
            </w:r>
          </w:p>
        </w:tc>
        <w:tc>
          <w:tcPr>
            <w:tcW w:w="4897" w:type="dxa"/>
          </w:tcPr>
          <w:p w14:paraId="59CB891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Gęstość ziaren według PN-EN 1097-6 [15], rozdz. 7, 8 lub 9:</w:t>
            </w:r>
          </w:p>
        </w:tc>
        <w:tc>
          <w:tcPr>
            <w:tcW w:w="3536" w:type="dxa"/>
            <w:vAlign w:val="center"/>
          </w:tcPr>
          <w:p w14:paraId="7057F07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deklarowana przez producenta</w:t>
            </w:r>
          </w:p>
        </w:tc>
      </w:tr>
      <w:tr w:rsidR="00CC1EF4" w:rsidRPr="004853EB" w14:paraId="6BD577EE" w14:textId="77777777" w:rsidTr="00E95D02">
        <w:tc>
          <w:tcPr>
            <w:tcW w:w="675" w:type="dxa"/>
          </w:tcPr>
          <w:p w14:paraId="4BD9997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7</w:t>
            </w:r>
          </w:p>
        </w:tc>
        <w:tc>
          <w:tcPr>
            <w:tcW w:w="4897" w:type="dxa"/>
          </w:tcPr>
          <w:p w14:paraId="75E0FDA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Nasiąkliwość według PN-EN 1097-6 [15], rozdz. 7, 8 lub 9</w:t>
            </w:r>
          </w:p>
        </w:tc>
        <w:tc>
          <w:tcPr>
            <w:tcW w:w="3536" w:type="dxa"/>
            <w:vAlign w:val="center"/>
          </w:tcPr>
          <w:p w14:paraId="536F31C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deklarowana przez producenta</w:t>
            </w:r>
          </w:p>
        </w:tc>
      </w:tr>
      <w:tr w:rsidR="00CC1EF4" w:rsidRPr="004853EB" w14:paraId="651B1F34" w14:textId="77777777" w:rsidTr="00E95D02">
        <w:tc>
          <w:tcPr>
            <w:tcW w:w="675" w:type="dxa"/>
          </w:tcPr>
          <w:p w14:paraId="7766E11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w:t>
            </w:r>
          </w:p>
        </w:tc>
        <w:tc>
          <w:tcPr>
            <w:tcW w:w="4897" w:type="dxa"/>
          </w:tcPr>
          <w:p w14:paraId="40D6247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Grube zanieczyszczenia lekkie, według PN-EN 1744-1 [21], p. 14.2, kategoria nie wyższa niż:</w:t>
            </w:r>
          </w:p>
        </w:tc>
        <w:tc>
          <w:tcPr>
            <w:tcW w:w="3536" w:type="dxa"/>
            <w:vAlign w:val="center"/>
          </w:tcPr>
          <w:p w14:paraId="7241E5D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i/>
                <w:color w:val="000000"/>
                <w:sz w:val="18"/>
                <w:szCs w:val="18"/>
                <w:lang w:eastAsia="pl-PL"/>
              </w:rPr>
              <w:t>m</w:t>
            </w:r>
            <w:r w:rsidRPr="004853EB">
              <w:rPr>
                <w:rFonts w:eastAsia="Times New Roman" w:cstheme="minorHAnsi"/>
                <w:color w:val="000000"/>
                <w:sz w:val="18"/>
                <w:szCs w:val="18"/>
                <w:vertAlign w:val="subscript"/>
                <w:lang w:eastAsia="pl-PL"/>
              </w:rPr>
              <w:t>LPC</w:t>
            </w:r>
            <w:r w:rsidRPr="004853EB">
              <w:rPr>
                <w:rFonts w:eastAsia="Times New Roman" w:cstheme="minorHAnsi"/>
                <w:color w:val="000000"/>
                <w:sz w:val="18"/>
                <w:szCs w:val="18"/>
                <w:lang w:eastAsia="pl-PL"/>
              </w:rPr>
              <w:t>0,1</w:t>
            </w:r>
          </w:p>
        </w:tc>
      </w:tr>
    </w:tbl>
    <w:p w14:paraId="5C88ED6C" w14:textId="77777777" w:rsidR="00CC1EF4" w:rsidRPr="004853EB" w:rsidRDefault="00CC1EF4" w:rsidP="00CC1EF4">
      <w:pPr>
        <w:spacing w:after="0" w:line="240" w:lineRule="auto"/>
        <w:jc w:val="both"/>
        <w:rPr>
          <w:rFonts w:eastAsia="Times New Roman" w:cstheme="minorHAnsi"/>
          <w:color w:val="000000"/>
          <w:sz w:val="20"/>
          <w:szCs w:val="20"/>
          <w:lang w:eastAsia="pl-PL"/>
        </w:rPr>
      </w:pPr>
    </w:p>
    <w:p w14:paraId="0C0938C8" w14:textId="71B2AE6C" w:rsidR="00CC1EF4" w:rsidRPr="004853EB" w:rsidRDefault="00CC1EF4" w:rsidP="00CC1EF4">
      <w:pPr>
        <w:shd w:val="clear" w:color="auto" w:fill="FFFFFF"/>
        <w:spacing w:after="0" w:line="240" w:lineRule="auto"/>
        <w:ind w:left="360" w:right="-213" w:hanging="36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c) kruszywo łamane drobne lub o ciągłym uziarnieniu do D≤</w:t>
      </w:r>
      <w:r w:rsidR="00336D00" w:rsidRPr="004853EB">
        <w:rPr>
          <w:rFonts w:eastAsia="Times New Roman" w:cstheme="minorHAnsi"/>
          <w:color w:val="000000"/>
          <w:sz w:val="20"/>
          <w:szCs w:val="20"/>
          <w:lang w:eastAsia="pl-PL"/>
        </w:rPr>
        <w:t>8 do</w:t>
      </w:r>
      <w:r w:rsidRPr="004853EB">
        <w:rPr>
          <w:rFonts w:eastAsia="Times New Roman" w:cstheme="minorHAnsi"/>
          <w:color w:val="000000"/>
          <w:sz w:val="20"/>
          <w:szCs w:val="20"/>
          <w:lang w:eastAsia="pl-PL"/>
        </w:rPr>
        <w:t xml:space="preserve"> warstwy wiążącej i </w:t>
      </w:r>
      <w:r w:rsidR="00336D00" w:rsidRPr="004853EB">
        <w:rPr>
          <w:rFonts w:eastAsia="Times New Roman" w:cstheme="minorHAnsi"/>
          <w:color w:val="000000"/>
          <w:sz w:val="20"/>
          <w:szCs w:val="20"/>
          <w:lang w:eastAsia="pl-PL"/>
        </w:rPr>
        <w:t>wyrównawczej z</w:t>
      </w:r>
      <w:r w:rsidRPr="004853EB">
        <w:rPr>
          <w:rFonts w:eastAsia="Times New Roman" w:cstheme="minorHAnsi"/>
          <w:color w:val="000000"/>
          <w:sz w:val="20"/>
          <w:szCs w:val="20"/>
          <w:lang w:eastAsia="pl-PL"/>
        </w:rPr>
        <w:t xml:space="preserve"> betonu </w:t>
      </w:r>
      <w:r w:rsidR="00336D00" w:rsidRPr="004853EB">
        <w:rPr>
          <w:rFonts w:eastAsia="Times New Roman" w:cstheme="minorHAnsi"/>
          <w:color w:val="000000"/>
          <w:sz w:val="20"/>
          <w:szCs w:val="20"/>
          <w:lang w:eastAsia="pl-PL"/>
        </w:rPr>
        <w:t>asfaltowego powinno</w:t>
      </w:r>
      <w:r w:rsidRPr="004853EB">
        <w:rPr>
          <w:rFonts w:eastAsia="Times New Roman" w:cstheme="minorHAnsi"/>
          <w:color w:val="000000"/>
          <w:sz w:val="20"/>
          <w:szCs w:val="20"/>
          <w:lang w:eastAsia="pl-PL"/>
        </w:rPr>
        <w:t xml:space="preserve"> spełniać wymagania podane w </w:t>
      </w:r>
      <w:r w:rsidR="00336D00" w:rsidRPr="004853EB">
        <w:rPr>
          <w:rFonts w:eastAsia="Times New Roman" w:cstheme="minorHAnsi"/>
          <w:color w:val="000000"/>
          <w:sz w:val="20"/>
          <w:szCs w:val="20"/>
          <w:lang w:eastAsia="pl-PL"/>
        </w:rPr>
        <w:t>tablicy 8.</w:t>
      </w:r>
      <w:r w:rsidRPr="004853EB">
        <w:rPr>
          <w:rFonts w:eastAsia="Times New Roman" w:cstheme="minorHAnsi"/>
          <w:color w:val="000000"/>
          <w:sz w:val="20"/>
          <w:szCs w:val="20"/>
          <w:lang w:eastAsia="pl-PL"/>
        </w:rPr>
        <w:t xml:space="preserve"> </w:t>
      </w:r>
    </w:p>
    <w:p w14:paraId="58D3FD63" w14:textId="77777777" w:rsidR="00CC1EF4" w:rsidRPr="004853EB" w:rsidRDefault="00CC1EF4" w:rsidP="00CC1EF4">
      <w:pPr>
        <w:shd w:val="clear" w:color="auto" w:fill="FFFFFF"/>
        <w:spacing w:after="0" w:line="240" w:lineRule="auto"/>
        <w:jc w:val="both"/>
        <w:rPr>
          <w:rFonts w:eastAsia="Times New Roman" w:cstheme="minorHAnsi"/>
          <w:b/>
          <w:color w:val="000000"/>
          <w:sz w:val="20"/>
          <w:szCs w:val="20"/>
          <w:lang w:eastAsia="pl-PL"/>
        </w:rPr>
      </w:pPr>
    </w:p>
    <w:p w14:paraId="57ACA9A9" w14:textId="12A44783" w:rsidR="00CC1EF4" w:rsidRPr="004853EB" w:rsidRDefault="00CC1EF4" w:rsidP="00CC1EF4">
      <w:pPr>
        <w:shd w:val="clear" w:color="auto" w:fill="FFFFFF"/>
        <w:spacing w:after="120" w:line="240" w:lineRule="auto"/>
        <w:ind w:left="1200" w:hanging="120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Tablica 8.</w:t>
      </w:r>
      <w:r w:rsidRPr="004853EB">
        <w:rPr>
          <w:rFonts w:eastAsia="Times New Roman" w:cstheme="minorHAnsi"/>
          <w:color w:val="000000"/>
          <w:sz w:val="20"/>
          <w:szCs w:val="20"/>
          <w:lang w:eastAsia="pl-PL"/>
        </w:rPr>
        <w:tab/>
        <w:t>Wymagane właściwości kruszywa łamanego drobnego lub o ciągłym uziarnieniu do D≤</w:t>
      </w:r>
      <w:r w:rsidR="00336D00" w:rsidRPr="004853EB">
        <w:rPr>
          <w:rFonts w:eastAsia="Times New Roman" w:cstheme="minorHAnsi"/>
          <w:color w:val="000000"/>
          <w:sz w:val="20"/>
          <w:szCs w:val="20"/>
          <w:lang w:eastAsia="pl-PL"/>
        </w:rPr>
        <w:t>8 do</w:t>
      </w:r>
      <w:r w:rsidRPr="004853EB">
        <w:rPr>
          <w:rFonts w:eastAsia="Times New Roman" w:cstheme="minorHAnsi"/>
          <w:color w:val="000000"/>
          <w:sz w:val="20"/>
          <w:szCs w:val="20"/>
          <w:lang w:eastAsia="pl-PL"/>
        </w:rPr>
        <w:t xml:space="preserve"> warstwy wiążącej i </w:t>
      </w:r>
      <w:r w:rsidR="00336D00" w:rsidRPr="004853EB">
        <w:rPr>
          <w:rFonts w:eastAsia="Times New Roman" w:cstheme="minorHAnsi"/>
          <w:color w:val="000000"/>
          <w:sz w:val="20"/>
          <w:szCs w:val="20"/>
          <w:lang w:eastAsia="pl-PL"/>
        </w:rPr>
        <w:t>wyrównawczej z</w:t>
      </w:r>
      <w:r w:rsidRPr="004853EB">
        <w:rPr>
          <w:rFonts w:eastAsia="Times New Roman" w:cstheme="minorHAnsi"/>
          <w:color w:val="000000"/>
          <w:sz w:val="20"/>
          <w:szCs w:val="20"/>
          <w:lang w:eastAsia="pl-PL"/>
        </w:rPr>
        <w:t xml:space="preserve">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953"/>
        <w:gridCol w:w="3360"/>
      </w:tblGrid>
      <w:tr w:rsidR="00CC1EF4" w:rsidRPr="004853EB" w14:paraId="3018371E" w14:textId="77777777" w:rsidTr="00E95D02">
        <w:tc>
          <w:tcPr>
            <w:tcW w:w="675" w:type="dxa"/>
            <w:vMerge w:val="restart"/>
          </w:tcPr>
          <w:p w14:paraId="15F5AB6A"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0CBDAE0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Lp.</w:t>
            </w:r>
          </w:p>
        </w:tc>
        <w:tc>
          <w:tcPr>
            <w:tcW w:w="4953" w:type="dxa"/>
            <w:vMerge w:val="restart"/>
          </w:tcPr>
          <w:p w14:paraId="63C9A53F"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49D53AE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Właściwości kruszywa</w:t>
            </w:r>
          </w:p>
        </w:tc>
        <w:tc>
          <w:tcPr>
            <w:tcW w:w="3360" w:type="dxa"/>
          </w:tcPr>
          <w:p w14:paraId="144181A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Wymagania w zależności od kategorii ruchu</w:t>
            </w:r>
          </w:p>
        </w:tc>
      </w:tr>
      <w:tr w:rsidR="00CC1EF4" w:rsidRPr="004853EB" w14:paraId="17EABBB7" w14:textId="77777777" w:rsidTr="00E95D02">
        <w:tc>
          <w:tcPr>
            <w:tcW w:w="675" w:type="dxa"/>
            <w:vMerge/>
          </w:tcPr>
          <w:p w14:paraId="2C074401"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4953" w:type="dxa"/>
            <w:vMerge/>
          </w:tcPr>
          <w:p w14:paraId="2DC8A67E"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3360" w:type="dxa"/>
          </w:tcPr>
          <w:p w14:paraId="05A7F83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KR3 </w:t>
            </w:r>
            <w:r w:rsidRPr="004853EB">
              <w:rPr>
                <w:rFonts w:eastAsia="Times New Roman" w:cstheme="minorHAnsi"/>
                <w:color w:val="000000"/>
                <w:sz w:val="18"/>
                <w:szCs w:val="18"/>
                <w:lang w:eastAsia="pl-PL"/>
              </w:rPr>
              <w:sym w:font="Symbol" w:char="F0B8"/>
            </w:r>
            <w:r w:rsidRPr="004853EB">
              <w:rPr>
                <w:rFonts w:eastAsia="Times New Roman" w:cstheme="minorHAnsi"/>
                <w:color w:val="000000"/>
                <w:sz w:val="18"/>
                <w:szCs w:val="18"/>
                <w:lang w:eastAsia="pl-PL"/>
              </w:rPr>
              <w:t xml:space="preserve"> KR4</w:t>
            </w:r>
          </w:p>
        </w:tc>
      </w:tr>
      <w:tr w:rsidR="00CC1EF4" w:rsidRPr="004853EB" w14:paraId="4A05850F" w14:textId="77777777" w:rsidTr="00E95D02">
        <w:tc>
          <w:tcPr>
            <w:tcW w:w="675" w:type="dxa"/>
          </w:tcPr>
          <w:p w14:paraId="23300B8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w:t>
            </w:r>
          </w:p>
        </w:tc>
        <w:tc>
          <w:tcPr>
            <w:tcW w:w="4953" w:type="dxa"/>
          </w:tcPr>
          <w:p w14:paraId="053664A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Uziarnienie według PN-EN 933-1 [5], wymagana kategoria:</w:t>
            </w:r>
          </w:p>
        </w:tc>
        <w:tc>
          <w:tcPr>
            <w:tcW w:w="3360" w:type="dxa"/>
            <w:vAlign w:val="center"/>
          </w:tcPr>
          <w:p w14:paraId="12BF254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G</w:t>
            </w:r>
            <w:r w:rsidRPr="004853EB">
              <w:rPr>
                <w:rFonts w:eastAsia="Times New Roman" w:cstheme="minorHAnsi"/>
                <w:color w:val="000000"/>
                <w:sz w:val="18"/>
                <w:szCs w:val="18"/>
                <w:vertAlign w:val="subscript"/>
                <w:lang w:eastAsia="pl-PL"/>
              </w:rPr>
              <w:t>F</w:t>
            </w:r>
            <w:r w:rsidRPr="004853EB">
              <w:rPr>
                <w:rFonts w:eastAsia="Times New Roman" w:cstheme="minorHAnsi"/>
                <w:color w:val="000000"/>
                <w:sz w:val="18"/>
                <w:szCs w:val="18"/>
                <w:lang w:eastAsia="pl-PL"/>
              </w:rPr>
              <w:t>85 lub G</w:t>
            </w:r>
            <w:r w:rsidRPr="004853EB">
              <w:rPr>
                <w:rFonts w:eastAsia="Times New Roman" w:cstheme="minorHAnsi"/>
                <w:color w:val="000000"/>
                <w:sz w:val="18"/>
                <w:szCs w:val="18"/>
                <w:vertAlign w:val="subscript"/>
                <w:lang w:eastAsia="pl-PL"/>
              </w:rPr>
              <w:t>A</w:t>
            </w:r>
            <w:r w:rsidRPr="004853EB">
              <w:rPr>
                <w:rFonts w:eastAsia="Times New Roman" w:cstheme="minorHAnsi"/>
                <w:color w:val="000000"/>
                <w:sz w:val="18"/>
                <w:szCs w:val="18"/>
                <w:lang w:eastAsia="pl-PL"/>
              </w:rPr>
              <w:t>85</w:t>
            </w:r>
          </w:p>
        </w:tc>
      </w:tr>
      <w:tr w:rsidR="00CC1EF4" w:rsidRPr="004853EB" w14:paraId="4C2DF00A" w14:textId="77777777" w:rsidTr="00E95D02">
        <w:tc>
          <w:tcPr>
            <w:tcW w:w="675" w:type="dxa"/>
          </w:tcPr>
          <w:p w14:paraId="50CE64B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w:t>
            </w:r>
          </w:p>
        </w:tc>
        <w:tc>
          <w:tcPr>
            <w:tcW w:w="4953" w:type="dxa"/>
          </w:tcPr>
          <w:p w14:paraId="18FBB42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Tolerancja uziarnienia; odchylenie nie większe niż według kategorii:</w:t>
            </w:r>
          </w:p>
        </w:tc>
        <w:tc>
          <w:tcPr>
            <w:tcW w:w="3360" w:type="dxa"/>
            <w:vAlign w:val="center"/>
          </w:tcPr>
          <w:p w14:paraId="0B3A071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G</w:t>
            </w:r>
            <w:r w:rsidRPr="004853EB">
              <w:rPr>
                <w:rFonts w:eastAsia="Times New Roman" w:cstheme="minorHAnsi"/>
                <w:color w:val="000000"/>
                <w:sz w:val="18"/>
                <w:szCs w:val="18"/>
                <w:vertAlign w:val="subscript"/>
                <w:lang w:eastAsia="pl-PL"/>
              </w:rPr>
              <w:t>TC</w:t>
            </w:r>
            <w:r w:rsidRPr="004853EB">
              <w:rPr>
                <w:rFonts w:eastAsia="Times New Roman" w:cstheme="minorHAnsi"/>
                <w:color w:val="000000"/>
                <w:sz w:val="18"/>
                <w:szCs w:val="18"/>
                <w:lang w:eastAsia="pl-PL"/>
              </w:rPr>
              <w:t>20</w:t>
            </w:r>
          </w:p>
        </w:tc>
      </w:tr>
      <w:tr w:rsidR="00CC1EF4" w:rsidRPr="004853EB" w14:paraId="7A23BF2A" w14:textId="77777777" w:rsidTr="00E95D02">
        <w:tc>
          <w:tcPr>
            <w:tcW w:w="675" w:type="dxa"/>
          </w:tcPr>
          <w:p w14:paraId="195E99C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w:t>
            </w:r>
          </w:p>
        </w:tc>
        <w:tc>
          <w:tcPr>
            <w:tcW w:w="4953" w:type="dxa"/>
          </w:tcPr>
          <w:p w14:paraId="5D3F5C6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Zawartość pyłów według PN-EN 933-1 [5], kategoria nie wyższa niż:</w:t>
            </w:r>
          </w:p>
        </w:tc>
        <w:tc>
          <w:tcPr>
            <w:tcW w:w="3360" w:type="dxa"/>
            <w:vAlign w:val="center"/>
          </w:tcPr>
          <w:p w14:paraId="62C9FE0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sym w:font="Symbol" w:char="F0A6"/>
            </w:r>
            <w:r w:rsidRPr="004853EB">
              <w:rPr>
                <w:rFonts w:eastAsia="Times New Roman" w:cstheme="minorHAnsi"/>
                <w:color w:val="000000"/>
                <w:sz w:val="18"/>
                <w:szCs w:val="18"/>
                <w:vertAlign w:val="subscript"/>
                <w:lang w:eastAsia="pl-PL"/>
              </w:rPr>
              <w:t>16</w:t>
            </w:r>
          </w:p>
        </w:tc>
      </w:tr>
      <w:tr w:rsidR="00CC1EF4" w:rsidRPr="004853EB" w14:paraId="123D7676" w14:textId="77777777" w:rsidTr="00E95D02">
        <w:tc>
          <w:tcPr>
            <w:tcW w:w="675" w:type="dxa"/>
          </w:tcPr>
          <w:p w14:paraId="48699FE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w:t>
            </w:r>
          </w:p>
        </w:tc>
        <w:tc>
          <w:tcPr>
            <w:tcW w:w="4953" w:type="dxa"/>
          </w:tcPr>
          <w:p w14:paraId="17290FB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Jakość pyłów według PN-EN 933-9 [10]; kategoria nie wyższa niż:</w:t>
            </w:r>
          </w:p>
        </w:tc>
        <w:tc>
          <w:tcPr>
            <w:tcW w:w="3360" w:type="dxa"/>
            <w:vAlign w:val="center"/>
          </w:tcPr>
          <w:p w14:paraId="1D4C469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MB</w:t>
            </w:r>
            <w:r w:rsidRPr="004853EB">
              <w:rPr>
                <w:rFonts w:eastAsia="Times New Roman" w:cstheme="minorHAnsi"/>
                <w:color w:val="000000"/>
                <w:sz w:val="18"/>
                <w:szCs w:val="18"/>
                <w:vertAlign w:val="subscript"/>
                <w:lang w:eastAsia="pl-PL"/>
              </w:rPr>
              <w:t>F</w:t>
            </w:r>
            <w:r w:rsidRPr="004853EB">
              <w:rPr>
                <w:rFonts w:eastAsia="Times New Roman" w:cstheme="minorHAnsi"/>
                <w:color w:val="000000"/>
                <w:sz w:val="18"/>
                <w:szCs w:val="18"/>
                <w:lang w:eastAsia="pl-PL"/>
              </w:rPr>
              <w:t>10</w:t>
            </w:r>
          </w:p>
        </w:tc>
      </w:tr>
      <w:tr w:rsidR="00CC1EF4" w:rsidRPr="004853EB" w14:paraId="21A59C29" w14:textId="77777777" w:rsidTr="00E95D02">
        <w:tc>
          <w:tcPr>
            <w:tcW w:w="675" w:type="dxa"/>
          </w:tcPr>
          <w:p w14:paraId="5AF651A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w:t>
            </w:r>
          </w:p>
        </w:tc>
        <w:tc>
          <w:tcPr>
            <w:tcW w:w="4953" w:type="dxa"/>
          </w:tcPr>
          <w:p w14:paraId="36A743C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Kanciastość kruszywa drobnego według PN-EN 933-6 [9], rozdz. 8, kategoria nie niższa niż:</w:t>
            </w:r>
          </w:p>
        </w:tc>
        <w:tc>
          <w:tcPr>
            <w:tcW w:w="3360" w:type="dxa"/>
            <w:vAlign w:val="center"/>
          </w:tcPr>
          <w:p w14:paraId="49DF96B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E</w:t>
            </w:r>
            <w:r w:rsidRPr="004853EB">
              <w:rPr>
                <w:rFonts w:eastAsia="Times New Roman" w:cstheme="minorHAnsi"/>
                <w:color w:val="000000"/>
                <w:sz w:val="18"/>
                <w:szCs w:val="18"/>
                <w:vertAlign w:val="subscript"/>
                <w:lang w:eastAsia="pl-PL"/>
              </w:rPr>
              <w:t>CS</w:t>
            </w:r>
            <w:r w:rsidRPr="004853EB">
              <w:rPr>
                <w:rFonts w:eastAsia="Times New Roman" w:cstheme="minorHAnsi"/>
                <w:color w:val="000000"/>
                <w:sz w:val="18"/>
                <w:szCs w:val="18"/>
                <w:lang w:eastAsia="pl-PL"/>
              </w:rPr>
              <w:t>30</w:t>
            </w:r>
          </w:p>
        </w:tc>
      </w:tr>
      <w:tr w:rsidR="00CC1EF4" w:rsidRPr="004853EB" w14:paraId="4D23A5DC" w14:textId="77777777" w:rsidTr="00E95D02">
        <w:tc>
          <w:tcPr>
            <w:tcW w:w="675" w:type="dxa"/>
          </w:tcPr>
          <w:p w14:paraId="696494C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w:t>
            </w:r>
          </w:p>
        </w:tc>
        <w:tc>
          <w:tcPr>
            <w:tcW w:w="4953" w:type="dxa"/>
          </w:tcPr>
          <w:p w14:paraId="52AC85D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Gęstość ziaren według PN-EN 1097-6 [15], rozdz. 7, 8 lub 9:</w:t>
            </w:r>
          </w:p>
        </w:tc>
        <w:tc>
          <w:tcPr>
            <w:tcW w:w="3360" w:type="dxa"/>
            <w:vAlign w:val="center"/>
          </w:tcPr>
          <w:p w14:paraId="3F98348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deklarowana przez producenta</w:t>
            </w:r>
          </w:p>
        </w:tc>
      </w:tr>
      <w:tr w:rsidR="00CC1EF4" w:rsidRPr="004853EB" w14:paraId="20F4283B" w14:textId="77777777" w:rsidTr="00E95D02">
        <w:tc>
          <w:tcPr>
            <w:tcW w:w="675" w:type="dxa"/>
          </w:tcPr>
          <w:p w14:paraId="6B9ED71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7</w:t>
            </w:r>
          </w:p>
        </w:tc>
        <w:tc>
          <w:tcPr>
            <w:tcW w:w="4953" w:type="dxa"/>
          </w:tcPr>
          <w:p w14:paraId="47AD817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Nasiąkliwość według PN-EN 1097-6 [15], rozdz. 7, 8 lub 9</w:t>
            </w:r>
          </w:p>
        </w:tc>
        <w:tc>
          <w:tcPr>
            <w:tcW w:w="3360" w:type="dxa"/>
            <w:vAlign w:val="center"/>
          </w:tcPr>
          <w:p w14:paraId="664C876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deklarowana przez producenta</w:t>
            </w:r>
          </w:p>
        </w:tc>
      </w:tr>
      <w:tr w:rsidR="00CC1EF4" w:rsidRPr="004853EB" w14:paraId="068EA579" w14:textId="77777777" w:rsidTr="00E95D02">
        <w:tc>
          <w:tcPr>
            <w:tcW w:w="675" w:type="dxa"/>
          </w:tcPr>
          <w:p w14:paraId="51B82BC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w:t>
            </w:r>
          </w:p>
        </w:tc>
        <w:tc>
          <w:tcPr>
            <w:tcW w:w="4953" w:type="dxa"/>
          </w:tcPr>
          <w:p w14:paraId="21749B6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Grube zanieczyszczenia lekkie, według PN-EN 1744-1 [21], p. 14.2, kategoria nie wyższa niż:</w:t>
            </w:r>
          </w:p>
        </w:tc>
        <w:tc>
          <w:tcPr>
            <w:tcW w:w="3360" w:type="dxa"/>
            <w:vAlign w:val="center"/>
          </w:tcPr>
          <w:p w14:paraId="1179BE8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i/>
                <w:color w:val="000000"/>
                <w:sz w:val="18"/>
                <w:szCs w:val="18"/>
                <w:lang w:eastAsia="pl-PL"/>
              </w:rPr>
              <w:t>m</w:t>
            </w:r>
            <w:r w:rsidRPr="004853EB">
              <w:rPr>
                <w:rFonts w:eastAsia="Times New Roman" w:cstheme="minorHAnsi"/>
                <w:color w:val="000000"/>
                <w:sz w:val="18"/>
                <w:szCs w:val="18"/>
                <w:vertAlign w:val="subscript"/>
                <w:lang w:eastAsia="pl-PL"/>
              </w:rPr>
              <w:t>LPC</w:t>
            </w:r>
            <w:r w:rsidRPr="004853EB">
              <w:rPr>
                <w:rFonts w:eastAsia="Times New Roman" w:cstheme="minorHAnsi"/>
                <w:color w:val="000000"/>
                <w:sz w:val="18"/>
                <w:szCs w:val="18"/>
                <w:lang w:eastAsia="pl-PL"/>
              </w:rPr>
              <w:t>0,1</w:t>
            </w:r>
          </w:p>
        </w:tc>
      </w:tr>
    </w:tbl>
    <w:p w14:paraId="296ECC6E" w14:textId="77777777" w:rsidR="00CC1EF4" w:rsidRPr="004853EB" w:rsidRDefault="00CC1EF4" w:rsidP="00CC1EF4">
      <w:pPr>
        <w:spacing w:after="0" w:line="240" w:lineRule="auto"/>
        <w:jc w:val="both"/>
        <w:rPr>
          <w:rFonts w:eastAsia="Times New Roman" w:cstheme="minorHAnsi"/>
          <w:color w:val="000000"/>
          <w:sz w:val="20"/>
          <w:szCs w:val="20"/>
          <w:lang w:eastAsia="pl-PL"/>
        </w:rPr>
      </w:pPr>
    </w:p>
    <w:p w14:paraId="1AA557A7" w14:textId="275737E7" w:rsidR="00CC1EF4" w:rsidRPr="004853EB" w:rsidRDefault="00CC1EF4">
      <w:pPr>
        <w:widowControl w:val="0"/>
        <w:numPr>
          <w:ilvl w:val="0"/>
          <w:numId w:val="123"/>
        </w:numPr>
        <w:overflowPunct w:val="0"/>
        <w:autoSpaceDE w:val="0"/>
        <w:autoSpaceDN w:val="0"/>
        <w:adjustRightInd w:val="0"/>
        <w:spacing w:after="0" w:line="240" w:lineRule="auto"/>
        <w:ind w:right="-57"/>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do warstwy wiążącej i wyrównawczej z betonu asfaltowego, w zależności od kategorii </w:t>
      </w:r>
      <w:r w:rsidR="00336D00" w:rsidRPr="004853EB">
        <w:rPr>
          <w:rFonts w:eastAsia="Times New Roman" w:cstheme="minorHAnsi"/>
          <w:color w:val="000000"/>
          <w:sz w:val="20"/>
          <w:szCs w:val="20"/>
          <w:lang w:eastAsia="pl-PL"/>
        </w:rPr>
        <w:t>ruchu, należy</w:t>
      </w:r>
      <w:r w:rsidRPr="004853EB">
        <w:rPr>
          <w:rFonts w:eastAsia="Times New Roman" w:cstheme="minorHAnsi"/>
          <w:color w:val="000000"/>
          <w:sz w:val="20"/>
          <w:szCs w:val="20"/>
          <w:lang w:eastAsia="pl-PL"/>
        </w:rPr>
        <w:t xml:space="preserve"> stosować wypełniacz spełniający wymagania podane w tablicy 9.</w:t>
      </w:r>
    </w:p>
    <w:p w14:paraId="54206447" w14:textId="77777777" w:rsidR="00CC1EF4" w:rsidRPr="004853EB" w:rsidRDefault="00CC1EF4" w:rsidP="00CC1EF4">
      <w:pPr>
        <w:widowControl w:val="0"/>
        <w:spacing w:after="0" w:line="240" w:lineRule="auto"/>
        <w:ind w:left="360" w:right="-57"/>
        <w:jc w:val="both"/>
        <w:rPr>
          <w:rFonts w:eastAsia="Times New Roman" w:cstheme="minorHAnsi"/>
          <w:color w:val="000000"/>
          <w:sz w:val="20"/>
          <w:szCs w:val="20"/>
          <w:lang w:eastAsia="pl-PL"/>
        </w:rPr>
      </w:pPr>
    </w:p>
    <w:p w14:paraId="79B3E3FC" w14:textId="77777777" w:rsidR="00CC1EF4" w:rsidRPr="004853EB" w:rsidRDefault="00CC1EF4" w:rsidP="00CC1EF4">
      <w:pPr>
        <w:spacing w:after="120" w:line="240" w:lineRule="auto"/>
        <w:ind w:left="1202" w:hanging="1202"/>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Tablica 9. Wymagane właściwości wypełniacza*) do warstwy wiążącej i wyrównawczej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08"/>
        <w:gridCol w:w="4008"/>
      </w:tblGrid>
      <w:tr w:rsidR="00CC1EF4" w:rsidRPr="004853EB" w14:paraId="020E5844" w14:textId="77777777" w:rsidTr="00E95D02">
        <w:tc>
          <w:tcPr>
            <w:tcW w:w="4908" w:type="dxa"/>
            <w:vMerge w:val="restart"/>
          </w:tcPr>
          <w:p w14:paraId="053E45D8"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410A165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Właściwości kruszywa</w:t>
            </w:r>
          </w:p>
        </w:tc>
        <w:tc>
          <w:tcPr>
            <w:tcW w:w="4008" w:type="dxa"/>
          </w:tcPr>
          <w:p w14:paraId="3B08855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Wymagania w zależności </w:t>
            </w:r>
          </w:p>
          <w:p w14:paraId="50EF294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 kategorii ruchu</w:t>
            </w:r>
          </w:p>
        </w:tc>
      </w:tr>
      <w:tr w:rsidR="00CC1EF4" w:rsidRPr="004853EB" w14:paraId="7C510F01" w14:textId="77777777" w:rsidTr="00E95D02">
        <w:tc>
          <w:tcPr>
            <w:tcW w:w="4908" w:type="dxa"/>
            <w:vMerge/>
          </w:tcPr>
          <w:p w14:paraId="7B5CDE46"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4008" w:type="dxa"/>
          </w:tcPr>
          <w:p w14:paraId="34C81EC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KR3 </w:t>
            </w:r>
            <w:r w:rsidRPr="004853EB">
              <w:rPr>
                <w:rFonts w:eastAsia="Times New Roman" w:cstheme="minorHAnsi"/>
                <w:color w:val="000000"/>
                <w:sz w:val="18"/>
                <w:szCs w:val="18"/>
                <w:lang w:eastAsia="pl-PL"/>
              </w:rPr>
              <w:sym w:font="Symbol" w:char="F0B8"/>
            </w:r>
            <w:r w:rsidRPr="004853EB">
              <w:rPr>
                <w:rFonts w:eastAsia="Times New Roman" w:cstheme="minorHAnsi"/>
                <w:color w:val="000000"/>
                <w:sz w:val="18"/>
                <w:szCs w:val="18"/>
                <w:lang w:eastAsia="pl-PL"/>
              </w:rPr>
              <w:t xml:space="preserve"> KR4</w:t>
            </w:r>
          </w:p>
        </w:tc>
      </w:tr>
      <w:tr w:rsidR="00CC1EF4" w:rsidRPr="004853EB" w14:paraId="26780AB7" w14:textId="77777777" w:rsidTr="00E95D02">
        <w:tc>
          <w:tcPr>
            <w:tcW w:w="4908" w:type="dxa"/>
          </w:tcPr>
          <w:p w14:paraId="4CB99658"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Uziarnienie według PN-EN 933-10 [11]</w:t>
            </w:r>
          </w:p>
        </w:tc>
        <w:tc>
          <w:tcPr>
            <w:tcW w:w="4008" w:type="dxa"/>
            <w:vAlign w:val="center"/>
          </w:tcPr>
          <w:p w14:paraId="06C986E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zgodnie z tablicą 24 </w:t>
            </w:r>
          </w:p>
          <w:p w14:paraId="7C49636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wg PN-EN 13043 [49]</w:t>
            </w:r>
          </w:p>
        </w:tc>
      </w:tr>
      <w:tr w:rsidR="00CC1EF4" w:rsidRPr="004853EB" w14:paraId="0CD7FAA8" w14:textId="77777777" w:rsidTr="00E95D02">
        <w:tc>
          <w:tcPr>
            <w:tcW w:w="4908" w:type="dxa"/>
          </w:tcPr>
          <w:p w14:paraId="663FD84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Jakość pyłów według PN-EN 933-9 [10]; kategoria nie wyższa niż:</w:t>
            </w:r>
          </w:p>
        </w:tc>
        <w:tc>
          <w:tcPr>
            <w:tcW w:w="4008" w:type="dxa"/>
            <w:vAlign w:val="center"/>
          </w:tcPr>
          <w:p w14:paraId="3A593F2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MB</w:t>
            </w:r>
            <w:r w:rsidRPr="004853EB">
              <w:rPr>
                <w:rFonts w:eastAsia="Times New Roman" w:cstheme="minorHAnsi"/>
                <w:color w:val="000000"/>
                <w:sz w:val="18"/>
                <w:szCs w:val="18"/>
                <w:vertAlign w:val="subscript"/>
                <w:lang w:eastAsia="pl-PL"/>
              </w:rPr>
              <w:t>F</w:t>
            </w:r>
            <w:r w:rsidRPr="004853EB">
              <w:rPr>
                <w:rFonts w:eastAsia="Times New Roman" w:cstheme="minorHAnsi"/>
                <w:color w:val="000000"/>
                <w:sz w:val="18"/>
                <w:szCs w:val="18"/>
                <w:lang w:eastAsia="pl-PL"/>
              </w:rPr>
              <w:t>10</w:t>
            </w:r>
          </w:p>
        </w:tc>
      </w:tr>
      <w:tr w:rsidR="00CC1EF4" w:rsidRPr="004853EB" w14:paraId="296252F1" w14:textId="77777777" w:rsidTr="00E95D02">
        <w:tc>
          <w:tcPr>
            <w:tcW w:w="4908" w:type="dxa"/>
          </w:tcPr>
          <w:p w14:paraId="54B7C9C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Zawartość wody według PN-EN 1097-5 [14], nie wyższa niż:</w:t>
            </w:r>
          </w:p>
        </w:tc>
        <w:tc>
          <w:tcPr>
            <w:tcW w:w="4008" w:type="dxa"/>
            <w:vAlign w:val="center"/>
          </w:tcPr>
          <w:p w14:paraId="29C5EEA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1 % (m/m)</w:t>
            </w:r>
          </w:p>
        </w:tc>
      </w:tr>
      <w:tr w:rsidR="00CC1EF4" w:rsidRPr="004853EB" w14:paraId="7D1AF742" w14:textId="77777777" w:rsidTr="00E95D02">
        <w:tc>
          <w:tcPr>
            <w:tcW w:w="4908" w:type="dxa"/>
          </w:tcPr>
          <w:p w14:paraId="3C14B733"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Gęstość ziaren według PN-EN 1097-7 [16]</w:t>
            </w:r>
          </w:p>
        </w:tc>
        <w:tc>
          <w:tcPr>
            <w:tcW w:w="4008" w:type="dxa"/>
            <w:vAlign w:val="center"/>
          </w:tcPr>
          <w:p w14:paraId="01C4FC98"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deklarowana przez producenta</w:t>
            </w:r>
          </w:p>
        </w:tc>
      </w:tr>
      <w:tr w:rsidR="00CC1EF4" w:rsidRPr="004853EB" w14:paraId="1DB23B7A" w14:textId="77777777" w:rsidTr="00E95D02">
        <w:tc>
          <w:tcPr>
            <w:tcW w:w="4908" w:type="dxa"/>
          </w:tcPr>
          <w:p w14:paraId="0E8C86F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Wolne przestrzenie w suchym, zagęszczonym wypełniaczu według PN-EN 1097-4 [13], wymagana kategoria:</w:t>
            </w:r>
          </w:p>
        </w:tc>
        <w:tc>
          <w:tcPr>
            <w:tcW w:w="4008" w:type="dxa"/>
            <w:vAlign w:val="center"/>
          </w:tcPr>
          <w:p w14:paraId="40231A3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V</w:t>
            </w:r>
            <w:r w:rsidRPr="004853EB">
              <w:rPr>
                <w:rFonts w:eastAsia="Times New Roman" w:cstheme="minorHAnsi"/>
                <w:color w:val="000000"/>
                <w:sz w:val="18"/>
                <w:szCs w:val="18"/>
                <w:vertAlign w:val="subscript"/>
                <w:lang w:eastAsia="pl-PL"/>
              </w:rPr>
              <w:t>28/45</w:t>
            </w:r>
          </w:p>
        </w:tc>
      </w:tr>
      <w:tr w:rsidR="00CC1EF4" w:rsidRPr="004853EB" w14:paraId="1A31CD77" w14:textId="77777777" w:rsidTr="00E95D02">
        <w:tc>
          <w:tcPr>
            <w:tcW w:w="4908" w:type="dxa"/>
          </w:tcPr>
          <w:p w14:paraId="59A07C5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Przyrost temperatury mięknienia według PN-EN 13179-1 [55], wymagana kategoria:</w:t>
            </w:r>
          </w:p>
        </w:tc>
        <w:tc>
          <w:tcPr>
            <w:tcW w:w="4008" w:type="dxa"/>
            <w:vAlign w:val="center"/>
          </w:tcPr>
          <w:p w14:paraId="7CCE878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sym w:font="Symbol" w:char="F044"/>
            </w:r>
            <w:r w:rsidRPr="004853EB">
              <w:rPr>
                <w:rFonts w:eastAsia="Times New Roman" w:cstheme="minorHAnsi"/>
                <w:color w:val="000000"/>
                <w:sz w:val="18"/>
                <w:szCs w:val="18"/>
                <w:vertAlign w:val="subscript"/>
                <w:lang w:eastAsia="pl-PL"/>
              </w:rPr>
              <w:t>R&amp;B</w:t>
            </w:r>
            <w:r w:rsidRPr="004853EB">
              <w:rPr>
                <w:rFonts w:eastAsia="Times New Roman" w:cstheme="minorHAnsi"/>
                <w:color w:val="000000"/>
                <w:sz w:val="18"/>
                <w:szCs w:val="18"/>
                <w:lang w:eastAsia="pl-PL"/>
              </w:rPr>
              <w:t>8/25</w:t>
            </w:r>
          </w:p>
        </w:tc>
      </w:tr>
      <w:tr w:rsidR="00CC1EF4" w:rsidRPr="004853EB" w14:paraId="23B435DD" w14:textId="77777777" w:rsidTr="00E95D02">
        <w:tc>
          <w:tcPr>
            <w:tcW w:w="4908" w:type="dxa"/>
          </w:tcPr>
          <w:p w14:paraId="03A4011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Rozpuszczalność w wodzie według PN-EN 1744-1 [21], kategoria nie wyższa niż:</w:t>
            </w:r>
          </w:p>
        </w:tc>
        <w:tc>
          <w:tcPr>
            <w:tcW w:w="4008" w:type="dxa"/>
            <w:vAlign w:val="center"/>
          </w:tcPr>
          <w:p w14:paraId="45CB4F7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WS</w:t>
            </w:r>
            <w:r w:rsidRPr="004853EB">
              <w:rPr>
                <w:rFonts w:eastAsia="Times New Roman" w:cstheme="minorHAnsi"/>
                <w:color w:val="000000"/>
                <w:sz w:val="18"/>
                <w:szCs w:val="18"/>
                <w:vertAlign w:val="subscript"/>
                <w:lang w:eastAsia="pl-PL"/>
              </w:rPr>
              <w:t>10</w:t>
            </w:r>
          </w:p>
        </w:tc>
      </w:tr>
      <w:tr w:rsidR="00CC1EF4" w:rsidRPr="004853EB" w14:paraId="08465E53" w14:textId="77777777" w:rsidTr="00E95D02">
        <w:tc>
          <w:tcPr>
            <w:tcW w:w="4908" w:type="dxa"/>
          </w:tcPr>
          <w:p w14:paraId="53832A8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Zawartość CaCO</w:t>
            </w:r>
            <w:r w:rsidRPr="004853EB">
              <w:rPr>
                <w:rFonts w:eastAsia="Times New Roman" w:cstheme="minorHAnsi"/>
                <w:color w:val="000000"/>
                <w:sz w:val="18"/>
                <w:szCs w:val="18"/>
                <w:vertAlign w:val="subscript"/>
                <w:lang w:eastAsia="pl-PL"/>
              </w:rPr>
              <w:t>3</w:t>
            </w:r>
            <w:r w:rsidRPr="004853EB">
              <w:rPr>
                <w:rFonts w:eastAsia="Times New Roman" w:cstheme="minorHAnsi"/>
                <w:color w:val="000000"/>
                <w:sz w:val="18"/>
                <w:szCs w:val="18"/>
                <w:lang w:eastAsia="pl-PL"/>
              </w:rPr>
              <w:t xml:space="preserve"> w wypełniaczu wapiennym według PN-EN 196-2 [2], kategoria nie niższa niż:</w:t>
            </w:r>
          </w:p>
        </w:tc>
        <w:tc>
          <w:tcPr>
            <w:tcW w:w="4008" w:type="dxa"/>
            <w:vAlign w:val="center"/>
          </w:tcPr>
          <w:p w14:paraId="6A02CB8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CC</w:t>
            </w:r>
            <w:r w:rsidRPr="004853EB">
              <w:rPr>
                <w:rFonts w:eastAsia="Times New Roman" w:cstheme="minorHAnsi"/>
                <w:color w:val="000000"/>
                <w:sz w:val="18"/>
                <w:szCs w:val="18"/>
                <w:vertAlign w:val="subscript"/>
                <w:lang w:eastAsia="pl-PL"/>
              </w:rPr>
              <w:t>70</w:t>
            </w:r>
          </w:p>
        </w:tc>
      </w:tr>
      <w:tr w:rsidR="00CC1EF4" w:rsidRPr="004853EB" w14:paraId="59A660DF" w14:textId="77777777" w:rsidTr="00E95D02">
        <w:tc>
          <w:tcPr>
            <w:tcW w:w="4908" w:type="dxa"/>
          </w:tcPr>
          <w:p w14:paraId="0E9D41B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Zawartość wodorotlenku wapnia w wypełniaczu mieszanym wg PN-EN 459-2 [3], wymagana kategoria:</w:t>
            </w:r>
          </w:p>
        </w:tc>
        <w:tc>
          <w:tcPr>
            <w:tcW w:w="4008" w:type="dxa"/>
            <w:vAlign w:val="center"/>
          </w:tcPr>
          <w:p w14:paraId="41EDC4D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K</w:t>
            </w:r>
            <w:r w:rsidRPr="004853EB">
              <w:rPr>
                <w:rFonts w:eastAsia="Times New Roman" w:cstheme="minorHAnsi"/>
                <w:color w:val="000000"/>
                <w:sz w:val="18"/>
                <w:szCs w:val="18"/>
                <w:vertAlign w:val="subscript"/>
                <w:lang w:eastAsia="pl-PL"/>
              </w:rPr>
              <w:t>a</w:t>
            </w:r>
            <w:r w:rsidRPr="004853EB">
              <w:rPr>
                <w:rFonts w:eastAsia="Times New Roman" w:cstheme="minorHAnsi"/>
                <w:color w:val="000000"/>
                <w:sz w:val="18"/>
                <w:szCs w:val="18"/>
                <w:lang w:eastAsia="pl-PL"/>
              </w:rPr>
              <w:t>Deklarowana</w:t>
            </w:r>
          </w:p>
        </w:tc>
      </w:tr>
      <w:tr w:rsidR="00CC1EF4" w:rsidRPr="004853EB" w14:paraId="5921A6F9" w14:textId="77777777" w:rsidTr="00E95D02">
        <w:tc>
          <w:tcPr>
            <w:tcW w:w="4908" w:type="dxa"/>
          </w:tcPr>
          <w:p w14:paraId="5EDF3E4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„Liczba asfaltowa” według PN-EN 13179-2 [56], wymagana kategoria:</w:t>
            </w:r>
          </w:p>
        </w:tc>
        <w:tc>
          <w:tcPr>
            <w:tcW w:w="4008" w:type="dxa"/>
            <w:vAlign w:val="center"/>
          </w:tcPr>
          <w:p w14:paraId="3564050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BN</w:t>
            </w:r>
            <w:r w:rsidRPr="004853EB">
              <w:rPr>
                <w:rFonts w:eastAsia="Times New Roman" w:cstheme="minorHAnsi"/>
                <w:color w:val="000000"/>
                <w:sz w:val="18"/>
                <w:szCs w:val="18"/>
                <w:vertAlign w:val="subscript"/>
                <w:lang w:eastAsia="pl-PL"/>
              </w:rPr>
              <w:t>Deklarowana</w:t>
            </w:r>
          </w:p>
        </w:tc>
      </w:tr>
    </w:tbl>
    <w:p w14:paraId="7B0F789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Można stosować pyły z odpylania, pod warunkiem spełniania wymagań jak dla wypełniacza zgodnie z pktem 5 PN-EN 13043 [49]. Proporcja pyłów i wypełniacza wapiennego powinna być tak dobrana, aby kategoria zawartości CaCO</w:t>
      </w:r>
      <w:r w:rsidRPr="004853EB">
        <w:rPr>
          <w:rFonts w:eastAsia="Times New Roman" w:cstheme="minorHAnsi"/>
          <w:color w:val="000000"/>
          <w:sz w:val="20"/>
          <w:szCs w:val="20"/>
          <w:vertAlign w:val="subscript"/>
          <w:lang w:eastAsia="pl-PL"/>
        </w:rPr>
        <w:t>3</w:t>
      </w:r>
      <w:r w:rsidRPr="004853EB">
        <w:rPr>
          <w:rFonts w:eastAsia="Times New Roman" w:cstheme="minorHAnsi"/>
          <w:color w:val="000000"/>
          <w:sz w:val="20"/>
          <w:szCs w:val="20"/>
          <w:lang w:eastAsia="pl-PL"/>
        </w:rPr>
        <w:t xml:space="preserve"> w mieszance pyłów i wypełniacza wapiennego nie była niższa niż CC</w:t>
      </w:r>
      <w:r w:rsidRPr="004853EB">
        <w:rPr>
          <w:rFonts w:eastAsia="Times New Roman" w:cstheme="minorHAnsi"/>
          <w:color w:val="000000"/>
          <w:sz w:val="20"/>
          <w:szCs w:val="20"/>
          <w:vertAlign w:val="subscript"/>
          <w:lang w:eastAsia="pl-PL"/>
        </w:rPr>
        <w:t>70</w:t>
      </w:r>
      <w:r w:rsidRPr="004853EB">
        <w:rPr>
          <w:rFonts w:eastAsia="Times New Roman" w:cstheme="minorHAnsi"/>
          <w:color w:val="000000"/>
          <w:sz w:val="20"/>
          <w:szCs w:val="20"/>
          <w:lang w:eastAsia="pl-PL"/>
        </w:rPr>
        <w:t xml:space="preserve">. </w:t>
      </w:r>
    </w:p>
    <w:p w14:paraId="1B924CC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r>
    </w:p>
    <w:p w14:paraId="5697C442"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1750F5A4"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17EC4A01"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414" w:name="_Toc97034619"/>
      <w:bookmarkStart w:id="3415" w:name="_Toc97035307"/>
      <w:bookmarkStart w:id="3416" w:name="_Toc194477010"/>
      <w:bookmarkStart w:id="3417" w:name="_Toc227825492"/>
      <w:r w:rsidRPr="004853EB">
        <w:rPr>
          <w:rFonts w:eastAsia="Times New Roman" w:cstheme="minorHAnsi"/>
          <w:b/>
          <w:bCs/>
          <w:color w:val="000000"/>
          <w:sz w:val="20"/>
          <w:szCs w:val="20"/>
          <w:lang w:eastAsia="pl-PL"/>
        </w:rPr>
        <w:t>2.5. Środek adhezyjny</w:t>
      </w:r>
      <w:bookmarkEnd w:id="3414"/>
      <w:bookmarkEnd w:id="3415"/>
      <w:bookmarkEnd w:id="3416"/>
      <w:bookmarkEnd w:id="3417"/>
      <w:r w:rsidRPr="004853EB">
        <w:rPr>
          <w:rFonts w:eastAsia="Times New Roman" w:cstheme="minorHAnsi"/>
          <w:b/>
          <w:bCs/>
          <w:color w:val="000000"/>
          <w:sz w:val="20"/>
          <w:szCs w:val="20"/>
          <w:lang w:eastAsia="pl-PL"/>
        </w:rPr>
        <w:t xml:space="preserve"> </w:t>
      </w:r>
    </w:p>
    <w:p w14:paraId="5EDFCF6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[37] wynosiła co najmniej 80%.</w:t>
      </w:r>
    </w:p>
    <w:p w14:paraId="4B24370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Składowanie środka adhezyjnego jest dozwolone tylko w oryginalnych opakowaniach producenta.</w:t>
      </w:r>
    </w:p>
    <w:p w14:paraId="475FB925" w14:textId="77777777" w:rsidR="00CC1EF4" w:rsidRPr="004853EB" w:rsidRDefault="00CC1EF4" w:rsidP="00CC1EF4">
      <w:pPr>
        <w:spacing w:after="0" w:line="240" w:lineRule="auto"/>
        <w:jc w:val="both"/>
        <w:rPr>
          <w:rFonts w:eastAsia="Times New Roman" w:cstheme="minorHAnsi"/>
          <w:b/>
          <w:color w:val="000000"/>
          <w:sz w:val="20"/>
          <w:szCs w:val="20"/>
          <w:lang w:eastAsia="pl-PL"/>
        </w:rPr>
      </w:pPr>
    </w:p>
    <w:p w14:paraId="3E4EA3B9"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418" w:name="_Toc97034620"/>
      <w:bookmarkStart w:id="3419" w:name="_Toc97035308"/>
      <w:bookmarkStart w:id="3420" w:name="_Toc194477011"/>
      <w:bookmarkStart w:id="3421" w:name="_Toc227825493"/>
      <w:r w:rsidRPr="004853EB">
        <w:rPr>
          <w:rFonts w:eastAsia="Times New Roman" w:cstheme="minorHAnsi"/>
          <w:b/>
          <w:bCs/>
          <w:color w:val="000000"/>
          <w:sz w:val="20"/>
          <w:szCs w:val="20"/>
          <w:lang w:eastAsia="pl-PL"/>
        </w:rPr>
        <w:lastRenderedPageBreak/>
        <w:t>2.6. Materiały do uszczelnienia połączeń i krawędzi</w:t>
      </w:r>
      <w:bookmarkEnd w:id="3418"/>
      <w:bookmarkEnd w:id="3419"/>
      <w:bookmarkEnd w:id="3420"/>
      <w:bookmarkEnd w:id="3421"/>
    </w:p>
    <w:p w14:paraId="69EBBD8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14:paraId="13D2F5A2" w14:textId="77777777" w:rsidR="00CC1EF4" w:rsidRPr="004853EB" w:rsidRDefault="00CC1EF4">
      <w:pPr>
        <w:numPr>
          <w:ilvl w:val="0"/>
          <w:numId w:val="8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materiały termoplastyczne, jak taśmy asfaltowe, pasty itp. według norm lub aprobat technicznych,</w:t>
      </w:r>
    </w:p>
    <w:p w14:paraId="1F25F88F" w14:textId="77777777" w:rsidR="00CC1EF4" w:rsidRPr="004853EB" w:rsidRDefault="00CC1EF4">
      <w:pPr>
        <w:numPr>
          <w:ilvl w:val="0"/>
          <w:numId w:val="8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emulsję asfaltową według PN-EN 13808 [63] lub inne lepiszcza według norm lub aprobat technicznych.  </w:t>
      </w:r>
    </w:p>
    <w:p w14:paraId="0EBD3BFA" w14:textId="77777777" w:rsidR="00CC1EF4" w:rsidRPr="004853EB" w:rsidRDefault="00CC1EF4">
      <w:pPr>
        <w:numPr>
          <w:ilvl w:val="0"/>
          <w:numId w:val="8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 drogowy wg PN-EN 12591 [22].</w:t>
      </w:r>
    </w:p>
    <w:p w14:paraId="0CB297E0" w14:textId="77777777" w:rsidR="00CC1EF4" w:rsidRPr="004853EB" w:rsidRDefault="00CC1EF4" w:rsidP="00CC1EF4">
      <w:pPr>
        <w:spacing w:after="0" w:line="240" w:lineRule="auto"/>
        <w:ind w:left="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Grubość materiału termoplastycznego do spoiny powinna wynosić:</w:t>
      </w:r>
    </w:p>
    <w:p w14:paraId="3A792CBD" w14:textId="77777777" w:rsidR="00CC1EF4" w:rsidRPr="004853EB" w:rsidRDefault="00CC1EF4">
      <w:pPr>
        <w:numPr>
          <w:ilvl w:val="1"/>
          <w:numId w:val="89"/>
        </w:numPr>
        <w:tabs>
          <w:tab w:val="num" w:pos="284"/>
        </w:tabs>
        <w:overflowPunct w:val="0"/>
        <w:autoSpaceDE w:val="0"/>
        <w:autoSpaceDN w:val="0"/>
        <w:adjustRightInd w:val="0"/>
        <w:spacing w:after="0" w:line="240" w:lineRule="auto"/>
        <w:ind w:left="284" w:hanging="284"/>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nie mniej niż 10 mm przy grubości warstwy technologicznej do 2,5 cm,</w:t>
      </w:r>
    </w:p>
    <w:p w14:paraId="55B6299F" w14:textId="77777777" w:rsidR="00CC1EF4" w:rsidRPr="004853EB" w:rsidRDefault="00CC1EF4">
      <w:pPr>
        <w:numPr>
          <w:ilvl w:val="1"/>
          <w:numId w:val="89"/>
        </w:numPr>
        <w:tabs>
          <w:tab w:val="num" w:pos="284"/>
        </w:tabs>
        <w:overflowPunct w:val="0"/>
        <w:autoSpaceDE w:val="0"/>
        <w:autoSpaceDN w:val="0"/>
        <w:adjustRightInd w:val="0"/>
        <w:spacing w:after="0" w:line="240" w:lineRule="auto"/>
        <w:ind w:left="284" w:hanging="284"/>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nie mniej niż 15 mm przy grubości warstwy technologicznej większej niż 2,5 cm.</w:t>
      </w:r>
    </w:p>
    <w:p w14:paraId="4867A63B"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Składowanie materiałów termoplastycznych jest dozwolone tylko w oryginalnych opakowaniach producenta, w warunkach określonych w aprobacie technicznej.</w:t>
      </w:r>
    </w:p>
    <w:p w14:paraId="4B610DBC"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Do uszczelnienia krawędzi należy stosować asfalt drogowy wg PN-EN 12591 [22]. Dopuszcza się inne rodzaje lepiszcza wg norm lub aprobat technicznych.</w:t>
      </w:r>
    </w:p>
    <w:p w14:paraId="6558B924"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p>
    <w:p w14:paraId="17C37DBC" w14:textId="77777777" w:rsidR="00CC1EF4" w:rsidRPr="004853EB" w:rsidRDefault="00CC1EF4" w:rsidP="00CC1EF4">
      <w:pPr>
        <w:keepNext/>
        <w:spacing w:before="120"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2.7. Materiały do złączenia warstw konstrukcji</w:t>
      </w:r>
    </w:p>
    <w:p w14:paraId="41BB5F1A" w14:textId="51AC8D42"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Do złączania warstw konstrukcji nawierzchni (warstwa wiążąca z warstwą ścieralną) należy </w:t>
      </w:r>
      <w:r w:rsidR="00336D00" w:rsidRPr="004853EB">
        <w:rPr>
          <w:rFonts w:eastAsia="Times New Roman" w:cstheme="minorHAnsi"/>
          <w:color w:val="000000"/>
          <w:sz w:val="20"/>
          <w:szCs w:val="20"/>
          <w:lang w:eastAsia="pl-PL"/>
        </w:rPr>
        <w:t>stosować kationowe</w:t>
      </w:r>
      <w:r w:rsidRPr="004853EB">
        <w:rPr>
          <w:rFonts w:eastAsia="Times New Roman" w:cstheme="minorHAnsi"/>
          <w:color w:val="000000"/>
          <w:sz w:val="20"/>
          <w:szCs w:val="20"/>
          <w:lang w:eastAsia="pl-PL"/>
        </w:rPr>
        <w:t xml:space="preserve"> emulsje asfaltowe według PN-EN 13808 [63].</w:t>
      </w:r>
    </w:p>
    <w:p w14:paraId="4C3C3F1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Właściwości i przeznaczenie emulsji asfaltowych oraz sposób ich składowania opisano w ST D-04.03.01a [1a]. </w:t>
      </w:r>
    </w:p>
    <w:p w14:paraId="3E4C21C1"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09B7B3E5"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422" w:name="_Toc97034621"/>
      <w:bookmarkStart w:id="3423" w:name="_Toc97035309"/>
      <w:bookmarkStart w:id="3424" w:name="_Toc194477012"/>
      <w:bookmarkStart w:id="3425" w:name="_Toc227825494"/>
      <w:r w:rsidRPr="004853EB">
        <w:rPr>
          <w:rFonts w:eastAsia="Times New Roman" w:cstheme="minorHAnsi"/>
          <w:b/>
          <w:bCs/>
          <w:color w:val="000000"/>
          <w:sz w:val="20"/>
          <w:szCs w:val="20"/>
          <w:lang w:eastAsia="pl-PL"/>
        </w:rPr>
        <w:t>2.8. Dodatki do mieszanki mineralno-asfaltowej</w:t>
      </w:r>
      <w:bookmarkEnd w:id="3422"/>
      <w:bookmarkEnd w:id="3423"/>
      <w:bookmarkEnd w:id="3424"/>
      <w:bookmarkEnd w:id="3425"/>
      <w:r w:rsidRPr="004853EB">
        <w:rPr>
          <w:rFonts w:eastAsia="Times New Roman" w:cstheme="minorHAnsi"/>
          <w:b/>
          <w:bCs/>
          <w:color w:val="000000"/>
          <w:sz w:val="20"/>
          <w:szCs w:val="20"/>
          <w:lang w:eastAsia="pl-PL"/>
        </w:rPr>
        <w:t xml:space="preserve"> </w:t>
      </w:r>
    </w:p>
    <w:p w14:paraId="677D164E" w14:textId="77777777" w:rsidR="00CC1EF4" w:rsidRPr="004853EB" w:rsidRDefault="00CC1EF4" w:rsidP="00CC1EF4">
      <w:pPr>
        <w:widowControl w:val="0"/>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Mogą być stosowane dodatki stabilizujące lub modyfikujące. Pochodzenie, rodzaj i właściwości dodatków powinny być deklarowane. Należy używać tylko materiałów składowych o ustalonej przydatności.</w:t>
      </w:r>
    </w:p>
    <w:p w14:paraId="44CD9E6E" w14:textId="77777777" w:rsidR="00CC1EF4" w:rsidRPr="004853EB" w:rsidRDefault="00CC1EF4" w:rsidP="00CC1EF4">
      <w:pPr>
        <w:widowControl w:val="0"/>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Ustalenie przydatności powinno wynikać co najmniej jednego z następujących dokumentów: </w:t>
      </w:r>
    </w:p>
    <w:p w14:paraId="1F43B19D" w14:textId="77777777" w:rsidR="00CC1EF4" w:rsidRPr="004853EB" w:rsidRDefault="00CC1EF4">
      <w:pPr>
        <w:widowControl w:val="0"/>
        <w:numPr>
          <w:ilvl w:val="0"/>
          <w:numId w:val="122"/>
        </w:numPr>
        <w:overflowPunct w:val="0"/>
        <w:autoSpaceDE w:val="0"/>
        <w:autoSpaceDN w:val="0"/>
        <w:adjustRightInd w:val="0"/>
        <w:spacing w:after="0" w:line="240" w:lineRule="auto"/>
        <w:ind w:left="426" w:right="-57"/>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Normy Europejskiej,</w:t>
      </w:r>
    </w:p>
    <w:p w14:paraId="03018ABD" w14:textId="77777777" w:rsidR="00CC1EF4" w:rsidRPr="004853EB" w:rsidRDefault="00CC1EF4">
      <w:pPr>
        <w:widowControl w:val="0"/>
        <w:numPr>
          <w:ilvl w:val="0"/>
          <w:numId w:val="122"/>
        </w:numPr>
        <w:overflowPunct w:val="0"/>
        <w:autoSpaceDE w:val="0"/>
        <w:autoSpaceDN w:val="0"/>
        <w:adjustRightInd w:val="0"/>
        <w:spacing w:after="0" w:line="240" w:lineRule="auto"/>
        <w:ind w:left="426" w:right="-57"/>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europejskiej aprobaty technicznej,</w:t>
      </w:r>
    </w:p>
    <w:p w14:paraId="6D3418B3" w14:textId="77777777" w:rsidR="00CC1EF4" w:rsidRPr="004853EB" w:rsidRDefault="00CC1EF4">
      <w:pPr>
        <w:widowControl w:val="0"/>
        <w:numPr>
          <w:ilvl w:val="0"/>
          <w:numId w:val="122"/>
        </w:numPr>
        <w:overflowPunct w:val="0"/>
        <w:autoSpaceDE w:val="0"/>
        <w:autoSpaceDN w:val="0"/>
        <w:adjustRightInd w:val="0"/>
        <w:spacing w:after="0" w:line="240" w:lineRule="auto"/>
        <w:ind w:left="426" w:right="-57"/>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specyfikacji materiałowych opartych na potwierdzonych pozytywnych zastosowaniach w nawierzchniach asfaltowych. </w:t>
      </w:r>
    </w:p>
    <w:p w14:paraId="02A47309" w14:textId="77777777" w:rsidR="00CC1EF4" w:rsidRPr="004853EB" w:rsidRDefault="00CC1EF4" w:rsidP="00CC1EF4">
      <w:pPr>
        <w:widowControl w:val="0"/>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Wykaz należy dostarczyć w celu udowodnienia przydatności. Wykaz może być oparty na badaniach </w:t>
      </w:r>
      <w:r w:rsidRPr="004853EB">
        <w:rPr>
          <w:rFonts w:eastAsia="Times New Roman" w:cstheme="minorHAnsi"/>
          <w:color w:val="000000"/>
          <w:sz w:val="20"/>
          <w:szCs w:val="20"/>
          <w:lang w:eastAsia="pl-PL"/>
        </w:rPr>
        <w:br/>
        <w:t>w połączeniu z dowodami w praktyce.</w:t>
      </w:r>
    </w:p>
    <w:p w14:paraId="79DDC8F4" w14:textId="0C6C2671" w:rsidR="00CC1EF4" w:rsidRPr="004853EB" w:rsidRDefault="00CC1EF4" w:rsidP="00CC1EF4">
      <w:pPr>
        <w:widowControl w:val="0"/>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Do mieszanki mineralno-</w:t>
      </w:r>
      <w:r w:rsidR="00336D00" w:rsidRPr="004853EB">
        <w:rPr>
          <w:rFonts w:eastAsia="Times New Roman" w:cstheme="minorHAnsi"/>
          <w:color w:val="000000"/>
          <w:sz w:val="20"/>
          <w:szCs w:val="20"/>
          <w:lang w:eastAsia="pl-PL"/>
        </w:rPr>
        <w:t>asfaltowej może</w:t>
      </w:r>
      <w:r w:rsidRPr="004853EB">
        <w:rPr>
          <w:rFonts w:eastAsia="Times New Roman" w:cstheme="minorHAnsi"/>
          <w:color w:val="000000"/>
          <w:sz w:val="20"/>
          <w:szCs w:val="20"/>
          <w:lang w:eastAsia="pl-PL"/>
        </w:rPr>
        <w:t xml:space="preserve"> być stosowany dodatek asfaltu naturalnego wg PN-EN 13108-4 [51], załącznik B.  </w:t>
      </w:r>
    </w:p>
    <w:p w14:paraId="4C732AAF"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793957A8"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426" w:name="_Toc97034622"/>
      <w:bookmarkStart w:id="3427" w:name="_Toc97035310"/>
      <w:bookmarkStart w:id="3428" w:name="_Toc194477013"/>
      <w:bookmarkStart w:id="3429" w:name="_Toc227825495"/>
      <w:r w:rsidRPr="004853EB">
        <w:rPr>
          <w:rFonts w:eastAsia="Times New Roman" w:cstheme="minorHAnsi"/>
          <w:b/>
          <w:bCs/>
          <w:color w:val="000000"/>
          <w:sz w:val="20"/>
          <w:szCs w:val="20"/>
          <w:lang w:eastAsia="pl-PL"/>
        </w:rPr>
        <w:t>2.9. Skład mieszanki mineralno-asfaltowej</w:t>
      </w:r>
      <w:bookmarkEnd w:id="3426"/>
      <w:bookmarkEnd w:id="3427"/>
      <w:bookmarkEnd w:id="3428"/>
      <w:bookmarkEnd w:id="3429"/>
    </w:p>
    <w:p w14:paraId="27E4D14D"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Skład mieszanki mineralno-asfaltowej powinien być ustalony na podstawie badań próbek wykonanych zgodnie z normą PN-EN 13108-20 [53] załącznik C oraz normami powiązanymi.  </w:t>
      </w:r>
    </w:p>
    <w:p w14:paraId="103E47D3"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Uziarnienie mieszanki mineralnej oraz minimalna zawartość lepiszcza podane są w tablicy 15.  </w:t>
      </w:r>
    </w:p>
    <w:p w14:paraId="40561CC1"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Próbki powinny spełniać wymagania podane w tablicy 17 w zależności od kategorii ruchu jak i zawartości asfaltu B</w:t>
      </w:r>
      <w:r w:rsidRPr="004853EB">
        <w:rPr>
          <w:rFonts w:eastAsia="Times New Roman" w:cstheme="minorHAnsi"/>
          <w:color w:val="000000"/>
          <w:sz w:val="20"/>
          <w:szCs w:val="20"/>
          <w:vertAlign w:val="subscript"/>
          <w:lang w:eastAsia="pl-PL"/>
        </w:rPr>
        <w:t>min</w:t>
      </w:r>
      <w:r w:rsidRPr="004853EB">
        <w:rPr>
          <w:rFonts w:eastAsia="Times New Roman" w:cstheme="minorHAnsi"/>
          <w:color w:val="000000"/>
          <w:sz w:val="20"/>
          <w:szCs w:val="20"/>
          <w:lang w:eastAsia="pl-PL"/>
        </w:rPr>
        <w:t xml:space="preserve"> i temperatur zagęszczania próbek.</w:t>
      </w:r>
    </w:p>
    <w:p w14:paraId="4299ED4F" w14:textId="50612043" w:rsidR="00CC1EF4" w:rsidRPr="004853EB" w:rsidRDefault="00CC1EF4" w:rsidP="00CC1EF4">
      <w:pPr>
        <w:tabs>
          <w:tab w:val="left" w:pos="1134"/>
        </w:tabs>
        <w:spacing w:before="120" w:after="120" w:line="240" w:lineRule="auto"/>
        <w:ind w:left="1134" w:hanging="1134"/>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Tablica 15.</w:t>
      </w:r>
      <w:r w:rsidRPr="004853EB">
        <w:rPr>
          <w:rFonts w:eastAsia="Times New Roman" w:cstheme="minorHAnsi"/>
          <w:color w:val="000000"/>
          <w:sz w:val="20"/>
          <w:szCs w:val="20"/>
          <w:lang w:eastAsia="pl-PL"/>
        </w:rPr>
        <w:tab/>
        <w:t>Uziarnienie mieszanki mineralnej oraz zawartość lepiszcza do betonu asfaltowego do warstwy wiążącej i wyrównawczej, dla ruchu KR3÷KR</w:t>
      </w:r>
      <w:r w:rsidR="00336D00" w:rsidRPr="004853EB">
        <w:rPr>
          <w:rFonts w:eastAsia="Times New Roman" w:cstheme="minorHAnsi"/>
          <w:color w:val="000000"/>
          <w:sz w:val="20"/>
          <w:szCs w:val="20"/>
          <w:lang w:eastAsia="pl-PL"/>
        </w:rPr>
        <w:t>7 [</w:t>
      </w:r>
      <w:r w:rsidRPr="004853EB">
        <w:rPr>
          <w:rFonts w:eastAsia="Times New Roman" w:cstheme="minorHAnsi"/>
          <w:color w:val="000000"/>
          <w:sz w:val="20"/>
          <w:szCs w:val="20"/>
          <w:lang w:eastAsia="pl-PL"/>
        </w:rPr>
        <w:t>71]</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560"/>
        <w:gridCol w:w="1680"/>
        <w:gridCol w:w="1680"/>
        <w:gridCol w:w="1680"/>
      </w:tblGrid>
      <w:tr w:rsidR="00CC1EF4" w:rsidRPr="004853EB" w14:paraId="77D628CB" w14:textId="77777777" w:rsidTr="00E95D02">
        <w:tc>
          <w:tcPr>
            <w:tcW w:w="2268" w:type="dxa"/>
            <w:vMerge w:val="restart"/>
            <w:vAlign w:val="center"/>
          </w:tcPr>
          <w:p w14:paraId="2631B75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Właściwość</w:t>
            </w:r>
          </w:p>
        </w:tc>
        <w:tc>
          <w:tcPr>
            <w:tcW w:w="6600" w:type="dxa"/>
            <w:gridSpan w:val="4"/>
          </w:tcPr>
          <w:p w14:paraId="5C53043B" w14:textId="113CF799" w:rsidR="00CC1EF4" w:rsidRPr="004853EB" w:rsidRDefault="00C562CD"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Przesiew,  </w:t>
            </w:r>
            <w:r w:rsidR="00CC1EF4" w:rsidRPr="004853EB">
              <w:rPr>
                <w:rFonts w:eastAsia="Times New Roman" w:cstheme="minorHAnsi"/>
                <w:color w:val="000000"/>
                <w:sz w:val="18"/>
                <w:szCs w:val="18"/>
                <w:lang w:eastAsia="pl-PL"/>
              </w:rPr>
              <w:t>[% (m/m)]</w:t>
            </w:r>
          </w:p>
        </w:tc>
      </w:tr>
      <w:tr w:rsidR="00CC1EF4" w:rsidRPr="004853EB" w14:paraId="146664CE" w14:textId="77777777" w:rsidTr="00E95D02">
        <w:tc>
          <w:tcPr>
            <w:tcW w:w="2268" w:type="dxa"/>
            <w:vMerge/>
          </w:tcPr>
          <w:p w14:paraId="6DE7DA05"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3240" w:type="dxa"/>
            <w:gridSpan w:val="2"/>
          </w:tcPr>
          <w:p w14:paraId="72A3EFC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AC16W</w:t>
            </w:r>
          </w:p>
          <w:p w14:paraId="16323F7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KR3-KR7</w:t>
            </w:r>
          </w:p>
        </w:tc>
        <w:tc>
          <w:tcPr>
            <w:tcW w:w="3360" w:type="dxa"/>
            <w:gridSpan w:val="2"/>
          </w:tcPr>
          <w:p w14:paraId="20B8BB0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AC22W</w:t>
            </w:r>
          </w:p>
          <w:p w14:paraId="69EBC16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KR3-KR7</w:t>
            </w:r>
          </w:p>
        </w:tc>
      </w:tr>
      <w:tr w:rsidR="00CC1EF4" w:rsidRPr="004853EB" w14:paraId="6AC891F9" w14:textId="77777777" w:rsidTr="00E95D02">
        <w:tc>
          <w:tcPr>
            <w:tcW w:w="2268" w:type="dxa"/>
          </w:tcPr>
          <w:p w14:paraId="3736000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Wymiar sita #, [mm]</w:t>
            </w:r>
          </w:p>
        </w:tc>
        <w:tc>
          <w:tcPr>
            <w:tcW w:w="1560" w:type="dxa"/>
          </w:tcPr>
          <w:p w14:paraId="2DAB506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w:t>
            </w:r>
          </w:p>
        </w:tc>
        <w:tc>
          <w:tcPr>
            <w:tcW w:w="1680" w:type="dxa"/>
          </w:tcPr>
          <w:p w14:paraId="2037523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do</w:t>
            </w:r>
          </w:p>
        </w:tc>
        <w:tc>
          <w:tcPr>
            <w:tcW w:w="1680" w:type="dxa"/>
          </w:tcPr>
          <w:p w14:paraId="0558B0B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w:t>
            </w:r>
          </w:p>
        </w:tc>
        <w:tc>
          <w:tcPr>
            <w:tcW w:w="1680" w:type="dxa"/>
          </w:tcPr>
          <w:p w14:paraId="3680159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do</w:t>
            </w:r>
          </w:p>
        </w:tc>
      </w:tr>
      <w:tr w:rsidR="00CC1EF4" w:rsidRPr="004853EB" w14:paraId="0C75C0BD" w14:textId="77777777" w:rsidTr="00E95D02">
        <w:tc>
          <w:tcPr>
            <w:tcW w:w="2268" w:type="dxa"/>
          </w:tcPr>
          <w:p w14:paraId="2B94FB0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31,5</w:t>
            </w:r>
          </w:p>
        </w:tc>
        <w:tc>
          <w:tcPr>
            <w:tcW w:w="1560" w:type="dxa"/>
          </w:tcPr>
          <w:p w14:paraId="0D6F729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t>
            </w:r>
          </w:p>
        </w:tc>
        <w:tc>
          <w:tcPr>
            <w:tcW w:w="1680" w:type="dxa"/>
          </w:tcPr>
          <w:p w14:paraId="078C016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t>
            </w:r>
          </w:p>
        </w:tc>
        <w:tc>
          <w:tcPr>
            <w:tcW w:w="1680" w:type="dxa"/>
          </w:tcPr>
          <w:p w14:paraId="211E40C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100</w:t>
            </w:r>
          </w:p>
        </w:tc>
        <w:tc>
          <w:tcPr>
            <w:tcW w:w="1680" w:type="dxa"/>
          </w:tcPr>
          <w:p w14:paraId="20A8F2C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t>
            </w:r>
          </w:p>
        </w:tc>
      </w:tr>
      <w:tr w:rsidR="00CC1EF4" w:rsidRPr="004853EB" w14:paraId="0E3399AD" w14:textId="77777777" w:rsidTr="00E95D02">
        <w:tc>
          <w:tcPr>
            <w:tcW w:w="2268" w:type="dxa"/>
          </w:tcPr>
          <w:p w14:paraId="1C6FD85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22,4</w:t>
            </w:r>
          </w:p>
        </w:tc>
        <w:tc>
          <w:tcPr>
            <w:tcW w:w="1560" w:type="dxa"/>
          </w:tcPr>
          <w:p w14:paraId="09CB7EF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100</w:t>
            </w:r>
          </w:p>
        </w:tc>
        <w:tc>
          <w:tcPr>
            <w:tcW w:w="1680" w:type="dxa"/>
          </w:tcPr>
          <w:p w14:paraId="5ED278C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t>
            </w:r>
          </w:p>
        </w:tc>
        <w:tc>
          <w:tcPr>
            <w:tcW w:w="1680" w:type="dxa"/>
          </w:tcPr>
          <w:p w14:paraId="4B70938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90</w:t>
            </w:r>
          </w:p>
        </w:tc>
        <w:tc>
          <w:tcPr>
            <w:tcW w:w="1680" w:type="dxa"/>
          </w:tcPr>
          <w:p w14:paraId="38D994F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100</w:t>
            </w:r>
          </w:p>
        </w:tc>
      </w:tr>
      <w:tr w:rsidR="00CC1EF4" w:rsidRPr="004853EB" w14:paraId="4AE81FB5" w14:textId="77777777" w:rsidTr="00E95D02">
        <w:tc>
          <w:tcPr>
            <w:tcW w:w="2268" w:type="dxa"/>
          </w:tcPr>
          <w:p w14:paraId="6C9B373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16</w:t>
            </w:r>
          </w:p>
        </w:tc>
        <w:tc>
          <w:tcPr>
            <w:tcW w:w="1560" w:type="dxa"/>
          </w:tcPr>
          <w:p w14:paraId="19A15F9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90</w:t>
            </w:r>
          </w:p>
        </w:tc>
        <w:tc>
          <w:tcPr>
            <w:tcW w:w="1680" w:type="dxa"/>
          </w:tcPr>
          <w:p w14:paraId="5EDD096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100</w:t>
            </w:r>
          </w:p>
        </w:tc>
        <w:tc>
          <w:tcPr>
            <w:tcW w:w="1680" w:type="dxa"/>
          </w:tcPr>
          <w:p w14:paraId="60BDD32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65</w:t>
            </w:r>
          </w:p>
        </w:tc>
        <w:tc>
          <w:tcPr>
            <w:tcW w:w="1680" w:type="dxa"/>
          </w:tcPr>
          <w:p w14:paraId="6D5AAE9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90</w:t>
            </w:r>
          </w:p>
        </w:tc>
      </w:tr>
      <w:tr w:rsidR="00CC1EF4" w:rsidRPr="004853EB" w14:paraId="5EBE7ED4" w14:textId="77777777" w:rsidTr="00E95D02">
        <w:tc>
          <w:tcPr>
            <w:tcW w:w="2268" w:type="dxa"/>
          </w:tcPr>
          <w:p w14:paraId="4615489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11,2</w:t>
            </w:r>
          </w:p>
        </w:tc>
        <w:tc>
          <w:tcPr>
            <w:tcW w:w="1560" w:type="dxa"/>
          </w:tcPr>
          <w:p w14:paraId="398E503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70</w:t>
            </w:r>
          </w:p>
        </w:tc>
        <w:tc>
          <w:tcPr>
            <w:tcW w:w="1680" w:type="dxa"/>
          </w:tcPr>
          <w:p w14:paraId="23A786B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90</w:t>
            </w:r>
          </w:p>
        </w:tc>
        <w:tc>
          <w:tcPr>
            <w:tcW w:w="1680" w:type="dxa"/>
          </w:tcPr>
          <w:p w14:paraId="6CE84B0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t>
            </w:r>
          </w:p>
        </w:tc>
        <w:tc>
          <w:tcPr>
            <w:tcW w:w="1680" w:type="dxa"/>
          </w:tcPr>
          <w:p w14:paraId="269289D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t>
            </w:r>
          </w:p>
        </w:tc>
      </w:tr>
      <w:tr w:rsidR="00CC1EF4" w:rsidRPr="004853EB" w14:paraId="1781F03D" w14:textId="77777777" w:rsidTr="00E95D02">
        <w:tc>
          <w:tcPr>
            <w:tcW w:w="2268" w:type="dxa"/>
          </w:tcPr>
          <w:p w14:paraId="4D146BA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w:t>
            </w:r>
          </w:p>
        </w:tc>
        <w:tc>
          <w:tcPr>
            <w:tcW w:w="1560" w:type="dxa"/>
          </w:tcPr>
          <w:p w14:paraId="23738B7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55</w:t>
            </w:r>
          </w:p>
        </w:tc>
        <w:tc>
          <w:tcPr>
            <w:tcW w:w="1680" w:type="dxa"/>
          </w:tcPr>
          <w:p w14:paraId="22BA0FE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80</w:t>
            </w:r>
          </w:p>
        </w:tc>
        <w:tc>
          <w:tcPr>
            <w:tcW w:w="1680" w:type="dxa"/>
          </w:tcPr>
          <w:p w14:paraId="56FFCE5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45</w:t>
            </w:r>
          </w:p>
        </w:tc>
        <w:tc>
          <w:tcPr>
            <w:tcW w:w="1680" w:type="dxa"/>
          </w:tcPr>
          <w:p w14:paraId="2E9B511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70</w:t>
            </w:r>
          </w:p>
        </w:tc>
      </w:tr>
      <w:tr w:rsidR="00CC1EF4" w:rsidRPr="004853EB" w14:paraId="48F0F014" w14:textId="77777777" w:rsidTr="00E95D02">
        <w:tc>
          <w:tcPr>
            <w:tcW w:w="2268" w:type="dxa"/>
          </w:tcPr>
          <w:p w14:paraId="6EEA1FA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w:t>
            </w:r>
          </w:p>
        </w:tc>
        <w:tc>
          <w:tcPr>
            <w:tcW w:w="1560" w:type="dxa"/>
          </w:tcPr>
          <w:p w14:paraId="26CE8060"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25</w:t>
            </w:r>
          </w:p>
        </w:tc>
        <w:tc>
          <w:tcPr>
            <w:tcW w:w="1680" w:type="dxa"/>
          </w:tcPr>
          <w:p w14:paraId="5B1FA9D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w:t>
            </w:r>
          </w:p>
        </w:tc>
        <w:tc>
          <w:tcPr>
            <w:tcW w:w="1680" w:type="dxa"/>
          </w:tcPr>
          <w:p w14:paraId="68C32AB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20</w:t>
            </w:r>
          </w:p>
        </w:tc>
        <w:tc>
          <w:tcPr>
            <w:tcW w:w="1680" w:type="dxa"/>
          </w:tcPr>
          <w:p w14:paraId="224B971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45</w:t>
            </w:r>
          </w:p>
        </w:tc>
      </w:tr>
      <w:tr w:rsidR="00CC1EF4" w:rsidRPr="004853EB" w14:paraId="0AB0441F" w14:textId="77777777" w:rsidTr="00E95D02">
        <w:tc>
          <w:tcPr>
            <w:tcW w:w="2268" w:type="dxa"/>
          </w:tcPr>
          <w:p w14:paraId="5E37001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0,125</w:t>
            </w:r>
          </w:p>
        </w:tc>
        <w:tc>
          <w:tcPr>
            <w:tcW w:w="1560" w:type="dxa"/>
          </w:tcPr>
          <w:p w14:paraId="7F0C31FF"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w:t>
            </w:r>
          </w:p>
        </w:tc>
        <w:tc>
          <w:tcPr>
            <w:tcW w:w="1680" w:type="dxa"/>
          </w:tcPr>
          <w:p w14:paraId="11E6FF3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12</w:t>
            </w:r>
          </w:p>
        </w:tc>
        <w:tc>
          <w:tcPr>
            <w:tcW w:w="1680" w:type="dxa"/>
          </w:tcPr>
          <w:p w14:paraId="65D8E8D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w:t>
            </w:r>
          </w:p>
        </w:tc>
        <w:tc>
          <w:tcPr>
            <w:tcW w:w="1680" w:type="dxa"/>
          </w:tcPr>
          <w:p w14:paraId="4D6A865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12</w:t>
            </w:r>
          </w:p>
        </w:tc>
      </w:tr>
      <w:tr w:rsidR="00CC1EF4" w:rsidRPr="004853EB" w14:paraId="69D13CFA" w14:textId="77777777" w:rsidTr="00E95D02">
        <w:tc>
          <w:tcPr>
            <w:tcW w:w="2268" w:type="dxa"/>
          </w:tcPr>
          <w:p w14:paraId="2732198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0,063</w:t>
            </w:r>
          </w:p>
        </w:tc>
        <w:tc>
          <w:tcPr>
            <w:tcW w:w="1560" w:type="dxa"/>
          </w:tcPr>
          <w:p w14:paraId="480B0A3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4,0</w:t>
            </w:r>
          </w:p>
        </w:tc>
        <w:tc>
          <w:tcPr>
            <w:tcW w:w="1680" w:type="dxa"/>
          </w:tcPr>
          <w:p w14:paraId="6A93D19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10,0</w:t>
            </w:r>
          </w:p>
        </w:tc>
        <w:tc>
          <w:tcPr>
            <w:tcW w:w="1680" w:type="dxa"/>
          </w:tcPr>
          <w:p w14:paraId="43DBB5F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4,0</w:t>
            </w:r>
          </w:p>
        </w:tc>
        <w:tc>
          <w:tcPr>
            <w:tcW w:w="1680" w:type="dxa"/>
          </w:tcPr>
          <w:p w14:paraId="5EE09C1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10,0</w:t>
            </w:r>
          </w:p>
        </w:tc>
      </w:tr>
      <w:tr w:rsidR="00CC1EF4" w:rsidRPr="004853EB" w14:paraId="2BCF5A42" w14:textId="77777777" w:rsidTr="00E95D02">
        <w:tc>
          <w:tcPr>
            <w:tcW w:w="2268" w:type="dxa"/>
          </w:tcPr>
          <w:p w14:paraId="1B1D311E" w14:textId="77777777" w:rsidR="00CC1EF4" w:rsidRPr="004853EB" w:rsidRDefault="00CC1EF4" w:rsidP="00CC1EF4">
            <w:pPr>
              <w:spacing w:after="0" w:line="240" w:lineRule="auto"/>
              <w:jc w:val="both"/>
              <w:rPr>
                <w:rFonts w:eastAsia="Times New Roman" w:cstheme="minorHAnsi"/>
                <w:color w:val="000000"/>
                <w:sz w:val="18"/>
                <w:szCs w:val="18"/>
                <w:vertAlign w:val="superscript"/>
                <w:lang w:eastAsia="pl-PL"/>
              </w:rPr>
            </w:pPr>
            <w:r w:rsidRPr="004853EB">
              <w:rPr>
                <w:rFonts w:eastAsia="Times New Roman" w:cstheme="minorHAnsi"/>
                <w:color w:val="000000"/>
                <w:sz w:val="18"/>
                <w:szCs w:val="18"/>
                <w:lang w:eastAsia="pl-PL"/>
              </w:rPr>
              <w:t>Zawartość lepiszcza, minimum</w:t>
            </w:r>
            <w:r w:rsidRPr="004853EB">
              <w:rPr>
                <w:rFonts w:eastAsia="Times New Roman" w:cstheme="minorHAnsi"/>
                <w:color w:val="000000"/>
                <w:sz w:val="18"/>
                <w:szCs w:val="18"/>
                <w:vertAlign w:val="superscript"/>
                <w:lang w:eastAsia="pl-PL"/>
              </w:rPr>
              <w:t>*)</w:t>
            </w:r>
          </w:p>
        </w:tc>
        <w:tc>
          <w:tcPr>
            <w:tcW w:w="3240" w:type="dxa"/>
            <w:gridSpan w:val="2"/>
            <w:vAlign w:val="center"/>
          </w:tcPr>
          <w:p w14:paraId="49F20DC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B</w:t>
            </w:r>
            <w:r w:rsidRPr="004853EB">
              <w:rPr>
                <w:rFonts w:eastAsia="Times New Roman" w:cstheme="minorHAnsi"/>
                <w:color w:val="000000"/>
                <w:sz w:val="18"/>
                <w:szCs w:val="18"/>
                <w:vertAlign w:val="subscript"/>
                <w:lang w:eastAsia="pl-PL"/>
              </w:rPr>
              <w:t>min4,6</w:t>
            </w:r>
          </w:p>
        </w:tc>
        <w:tc>
          <w:tcPr>
            <w:tcW w:w="3360" w:type="dxa"/>
            <w:gridSpan w:val="2"/>
            <w:vAlign w:val="center"/>
          </w:tcPr>
          <w:p w14:paraId="6606BEB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B</w:t>
            </w:r>
            <w:r w:rsidRPr="004853EB">
              <w:rPr>
                <w:rFonts w:eastAsia="Times New Roman" w:cstheme="minorHAnsi"/>
                <w:color w:val="000000"/>
                <w:sz w:val="18"/>
                <w:szCs w:val="18"/>
                <w:vertAlign w:val="subscript"/>
                <w:lang w:eastAsia="pl-PL"/>
              </w:rPr>
              <w:t>min4,4</w:t>
            </w:r>
          </w:p>
        </w:tc>
      </w:tr>
      <w:tr w:rsidR="00CC1EF4" w:rsidRPr="004853EB" w14:paraId="7146F2EB" w14:textId="77777777" w:rsidTr="00E95D02">
        <w:tc>
          <w:tcPr>
            <w:tcW w:w="8868" w:type="dxa"/>
            <w:gridSpan w:val="5"/>
          </w:tcPr>
          <w:p w14:paraId="4CC65F6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vertAlign w:val="superscript"/>
                <w:lang w:eastAsia="pl-PL"/>
              </w:rPr>
              <w:lastRenderedPageBreak/>
              <w:t>*)</w:t>
            </w:r>
            <w:r w:rsidRPr="004853EB">
              <w:rPr>
                <w:rFonts w:eastAsia="Times New Roman" w:cstheme="minorHAnsi"/>
                <w:color w:val="000000"/>
                <w:sz w:val="18"/>
                <w:szCs w:val="18"/>
                <w:lang w:eastAsia="pl-PL"/>
              </w:rPr>
              <w:t xml:space="preserve"> Minimalna zawartość lepiszcza jest określona przy założonej gęstości mieszanki mineralnej 2,650 Mg/m</w:t>
            </w:r>
            <w:r w:rsidRPr="004853EB">
              <w:rPr>
                <w:rFonts w:eastAsia="Times New Roman" w:cstheme="minorHAnsi"/>
                <w:color w:val="000000"/>
                <w:sz w:val="18"/>
                <w:szCs w:val="18"/>
                <w:vertAlign w:val="superscript"/>
                <w:lang w:eastAsia="pl-PL"/>
              </w:rPr>
              <w:t>3</w:t>
            </w:r>
            <w:r w:rsidRPr="004853EB">
              <w:rPr>
                <w:rFonts w:eastAsia="Times New Roman" w:cstheme="minorHAnsi"/>
                <w:color w:val="000000"/>
                <w:sz w:val="18"/>
                <w:szCs w:val="18"/>
                <w:lang w:eastAsia="pl-PL"/>
              </w:rPr>
              <w:t>. Jeżeli stosowana mieszanka mineralna ma inną gęstość (</w:t>
            </w:r>
            <w:r w:rsidRPr="004853EB">
              <w:rPr>
                <w:rFonts w:eastAsia="Times New Roman" w:cstheme="minorHAnsi"/>
                <w:i/>
                <w:color w:val="000000"/>
                <w:sz w:val="18"/>
                <w:szCs w:val="18"/>
                <w:lang w:eastAsia="pl-PL"/>
              </w:rPr>
              <w:t>ρ</w:t>
            </w:r>
            <w:r w:rsidRPr="004853EB">
              <w:rPr>
                <w:rFonts w:eastAsia="Times New Roman" w:cstheme="minorHAnsi"/>
                <w:color w:val="000000"/>
                <w:sz w:val="18"/>
                <w:szCs w:val="18"/>
                <w:vertAlign w:val="subscript"/>
                <w:lang w:eastAsia="pl-PL"/>
              </w:rPr>
              <w:t>d</w:t>
            </w:r>
            <w:r w:rsidRPr="004853EB">
              <w:rPr>
                <w:rFonts w:eastAsia="Times New Roman" w:cstheme="minorHAnsi"/>
                <w:color w:val="000000"/>
                <w:sz w:val="18"/>
                <w:szCs w:val="18"/>
                <w:lang w:eastAsia="pl-PL"/>
              </w:rPr>
              <w:t xml:space="preserve">), to do wyznaczenia minimalnej zawartości lepiszcza podaną wartość należy pomnożyć przez współczynnik </w:t>
            </w:r>
            <w:r w:rsidRPr="004853EB">
              <w:rPr>
                <w:rFonts w:eastAsia="Times New Roman" w:cstheme="minorHAnsi"/>
                <w:noProof/>
                <w:color w:val="000000"/>
                <w:position w:val="-6"/>
                <w:sz w:val="18"/>
                <w:szCs w:val="18"/>
                <w:lang w:eastAsia="pl-PL"/>
              </w:rPr>
              <w:drawing>
                <wp:inline distT="0" distB="0" distL="0" distR="0" wp14:anchorId="18EA93A7" wp14:editId="7A2F2A0F">
                  <wp:extent cx="152400" cy="142875"/>
                  <wp:effectExtent l="0" t="0" r="0"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4853EB">
              <w:rPr>
                <w:rFonts w:eastAsia="Times New Roman" w:cstheme="minorHAnsi"/>
                <w:color w:val="000000"/>
                <w:sz w:val="18"/>
                <w:szCs w:val="18"/>
                <w:lang w:eastAsia="pl-PL"/>
              </w:rPr>
              <w:t xml:space="preserve"> według równania: </w:t>
            </w:r>
            <w:r w:rsidRPr="004853EB">
              <w:rPr>
                <w:rFonts w:eastAsia="Times New Roman" w:cstheme="minorHAnsi"/>
                <w:noProof/>
                <w:color w:val="000000"/>
                <w:position w:val="-30"/>
                <w:sz w:val="18"/>
                <w:szCs w:val="18"/>
                <w:lang w:eastAsia="pl-PL"/>
              </w:rPr>
              <w:drawing>
                <wp:inline distT="0" distB="0" distL="0" distR="0" wp14:anchorId="7E6D6AB8" wp14:editId="46A41CFD">
                  <wp:extent cx="561975" cy="428625"/>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61975" cy="428625"/>
                          </a:xfrm>
                          <a:prstGeom prst="rect">
                            <a:avLst/>
                          </a:prstGeom>
                          <a:noFill/>
                          <a:ln>
                            <a:noFill/>
                          </a:ln>
                        </pic:spPr>
                      </pic:pic>
                    </a:graphicData>
                  </a:graphic>
                </wp:inline>
              </w:drawing>
            </w:r>
          </w:p>
        </w:tc>
      </w:tr>
    </w:tbl>
    <w:p w14:paraId="49E20EEA" w14:textId="77777777" w:rsidR="00CC1EF4" w:rsidRPr="004853EB" w:rsidRDefault="00CC1EF4" w:rsidP="00CC1EF4">
      <w:pPr>
        <w:keepNext/>
        <w:spacing w:before="240" w:after="0" w:line="240" w:lineRule="auto"/>
        <w:ind w:left="601" w:hanging="601"/>
        <w:jc w:val="both"/>
        <w:outlineLvl w:val="1"/>
        <w:rPr>
          <w:rFonts w:eastAsia="Times New Roman" w:cstheme="minorHAnsi"/>
          <w:b/>
          <w:bCs/>
          <w:color w:val="000000"/>
          <w:sz w:val="20"/>
          <w:szCs w:val="20"/>
          <w:lang w:eastAsia="pl-PL"/>
        </w:rPr>
      </w:pPr>
      <w:bookmarkStart w:id="3430" w:name="_Toc97034623"/>
      <w:bookmarkStart w:id="3431" w:name="_Toc97035311"/>
      <w:bookmarkStart w:id="3432" w:name="_Toc194477014"/>
      <w:bookmarkStart w:id="3433" w:name="_Toc227825496"/>
      <w:r w:rsidRPr="004853EB">
        <w:rPr>
          <w:rFonts w:eastAsia="Times New Roman" w:cstheme="minorHAnsi"/>
          <w:b/>
          <w:bCs/>
          <w:color w:val="000000"/>
          <w:sz w:val="20"/>
          <w:szCs w:val="20"/>
          <w:lang w:eastAsia="pl-PL"/>
        </w:rPr>
        <w:t xml:space="preserve">2.11. Właściwości mieszaki mineralno-asfaltowej do wykonania betonu asfaltowego do warstwy wiążącej </w:t>
      </w:r>
      <w:r w:rsidRPr="004853EB">
        <w:rPr>
          <w:rFonts w:eastAsia="Times New Roman" w:cstheme="minorHAnsi"/>
          <w:b/>
          <w:bCs/>
          <w:color w:val="000000"/>
          <w:sz w:val="20"/>
          <w:szCs w:val="20"/>
          <w:lang w:eastAsia="pl-PL"/>
        </w:rPr>
        <w:br/>
        <w:t>i wyrównawczej</w:t>
      </w:r>
      <w:bookmarkEnd w:id="3430"/>
      <w:bookmarkEnd w:id="3431"/>
      <w:bookmarkEnd w:id="3432"/>
      <w:bookmarkEnd w:id="3433"/>
    </w:p>
    <w:p w14:paraId="0063166E" w14:textId="77777777" w:rsidR="00CC1EF4" w:rsidRPr="004853EB" w:rsidRDefault="00CC1EF4" w:rsidP="00CC1EF4">
      <w:pPr>
        <w:spacing w:after="0" w:line="240" w:lineRule="auto"/>
        <w:ind w:firstLine="60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Wymagane właściwości mieszanki mineralno-asfaltowej podane są w tablicy 17 </w:t>
      </w:r>
    </w:p>
    <w:p w14:paraId="74603141" w14:textId="173BE4D0" w:rsidR="00CC1EF4" w:rsidRPr="004853EB" w:rsidRDefault="00CC1EF4" w:rsidP="00CC1EF4">
      <w:pPr>
        <w:tabs>
          <w:tab w:val="left" w:pos="1200"/>
        </w:tabs>
        <w:spacing w:before="120" w:after="120" w:line="240" w:lineRule="auto"/>
        <w:ind w:left="1200" w:hanging="120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Tablica 17. Wymagane właściwości mieszanki mineralno-asfaltowej do warstwy wiążącej i wyrównawczej, dla ruchu KR3 ÷ KR</w:t>
      </w:r>
      <w:r w:rsidR="00C562CD" w:rsidRPr="004853EB">
        <w:rPr>
          <w:rFonts w:eastAsia="Times New Roman" w:cstheme="minorHAnsi"/>
          <w:color w:val="000000"/>
          <w:sz w:val="20"/>
          <w:szCs w:val="20"/>
          <w:lang w:eastAsia="pl-PL"/>
        </w:rPr>
        <w:t>4 [</w:t>
      </w:r>
      <w:r w:rsidRPr="004853EB">
        <w:rPr>
          <w:rFonts w:eastAsia="Times New Roman" w:cstheme="minorHAnsi"/>
          <w:color w:val="000000"/>
          <w:sz w:val="20"/>
          <w:szCs w:val="20"/>
          <w:lang w:eastAsia="pl-PL"/>
        </w:rPr>
        <w:t>71]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796"/>
        <w:gridCol w:w="2880"/>
        <w:gridCol w:w="1324"/>
        <w:gridCol w:w="1338"/>
      </w:tblGrid>
      <w:tr w:rsidR="00CC1EF4" w:rsidRPr="004853EB" w14:paraId="45115BB1" w14:textId="77777777" w:rsidTr="00E95D02">
        <w:tc>
          <w:tcPr>
            <w:tcW w:w="2268" w:type="dxa"/>
            <w:vAlign w:val="center"/>
          </w:tcPr>
          <w:p w14:paraId="294E8CC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Właściwość</w:t>
            </w:r>
          </w:p>
        </w:tc>
        <w:tc>
          <w:tcPr>
            <w:tcW w:w="1796" w:type="dxa"/>
            <w:vAlign w:val="center"/>
          </w:tcPr>
          <w:p w14:paraId="457B10B2"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Warunki zagęszczania wg PN-EN </w:t>
            </w:r>
          </w:p>
          <w:p w14:paraId="1D3C602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13108-20  [53]</w:t>
            </w:r>
          </w:p>
        </w:tc>
        <w:tc>
          <w:tcPr>
            <w:tcW w:w="2880" w:type="dxa"/>
            <w:vAlign w:val="center"/>
          </w:tcPr>
          <w:p w14:paraId="304233D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Metoda i warunki badania</w:t>
            </w:r>
          </w:p>
        </w:tc>
        <w:tc>
          <w:tcPr>
            <w:tcW w:w="1324" w:type="dxa"/>
            <w:vAlign w:val="center"/>
          </w:tcPr>
          <w:p w14:paraId="76CC110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AC16W</w:t>
            </w:r>
          </w:p>
        </w:tc>
        <w:tc>
          <w:tcPr>
            <w:tcW w:w="1338" w:type="dxa"/>
            <w:vAlign w:val="center"/>
          </w:tcPr>
          <w:p w14:paraId="0DB71E4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AC22W</w:t>
            </w:r>
          </w:p>
        </w:tc>
      </w:tr>
      <w:tr w:rsidR="00CC1EF4" w:rsidRPr="004853EB" w14:paraId="34E8D6AF" w14:textId="77777777" w:rsidTr="00E95D02">
        <w:tc>
          <w:tcPr>
            <w:tcW w:w="2268" w:type="dxa"/>
            <w:vAlign w:val="center"/>
          </w:tcPr>
          <w:p w14:paraId="45F75D3B"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Zawartość wolnych przestrzeni</w:t>
            </w:r>
          </w:p>
        </w:tc>
        <w:tc>
          <w:tcPr>
            <w:tcW w:w="1796" w:type="dxa"/>
            <w:vAlign w:val="center"/>
          </w:tcPr>
          <w:p w14:paraId="3DC088A9" w14:textId="07177D40" w:rsidR="00CC1EF4" w:rsidRPr="004853EB" w:rsidRDefault="00C562CD"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C.1.3, ubijanie</w:t>
            </w:r>
            <w:r w:rsidR="00CC1EF4" w:rsidRPr="004853EB">
              <w:rPr>
                <w:rFonts w:eastAsia="Times New Roman" w:cstheme="minorHAnsi"/>
                <w:color w:val="000000"/>
                <w:sz w:val="18"/>
                <w:szCs w:val="18"/>
                <w:lang w:eastAsia="pl-PL"/>
              </w:rPr>
              <w:t>, 2×75 uderzeń</w:t>
            </w:r>
          </w:p>
        </w:tc>
        <w:tc>
          <w:tcPr>
            <w:tcW w:w="2880" w:type="dxa"/>
            <w:vAlign w:val="center"/>
          </w:tcPr>
          <w:p w14:paraId="1E478846" w14:textId="77777777" w:rsidR="00CC1EF4" w:rsidRPr="004853EB" w:rsidRDefault="00CC1EF4" w:rsidP="00CC1EF4">
            <w:pPr>
              <w:spacing w:before="6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12697-8 [36], p. 4</w:t>
            </w:r>
          </w:p>
        </w:tc>
        <w:tc>
          <w:tcPr>
            <w:tcW w:w="1324" w:type="dxa"/>
            <w:vAlign w:val="center"/>
          </w:tcPr>
          <w:p w14:paraId="3943A6D8"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i/>
                <w:color w:val="000000"/>
                <w:sz w:val="18"/>
                <w:szCs w:val="18"/>
                <w:lang w:eastAsia="pl-PL"/>
              </w:rPr>
              <w:t>V</w:t>
            </w:r>
            <w:r w:rsidRPr="004853EB">
              <w:rPr>
                <w:rFonts w:eastAsia="Times New Roman" w:cstheme="minorHAnsi"/>
                <w:color w:val="000000"/>
                <w:sz w:val="18"/>
                <w:szCs w:val="18"/>
                <w:vertAlign w:val="subscript"/>
                <w:lang w:eastAsia="pl-PL"/>
              </w:rPr>
              <w:t>min 4,0</w:t>
            </w:r>
          </w:p>
          <w:p w14:paraId="736475E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i/>
                <w:color w:val="000000"/>
                <w:sz w:val="18"/>
                <w:szCs w:val="18"/>
                <w:lang w:eastAsia="pl-PL"/>
              </w:rPr>
              <w:t>V</w:t>
            </w:r>
            <w:r w:rsidRPr="004853EB">
              <w:rPr>
                <w:rFonts w:eastAsia="Times New Roman" w:cstheme="minorHAnsi"/>
                <w:color w:val="000000"/>
                <w:sz w:val="18"/>
                <w:szCs w:val="18"/>
                <w:vertAlign w:val="subscript"/>
                <w:lang w:eastAsia="pl-PL"/>
              </w:rPr>
              <w:t>max 7,0</w:t>
            </w:r>
          </w:p>
        </w:tc>
        <w:tc>
          <w:tcPr>
            <w:tcW w:w="1338" w:type="dxa"/>
            <w:vAlign w:val="center"/>
          </w:tcPr>
          <w:p w14:paraId="700BD2B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i/>
                <w:color w:val="000000"/>
                <w:sz w:val="18"/>
                <w:szCs w:val="18"/>
                <w:lang w:eastAsia="pl-PL"/>
              </w:rPr>
              <w:t>V</w:t>
            </w:r>
            <w:r w:rsidRPr="004853EB">
              <w:rPr>
                <w:rFonts w:eastAsia="Times New Roman" w:cstheme="minorHAnsi"/>
                <w:color w:val="000000"/>
                <w:sz w:val="18"/>
                <w:szCs w:val="18"/>
                <w:vertAlign w:val="subscript"/>
                <w:lang w:eastAsia="pl-PL"/>
              </w:rPr>
              <w:t>min 4,0</w:t>
            </w:r>
          </w:p>
          <w:p w14:paraId="109EBDE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i/>
                <w:color w:val="000000"/>
                <w:sz w:val="18"/>
                <w:szCs w:val="18"/>
                <w:lang w:eastAsia="pl-PL"/>
              </w:rPr>
              <w:t>V</w:t>
            </w:r>
            <w:r w:rsidRPr="004853EB">
              <w:rPr>
                <w:rFonts w:eastAsia="Times New Roman" w:cstheme="minorHAnsi"/>
                <w:color w:val="000000"/>
                <w:sz w:val="18"/>
                <w:szCs w:val="18"/>
                <w:vertAlign w:val="subscript"/>
                <w:lang w:eastAsia="pl-PL"/>
              </w:rPr>
              <w:t>max 7,0</w:t>
            </w:r>
          </w:p>
        </w:tc>
      </w:tr>
      <w:tr w:rsidR="00CC1EF4" w:rsidRPr="004853EB" w14:paraId="1D71FE2A" w14:textId="77777777" w:rsidTr="00E95D02">
        <w:tc>
          <w:tcPr>
            <w:tcW w:w="2268" w:type="dxa"/>
            <w:vAlign w:val="center"/>
          </w:tcPr>
          <w:p w14:paraId="6380CA25" w14:textId="77777777" w:rsidR="00CC1EF4" w:rsidRPr="004853EB" w:rsidRDefault="00CC1EF4" w:rsidP="00CC1EF4">
            <w:pPr>
              <w:spacing w:after="0" w:line="240" w:lineRule="auto"/>
              <w:jc w:val="both"/>
              <w:rPr>
                <w:rFonts w:eastAsia="Times New Roman" w:cstheme="minorHAnsi"/>
                <w:color w:val="000000"/>
                <w:sz w:val="18"/>
                <w:szCs w:val="18"/>
                <w:vertAlign w:val="superscript"/>
                <w:lang w:eastAsia="pl-PL"/>
              </w:rPr>
            </w:pPr>
            <w:r w:rsidRPr="004853EB">
              <w:rPr>
                <w:rFonts w:eastAsia="Times New Roman" w:cstheme="minorHAnsi"/>
                <w:color w:val="000000"/>
                <w:sz w:val="18"/>
                <w:szCs w:val="18"/>
                <w:lang w:eastAsia="pl-PL"/>
              </w:rPr>
              <w:t xml:space="preserve">Odporność na deformacje trwałe </w:t>
            </w:r>
            <w:r w:rsidRPr="004853EB">
              <w:rPr>
                <w:rFonts w:eastAsia="Times New Roman" w:cstheme="minorHAnsi"/>
                <w:color w:val="000000"/>
                <w:sz w:val="18"/>
                <w:szCs w:val="18"/>
                <w:vertAlign w:val="superscript"/>
                <w:lang w:eastAsia="pl-PL"/>
              </w:rPr>
              <w:t>a)c)</w:t>
            </w:r>
          </w:p>
        </w:tc>
        <w:tc>
          <w:tcPr>
            <w:tcW w:w="1796" w:type="dxa"/>
            <w:vAlign w:val="center"/>
          </w:tcPr>
          <w:p w14:paraId="5ED7CDB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C.1.20, wałowanie,</w:t>
            </w:r>
          </w:p>
          <w:p w14:paraId="17FC1BB5"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w:t>
            </w:r>
            <w:r w:rsidRPr="004853EB">
              <w:rPr>
                <w:rFonts w:eastAsia="Times New Roman" w:cstheme="minorHAnsi"/>
                <w:color w:val="000000"/>
                <w:sz w:val="18"/>
                <w:szCs w:val="18"/>
                <w:vertAlign w:val="subscript"/>
                <w:lang w:eastAsia="pl-PL"/>
              </w:rPr>
              <w:t>98</w:t>
            </w:r>
            <w:r w:rsidRPr="004853EB">
              <w:rPr>
                <w:rFonts w:eastAsia="Times New Roman" w:cstheme="minorHAnsi"/>
                <w:color w:val="000000"/>
                <w:sz w:val="18"/>
                <w:szCs w:val="18"/>
                <w:lang w:eastAsia="pl-PL"/>
              </w:rPr>
              <w:t>-P</w:t>
            </w:r>
            <w:r w:rsidRPr="004853EB">
              <w:rPr>
                <w:rFonts w:eastAsia="Times New Roman" w:cstheme="minorHAnsi"/>
                <w:color w:val="000000"/>
                <w:sz w:val="18"/>
                <w:szCs w:val="18"/>
                <w:vertAlign w:val="subscript"/>
                <w:lang w:eastAsia="pl-PL"/>
              </w:rPr>
              <w:t>100</w:t>
            </w:r>
          </w:p>
        </w:tc>
        <w:tc>
          <w:tcPr>
            <w:tcW w:w="2880" w:type="dxa"/>
            <w:vAlign w:val="center"/>
          </w:tcPr>
          <w:p w14:paraId="3DBFBF0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PN-EN 12697-22, metoda B       w powietrzu [40], PN-EN 13108-20, D.1.6,60°C,            10 000 cykli [53]</w:t>
            </w:r>
          </w:p>
        </w:tc>
        <w:tc>
          <w:tcPr>
            <w:tcW w:w="1324" w:type="dxa"/>
            <w:vAlign w:val="center"/>
          </w:tcPr>
          <w:p w14:paraId="000F5173" w14:textId="77777777" w:rsidR="00CC1EF4" w:rsidRPr="004853EB" w:rsidRDefault="00CC1EF4" w:rsidP="00CC1EF4">
            <w:pPr>
              <w:spacing w:after="0" w:line="240" w:lineRule="auto"/>
              <w:jc w:val="both"/>
              <w:rPr>
                <w:rFonts w:eastAsia="Times New Roman" w:cstheme="minorHAnsi"/>
                <w:color w:val="000000"/>
                <w:sz w:val="18"/>
                <w:szCs w:val="18"/>
                <w:vertAlign w:val="subscript"/>
                <w:lang w:eastAsia="pl-PL"/>
              </w:rPr>
            </w:pPr>
            <w:r w:rsidRPr="004853EB">
              <w:rPr>
                <w:rFonts w:eastAsia="Times New Roman" w:cstheme="minorHAnsi"/>
                <w:i/>
                <w:color w:val="000000"/>
                <w:sz w:val="18"/>
                <w:szCs w:val="18"/>
                <w:lang w:eastAsia="pl-PL"/>
              </w:rPr>
              <w:t>WTS</w:t>
            </w:r>
            <w:r w:rsidRPr="004853EB">
              <w:rPr>
                <w:rFonts w:eastAsia="Times New Roman" w:cstheme="minorHAnsi"/>
                <w:color w:val="000000"/>
                <w:sz w:val="18"/>
                <w:szCs w:val="18"/>
                <w:vertAlign w:val="subscript"/>
                <w:lang w:eastAsia="pl-PL"/>
              </w:rPr>
              <w:t>AIR 0,15</w:t>
            </w:r>
          </w:p>
          <w:p w14:paraId="66B45236" w14:textId="77777777" w:rsidR="00CC1EF4" w:rsidRPr="004853EB" w:rsidRDefault="00CC1EF4" w:rsidP="00CC1EF4">
            <w:pPr>
              <w:spacing w:after="0" w:line="240" w:lineRule="auto"/>
              <w:jc w:val="both"/>
              <w:rPr>
                <w:rFonts w:eastAsia="Times New Roman" w:cstheme="minorHAnsi"/>
                <w:color w:val="000000"/>
                <w:sz w:val="18"/>
                <w:szCs w:val="18"/>
                <w:vertAlign w:val="subscript"/>
                <w:lang w:eastAsia="pl-PL"/>
              </w:rPr>
            </w:pPr>
            <w:r w:rsidRPr="004853EB">
              <w:rPr>
                <w:rFonts w:eastAsia="Times New Roman" w:cstheme="minorHAnsi"/>
                <w:i/>
                <w:color w:val="000000"/>
                <w:sz w:val="18"/>
                <w:szCs w:val="18"/>
                <w:lang w:eastAsia="pl-PL"/>
              </w:rPr>
              <w:t>PRD</w:t>
            </w:r>
            <w:r w:rsidRPr="004853EB">
              <w:rPr>
                <w:rFonts w:eastAsia="Times New Roman" w:cstheme="minorHAnsi"/>
                <w:color w:val="000000"/>
                <w:sz w:val="18"/>
                <w:szCs w:val="18"/>
                <w:vertAlign w:val="subscript"/>
                <w:lang w:eastAsia="pl-PL"/>
              </w:rPr>
              <w:t>AIR 7,0</w:t>
            </w:r>
          </w:p>
        </w:tc>
        <w:tc>
          <w:tcPr>
            <w:tcW w:w="1338" w:type="dxa"/>
            <w:vAlign w:val="center"/>
          </w:tcPr>
          <w:p w14:paraId="2EC2CC9E" w14:textId="77777777" w:rsidR="00CC1EF4" w:rsidRPr="004853EB" w:rsidRDefault="00CC1EF4" w:rsidP="00CC1EF4">
            <w:pPr>
              <w:spacing w:after="0" w:line="240" w:lineRule="auto"/>
              <w:jc w:val="both"/>
              <w:rPr>
                <w:rFonts w:eastAsia="Times New Roman" w:cstheme="minorHAnsi"/>
                <w:color w:val="000000"/>
                <w:sz w:val="18"/>
                <w:szCs w:val="18"/>
                <w:vertAlign w:val="subscript"/>
                <w:lang w:eastAsia="pl-PL"/>
              </w:rPr>
            </w:pPr>
            <w:r w:rsidRPr="004853EB">
              <w:rPr>
                <w:rFonts w:eastAsia="Times New Roman" w:cstheme="minorHAnsi"/>
                <w:i/>
                <w:color w:val="000000"/>
                <w:sz w:val="18"/>
                <w:szCs w:val="18"/>
                <w:lang w:eastAsia="pl-PL"/>
              </w:rPr>
              <w:t>WTS</w:t>
            </w:r>
            <w:r w:rsidRPr="004853EB">
              <w:rPr>
                <w:rFonts w:eastAsia="Times New Roman" w:cstheme="minorHAnsi"/>
                <w:color w:val="000000"/>
                <w:sz w:val="18"/>
                <w:szCs w:val="18"/>
                <w:vertAlign w:val="subscript"/>
                <w:lang w:eastAsia="pl-PL"/>
              </w:rPr>
              <w:t>AIR 0,15</w:t>
            </w:r>
          </w:p>
          <w:p w14:paraId="02309933"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i/>
                <w:color w:val="000000"/>
                <w:sz w:val="18"/>
                <w:szCs w:val="18"/>
                <w:lang w:eastAsia="pl-PL"/>
              </w:rPr>
              <w:t>PRD</w:t>
            </w:r>
            <w:r w:rsidRPr="004853EB">
              <w:rPr>
                <w:rFonts w:eastAsia="Times New Roman" w:cstheme="minorHAnsi"/>
                <w:color w:val="000000"/>
                <w:sz w:val="18"/>
                <w:szCs w:val="18"/>
                <w:vertAlign w:val="subscript"/>
                <w:lang w:eastAsia="pl-PL"/>
              </w:rPr>
              <w:t>AIR7,0</w:t>
            </w:r>
          </w:p>
        </w:tc>
      </w:tr>
      <w:tr w:rsidR="00CC1EF4" w:rsidRPr="004853EB" w14:paraId="167B2700" w14:textId="77777777" w:rsidTr="00E95D02">
        <w:tc>
          <w:tcPr>
            <w:tcW w:w="2268" w:type="dxa"/>
            <w:vAlign w:val="center"/>
          </w:tcPr>
          <w:p w14:paraId="3930536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Odporność na działanie wody</w:t>
            </w:r>
          </w:p>
        </w:tc>
        <w:tc>
          <w:tcPr>
            <w:tcW w:w="1796" w:type="dxa"/>
            <w:vAlign w:val="center"/>
          </w:tcPr>
          <w:p w14:paraId="0DFD2FA1" w14:textId="5EB77F66" w:rsidR="00CC1EF4" w:rsidRPr="004853EB" w:rsidRDefault="00C562CD"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C.1.1, ubijanie</w:t>
            </w:r>
            <w:r w:rsidR="00CC1EF4" w:rsidRPr="004853EB">
              <w:rPr>
                <w:rFonts w:eastAsia="Times New Roman" w:cstheme="minorHAnsi"/>
                <w:color w:val="000000"/>
                <w:sz w:val="18"/>
                <w:szCs w:val="18"/>
                <w:lang w:eastAsia="pl-PL"/>
              </w:rPr>
              <w:t>, 2×35 uderzeń</w:t>
            </w:r>
          </w:p>
        </w:tc>
        <w:tc>
          <w:tcPr>
            <w:tcW w:w="2880" w:type="dxa"/>
            <w:vAlign w:val="center"/>
          </w:tcPr>
          <w:p w14:paraId="4518DB5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PN-EN 12697-12 [38], przechowywanie w 40°C z jednym cyklem zamra-żania, badanie w 25°C </w:t>
            </w:r>
            <w:r w:rsidRPr="004853EB">
              <w:rPr>
                <w:rFonts w:eastAsia="Times New Roman" w:cstheme="minorHAnsi"/>
                <w:color w:val="000000"/>
                <w:sz w:val="18"/>
                <w:szCs w:val="18"/>
                <w:vertAlign w:val="superscript"/>
                <w:lang w:eastAsia="pl-PL"/>
              </w:rPr>
              <w:t>b)</w:t>
            </w:r>
          </w:p>
        </w:tc>
        <w:tc>
          <w:tcPr>
            <w:tcW w:w="1324" w:type="dxa"/>
            <w:vAlign w:val="center"/>
          </w:tcPr>
          <w:p w14:paraId="65A3D772" w14:textId="77777777" w:rsidR="00CC1EF4" w:rsidRPr="004853EB" w:rsidRDefault="00CC1EF4" w:rsidP="00CC1EF4">
            <w:pPr>
              <w:spacing w:after="0" w:line="240" w:lineRule="auto"/>
              <w:jc w:val="both"/>
              <w:rPr>
                <w:rFonts w:eastAsia="Times New Roman" w:cstheme="minorHAnsi"/>
                <w:color w:val="000000"/>
                <w:sz w:val="18"/>
                <w:szCs w:val="18"/>
                <w:vertAlign w:val="subscript"/>
                <w:lang w:eastAsia="pl-PL"/>
              </w:rPr>
            </w:pPr>
            <w:r w:rsidRPr="004853EB">
              <w:rPr>
                <w:rFonts w:eastAsia="Times New Roman" w:cstheme="minorHAnsi"/>
                <w:i/>
                <w:color w:val="000000"/>
                <w:sz w:val="18"/>
                <w:szCs w:val="18"/>
                <w:lang w:eastAsia="pl-PL"/>
              </w:rPr>
              <w:t>ITS</w:t>
            </w:r>
            <w:r w:rsidRPr="004853EB">
              <w:rPr>
                <w:rFonts w:eastAsia="Times New Roman" w:cstheme="minorHAnsi"/>
                <w:i/>
                <w:color w:val="000000"/>
                <w:sz w:val="18"/>
                <w:szCs w:val="18"/>
                <w:vertAlign w:val="subscript"/>
                <w:lang w:eastAsia="pl-PL"/>
              </w:rPr>
              <w:t>80</w:t>
            </w:r>
          </w:p>
        </w:tc>
        <w:tc>
          <w:tcPr>
            <w:tcW w:w="1338" w:type="dxa"/>
            <w:vAlign w:val="center"/>
          </w:tcPr>
          <w:p w14:paraId="598D22C1" w14:textId="77777777" w:rsidR="00CC1EF4" w:rsidRPr="004853EB" w:rsidRDefault="00CC1EF4" w:rsidP="00CC1EF4">
            <w:pPr>
              <w:spacing w:after="0" w:line="240" w:lineRule="auto"/>
              <w:jc w:val="both"/>
              <w:rPr>
                <w:rFonts w:eastAsia="Times New Roman" w:cstheme="minorHAnsi"/>
                <w:color w:val="000000"/>
                <w:sz w:val="18"/>
                <w:szCs w:val="18"/>
                <w:vertAlign w:val="subscript"/>
                <w:lang w:eastAsia="pl-PL"/>
              </w:rPr>
            </w:pPr>
            <w:r w:rsidRPr="004853EB">
              <w:rPr>
                <w:rFonts w:eastAsia="Times New Roman" w:cstheme="minorHAnsi"/>
                <w:i/>
                <w:color w:val="000000"/>
                <w:sz w:val="18"/>
                <w:szCs w:val="18"/>
                <w:lang w:eastAsia="pl-PL"/>
              </w:rPr>
              <w:t>ITSR</w:t>
            </w:r>
            <w:r w:rsidRPr="004853EB">
              <w:rPr>
                <w:rFonts w:eastAsia="Times New Roman" w:cstheme="minorHAnsi"/>
                <w:i/>
                <w:color w:val="000000"/>
                <w:sz w:val="18"/>
                <w:szCs w:val="18"/>
                <w:vertAlign w:val="subscript"/>
                <w:lang w:eastAsia="pl-PL"/>
              </w:rPr>
              <w:t>80</w:t>
            </w:r>
          </w:p>
        </w:tc>
      </w:tr>
    </w:tbl>
    <w:p w14:paraId="0D93D929" w14:textId="38D63909" w:rsidR="00CC1EF4" w:rsidRPr="004853EB" w:rsidRDefault="00CC1EF4" w:rsidP="00CC1EF4">
      <w:pPr>
        <w:tabs>
          <w:tab w:val="left" w:pos="284"/>
        </w:tabs>
        <w:spacing w:after="0" w:line="240" w:lineRule="auto"/>
        <w:ind w:left="284" w:hanging="284"/>
        <w:jc w:val="both"/>
        <w:rPr>
          <w:rFonts w:eastAsia="Times New Roman" w:cstheme="minorHAnsi"/>
          <w:color w:val="000000"/>
          <w:sz w:val="20"/>
          <w:szCs w:val="20"/>
          <w:lang w:eastAsia="pl-PL"/>
        </w:rPr>
      </w:pPr>
      <w:r w:rsidRPr="004853EB">
        <w:rPr>
          <w:rFonts w:eastAsia="Times New Roman" w:cstheme="minorHAnsi"/>
          <w:color w:val="000000"/>
          <w:sz w:val="20"/>
          <w:szCs w:val="20"/>
          <w:vertAlign w:val="superscript"/>
          <w:lang w:eastAsia="pl-PL"/>
        </w:rPr>
        <w:t>a)</w:t>
      </w:r>
      <w:r w:rsidRPr="004853EB">
        <w:rPr>
          <w:rFonts w:eastAsia="Times New Roman" w:cstheme="minorHAnsi"/>
          <w:color w:val="000000"/>
          <w:sz w:val="20"/>
          <w:szCs w:val="20"/>
          <w:lang w:eastAsia="pl-PL"/>
        </w:rPr>
        <w:tab/>
        <w:t>Grubość płyty: AC16, AC</w:t>
      </w:r>
      <w:r w:rsidR="00C562CD" w:rsidRPr="004853EB">
        <w:rPr>
          <w:rFonts w:eastAsia="Times New Roman" w:cstheme="minorHAnsi"/>
          <w:color w:val="000000"/>
          <w:sz w:val="20"/>
          <w:szCs w:val="20"/>
          <w:lang w:eastAsia="pl-PL"/>
        </w:rPr>
        <w:t>22 60</w:t>
      </w:r>
      <w:r w:rsidRPr="004853EB">
        <w:rPr>
          <w:rFonts w:eastAsia="Times New Roman" w:cstheme="minorHAnsi"/>
          <w:color w:val="000000"/>
          <w:sz w:val="20"/>
          <w:szCs w:val="20"/>
          <w:lang w:eastAsia="pl-PL"/>
        </w:rPr>
        <w:t>mm,</w:t>
      </w:r>
    </w:p>
    <w:p w14:paraId="7BFEA92C" w14:textId="77777777" w:rsidR="00CC1EF4" w:rsidRPr="004853EB" w:rsidRDefault="00CC1EF4" w:rsidP="00CC1EF4">
      <w:pPr>
        <w:tabs>
          <w:tab w:val="left" w:pos="284"/>
        </w:tabs>
        <w:spacing w:after="0" w:line="240" w:lineRule="auto"/>
        <w:ind w:left="284" w:hanging="284"/>
        <w:jc w:val="both"/>
        <w:rPr>
          <w:rFonts w:eastAsia="Times New Roman" w:cstheme="minorHAnsi"/>
          <w:color w:val="000000"/>
          <w:sz w:val="20"/>
          <w:szCs w:val="20"/>
          <w:lang w:eastAsia="pl-PL"/>
        </w:rPr>
      </w:pPr>
      <w:r w:rsidRPr="004853EB">
        <w:rPr>
          <w:rFonts w:eastAsia="Times New Roman" w:cstheme="minorHAnsi"/>
          <w:color w:val="000000"/>
          <w:sz w:val="20"/>
          <w:szCs w:val="20"/>
          <w:vertAlign w:val="superscript"/>
          <w:lang w:eastAsia="pl-PL"/>
        </w:rPr>
        <w:t>b)</w:t>
      </w:r>
      <w:r w:rsidRPr="004853EB">
        <w:rPr>
          <w:rFonts w:eastAsia="Times New Roman" w:cstheme="minorHAnsi"/>
          <w:color w:val="000000"/>
          <w:sz w:val="20"/>
          <w:szCs w:val="20"/>
          <w:lang w:eastAsia="pl-PL"/>
        </w:rPr>
        <w:tab/>
        <w:t xml:space="preserve"> Ujednoliconą procedurę badania odporności na działanie wody podano w WT-2 2014 [71] w załączniku 1,</w:t>
      </w:r>
    </w:p>
    <w:p w14:paraId="73ACEE6C" w14:textId="77777777" w:rsidR="00CC1EF4" w:rsidRPr="004853EB" w:rsidRDefault="00CC1EF4" w:rsidP="00CC1EF4">
      <w:pPr>
        <w:tabs>
          <w:tab w:val="left" w:pos="284"/>
        </w:tabs>
        <w:spacing w:after="0" w:line="240" w:lineRule="auto"/>
        <w:ind w:left="284" w:hanging="284"/>
        <w:jc w:val="both"/>
        <w:rPr>
          <w:rFonts w:eastAsia="Times New Roman" w:cstheme="minorHAnsi"/>
          <w:color w:val="000000"/>
          <w:sz w:val="20"/>
          <w:szCs w:val="20"/>
          <w:lang w:eastAsia="pl-PL"/>
        </w:rPr>
      </w:pPr>
      <w:r w:rsidRPr="004853EB">
        <w:rPr>
          <w:rFonts w:eastAsia="Times New Roman" w:cstheme="minorHAnsi"/>
          <w:color w:val="000000"/>
          <w:sz w:val="20"/>
          <w:szCs w:val="20"/>
          <w:vertAlign w:val="superscript"/>
          <w:lang w:eastAsia="pl-PL"/>
        </w:rPr>
        <w:t>c)</w:t>
      </w:r>
      <w:r w:rsidRPr="004853EB">
        <w:rPr>
          <w:rFonts w:eastAsia="Times New Roman" w:cstheme="minorHAnsi"/>
          <w:color w:val="000000"/>
          <w:sz w:val="20"/>
          <w:szCs w:val="20"/>
          <w:lang w:eastAsia="pl-PL"/>
        </w:rPr>
        <w:tab/>
        <w:t xml:space="preserve">Procedurę kondycjonowania krótkoterminowego mma przed formowaniem próbek podano w WT-2 2014 </w:t>
      </w:r>
      <w:r w:rsidRPr="004853EB">
        <w:rPr>
          <w:rFonts w:eastAsia="Times New Roman" w:cstheme="minorHAnsi"/>
          <w:color w:val="000000"/>
          <w:sz w:val="20"/>
          <w:szCs w:val="20"/>
          <w:lang w:eastAsia="pl-PL"/>
        </w:rPr>
        <w:br/>
        <w:t>w załączniku 2.</w:t>
      </w:r>
    </w:p>
    <w:p w14:paraId="4C43A5BC"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434" w:name="_Toc412707320"/>
    </w:p>
    <w:p w14:paraId="5A3A0AEA"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435" w:name="_Toc68686951"/>
      <w:bookmarkStart w:id="3436" w:name="_Toc68690549"/>
      <w:bookmarkStart w:id="3437" w:name="_Toc97034624"/>
      <w:bookmarkStart w:id="3438" w:name="_Toc97035312"/>
      <w:bookmarkStart w:id="3439" w:name="_Toc194477015"/>
      <w:bookmarkStart w:id="3440" w:name="_Toc227825497"/>
      <w:r w:rsidRPr="004853EB">
        <w:rPr>
          <w:rFonts w:eastAsia="Times New Roman" w:cstheme="minorHAnsi"/>
          <w:b/>
          <w:bCs/>
          <w:color w:val="000000"/>
          <w:sz w:val="20"/>
          <w:szCs w:val="20"/>
          <w:lang w:eastAsia="pl-PL"/>
        </w:rPr>
        <w:t>3. S</w:t>
      </w:r>
      <w:bookmarkEnd w:id="3434"/>
      <w:r w:rsidRPr="004853EB">
        <w:rPr>
          <w:rFonts w:eastAsia="Times New Roman" w:cstheme="minorHAnsi"/>
          <w:b/>
          <w:bCs/>
          <w:color w:val="000000"/>
          <w:sz w:val="20"/>
          <w:szCs w:val="20"/>
          <w:lang w:eastAsia="pl-PL"/>
        </w:rPr>
        <w:t>PRZĘT</w:t>
      </w:r>
      <w:bookmarkEnd w:id="3435"/>
      <w:bookmarkEnd w:id="3436"/>
      <w:bookmarkEnd w:id="3437"/>
      <w:bookmarkEnd w:id="3438"/>
      <w:bookmarkEnd w:id="3439"/>
      <w:bookmarkEnd w:id="3440"/>
    </w:p>
    <w:p w14:paraId="7FC1A93E"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p>
    <w:p w14:paraId="4386A17D"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441" w:name="_Toc97034625"/>
      <w:bookmarkStart w:id="3442" w:name="_Toc97035313"/>
      <w:bookmarkStart w:id="3443" w:name="_Toc194477016"/>
      <w:bookmarkStart w:id="3444" w:name="_Toc227825498"/>
      <w:r w:rsidRPr="004853EB">
        <w:rPr>
          <w:rFonts w:eastAsia="Times New Roman" w:cstheme="minorHAnsi"/>
          <w:b/>
          <w:bCs/>
          <w:color w:val="000000"/>
          <w:sz w:val="20"/>
          <w:szCs w:val="20"/>
          <w:lang w:eastAsia="pl-PL"/>
        </w:rPr>
        <w:t>3.1. Ogólne wymagania dotyczące sprzętu</w:t>
      </w:r>
      <w:bookmarkEnd w:id="3441"/>
      <w:bookmarkEnd w:id="3442"/>
      <w:bookmarkEnd w:id="3443"/>
      <w:bookmarkEnd w:id="3444"/>
    </w:p>
    <w:p w14:paraId="1EEE1CE4" w14:textId="5BB6F8F6" w:rsidR="00CC1EF4" w:rsidRPr="004853EB" w:rsidRDefault="00CC1EF4" w:rsidP="00CC1EF4">
      <w:pPr>
        <w:numPr>
          <w:ilvl w:val="12"/>
          <w:numId w:val="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Ogólne wymagania dotyczące sprzętu podano w </w:t>
      </w:r>
      <w:r w:rsidR="00C562CD" w:rsidRPr="004853EB">
        <w:rPr>
          <w:rFonts w:eastAsia="Times New Roman" w:cstheme="minorHAnsi"/>
          <w:color w:val="000000"/>
          <w:sz w:val="20"/>
          <w:szCs w:val="20"/>
          <w:lang w:eastAsia="pl-PL"/>
        </w:rPr>
        <w:t>ST D</w:t>
      </w:r>
      <w:r w:rsidRPr="004853EB">
        <w:rPr>
          <w:rFonts w:eastAsia="Times New Roman" w:cstheme="minorHAnsi"/>
          <w:color w:val="000000"/>
          <w:sz w:val="20"/>
          <w:szCs w:val="20"/>
          <w:lang w:eastAsia="pl-PL"/>
        </w:rPr>
        <w:t>-M-00.00.00 „Wymagania ogólne” [1] pkt 3.</w:t>
      </w:r>
    </w:p>
    <w:p w14:paraId="2FD7208F"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6B08DD98"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445" w:name="_Toc97034626"/>
      <w:bookmarkStart w:id="3446" w:name="_Toc97035314"/>
      <w:bookmarkStart w:id="3447" w:name="_Toc194477017"/>
      <w:bookmarkStart w:id="3448" w:name="_Toc227825499"/>
      <w:r w:rsidRPr="004853EB">
        <w:rPr>
          <w:rFonts w:eastAsia="Times New Roman" w:cstheme="minorHAnsi"/>
          <w:b/>
          <w:bCs/>
          <w:color w:val="000000"/>
          <w:sz w:val="20"/>
          <w:szCs w:val="20"/>
          <w:lang w:eastAsia="pl-PL"/>
        </w:rPr>
        <w:t>3.2. Sprzęt stosowany do wykonania robót</w:t>
      </w:r>
      <w:bookmarkEnd w:id="3445"/>
      <w:bookmarkEnd w:id="3446"/>
      <w:bookmarkEnd w:id="3447"/>
      <w:bookmarkEnd w:id="3448"/>
    </w:p>
    <w:p w14:paraId="4E2A13A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Przy wykonywaniu robót Wykonawca w zależności od potrzeb, powinien wykazać się możliwością korzystania ze sprzętu dostosowanego do przyjętej metody robót, jak:</w:t>
      </w:r>
    </w:p>
    <w:p w14:paraId="3F406B7F" w14:textId="2E4AE97A" w:rsidR="00CC1EF4" w:rsidRPr="004853EB" w:rsidRDefault="00CC1EF4">
      <w:pPr>
        <w:numPr>
          <w:ilvl w:val="0"/>
          <w:numId w:val="120"/>
        </w:numPr>
        <w:overflowPunct w:val="0"/>
        <w:autoSpaceDE w:val="0"/>
        <w:autoSpaceDN w:val="0"/>
        <w:adjustRightInd w:val="0"/>
        <w:spacing w:after="0" w:line="240" w:lineRule="auto"/>
        <w:ind w:left="360" w:hanging="36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wytwórnia (otaczarka</w:t>
      </w:r>
      <w:r w:rsidRPr="004853EB">
        <w:rPr>
          <w:rFonts w:eastAsia="Times New Roman" w:cstheme="minorHAnsi"/>
          <w:b/>
          <w:color w:val="000000"/>
          <w:sz w:val="20"/>
          <w:szCs w:val="20"/>
          <w:lang w:eastAsia="pl-PL"/>
        </w:rPr>
        <w:t>)</w:t>
      </w:r>
      <w:r w:rsidRPr="004853EB">
        <w:rPr>
          <w:rFonts w:eastAsia="Times New Roman" w:cstheme="minorHAnsi"/>
          <w:color w:val="000000"/>
          <w:sz w:val="20"/>
          <w:szCs w:val="20"/>
          <w:lang w:eastAsia="pl-PL"/>
        </w:rPr>
        <w:t xml:space="preserve"> o mieszaniu cyklicznym lub ciągłym, z automatycznym komputerowym sterowaniem produkcji, do wytwarzania mieszanek mineralno-asfaltowych.</w:t>
      </w:r>
      <w:r w:rsidR="00C562CD">
        <w:rPr>
          <w:rFonts w:eastAsia="Times New Roman" w:cstheme="minorHAnsi"/>
          <w:color w:val="000000"/>
          <w:sz w:val="20"/>
          <w:szCs w:val="20"/>
          <w:lang w:eastAsia="pl-PL"/>
        </w:rPr>
        <w:t xml:space="preserve"> </w:t>
      </w:r>
      <w:r w:rsidR="00C562CD" w:rsidRPr="004853EB">
        <w:rPr>
          <w:rFonts w:eastAsia="Times New Roman" w:cstheme="minorHAnsi"/>
          <w:color w:val="000000"/>
          <w:sz w:val="20"/>
          <w:szCs w:val="20"/>
          <w:lang w:eastAsia="pl-PL"/>
        </w:rPr>
        <w:t>Wytwórnia powinna</w:t>
      </w:r>
      <w:r w:rsidRPr="004853EB">
        <w:rPr>
          <w:rFonts w:eastAsia="Times New Roman" w:cstheme="minorHAnsi"/>
          <w:color w:val="000000"/>
          <w:sz w:val="20"/>
          <w:szCs w:val="20"/>
          <w:lang w:eastAsia="pl-PL"/>
        </w:rPr>
        <w:t xml:space="preserve"> zapewnić wysuszenie </w:t>
      </w:r>
      <w:r w:rsidR="00C562CD">
        <w:rPr>
          <w:rFonts w:eastAsia="Times New Roman" w:cstheme="minorHAnsi"/>
          <w:color w:val="000000"/>
          <w:sz w:val="20"/>
          <w:szCs w:val="20"/>
          <w:lang w:eastAsia="pl-PL"/>
        </w:rPr>
        <w:br/>
      </w:r>
      <w:r w:rsidRPr="004853EB">
        <w:rPr>
          <w:rFonts w:eastAsia="Times New Roman" w:cstheme="minorHAnsi"/>
          <w:color w:val="000000"/>
          <w:sz w:val="20"/>
          <w:szCs w:val="20"/>
          <w:lang w:eastAsia="pl-PL"/>
        </w:rPr>
        <w:t>i wymieszanie wszystkich składników oraz zachowanie właściwej temperatury składników i gotowej mieszanki mineralno-asfaltowej. Na wytwórni powinien funkcjonować certyfikowany system zakładowej kontroli produkcji zgodny z PN-EN 13108-21 [54]. Wytwórnia powinna być wyposażona w termometry (urządzenia pomiarowe) pozwalające na ciągłe monitorowanie temperatury poszczególnych materiałów, na różnych etapach przygotowywania materiałów, jak i na wyjściu z mieszalnika,</w:t>
      </w:r>
    </w:p>
    <w:p w14:paraId="2568B6B6" w14:textId="77777777" w:rsidR="00CC1EF4" w:rsidRPr="004853EB" w:rsidRDefault="00CC1EF4">
      <w:pPr>
        <w:numPr>
          <w:ilvl w:val="0"/>
          <w:numId w:val="120"/>
        </w:numPr>
        <w:overflowPunct w:val="0"/>
        <w:autoSpaceDE w:val="0"/>
        <w:autoSpaceDN w:val="0"/>
        <w:adjustRightInd w:val="0"/>
        <w:spacing w:after="0" w:line="240" w:lineRule="auto"/>
        <w:ind w:hanging="795"/>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układarka gąsienicowa, z elektronicznym sterowaniem równości układanej warstwy,</w:t>
      </w:r>
    </w:p>
    <w:p w14:paraId="3D363A36" w14:textId="77777777" w:rsidR="00CC1EF4" w:rsidRPr="004853EB" w:rsidRDefault="00CC1EF4">
      <w:pPr>
        <w:numPr>
          <w:ilvl w:val="0"/>
          <w:numId w:val="120"/>
        </w:numPr>
        <w:overflowPunct w:val="0"/>
        <w:autoSpaceDE w:val="0"/>
        <w:autoSpaceDN w:val="0"/>
        <w:adjustRightInd w:val="0"/>
        <w:spacing w:after="0" w:line="240" w:lineRule="auto"/>
        <w:ind w:hanging="795"/>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skrapiarka,</w:t>
      </w:r>
    </w:p>
    <w:p w14:paraId="6463F824" w14:textId="77777777" w:rsidR="00CC1EF4" w:rsidRPr="004853EB" w:rsidRDefault="00CC1EF4">
      <w:pPr>
        <w:numPr>
          <w:ilvl w:val="0"/>
          <w:numId w:val="120"/>
        </w:numPr>
        <w:overflowPunct w:val="0"/>
        <w:autoSpaceDE w:val="0"/>
        <w:autoSpaceDN w:val="0"/>
        <w:adjustRightInd w:val="0"/>
        <w:spacing w:after="0" w:line="240" w:lineRule="auto"/>
        <w:ind w:hanging="795"/>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walce stalowe gładkie, </w:t>
      </w:r>
    </w:p>
    <w:p w14:paraId="6A3364B4" w14:textId="77777777" w:rsidR="00CC1EF4" w:rsidRPr="004853EB" w:rsidRDefault="00CC1EF4">
      <w:pPr>
        <w:numPr>
          <w:ilvl w:val="0"/>
          <w:numId w:val="120"/>
        </w:numPr>
        <w:overflowPunct w:val="0"/>
        <w:autoSpaceDE w:val="0"/>
        <w:autoSpaceDN w:val="0"/>
        <w:adjustRightInd w:val="0"/>
        <w:spacing w:after="0" w:line="240" w:lineRule="auto"/>
        <w:ind w:hanging="795"/>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lekka rozsypywarka kruszywa,</w:t>
      </w:r>
    </w:p>
    <w:p w14:paraId="50AB2F3F" w14:textId="77777777" w:rsidR="00CC1EF4" w:rsidRPr="004853EB" w:rsidRDefault="00CC1EF4">
      <w:pPr>
        <w:numPr>
          <w:ilvl w:val="0"/>
          <w:numId w:val="120"/>
        </w:numPr>
        <w:overflowPunct w:val="0"/>
        <w:autoSpaceDE w:val="0"/>
        <w:autoSpaceDN w:val="0"/>
        <w:adjustRightInd w:val="0"/>
        <w:spacing w:after="0" w:line="240" w:lineRule="auto"/>
        <w:ind w:hanging="795"/>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szczotki mechaniczne i/lub inne urządzenia czyszczące,</w:t>
      </w:r>
    </w:p>
    <w:p w14:paraId="52406644" w14:textId="77777777" w:rsidR="00CC1EF4" w:rsidRPr="004853EB" w:rsidRDefault="00CC1EF4">
      <w:pPr>
        <w:numPr>
          <w:ilvl w:val="0"/>
          <w:numId w:val="120"/>
        </w:numPr>
        <w:overflowPunct w:val="0"/>
        <w:autoSpaceDE w:val="0"/>
        <w:autoSpaceDN w:val="0"/>
        <w:adjustRightInd w:val="0"/>
        <w:spacing w:after="0" w:line="240" w:lineRule="auto"/>
        <w:ind w:hanging="795"/>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samochody samowyładowcze z przykryciem brezentowym lub termosami,</w:t>
      </w:r>
    </w:p>
    <w:p w14:paraId="0BA02B81" w14:textId="77777777" w:rsidR="00CC1EF4" w:rsidRPr="004853EB" w:rsidRDefault="00CC1EF4">
      <w:pPr>
        <w:numPr>
          <w:ilvl w:val="0"/>
          <w:numId w:val="120"/>
        </w:numPr>
        <w:overflowPunct w:val="0"/>
        <w:autoSpaceDE w:val="0"/>
        <w:autoSpaceDN w:val="0"/>
        <w:adjustRightInd w:val="0"/>
        <w:spacing w:after="0" w:line="240" w:lineRule="auto"/>
        <w:ind w:hanging="795"/>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sprzęt drobny.</w:t>
      </w:r>
    </w:p>
    <w:p w14:paraId="1AB19D73"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449" w:name="_Toc412707321"/>
    </w:p>
    <w:p w14:paraId="2AF2175A"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450" w:name="_Toc68686952"/>
      <w:bookmarkStart w:id="3451" w:name="_Toc68690550"/>
      <w:bookmarkStart w:id="3452" w:name="_Toc97034627"/>
      <w:bookmarkStart w:id="3453" w:name="_Toc97035315"/>
      <w:bookmarkStart w:id="3454" w:name="_Toc194477018"/>
      <w:bookmarkStart w:id="3455" w:name="_Toc227825500"/>
      <w:r w:rsidRPr="004853EB">
        <w:rPr>
          <w:rFonts w:eastAsia="Times New Roman" w:cstheme="minorHAnsi"/>
          <w:b/>
          <w:bCs/>
          <w:color w:val="000000"/>
          <w:sz w:val="20"/>
          <w:szCs w:val="20"/>
          <w:lang w:eastAsia="pl-PL"/>
        </w:rPr>
        <w:t>4. T</w:t>
      </w:r>
      <w:bookmarkEnd w:id="3449"/>
      <w:r w:rsidRPr="004853EB">
        <w:rPr>
          <w:rFonts w:eastAsia="Times New Roman" w:cstheme="minorHAnsi"/>
          <w:b/>
          <w:bCs/>
          <w:color w:val="000000"/>
          <w:sz w:val="20"/>
          <w:szCs w:val="20"/>
          <w:lang w:eastAsia="pl-PL"/>
        </w:rPr>
        <w:t>RANSPORT</w:t>
      </w:r>
      <w:bookmarkEnd w:id="3450"/>
      <w:bookmarkEnd w:id="3451"/>
      <w:bookmarkEnd w:id="3452"/>
      <w:bookmarkEnd w:id="3453"/>
      <w:bookmarkEnd w:id="3454"/>
      <w:bookmarkEnd w:id="3455"/>
    </w:p>
    <w:p w14:paraId="2476919E"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p>
    <w:p w14:paraId="73BD1D88"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456" w:name="_Toc97034628"/>
      <w:bookmarkStart w:id="3457" w:name="_Toc97035316"/>
      <w:bookmarkStart w:id="3458" w:name="_Toc194477019"/>
      <w:bookmarkStart w:id="3459" w:name="_Toc227825501"/>
      <w:r w:rsidRPr="004853EB">
        <w:rPr>
          <w:rFonts w:eastAsia="Times New Roman" w:cstheme="minorHAnsi"/>
          <w:b/>
          <w:bCs/>
          <w:color w:val="000000"/>
          <w:sz w:val="20"/>
          <w:szCs w:val="20"/>
          <w:lang w:eastAsia="pl-PL"/>
        </w:rPr>
        <w:t>4.1. Ogólne wymagania dotyczące transportu</w:t>
      </w:r>
      <w:bookmarkEnd w:id="3456"/>
      <w:bookmarkEnd w:id="3457"/>
      <w:bookmarkEnd w:id="3458"/>
      <w:bookmarkEnd w:id="3459"/>
    </w:p>
    <w:p w14:paraId="3922E105" w14:textId="77777777" w:rsidR="00CC1EF4" w:rsidRPr="004853EB" w:rsidRDefault="00CC1EF4" w:rsidP="00CC1EF4">
      <w:pPr>
        <w:numPr>
          <w:ilvl w:val="12"/>
          <w:numId w:val="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Ogólne wymagania dotyczące transportu podano w ST D-M-00.00.00 „Wymagania ogólne” [1] pkt 4.</w:t>
      </w:r>
      <w:r w:rsidRPr="004853EB">
        <w:rPr>
          <w:rFonts w:eastAsia="Times New Roman" w:cstheme="minorHAnsi"/>
          <w:color w:val="000000"/>
          <w:sz w:val="20"/>
          <w:szCs w:val="20"/>
          <w:lang w:eastAsia="pl-PL"/>
        </w:rPr>
        <w:tab/>
      </w:r>
    </w:p>
    <w:p w14:paraId="0A1F44FA"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460" w:name="_Toc97034629"/>
      <w:bookmarkStart w:id="3461" w:name="_Toc97035317"/>
      <w:bookmarkStart w:id="3462" w:name="_Toc194477020"/>
      <w:bookmarkStart w:id="3463" w:name="_Toc227825502"/>
      <w:r w:rsidRPr="004853EB">
        <w:rPr>
          <w:rFonts w:eastAsia="Times New Roman" w:cstheme="minorHAnsi"/>
          <w:b/>
          <w:bCs/>
          <w:color w:val="000000"/>
          <w:sz w:val="20"/>
          <w:szCs w:val="20"/>
          <w:lang w:eastAsia="pl-PL"/>
        </w:rPr>
        <w:lastRenderedPageBreak/>
        <w:t>4.2. Transport materiałów</w:t>
      </w:r>
      <w:bookmarkEnd w:id="3460"/>
      <w:bookmarkEnd w:id="3461"/>
      <w:bookmarkEnd w:id="3462"/>
      <w:bookmarkEnd w:id="3463"/>
      <w:r w:rsidRPr="004853EB">
        <w:rPr>
          <w:rFonts w:eastAsia="Times New Roman" w:cstheme="minorHAnsi"/>
          <w:b/>
          <w:bCs/>
          <w:color w:val="000000"/>
          <w:sz w:val="20"/>
          <w:szCs w:val="20"/>
          <w:lang w:eastAsia="pl-PL"/>
        </w:rPr>
        <w:t xml:space="preserve"> </w:t>
      </w:r>
    </w:p>
    <w:p w14:paraId="6CA5DB3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Asfalt należy przewozić zgodnie z zasadami wynikającymi z ustawy o przewozie drogowym towarów niebezpiecznych [73], wprowadzającej przepisy konwencji ADR, w cysternach kolejowych lub samochodach izolowanych i zaopatrzonych w urządzenia umożliwiające pośrednie ogrzewanie oraz w zawory spustowe.</w:t>
      </w:r>
    </w:p>
    <w:p w14:paraId="31D80096"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Kruszywa można przewozić dowolnymi środkami transportu, w warunkach zabezpieczających je przed zanieczyszczeniem, zmieszaniem z innymi materiałami i nadmiernym zawilgoceniem. </w:t>
      </w:r>
    </w:p>
    <w:p w14:paraId="469B3D1A"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Wypełniacz należy przewozić w sposób chroniący go przed zawilgoceniem, zbryleniem </w:t>
      </w:r>
      <w:r w:rsidRPr="004853EB">
        <w:rPr>
          <w:rFonts w:eastAsia="Times New Roman" w:cstheme="minorHAnsi"/>
          <w:color w:val="000000"/>
          <w:sz w:val="20"/>
          <w:szCs w:val="20"/>
          <w:lang w:eastAsia="pl-PL"/>
        </w:rPr>
        <w:br/>
        <w:t>i zanieczyszczeniem. Wypełniacz luzem powinien być przewożony w odpowiednich cysternach przystosowanych do przewozu materiałów sypkich, umożliwiających rozładunek pneumatyczny.</w:t>
      </w:r>
    </w:p>
    <w:p w14:paraId="4C83FAA4"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Środek adhezyjny, w opakowaniu producenta, może być przewożony dowolnymi środkami transportu </w:t>
      </w:r>
      <w:r w:rsidRPr="004853EB">
        <w:rPr>
          <w:rFonts w:eastAsia="Times New Roman" w:cstheme="minorHAnsi"/>
          <w:color w:val="000000"/>
          <w:sz w:val="20"/>
          <w:szCs w:val="20"/>
          <w:lang w:eastAsia="pl-PL"/>
        </w:rPr>
        <w:br/>
        <w:t xml:space="preserve">z uwzględnieniem zaleceń producenta. Opakowanie powinno być zabezpieczone tak, aby nie uległo uszkodzeniu. </w:t>
      </w:r>
    </w:p>
    <w:p w14:paraId="7E334A81" w14:textId="0AEBC43E"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Emulsja asfaltowa może być transportowana w zamkniętych cysternach, autocysternach, beczkach </w:t>
      </w:r>
      <w:r w:rsidR="00C562CD">
        <w:rPr>
          <w:rFonts w:eastAsia="Times New Roman" w:cstheme="minorHAnsi"/>
          <w:color w:val="000000"/>
          <w:sz w:val="20"/>
          <w:szCs w:val="20"/>
          <w:lang w:eastAsia="pl-PL"/>
        </w:rPr>
        <w:br/>
      </w:r>
      <w:r w:rsidRPr="004853EB">
        <w:rPr>
          <w:rFonts w:eastAsia="Times New Roman" w:cstheme="minorHAnsi"/>
          <w:color w:val="000000"/>
          <w:sz w:val="20"/>
          <w:szCs w:val="20"/>
          <w:lang w:eastAsia="pl-PL"/>
        </w:rPr>
        <w:t>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10BE2A68" w14:textId="5F2F409C"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Mieszankę mineralno-asfaltową </w:t>
      </w:r>
      <w:r w:rsidR="00C562CD" w:rsidRPr="004853EB">
        <w:rPr>
          <w:rFonts w:eastAsia="Times New Roman" w:cstheme="minorHAnsi"/>
          <w:color w:val="000000"/>
          <w:sz w:val="20"/>
          <w:szCs w:val="20"/>
          <w:lang w:eastAsia="pl-PL"/>
        </w:rPr>
        <w:t>należy dowozić</w:t>
      </w:r>
      <w:r w:rsidRPr="004853EB">
        <w:rPr>
          <w:rFonts w:eastAsia="Times New Roman" w:cstheme="minorHAnsi"/>
          <w:color w:val="000000"/>
          <w:sz w:val="20"/>
          <w:szCs w:val="20"/>
          <w:lang w:eastAsia="pl-PL"/>
        </w:rPr>
        <w:t xml:space="preserve"> na budowę pojazdami samowyładowczymi </w:t>
      </w:r>
      <w:r w:rsidR="00C562CD">
        <w:rPr>
          <w:rFonts w:eastAsia="Times New Roman" w:cstheme="minorHAnsi"/>
          <w:color w:val="000000"/>
          <w:sz w:val="20"/>
          <w:szCs w:val="20"/>
          <w:lang w:eastAsia="pl-PL"/>
        </w:rPr>
        <w:br/>
      </w:r>
      <w:r w:rsidRPr="004853EB">
        <w:rPr>
          <w:rFonts w:eastAsia="Times New Roman" w:cstheme="minorHAnsi"/>
          <w:color w:val="000000"/>
          <w:sz w:val="20"/>
          <w:szCs w:val="20"/>
          <w:lang w:eastAsia="pl-PL"/>
        </w:rPr>
        <w:t>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14:paraId="6A6D8EDA"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464" w:name="_Toc412707322"/>
    </w:p>
    <w:p w14:paraId="080E2E72"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465" w:name="_Toc68686953"/>
      <w:bookmarkStart w:id="3466" w:name="_Toc68690551"/>
      <w:bookmarkStart w:id="3467" w:name="_Toc97034630"/>
      <w:bookmarkStart w:id="3468" w:name="_Toc97035318"/>
      <w:bookmarkStart w:id="3469" w:name="_Toc194477021"/>
      <w:bookmarkStart w:id="3470" w:name="_Toc227825503"/>
      <w:r w:rsidRPr="004853EB">
        <w:rPr>
          <w:rFonts w:eastAsia="Times New Roman" w:cstheme="minorHAnsi"/>
          <w:b/>
          <w:bCs/>
          <w:color w:val="000000"/>
          <w:sz w:val="20"/>
          <w:szCs w:val="20"/>
          <w:lang w:eastAsia="pl-PL"/>
        </w:rPr>
        <w:t>5. WYONANIE ROBÓT</w:t>
      </w:r>
      <w:bookmarkEnd w:id="3464"/>
      <w:bookmarkEnd w:id="3465"/>
      <w:bookmarkEnd w:id="3466"/>
      <w:bookmarkEnd w:id="3467"/>
      <w:bookmarkEnd w:id="3468"/>
      <w:bookmarkEnd w:id="3469"/>
      <w:bookmarkEnd w:id="3470"/>
    </w:p>
    <w:p w14:paraId="23187873"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p>
    <w:p w14:paraId="7CD18D9E"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471" w:name="_Toc97034631"/>
      <w:bookmarkStart w:id="3472" w:name="_Toc97035319"/>
      <w:bookmarkStart w:id="3473" w:name="_Toc194477022"/>
      <w:bookmarkStart w:id="3474" w:name="_Toc227825504"/>
      <w:r w:rsidRPr="004853EB">
        <w:rPr>
          <w:rFonts w:eastAsia="Times New Roman" w:cstheme="minorHAnsi"/>
          <w:b/>
          <w:bCs/>
          <w:color w:val="000000"/>
          <w:sz w:val="20"/>
          <w:szCs w:val="20"/>
          <w:lang w:eastAsia="pl-PL"/>
        </w:rPr>
        <w:t>5.1. Ogólne zasady wykonania robót</w:t>
      </w:r>
      <w:bookmarkEnd w:id="3471"/>
      <w:bookmarkEnd w:id="3472"/>
      <w:bookmarkEnd w:id="3473"/>
      <w:bookmarkEnd w:id="3474"/>
    </w:p>
    <w:p w14:paraId="0E32EF4C" w14:textId="77777777" w:rsidR="00CC1EF4" w:rsidRPr="004853EB" w:rsidRDefault="00CC1EF4" w:rsidP="00CC1EF4">
      <w:pPr>
        <w:numPr>
          <w:ilvl w:val="12"/>
          <w:numId w:val="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Ogólne zasady wykonania robót podano w ST D-M-00.00.00 „Wymagania ogólne” [1] pkt 5.</w:t>
      </w:r>
    </w:p>
    <w:p w14:paraId="5312E4B0"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16DC28FA"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475" w:name="_Toc97034632"/>
      <w:bookmarkStart w:id="3476" w:name="_Toc97035320"/>
      <w:bookmarkStart w:id="3477" w:name="_Toc194477023"/>
      <w:bookmarkStart w:id="3478" w:name="_Toc227825505"/>
      <w:r w:rsidRPr="004853EB">
        <w:rPr>
          <w:rFonts w:eastAsia="Times New Roman" w:cstheme="minorHAnsi"/>
          <w:b/>
          <w:bCs/>
          <w:color w:val="000000"/>
          <w:sz w:val="20"/>
          <w:szCs w:val="20"/>
          <w:lang w:eastAsia="pl-PL"/>
        </w:rPr>
        <w:t>5.2. Projektowanie mieszanki mineralno-asfaltowej</w:t>
      </w:r>
      <w:bookmarkEnd w:id="3475"/>
      <w:bookmarkEnd w:id="3476"/>
      <w:bookmarkEnd w:id="3477"/>
      <w:bookmarkEnd w:id="3478"/>
    </w:p>
    <w:p w14:paraId="171CCE06" w14:textId="77777777" w:rsidR="00CC1EF4" w:rsidRPr="004853EB" w:rsidRDefault="00CC1EF4" w:rsidP="00CC1EF4">
      <w:pPr>
        <w:widowControl w:val="0"/>
        <w:spacing w:after="0" w:line="240" w:lineRule="auto"/>
        <w:ind w:right="-5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Przed przystąpieniem do robót Wykonawca dostarczy Inżynierowi do akceptacji projekt składu mieszanki mineralno-asfaltowej (AC16W, AC22W), wyniki badań laboratoryjnych oraz próbki materiałów pobrane </w:t>
      </w:r>
      <w:r w:rsidRPr="004853EB">
        <w:rPr>
          <w:rFonts w:eastAsia="Times New Roman" w:cstheme="minorHAnsi"/>
          <w:color w:val="000000"/>
          <w:sz w:val="20"/>
          <w:szCs w:val="20"/>
          <w:lang w:eastAsia="pl-PL"/>
        </w:rPr>
        <w:br/>
        <w:t>w obecności Inżyniera do wykonania badań kontrolnych przez Zamawiającego.</w:t>
      </w:r>
    </w:p>
    <w:p w14:paraId="47186F6E" w14:textId="77777777" w:rsidR="00CC1EF4" w:rsidRPr="004853EB" w:rsidRDefault="00CC1EF4" w:rsidP="00CC1EF4">
      <w:pPr>
        <w:widowControl w:val="0"/>
        <w:spacing w:after="0" w:line="240" w:lineRule="auto"/>
        <w:ind w:right="-59"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Projekt mieszanki mineralno-asfaltowej powinien określać: </w:t>
      </w:r>
    </w:p>
    <w:p w14:paraId="0F77B218" w14:textId="77777777" w:rsidR="00CC1EF4" w:rsidRPr="004853EB" w:rsidRDefault="00CC1EF4">
      <w:pPr>
        <w:widowControl w:val="0"/>
        <w:numPr>
          <w:ilvl w:val="0"/>
          <w:numId w:val="92"/>
        </w:numPr>
        <w:spacing w:after="0" w:line="240" w:lineRule="auto"/>
        <w:ind w:right="-5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źródło wszystkich zastosowanych materiałów,</w:t>
      </w:r>
    </w:p>
    <w:p w14:paraId="7DF8021B" w14:textId="77777777" w:rsidR="00CC1EF4" w:rsidRPr="004853EB" w:rsidRDefault="00CC1EF4">
      <w:pPr>
        <w:widowControl w:val="0"/>
        <w:numPr>
          <w:ilvl w:val="0"/>
          <w:numId w:val="92"/>
        </w:numPr>
        <w:spacing w:after="0" w:line="240" w:lineRule="auto"/>
        <w:ind w:right="-5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proporcje wszystkich składników mieszanki mineralnej,</w:t>
      </w:r>
    </w:p>
    <w:p w14:paraId="2E75B946" w14:textId="77777777" w:rsidR="00CC1EF4" w:rsidRPr="004853EB" w:rsidRDefault="00CC1EF4">
      <w:pPr>
        <w:widowControl w:val="0"/>
        <w:numPr>
          <w:ilvl w:val="0"/>
          <w:numId w:val="92"/>
        </w:numPr>
        <w:spacing w:after="0" w:line="240" w:lineRule="auto"/>
        <w:ind w:right="-5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punkty graniczne uziarnienia,</w:t>
      </w:r>
    </w:p>
    <w:p w14:paraId="755188D2" w14:textId="77777777" w:rsidR="00CC1EF4" w:rsidRPr="004853EB" w:rsidRDefault="00CC1EF4">
      <w:pPr>
        <w:widowControl w:val="0"/>
        <w:numPr>
          <w:ilvl w:val="0"/>
          <w:numId w:val="92"/>
        </w:numPr>
        <w:spacing w:after="0" w:line="240" w:lineRule="auto"/>
        <w:ind w:right="-5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wyniki badań przeprowadzonych w celu określenia właściwości mieszanki i porównanie ich z wymaganiami specyfikacji,</w:t>
      </w:r>
    </w:p>
    <w:p w14:paraId="53FACAB0" w14:textId="77777777" w:rsidR="00CC1EF4" w:rsidRPr="004853EB" w:rsidRDefault="00CC1EF4">
      <w:pPr>
        <w:widowControl w:val="0"/>
        <w:numPr>
          <w:ilvl w:val="0"/>
          <w:numId w:val="92"/>
        </w:numPr>
        <w:spacing w:after="0" w:line="240" w:lineRule="auto"/>
        <w:ind w:right="-5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wyniki badań dotyczących fizycznych właściwości kruszywa, </w:t>
      </w:r>
    </w:p>
    <w:p w14:paraId="573E9914" w14:textId="77777777" w:rsidR="00CC1EF4" w:rsidRPr="004853EB" w:rsidRDefault="00CC1EF4">
      <w:pPr>
        <w:widowControl w:val="0"/>
        <w:numPr>
          <w:ilvl w:val="0"/>
          <w:numId w:val="92"/>
        </w:numPr>
        <w:spacing w:after="0" w:line="240" w:lineRule="auto"/>
        <w:ind w:right="-5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temperaturę wytwarzania i układania mieszanki. </w:t>
      </w:r>
    </w:p>
    <w:p w14:paraId="178377A0" w14:textId="77777777" w:rsidR="00CC1EF4" w:rsidRPr="004853EB" w:rsidRDefault="00CC1EF4" w:rsidP="00CC1EF4">
      <w:pPr>
        <w:shd w:val="clear" w:color="auto" w:fill="FFFFFF"/>
        <w:spacing w:after="0" w:line="240" w:lineRule="auto"/>
        <w:ind w:right="2" w:firstLine="709"/>
        <w:jc w:val="both"/>
        <w:rPr>
          <w:rFonts w:eastAsia="Times New Roman" w:cstheme="minorHAnsi"/>
          <w:color w:val="000000"/>
          <w:spacing w:val="1"/>
          <w:sz w:val="20"/>
          <w:szCs w:val="20"/>
          <w:lang w:eastAsia="pl-PL"/>
        </w:rPr>
      </w:pPr>
      <w:r w:rsidRPr="004853EB">
        <w:rPr>
          <w:rFonts w:eastAsia="Times New Roman" w:cstheme="minorHAnsi"/>
          <w:color w:val="000000"/>
          <w:spacing w:val="1"/>
          <w:sz w:val="20"/>
          <w:szCs w:val="20"/>
          <w:lang w:eastAsia="pl-PL"/>
        </w:rPr>
        <w:t xml:space="preserve">W zagęszczaniu próbek laboratoryjnych mieszanek mineralno-asfaltowych należy stosować następujące temperatury mieszanki w zależności stosowanego asfaltu: </w:t>
      </w:r>
    </w:p>
    <w:p w14:paraId="2990E30F" w14:textId="77777777" w:rsidR="00CC1EF4" w:rsidRPr="004853EB" w:rsidRDefault="00CC1EF4">
      <w:pPr>
        <w:numPr>
          <w:ilvl w:val="0"/>
          <w:numId w:val="93"/>
        </w:numPr>
        <w:shd w:val="clear" w:color="auto" w:fill="FFFFFF"/>
        <w:overflowPunct w:val="0"/>
        <w:autoSpaceDE w:val="0"/>
        <w:autoSpaceDN w:val="0"/>
        <w:adjustRightInd w:val="0"/>
        <w:spacing w:after="0" w:line="240" w:lineRule="auto"/>
        <w:ind w:left="360" w:right="2" w:hanging="303"/>
        <w:jc w:val="both"/>
        <w:textAlignment w:val="baseline"/>
        <w:rPr>
          <w:rFonts w:eastAsia="Times New Roman" w:cstheme="minorHAnsi"/>
          <w:color w:val="000000"/>
          <w:spacing w:val="1"/>
          <w:sz w:val="20"/>
          <w:szCs w:val="20"/>
          <w:lang w:eastAsia="pl-PL"/>
        </w:rPr>
      </w:pPr>
      <w:r w:rsidRPr="004853EB">
        <w:rPr>
          <w:rFonts w:eastAsia="Times New Roman" w:cstheme="minorHAnsi"/>
          <w:color w:val="000000"/>
          <w:spacing w:val="1"/>
          <w:sz w:val="20"/>
          <w:szCs w:val="20"/>
          <w:lang w:eastAsia="pl-PL"/>
        </w:rPr>
        <w:t>35/50 i 50/70: 135°C±5°C,</w:t>
      </w:r>
    </w:p>
    <w:p w14:paraId="36637730" w14:textId="77777777" w:rsidR="00CC1EF4" w:rsidRPr="004853EB" w:rsidRDefault="00CC1EF4" w:rsidP="00CC1EF4">
      <w:pPr>
        <w:shd w:val="clear" w:color="auto" w:fill="FFFFFF"/>
        <w:spacing w:after="0" w:line="240" w:lineRule="auto"/>
        <w:ind w:right="2" w:firstLine="709"/>
        <w:jc w:val="both"/>
        <w:rPr>
          <w:rFonts w:eastAsia="Times New Roman" w:cstheme="minorHAnsi"/>
          <w:color w:val="000000"/>
          <w:spacing w:val="2"/>
          <w:sz w:val="20"/>
          <w:szCs w:val="20"/>
          <w:lang w:eastAsia="pl-PL"/>
        </w:rPr>
      </w:pPr>
      <w:r w:rsidRPr="004853EB">
        <w:rPr>
          <w:rFonts w:eastAsia="Times New Roman" w:cstheme="minorHAnsi"/>
          <w:color w:val="000000"/>
          <w:spacing w:val="1"/>
          <w:sz w:val="20"/>
          <w:szCs w:val="20"/>
          <w:lang w:eastAsia="pl-PL"/>
        </w:rPr>
        <w:t xml:space="preserve">Recepta powinna być zaprojektowana dla konkretnych materiałów, zaakceptowanych przez Inżyniera, do wbudowania i przy wykorzystaniu reprezentatywnych próbek tych materiałów.  </w:t>
      </w:r>
    </w:p>
    <w:p w14:paraId="20E043E2" w14:textId="77777777" w:rsidR="00CC1EF4" w:rsidRPr="004853EB" w:rsidRDefault="00CC1EF4" w:rsidP="00CC1EF4">
      <w:pPr>
        <w:shd w:val="clear" w:color="auto" w:fill="FFFFFF"/>
        <w:spacing w:after="0" w:line="240" w:lineRule="auto"/>
        <w:ind w:right="2" w:firstLine="709"/>
        <w:jc w:val="both"/>
        <w:rPr>
          <w:rFonts w:eastAsia="Times New Roman" w:cstheme="minorHAnsi"/>
          <w:color w:val="000000"/>
          <w:spacing w:val="2"/>
          <w:sz w:val="20"/>
          <w:szCs w:val="20"/>
          <w:lang w:eastAsia="pl-PL"/>
        </w:rPr>
      </w:pPr>
      <w:r w:rsidRPr="004853EB">
        <w:rPr>
          <w:rFonts w:eastAsia="Times New Roman" w:cstheme="minorHAnsi"/>
          <w:color w:val="000000"/>
          <w:spacing w:val="2"/>
          <w:sz w:val="20"/>
          <w:szCs w:val="20"/>
          <w:lang w:eastAsia="pl-PL"/>
        </w:rPr>
        <w:t xml:space="preserve">Jeżeli mieszanka mineralno-asfaltowa jest dostarczana z kilku wytwórni lub od kilku producentów, </w:t>
      </w:r>
      <w:r w:rsidRPr="004853EB">
        <w:rPr>
          <w:rFonts w:eastAsia="Times New Roman" w:cstheme="minorHAnsi"/>
          <w:color w:val="000000"/>
          <w:spacing w:val="2"/>
          <w:sz w:val="20"/>
          <w:szCs w:val="20"/>
          <w:lang w:eastAsia="pl-PL"/>
        </w:rPr>
        <w:br/>
        <w:t>to należy zapewnić zgodność typu i wymiaru mieszanki oraz spełnienie wymaganej dokumentacji projektowej.</w:t>
      </w:r>
    </w:p>
    <w:p w14:paraId="5698E79A" w14:textId="77777777" w:rsidR="00CC1EF4" w:rsidRPr="004853EB" w:rsidRDefault="00CC1EF4" w:rsidP="00CC1EF4">
      <w:pPr>
        <w:shd w:val="clear" w:color="auto" w:fill="FFFFFF"/>
        <w:spacing w:after="0" w:line="240" w:lineRule="auto"/>
        <w:ind w:right="2" w:firstLine="709"/>
        <w:jc w:val="both"/>
        <w:rPr>
          <w:rFonts w:eastAsia="Times New Roman" w:cstheme="minorHAnsi"/>
          <w:color w:val="000000"/>
          <w:spacing w:val="1"/>
          <w:sz w:val="20"/>
          <w:szCs w:val="20"/>
          <w:lang w:eastAsia="pl-PL"/>
        </w:rPr>
      </w:pPr>
      <w:r w:rsidRPr="004853EB">
        <w:rPr>
          <w:rFonts w:eastAsia="Times New Roman" w:cstheme="minorHAnsi"/>
          <w:color w:val="000000"/>
          <w:spacing w:val="2"/>
          <w:sz w:val="20"/>
          <w:szCs w:val="20"/>
          <w:lang w:eastAsia="pl-PL"/>
        </w:rPr>
        <w:t xml:space="preserve">Każda zmiana składników mieszanki w czasie trwania robót wymaga akceptacji Inżyniera </w:t>
      </w:r>
      <w:r w:rsidRPr="004853EB">
        <w:rPr>
          <w:rFonts w:eastAsia="Times New Roman" w:cstheme="minorHAnsi"/>
          <w:color w:val="000000"/>
          <w:spacing w:val="1"/>
          <w:sz w:val="20"/>
          <w:szCs w:val="20"/>
          <w:lang w:eastAsia="pl-PL"/>
        </w:rPr>
        <w:t xml:space="preserve">oraz opracowania nowej recepty i jej zatwierdzenia.  </w:t>
      </w:r>
    </w:p>
    <w:p w14:paraId="42F9E91E"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14:paraId="08710C81" w14:textId="1985C528"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Akceptacja recepty przez Inżyniera może nastąpić na podstawie przedstawionych przez Wykonawcę badań typu i sprawozdania z próby technologicznej. W </w:t>
      </w:r>
      <w:r w:rsidR="00C562CD" w:rsidRPr="004853EB">
        <w:rPr>
          <w:rFonts w:eastAsia="Times New Roman" w:cstheme="minorHAnsi"/>
          <w:color w:val="000000"/>
          <w:sz w:val="20"/>
          <w:szCs w:val="20"/>
          <w:lang w:eastAsia="pl-PL"/>
        </w:rPr>
        <w:t>przypadku,</w:t>
      </w:r>
      <w:r w:rsidRPr="004853EB">
        <w:rPr>
          <w:rFonts w:eastAsia="Times New Roman" w:cstheme="minorHAnsi"/>
          <w:color w:val="000000"/>
          <w:sz w:val="20"/>
          <w:szCs w:val="20"/>
          <w:lang w:eastAsia="pl-PL"/>
        </w:rPr>
        <w:t xml:space="preserve"> kiedy Inżynier, w celu akceptacji recepty mieszanki mineralno-asfaltowej, zdecyduje się wykonać dodatkowo niezależne badania, Wykonawca dostarczy zgodnie z wymaganiami Inżyniera próbki wszystkich składników mieszanki.</w:t>
      </w:r>
    </w:p>
    <w:p w14:paraId="73F953DA"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Zaakceptowana recepta stanowi ważną podstawę produkcji.</w:t>
      </w:r>
    </w:p>
    <w:p w14:paraId="3F12CBBB"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4F1E9063"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479" w:name="_Toc97034633"/>
      <w:bookmarkStart w:id="3480" w:name="_Toc97035321"/>
      <w:bookmarkStart w:id="3481" w:name="_Toc194477024"/>
      <w:bookmarkStart w:id="3482" w:name="_Toc227825506"/>
      <w:r w:rsidRPr="004853EB">
        <w:rPr>
          <w:rFonts w:eastAsia="Times New Roman" w:cstheme="minorHAnsi"/>
          <w:b/>
          <w:bCs/>
          <w:color w:val="000000"/>
          <w:sz w:val="20"/>
          <w:szCs w:val="20"/>
          <w:lang w:eastAsia="pl-PL"/>
        </w:rPr>
        <w:t>5.3. Wytwarzanie mieszanki mineralno-asfaltowej</w:t>
      </w:r>
      <w:bookmarkEnd w:id="3479"/>
      <w:bookmarkEnd w:id="3480"/>
      <w:bookmarkEnd w:id="3481"/>
      <w:bookmarkEnd w:id="3482"/>
    </w:p>
    <w:p w14:paraId="6295FC6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w:t>
      </w:r>
      <w:r w:rsidRPr="004853EB">
        <w:rPr>
          <w:rFonts w:eastAsia="Times New Roman" w:cstheme="minorHAnsi"/>
          <w:color w:val="000000"/>
          <w:sz w:val="20"/>
          <w:szCs w:val="20"/>
          <w:lang w:eastAsia="pl-PL"/>
        </w:rPr>
        <w:noBreakHyphen/>
        <w:t xml:space="preserve">EN 13108-21 [54]. </w:t>
      </w:r>
    </w:p>
    <w:p w14:paraId="2F01F95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79C6DE8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Lepiszcze asfaltowe należy przechowywać w zbiorniku z pośrednim systemem ogrzewania, z układem termostatowania zapewniającym utrzymanie żądanej temperatury z dokładnością ± 5°C. Temperatura lepiszcza asfaltowego w zbiorniku magazynowym (roboczym) nie może przekraczać wartości podanych w pkcie 2.2.</w:t>
      </w:r>
      <w:r w:rsidRPr="004853EB">
        <w:rPr>
          <w:rFonts w:eastAsia="Times New Roman" w:cstheme="minorHAnsi"/>
          <w:color w:val="000000"/>
          <w:sz w:val="20"/>
          <w:szCs w:val="20"/>
          <w:lang w:eastAsia="pl-PL"/>
        </w:rPr>
        <w:tab/>
      </w:r>
    </w:p>
    <w:p w14:paraId="5D54117F" w14:textId="77777777" w:rsidR="00CC1EF4" w:rsidRPr="004853EB" w:rsidRDefault="00CC1EF4" w:rsidP="00CC1EF4">
      <w:pPr>
        <w:spacing w:after="0" w:line="240" w:lineRule="auto"/>
        <w:ind w:firstLine="708"/>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Kruszywo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19. W tej tablicy najniższa temperatura dotyczy mieszanki mineralno-asfaltowej dostarczonej na miejsce wbudowania, a najwyższa temperatura dotyczy mieszanki mineralno-asfaltowej bezpośrednio po wytworzeniu w wytwórni.</w:t>
      </w:r>
    </w:p>
    <w:p w14:paraId="7D302C58"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Podana temperatura nie znajduje zastosowania do mieszanek mineralno-asfaltowych, do których jest dodawany dodatek w celu obniżenia temperatury jej wytwarzania i wbudowania lub gdy stosowane lepiszcze asfaltowe zawiera taki środek.</w:t>
      </w:r>
    </w:p>
    <w:p w14:paraId="3C222BCC"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p>
    <w:p w14:paraId="05F70675"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Tablica 19. Najwyższa i najniższa temperatura mieszanki AC [71]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3071"/>
      </w:tblGrid>
      <w:tr w:rsidR="00CC1EF4" w:rsidRPr="004853EB" w14:paraId="18F47E42" w14:textId="77777777" w:rsidTr="00E95D02">
        <w:tc>
          <w:tcPr>
            <w:tcW w:w="2875" w:type="dxa"/>
          </w:tcPr>
          <w:p w14:paraId="70BF65B5"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Lepiszcze asfaltowe</w:t>
            </w:r>
          </w:p>
        </w:tc>
        <w:tc>
          <w:tcPr>
            <w:tcW w:w="3071" w:type="dxa"/>
          </w:tcPr>
          <w:p w14:paraId="79ADBB39"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Temperatura mieszanki [°C]</w:t>
            </w:r>
          </w:p>
        </w:tc>
      </w:tr>
      <w:tr w:rsidR="00CC1EF4" w:rsidRPr="004853EB" w14:paraId="19BF0237" w14:textId="77777777" w:rsidTr="00E95D02">
        <w:tc>
          <w:tcPr>
            <w:tcW w:w="2875" w:type="dxa"/>
          </w:tcPr>
          <w:p w14:paraId="769C69E3" w14:textId="77777777" w:rsidR="00CC1EF4" w:rsidRPr="004853EB" w:rsidRDefault="00CC1EF4" w:rsidP="00CC1EF4">
            <w:pPr>
              <w:spacing w:before="6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Asfalt 35/50</w:t>
            </w:r>
          </w:p>
          <w:p w14:paraId="69972758" w14:textId="77777777" w:rsidR="00CC1EF4" w:rsidRPr="004853EB" w:rsidRDefault="00CC1EF4" w:rsidP="00CC1EF4">
            <w:pPr>
              <w:spacing w:before="6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Asfalt 50/70</w:t>
            </w:r>
          </w:p>
          <w:p w14:paraId="66CD3ACD" w14:textId="77777777" w:rsidR="00CC1EF4" w:rsidRPr="004853EB" w:rsidRDefault="00CC1EF4" w:rsidP="00CC1EF4">
            <w:pPr>
              <w:spacing w:before="60" w:after="0" w:line="240" w:lineRule="auto"/>
              <w:jc w:val="both"/>
              <w:rPr>
                <w:rFonts w:eastAsia="Times New Roman" w:cstheme="minorHAnsi"/>
                <w:color w:val="000000"/>
                <w:sz w:val="18"/>
                <w:szCs w:val="18"/>
                <w:lang w:eastAsia="pl-PL"/>
              </w:rPr>
            </w:pPr>
          </w:p>
        </w:tc>
        <w:tc>
          <w:tcPr>
            <w:tcW w:w="3071" w:type="dxa"/>
          </w:tcPr>
          <w:p w14:paraId="6A55B086" w14:textId="77777777" w:rsidR="00CC1EF4" w:rsidRPr="004853EB" w:rsidRDefault="00CC1EF4" w:rsidP="00CC1EF4">
            <w:pPr>
              <w:spacing w:before="6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 150 do 190</w:t>
            </w:r>
          </w:p>
          <w:p w14:paraId="7461EDA7" w14:textId="77777777" w:rsidR="00CC1EF4" w:rsidRPr="004853EB" w:rsidRDefault="00CC1EF4" w:rsidP="00CC1EF4">
            <w:pPr>
              <w:spacing w:before="6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 140 do 180</w:t>
            </w:r>
          </w:p>
          <w:p w14:paraId="6BE70BDD" w14:textId="77777777" w:rsidR="00CC1EF4" w:rsidRPr="004853EB" w:rsidRDefault="00CC1EF4" w:rsidP="00CC1EF4">
            <w:pPr>
              <w:spacing w:before="60" w:after="0" w:line="240" w:lineRule="auto"/>
              <w:jc w:val="both"/>
              <w:rPr>
                <w:rFonts w:eastAsia="Times New Roman" w:cstheme="minorHAnsi"/>
                <w:color w:val="000000"/>
                <w:sz w:val="18"/>
                <w:szCs w:val="18"/>
                <w:lang w:eastAsia="pl-PL"/>
              </w:rPr>
            </w:pPr>
          </w:p>
        </w:tc>
      </w:tr>
    </w:tbl>
    <w:p w14:paraId="4FC4C53B"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p>
    <w:p w14:paraId="4ACF4CB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Sposób i czas mieszania składników mieszanki mineralno-asfaltowej powinny zapewnić równomierne otoczenie kruszywa lepiszczem asfaltowym.</w:t>
      </w:r>
    </w:p>
    <w:p w14:paraId="0DBDD721" w14:textId="194BA9BB"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Dodatki modyfikujące lub stabilizujące do </w:t>
      </w:r>
      <w:r w:rsidR="00C562CD" w:rsidRPr="004853EB">
        <w:rPr>
          <w:rFonts w:eastAsia="Times New Roman" w:cstheme="minorHAnsi"/>
          <w:color w:val="000000"/>
          <w:sz w:val="20"/>
          <w:szCs w:val="20"/>
          <w:lang w:eastAsia="pl-PL"/>
        </w:rPr>
        <w:t>mieszanki mineralno</w:t>
      </w:r>
      <w:r w:rsidRPr="004853EB">
        <w:rPr>
          <w:rFonts w:eastAsia="Times New Roman" w:cstheme="minorHAnsi"/>
          <w:color w:val="000000"/>
          <w:sz w:val="20"/>
          <w:szCs w:val="20"/>
          <w:lang w:eastAsia="pl-PL"/>
        </w:rPr>
        <w:t xml:space="preserve">-asfaltowej mogą być dodawane </w:t>
      </w:r>
      <w:r w:rsidR="00C562CD">
        <w:rPr>
          <w:rFonts w:eastAsia="Times New Roman" w:cstheme="minorHAnsi"/>
          <w:color w:val="000000"/>
          <w:sz w:val="20"/>
          <w:szCs w:val="20"/>
          <w:lang w:eastAsia="pl-PL"/>
        </w:rPr>
        <w:br/>
      </w:r>
      <w:r w:rsidRPr="004853EB">
        <w:rPr>
          <w:rFonts w:eastAsia="Times New Roman" w:cstheme="minorHAnsi"/>
          <w:color w:val="000000"/>
          <w:sz w:val="20"/>
          <w:szCs w:val="20"/>
          <w:lang w:eastAsia="pl-PL"/>
        </w:rPr>
        <w:t xml:space="preserve">w postaci stałej lub ciekłej. System dozowania powinien zapewnić jednorodność dozowania dodatków i ich wymieszania </w:t>
      </w:r>
      <w:r w:rsidRPr="004853EB">
        <w:rPr>
          <w:rFonts w:eastAsia="Times New Roman" w:cstheme="minorHAnsi"/>
          <w:color w:val="000000"/>
          <w:sz w:val="20"/>
          <w:szCs w:val="20"/>
          <w:lang w:eastAsia="pl-PL"/>
        </w:rPr>
        <w:br/>
        <w:t xml:space="preserve">w wytwarzanej mieszance. Warunki wytwarzania i przechowywania mieszanki mineralno-asfaltowej na gorąco nie powinny istotnie wpływać na skuteczność działania tych dodatków. </w:t>
      </w:r>
    </w:p>
    <w:p w14:paraId="46F2C2A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Dopuszcza się dostawy mieszanek mineralno-asfaltowych z kilku wytwórni, pod warunkiem skoordynowania między sobą deklarowanych przydatności mieszanek (m.in.: typ, rodzaj składników, właściwości objętościowe) z zachowaniem braku różnic w ich właściwościach.</w:t>
      </w:r>
    </w:p>
    <w:p w14:paraId="6A21C326" w14:textId="700F62BC"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Produkcja powinna być tak zaplanowana, aby nie dopuścić do zbyt długiego przechowywania mieszanki </w:t>
      </w:r>
      <w:r w:rsidRPr="004853EB">
        <w:rPr>
          <w:rFonts w:eastAsia="Times New Roman" w:cstheme="minorHAnsi"/>
          <w:color w:val="000000"/>
          <w:sz w:val="20"/>
          <w:szCs w:val="20"/>
          <w:lang w:eastAsia="pl-PL"/>
        </w:rPr>
        <w:br/>
        <w:t xml:space="preserve">w silosach; należy wykluczyć możliwość szkodliwych zmian. Czas przechowywania – magazynowania </w:t>
      </w:r>
      <w:r w:rsidR="00C562CD" w:rsidRPr="004853EB">
        <w:rPr>
          <w:rFonts w:eastAsia="Times New Roman" w:cstheme="minorHAnsi"/>
          <w:color w:val="000000"/>
          <w:sz w:val="20"/>
          <w:szCs w:val="20"/>
          <w:lang w:eastAsia="pl-PL"/>
        </w:rPr>
        <w:t>mieszanki MMA</w:t>
      </w:r>
      <w:r w:rsidRPr="004853EB">
        <w:rPr>
          <w:rFonts w:eastAsia="Times New Roman" w:cstheme="minorHAnsi"/>
          <w:color w:val="000000"/>
          <w:sz w:val="20"/>
          <w:szCs w:val="20"/>
          <w:lang w:eastAsia="pl-PL"/>
        </w:rPr>
        <w:t xml:space="preserve"> powinien uwzględniać możliwości wytwórni (sposób podgrzewania silosów gotowej mieszanki MMA </w:t>
      </w:r>
      <w:r w:rsidRPr="004853EB">
        <w:rPr>
          <w:rFonts w:eastAsia="Times New Roman" w:cstheme="minorHAnsi"/>
          <w:color w:val="000000"/>
          <w:sz w:val="20"/>
          <w:szCs w:val="20"/>
          <w:lang w:eastAsia="pl-PL"/>
        </w:rPr>
        <w:br/>
        <w:t xml:space="preserve">i rodzaj izolacji), warunki </w:t>
      </w:r>
      <w:r w:rsidR="00C562CD" w:rsidRPr="004853EB">
        <w:rPr>
          <w:rFonts w:eastAsia="Times New Roman" w:cstheme="minorHAnsi"/>
          <w:color w:val="000000"/>
          <w:sz w:val="20"/>
          <w:szCs w:val="20"/>
          <w:lang w:eastAsia="pl-PL"/>
        </w:rPr>
        <w:t>atmosferyczne oraz</w:t>
      </w:r>
      <w:r w:rsidRPr="004853EB">
        <w:rPr>
          <w:rFonts w:eastAsia="Times New Roman" w:cstheme="minorHAnsi"/>
          <w:color w:val="000000"/>
          <w:sz w:val="20"/>
          <w:szCs w:val="20"/>
          <w:lang w:eastAsia="pl-PL"/>
        </w:rPr>
        <w:t xml:space="preserve"> czas transportu na budowę.</w:t>
      </w:r>
    </w:p>
    <w:p w14:paraId="2C488423"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75020BCD"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483" w:name="_Toc97034634"/>
      <w:bookmarkStart w:id="3484" w:name="_Toc97035322"/>
      <w:bookmarkStart w:id="3485" w:name="_Toc194477025"/>
      <w:bookmarkStart w:id="3486" w:name="_Toc227825507"/>
      <w:r w:rsidRPr="004853EB">
        <w:rPr>
          <w:rFonts w:eastAsia="Times New Roman" w:cstheme="minorHAnsi"/>
          <w:b/>
          <w:bCs/>
          <w:color w:val="000000"/>
          <w:sz w:val="20"/>
          <w:szCs w:val="20"/>
          <w:lang w:eastAsia="pl-PL"/>
        </w:rPr>
        <w:t>5.4. Przygotowanie podłoża</w:t>
      </w:r>
      <w:bookmarkEnd w:id="3483"/>
      <w:bookmarkEnd w:id="3484"/>
      <w:bookmarkEnd w:id="3485"/>
      <w:bookmarkEnd w:id="3486"/>
    </w:p>
    <w:p w14:paraId="6A8BB68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Podłoże (podbudowa lub stara warstwa ścieralna) pod warstwę wiążącą lub wyrównawczą z betonu asfaltowego powinno być na całej powierzchni:</w:t>
      </w:r>
    </w:p>
    <w:p w14:paraId="0CE71B76" w14:textId="77777777" w:rsidR="00CC1EF4" w:rsidRPr="004853EB" w:rsidRDefault="00CC1EF4">
      <w:pPr>
        <w:numPr>
          <w:ilvl w:val="0"/>
          <w:numId w:val="90"/>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ustabilizowane i nośne,</w:t>
      </w:r>
    </w:p>
    <w:p w14:paraId="19154859" w14:textId="77777777" w:rsidR="00CC1EF4" w:rsidRPr="004853EB" w:rsidRDefault="00CC1EF4">
      <w:pPr>
        <w:numPr>
          <w:ilvl w:val="0"/>
          <w:numId w:val="90"/>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czyste, bez zanieczyszczenia lub pozostałości luźnego kruszywa,</w:t>
      </w:r>
    </w:p>
    <w:p w14:paraId="608546F0" w14:textId="77777777" w:rsidR="00CC1EF4" w:rsidRPr="004853EB" w:rsidRDefault="00CC1EF4">
      <w:pPr>
        <w:numPr>
          <w:ilvl w:val="0"/>
          <w:numId w:val="90"/>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wyprofilowane, równe i bez kolein,</w:t>
      </w:r>
    </w:p>
    <w:p w14:paraId="73FF3F66" w14:textId="77777777" w:rsidR="00CC1EF4" w:rsidRPr="004853EB" w:rsidRDefault="00CC1EF4">
      <w:pPr>
        <w:numPr>
          <w:ilvl w:val="0"/>
          <w:numId w:val="90"/>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suche.</w:t>
      </w:r>
    </w:p>
    <w:p w14:paraId="22302092"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Wymagana równość jest określona w rozporządzeniu w sprawie warunków technicznych, jakim powinny odpowiadać drogi publiczne i ich usytuowanie [74]. </w:t>
      </w:r>
    </w:p>
    <w:p w14:paraId="2B5E45E6" w14:textId="53C3F13B"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Jeżeli </w:t>
      </w:r>
      <w:r w:rsidR="00C562CD" w:rsidRPr="004853EB">
        <w:rPr>
          <w:rFonts w:eastAsia="Times New Roman" w:cstheme="minorHAnsi"/>
          <w:color w:val="000000"/>
          <w:sz w:val="20"/>
          <w:szCs w:val="20"/>
          <w:lang w:eastAsia="pl-PL"/>
        </w:rPr>
        <w:t>nierówności są</w:t>
      </w:r>
      <w:r w:rsidRPr="004853EB">
        <w:rPr>
          <w:rFonts w:eastAsia="Times New Roman" w:cstheme="minorHAnsi"/>
          <w:color w:val="000000"/>
          <w:sz w:val="20"/>
          <w:szCs w:val="20"/>
          <w:lang w:eastAsia="pl-PL"/>
        </w:rPr>
        <w:t xml:space="preserve"> większe niż dopuszczalne, to należy wyrównać podłoże.</w:t>
      </w:r>
    </w:p>
    <w:p w14:paraId="5AAC5F9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ab/>
        <w:t>Rzędne wysokościowe podłoża oraz urządzeń usytuowanych w nawierzchni lub ją ograniczających powinny być zgodne z dokumentacją projektową. Z podłoża powinien być zapewniony odpływ wody.</w:t>
      </w:r>
    </w:p>
    <w:p w14:paraId="21DD332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Nierówności podłoża (w tym powierzchnię istniejącej warstwy ścieralnej) należy wyrównać poprzez frezowanie lub wykonanie warstwy wyrównawczej.</w:t>
      </w:r>
    </w:p>
    <w:p w14:paraId="3E00113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14:paraId="23A1781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W celu polepszenia połączenia między warstwami technologicznymi nawierzchni powierzchnia podłoża powinna być w ocenie wizualnej chropowata.</w:t>
      </w:r>
    </w:p>
    <w:p w14:paraId="0488258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Szerokie szczeliny w podłożu należy wypełnić odpowiednim materiałem, np. zalewami drogowymi według PN-EN 14188-1 [66] lub PN-EN 14188-2 [67] albo innymi materiałami według norm lub aprobat technicznych.</w:t>
      </w:r>
    </w:p>
    <w:p w14:paraId="76138CF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Na podłożu wykazującym zniszczenia w postaci siatki spękań zmęczeniowych lub spękań poprzecznych zaleca się stosowanie membrany przeciwspękaniowej, np. mieszanki mineralno-asfaltowej, warstwy SAMI lub </w:t>
      </w:r>
      <w:r w:rsidRPr="004853EB">
        <w:rPr>
          <w:rFonts w:eastAsia="Times New Roman" w:cstheme="minorHAnsi"/>
          <w:color w:val="000000"/>
          <w:sz w:val="20"/>
          <w:szCs w:val="20"/>
          <w:lang w:eastAsia="pl-PL"/>
        </w:rPr>
        <w:br/>
        <w:t>z geosyntetyków według norm lub aprobat technicznych.</w:t>
      </w:r>
    </w:p>
    <w:p w14:paraId="6713EE64"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02AD6C8A"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487" w:name="_Toc97034635"/>
      <w:bookmarkStart w:id="3488" w:name="_Toc97035323"/>
      <w:bookmarkStart w:id="3489" w:name="_Toc194477026"/>
      <w:bookmarkStart w:id="3490" w:name="_Toc227825508"/>
      <w:r w:rsidRPr="004853EB">
        <w:rPr>
          <w:rFonts w:eastAsia="Times New Roman" w:cstheme="minorHAnsi"/>
          <w:b/>
          <w:bCs/>
          <w:color w:val="000000"/>
          <w:sz w:val="20"/>
          <w:szCs w:val="20"/>
          <w:lang w:eastAsia="pl-PL"/>
        </w:rPr>
        <w:t>5.5. Próba technologiczna</w:t>
      </w:r>
      <w:bookmarkEnd w:id="3487"/>
      <w:bookmarkEnd w:id="3488"/>
      <w:bookmarkEnd w:id="3489"/>
      <w:bookmarkEnd w:id="3490"/>
    </w:p>
    <w:p w14:paraId="5229A76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Wykonawca przed przystąpieniem do produkcji mieszanki jest zobowiązany do przeprowadzenia </w:t>
      </w:r>
      <w:r w:rsidRPr="004853EB">
        <w:rPr>
          <w:rFonts w:eastAsia="Times New Roman" w:cstheme="minorHAnsi"/>
          <w:color w:val="000000"/>
          <w:sz w:val="20"/>
          <w:szCs w:val="20"/>
          <w:lang w:eastAsia="pl-PL"/>
        </w:rPr>
        <w:br/>
        <w:t xml:space="preserve">w obecności Inżyniera próby technologicznej, która ma na celu sprawdzenie zgodności właściwości wyprodukowanej mieszanki z receptą. W tym celu należy zaprogramować otaczarkę zgodnie z receptą roboczą </w:t>
      </w:r>
      <w:r w:rsidRPr="004853EB">
        <w:rPr>
          <w:rFonts w:eastAsia="Times New Roman" w:cstheme="minorHAnsi"/>
          <w:color w:val="000000"/>
          <w:sz w:val="20"/>
          <w:szCs w:val="20"/>
          <w:lang w:eastAsia="pl-PL"/>
        </w:rPr>
        <w:br/>
        <w:t xml:space="preserve">i w cyklu automatycznym produkować mieszankę. Do badań należy pobrać mieszankę wyprodukowaną po ustabilizowaniu się pracy otaczarki. W przypadku produkcji mieszanki mineralno- asfaltowej w kilku otaczarkach próba powinna być przeprowadzona na każdej wytwórni. </w:t>
      </w:r>
    </w:p>
    <w:p w14:paraId="2308CA6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Nie dopuszcza się oceniania dokładności pracy otaczarki oraz prawidłowości składu mieszanki mineralnej na podstawie tzw. suchego zarobu, z uwagi na możliwą segregację kruszywa.</w:t>
      </w:r>
    </w:p>
    <w:p w14:paraId="2349BF0A"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Do próby technologicznej Wykonawca użyje takich materiałów, jakie będą stosowane do wykonania właściwej mieszanki mineralno-asfaltowej. </w:t>
      </w:r>
    </w:p>
    <w:p w14:paraId="5F32B281"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 czasie wykonywania zarobu próbnego dozowania ilościowe poszczególnych materiałów składowych mieszanki mineralno-asfaltowej powinny być zgodne z ilościami podanymi w przedłożonej przez Wykonawcę </w:t>
      </w:r>
      <w:r w:rsidRPr="004853EB">
        <w:rPr>
          <w:rFonts w:eastAsia="Times New Roman" w:cstheme="minorHAnsi"/>
          <w:color w:val="000000"/>
          <w:sz w:val="20"/>
          <w:szCs w:val="20"/>
          <w:lang w:eastAsia="pl-PL"/>
        </w:rPr>
        <w:br/>
        <w:t>i zatwierdzonej przez Inżyniera recepcie. Sprawdzenie zawartości asfaltu w mieszance określa się wykonując ekstrakcję. Sprawdzenie uziarnienia mieszanki mineralnej wykonuje się poprzez analizę sitową kruszywa.</w:t>
      </w:r>
    </w:p>
    <w:p w14:paraId="36F6F0D5" w14:textId="1F0A3821"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t>
      </w:r>
      <w:r w:rsidR="00C562CD">
        <w:rPr>
          <w:rFonts w:eastAsia="Times New Roman" w:cstheme="minorHAnsi"/>
          <w:color w:val="000000"/>
          <w:sz w:val="20"/>
          <w:szCs w:val="20"/>
          <w:lang w:eastAsia="pl-PL"/>
        </w:rPr>
        <w:br/>
      </w:r>
      <w:r w:rsidRPr="004853EB">
        <w:rPr>
          <w:rFonts w:eastAsia="Times New Roman" w:cstheme="minorHAnsi"/>
          <w:color w:val="000000"/>
          <w:sz w:val="20"/>
          <w:szCs w:val="20"/>
          <w:lang w:eastAsia="pl-PL"/>
        </w:rPr>
        <w:t xml:space="preserve">w punkcie 6.  </w:t>
      </w:r>
    </w:p>
    <w:p w14:paraId="3A81D96C" w14:textId="66181FB4"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Mieszankę wyprodukowaną po ustabilizowaniu się pracy otaczarki należy zgromadzić w silosie lub załadować na samochód. Próbki do badań należy pobierać ze skrzyni samochodu zgodnie z metodą określoną </w:t>
      </w:r>
      <w:r w:rsidR="00C562CD">
        <w:rPr>
          <w:rFonts w:eastAsia="Times New Roman" w:cstheme="minorHAnsi"/>
          <w:color w:val="000000"/>
          <w:sz w:val="20"/>
          <w:szCs w:val="20"/>
          <w:lang w:eastAsia="pl-PL"/>
        </w:rPr>
        <w:br/>
      </w:r>
      <w:r w:rsidRPr="004853EB">
        <w:rPr>
          <w:rFonts w:eastAsia="Times New Roman" w:cstheme="minorHAnsi"/>
          <w:color w:val="000000"/>
          <w:sz w:val="20"/>
          <w:szCs w:val="20"/>
          <w:lang w:eastAsia="pl-PL"/>
        </w:rPr>
        <w:t>w PN-EN 12697-27 [43].</w:t>
      </w:r>
    </w:p>
    <w:p w14:paraId="227EC6F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Na podstawie uzyskanych wyników Inżynier podejmuje decyzję o wykonaniu odcinka próbnego.</w:t>
      </w:r>
    </w:p>
    <w:p w14:paraId="74A4F867"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77DA8A77"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491" w:name="_Toc97034636"/>
      <w:bookmarkStart w:id="3492" w:name="_Toc97035324"/>
      <w:bookmarkStart w:id="3493" w:name="_Toc194477027"/>
      <w:bookmarkStart w:id="3494" w:name="_Toc227825509"/>
      <w:r w:rsidRPr="004853EB">
        <w:rPr>
          <w:rFonts w:eastAsia="Times New Roman" w:cstheme="minorHAnsi"/>
          <w:b/>
          <w:bCs/>
          <w:color w:val="000000"/>
          <w:sz w:val="20"/>
          <w:szCs w:val="20"/>
          <w:lang w:eastAsia="pl-PL"/>
        </w:rPr>
        <w:t>5.6. Odcinek próbny</w:t>
      </w:r>
      <w:bookmarkEnd w:id="3491"/>
      <w:bookmarkEnd w:id="3492"/>
      <w:bookmarkEnd w:id="3493"/>
      <w:bookmarkEnd w:id="3494"/>
    </w:p>
    <w:p w14:paraId="15FEEB99"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Zaakceptowanie przez Inżyniera wyników badań próbek z próbnego zarobu stanowi podstawę do wykonania przez Wykonawcę odcinka próbnego. Za zgodą Inżyniera można połączyć wykonanie próby technologicznej z wykonaniem odcinka próbnego. W takim przypadku zaleca się pobrać próbki mieszanki mineralno-asfaltowej do badań zza rozściełacza, wg pktu 4.3, 4.5, 4.6 PN-EN12697-27 [43]. </w:t>
      </w:r>
    </w:p>
    <w:p w14:paraId="6FA10380"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 przypadku braku innych uzgodnień z Inżynierem, Wykonawca powinien wykonać odcinek próbny co najmniej na trzy dni przed rozpoczęciem robót, w celu:</w:t>
      </w:r>
    </w:p>
    <w:p w14:paraId="0F104B2D" w14:textId="77777777" w:rsidR="00CC1EF4" w:rsidRPr="004853EB" w:rsidRDefault="00CC1EF4">
      <w:pPr>
        <w:numPr>
          <w:ilvl w:val="0"/>
          <w:numId w:val="94"/>
        </w:numPr>
        <w:spacing w:after="0" w:line="240" w:lineRule="auto"/>
        <w:contextualSpacing/>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sprawdzenia czy użyty sprzęt jest właściwy,</w:t>
      </w:r>
    </w:p>
    <w:p w14:paraId="7F20B29E" w14:textId="77777777" w:rsidR="00CC1EF4" w:rsidRPr="004853EB" w:rsidRDefault="00CC1EF4">
      <w:pPr>
        <w:numPr>
          <w:ilvl w:val="0"/>
          <w:numId w:val="94"/>
        </w:numPr>
        <w:spacing w:after="0" w:line="240" w:lineRule="auto"/>
        <w:contextualSpacing/>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określenia grubości warstwy mieszanki mineralno-asfaltowej przed zagęszczeniem, koniecznej do uzyskania wymaganej w kontrakcie grubości warstwy,</w:t>
      </w:r>
    </w:p>
    <w:p w14:paraId="24715D39" w14:textId="77777777" w:rsidR="00CC1EF4" w:rsidRPr="004853EB" w:rsidRDefault="00CC1EF4">
      <w:pPr>
        <w:numPr>
          <w:ilvl w:val="0"/>
          <w:numId w:val="94"/>
        </w:numPr>
        <w:spacing w:after="0" w:line="240" w:lineRule="auto"/>
        <w:contextualSpacing/>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określenia potrzebnej liczby przejść walców dla uzyskania prawidłowego zagęszczenia warstwy.</w:t>
      </w:r>
    </w:p>
    <w:p w14:paraId="2C121712"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Do takiej próby Wykonawca powinien użyć takich materiałów oraz sprzętu, jaki stosowany będzie do wykonania warstwy nawierzchni. </w:t>
      </w:r>
    </w:p>
    <w:p w14:paraId="4D0BCC5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Odcinek próbny powinien być zlokalizowany w miejscu uzgodnionym z Inżynierem. Powierzchnia odcinka próbnego powinna wynosić co najmniej 500 m</w:t>
      </w:r>
      <w:r w:rsidRPr="004853EB">
        <w:rPr>
          <w:rFonts w:eastAsia="Times New Roman" w:cstheme="minorHAnsi"/>
          <w:color w:val="000000"/>
          <w:sz w:val="20"/>
          <w:szCs w:val="20"/>
          <w:vertAlign w:val="superscript"/>
          <w:lang w:eastAsia="pl-PL"/>
        </w:rPr>
        <w:t>2</w:t>
      </w:r>
      <w:r w:rsidRPr="004853EB">
        <w:rPr>
          <w:rFonts w:eastAsia="Times New Roman" w:cstheme="minorHAnsi"/>
          <w:color w:val="000000"/>
          <w:sz w:val="20"/>
          <w:szCs w:val="20"/>
          <w:lang w:eastAsia="pl-PL"/>
        </w:rPr>
        <w:t>, a długość co najmniej 50 m i powinny być tak dobrane, aby na jego podstawie możliwa była ocena prawidłowości wbudowania i zagęszczenia mieszanki mineralno-asfaltowej.</w:t>
      </w:r>
    </w:p>
    <w:p w14:paraId="58AA9498" w14:textId="7F477256"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 xml:space="preserve">Grubość układanej warstwy powinna być zgodna z grubością podaną w dokumentacji projektowej. </w:t>
      </w:r>
      <w:r w:rsidR="00C562CD" w:rsidRPr="004853EB">
        <w:rPr>
          <w:rFonts w:eastAsia="Times New Roman" w:cstheme="minorHAnsi"/>
          <w:color w:val="000000"/>
          <w:sz w:val="20"/>
          <w:szCs w:val="20"/>
          <w:lang w:eastAsia="pl-PL"/>
        </w:rPr>
        <w:t>Ilość próbek</w:t>
      </w:r>
      <w:r w:rsidRPr="004853EB">
        <w:rPr>
          <w:rFonts w:eastAsia="Times New Roman" w:cstheme="minorHAnsi"/>
          <w:color w:val="000000"/>
          <w:sz w:val="20"/>
          <w:szCs w:val="20"/>
          <w:lang w:eastAsia="pl-PL"/>
        </w:rPr>
        <w:t xml:space="preserve"> (rdzeni) pobrana z odcinka próbnego powinna być uzgodniona z Inżynierem i oceniona pod względem zgodności z </w:t>
      </w:r>
      <w:r w:rsidRPr="004853EB">
        <w:rPr>
          <w:rFonts w:eastAsia="Times New Roman" w:cstheme="minorHAnsi"/>
          <w:color w:val="000000"/>
          <w:sz w:val="20"/>
          <w:szCs w:val="20"/>
          <w:shd w:val="clear" w:color="auto" w:fill="FFFFFF"/>
          <w:lang w:eastAsia="pl-PL"/>
        </w:rPr>
        <w:t>wy</w:t>
      </w:r>
      <w:r w:rsidRPr="004853EB">
        <w:rPr>
          <w:rFonts w:eastAsia="Times New Roman" w:cstheme="minorHAnsi"/>
          <w:color w:val="000000"/>
          <w:sz w:val="20"/>
          <w:szCs w:val="20"/>
          <w:lang w:eastAsia="pl-PL"/>
        </w:rPr>
        <w:t xml:space="preserve">maganiami niniejszej specyfikacji. Należy pobrać minimum w dwóch przekrojach poprzecznych po dwie próbki (rdzenie). </w:t>
      </w:r>
    </w:p>
    <w:p w14:paraId="23138282"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Dopuszcza się, aby za zgodą Inżyniera, odcinek próbny zlokalizowany był w ciągu zasadniczych prac nawierzchniowych objętych danym kontraktem.</w:t>
      </w:r>
    </w:p>
    <w:p w14:paraId="3E826F4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Wykonawca może przystąpić do realizacji robót po zaakceptowaniu przez Inżyniera technologii wbudowania oraz wyników z odcinka próbnego.</w:t>
      </w:r>
    </w:p>
    <w:p w14:paraId="2CF487AF"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3C060C95"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495" w:name="_Toc97034637"/>
      <w:bookmarkStart w:id="3496" w:name="_Toc97035325"/>
      <w:bookmarkStart w:id="3497" w:name="_Toc194477028"/>
      <w:bookmarkStart w:id="3498" w:name="_Toc227825510"/>
      <w:r w:rsidRPr="004853EB">
        <w:rPr>
          <w:rFonts w:eastAsia="Times New Roman" w:cstheme="minorHAnsi"/>
          <w:b/>
          <w:bCs/>
          <w:color w:val="000000"/>
          <w:sz w:val="20"/>
          <w:szCs w:val="20"/>
          <w:lang w:eastAsia="pl-PL"/>
        </w:rPr>
        <w:t>5.7. Połączenie międzywarstwowe</w:t>
      </w:r>
      <w:bookmarkEnd w:id="3495"/>
      <w:bookmarkEnd w:id="3496"/>
      <w:bookmarkEnd w:id="3497"/>
      <w:bookmarkEnd w:id="3498"/>
    </w:p>
    <w:p w14:paraId="4F1D78F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Uzyskanie wymaganej trwałości nawierzchni jest uzależnione od zapewnienia połączenia między warstwami i ich współpracy w przenoszeniu obciążenia nawierzchni ruchem.</w:t>
      </w:r>
    </w:p>
    <w:p w14:paraId="38B63E2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Podłoże powinno być skropione lepiszczem. Ma to na celu zwiększenie połączenia między warstwami konstrukcyjnymi oraz zabezpieczenie przed wnikaniem i zaleganiem wody między warstwami.</w:t>
      </w:r>
    </w:p>
    <w:p w14:paraId="427A136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Skropienie lepiszczem podłoża (np. podbudowa asfaltowa), przed ułożeniem warstwy wiążącej z betonu asfaltowego powinno być wykonane w ilości podanej w przeliczeniu na pozostałe lepiszcze, tj. 0,3 ÷ 0,5 kg/m</w:t>
      </w:r>
      <w:r w:rsidRPr="004853EB">
        <w:rPr>
          <w:rFonts w:eastAsia="Times New Roman" w:cstheme="minorHAnsi"/>
          <w:color w:val="000000"/>
          <w:sz w:val="20"/>
          <w:szCs w:val="20"/>
          <w:vertAlign w:val="superscript"/>
          <w:lang w:eastAsia="pl-PL"/>
        </w:rPr>
        <w:t>2</w:t>
      </w:r>
      <w:r w:rsidRPr="004853EB">
        <w:rPr>
          <w:rFonts w:eastAsia="Times New Roman" w:cstheme="minorHAnsi"/>
          <w:color w:val="000000"/>
          <w:sz w:val="20"/>
          <w:szCs w:val="20"/>
          <w:lang w:eastAsia="pl-PL"/>
        </w:rPr>
        <w:t>, przy czym:</w:t>
      </w:r>
    </w:p>
    <w:p w14:paraId="60478F6A" w14:textId="77777777" w:rsidR="00CC1EF4" w:rsidRPr="004853EB" w:rsidRDefault="00CC1EF4">
      <w:pPr>
        <w:numPr>
          <w:ilvl w:val="0"/>
          <w:numId w:val="91"/>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ilość emulsji należy dobrać z uwzględnieniem stanu podłoża oraz porowatości mieszanki; jeśli mieszanka ma większą zawartość wolnych przestrzeni, to należy użyć większą ilość lepiszcza do skropienia, które po ułożeniu warstwy uszczelni ją.</w:t>
      </w:r>
    </w:p>
    <w:p w14:paraId="3455C168"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14:paraId="58E97BD6"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 wypadku stosowania emulsji asfaltowej podłoże powinno być skropione 0,5 h przed układaniem warstwy asfaltowej w celu odparowania wody.</w:t>
      </w:r>
    </w:p>
    <w:p w14:paraId="10409E68"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Czas ten nie dotyczy skrapiania rampą zamontowaną na rozkładarce.</w:t>
      </w:r>
    </w:p>
    <w:p w14:paraId="1A09B135"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Pozostałe warunki wykonania połączenia międzywarstwowego oraz kontrola wykonania skropienia zostały przedstawione w ST D-04.03.01a [1a].</w:t>
      </w:r>
    </w:p>
    <w:p w14:paraId="00E0054A"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2D37A2DA"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499" w:name="_Toc97034638"/>
      <w:bookmarkStart w:id="3500" w:name="_Toc97035326"/>
      <w:bookmarkStart w:id="3501" w:name="_Toc194477029"/>
      <w:bookmarkStart w:id="3502" w:name="_Toc227825511"/>
      <w:r w:rsidRPr="004853EB">
        <w:rPr>
          <w:rFonts w:eastAsia="Times New Roman" w:cstheme="minorHAnsi"/>
          <w:b/>
          <w:bCs/>
          <w:color w:val="000000"/>
          <w:sz w:val="20"/>
          <w:szCs w:val="20"/>
          <w:lang w:eastAsia="pl-PL"/>
        </w:rPr>
        <w:t>5.8. Wbudowanie mieszanki mineralno-asfaltowej</w:t>
      </w:r>
      <w:bookmarkEnd w:id="3499"/>
      <w:bookmarkEnd w:id="3500"/>
      <w:bookmarkEnd w:id="3501"/>
      <w:bookmarkEnd w:id="3502"/>
    </w:p>
    <w:p w14:paraId="4A6F5D2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Mieszankę mineralno-asfaltową można wbudowywać na podłożu przygotowanym zgodnie z zapisami </w:t>
      </w:r>
      <w:r w:rsidRPr="004853EB">
        <w:rPr>
          <w:rFonts w:eastAsia="Times New Roman" w:cstheme="minorHAnsi"/>
          <w:color w:val="000000"/>
          <w:sz w:val="20"/>
          <w:szCs w:val="20"/>
          <w:lang w:eastAsia="pl-PL"/>
        </w:rPr>
        <w:br/>
        <w:t xml:space="preserve">w punktach 5.4 i 5.7. </w:t>
      </w:r>
    </w:p>
    <w:p w14:paraId="2D55DCAD" w14:textId="0865958F"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Temperatura podłoża pod rozkładaną warstwę nie może być niższa </w:t>
      </w:r>
      <w:r w:rsidR="00C562CD" w:rsidRPr="004853EB">
        <w:rPr>
          <w:rFonts w:eastAsia="Times New Roman" w:cstheme="minorHAnsi"/>
          <w:color w:val="000000"/>
          <w:sz w:val="20"/>
          <w:szCs w:val="20"/>
          <w:lang w:eastAsia="pl-PL"/>
        </w:rPr>
        <w:t>niż +</w:t>
      </w:r>
      <w:r w:rsidRPr="004853EB">
        <w:rPr>
          <w:rFonts w:eastAsia="Times New Roman" w:cstheme="minorHAnsi"/>
          <w:color w:val="000000"/>
          <w:sz w:val="20"/>
          <w:szCs w:val="20"/>
          <w:lang w:eastAsia="pl-PL"/>
        </w:rPr>
        <w:t>5</w:t>
      </w:r>
      <w:r w:rsidRPr="004853EB">
        <w:rPr>
          <w:rFonts w:eastAsia="Times New Roman" w:cstheme="minorHAnsi"/>
          <w:color w:val="000000"/>
          <w:sz w:val="20"/>
          <w:szCs w:val="20"/>
          <w:vertAlign w:val="superscript"/>
          <w:lang w:eastAsia="pl-PL"/>
        </w:rPr>
        <w:t>o</w:t>
      </w:r>
      <w:r w:rsidRPr="004853EB">
        <w:rPr>
          <w:rFonts w:eastAsia="Times New Roman" w:cstheme="minorHAnsi"/>
          <w:color w:val="000000"/>
          <w:sz w:val="20"/>
          <w:szCs w:val="20"/>
          <w:lang w:eastAsia="pl-PL"/>
        </w:rPr>
        <w:t>C.</w:t>
      </w:r>
    </w:p>
    <w:p w14:paraId="51FFB4D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Transport mieszanki mineralno-asfaltowej asfaltowej powinien być zgodny z zaleceniami podanymi </w:t>
      </w:r>
      <w:r w:rsidRPr="004853EB">
        <w:rPr>
          <w:rFonts w:eastAsia="Times New Roman" w:cstheme="minorHAnsi"/>
          <w:color w:val="000000"/>
          <w:sz w:val="20"/>
          <w:szCs w:val="20"/>
          <w:lang w:eastAsia="pl-PL"/>
        </w:rPr>
        <w:br/>
        <w:t>w punkcie 4.2.</w:t>
      </w:r>
    </w:p>
    <w:p w14:paraId="59CA37D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Mieszankę mineralno-asfaltową asfaltową należy wbudowywać w odpowiednich warunkach atmosferycznych. Nie wolno wbudowywać betonu asfaltowego, gdy na podłożu tworzy się zamknięty film wodny.</w:t>
      </w:r>
    </w:p>
    <w:p w14:paraId="3DCDC7E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Temperatura otoczenia w ciągu doby nie powinna być niższa od temperatury podanej w tablicy 20. Temperatura otoczenia może być niższa w wypadku stosowania ogrzewania podłoża i obramowania </w:t>
      </w:r>
      <w:r w:rsidRPr="004853EB">
        <w:rPr>
          <w:rFonts w:eastAsia="Times New Roman" w:cstheme="minorHAnsi"/>
          <w:color w:val="000000"/>
          <w:sz w:val="20"/>
          <w:szCs w:val="20"/>
          <w:lang w:eastAsia="pl-PL"/>
        </w:rPr>
        <w:br/>
        <w:t>(np. promienniki podczerwieni, urządzenia mikrofalowe). Temperatura powietrza powinna być mierzona co najmniej 3 razy dziennie: przed przystąpieniem do robót oraz podczas ich wykonywania w okresach równomiernie rozłożonych w planowanym czasie realizacji dziennej działki roboczej. Nie dopuszcza się układania mieszanki mineralno-asfaltowej asfaltowej podczas silnego wiatru (V &gt; 16 m/s).</w:t>
      </w:r>
    </w:p>
    <w:p w14:paraId="1A7A4EEC"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Podczas budowy nawierzchni należy dążyć do ułożenia wszystkich warstw przed sezonem zimowym, aby zapewnić szczelność nawierzchni i jej odporność na działanie wody i mrozu. Jeżeli w wyjątkowym przypadku zachodzi konieczność pozostawienia na zimę warstwy wiążącej lub wyrównawczej, to należy ją powierzchniowo uszczelnić w celu zabezpieczenia przed szkodliwym działaniem wody, mrozu i ewentualnie środków odladzających. </w:t>
      </w:r>
    </w:p>
    <w:p w14:paraId="6132661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W wypadku stosowania mieszanek mineralno-asfaltowych z dodatkiem obniżającym temperaturę mieszania i wbudowania, należy indywidualnie określić wymagane warunki otoczenia.</w:t>
      </w:r>
    </w:p>
    <w:p w14:paraId="6583363A" w14:textId="77777777" w:rsidR="00CC1EF4" w:rsidRDefault="00CC1EF4" w:rsidP="00CC1EF4">
      <w:pPr>
        <w:tabs>
          <w:tab w:val="left" w:pos="1320"/>
        </w:tabs>
        <w:spacing w:before="120" w:after="120" w:line="240" w:lineRule="auto"/>
        <w:ind w:left="1320" w:hanging="132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Tablica 20. Minimalna temperatura otoczenia na wysokości 2 m podczas wykonywania warstwy wiążącej lub wyrównawczej z betonu asfaltowego</w:t>
      </w:r>
    </w:p>
    <w:p w14:paraId="4B42C937" w14:textId="77777777" w:rsidR="00C562CD" w:rsidRPr="004853EB" w:rsidRDefault="00C562CD" w:rsidP="00CC1EF4">
      <w:pPr>
        <w:tabs>
          <w:tab w:val="left" w:pos="1320"/>
        </w:tabs>
        <w:spacing w:before="120" w:after="120" w:line="240" w:lineRule="auto"/>
        <w:ind w:left="1320" w:hanging="1320"/>
        <w:jc w:val="both"/>
        <w:rPr>
          <w:rFonts w:eastAsia="Times New Roman" w:cstheme="minorHAnsi"/>
          <w:color w:val="000000"/>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693"/>
        <w:gridCol w:w="1591"/>
      </w:tblGrid>
      <w:tr w:rsidR="00CC1EF4" w:rsidRPr="004853EB" w14:paraId="7054AD52" w14:textId="77777777" w:rsidTr="00E95D02">
        <w:tc>
          <w:tcPr>
            <w:tcW w:w="3227" w:type="dxa"/>
            <w:vMerge w:val="restart"/>
            <w:vAlign w:val="center"/>
          </w:tcPr>
          <w:p w14:paraId="75C43FE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lastRenderedPageBreak/>
              <w:t>Rodzaj robót</w:t>
            </w:r>
          </w:p>
        </w:tc>
        <w:tc>
          <w:tcPr>
            <w:tcW w:w="4284" w:type="dxa"/>
            <w:gridSpan w:val="2"/>
          </w:tcPr>
          <w:p w14:paraId="04D4BC9E" w14:textId="701FF571"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Minimalna temperatura </w:t>
            </w:r>
            <w:r w:rsidR="00C562CD" w:rsidRPr="004853EB">
              <w:rPr>
                <w:rFonts w:eastAsia="Times New Roman" w:cstheme="minorHAnsi"/>
                <w:color w:val="000000"/>
                <w:sz w:val="18"/>
                <w:szCs w:val="18"/>
                <w:lang w:eastAsia="pl-PL"/>
              </w:rPr>
              <w:t>otoczenia [</w:t>
            </w:r>
            <w:r w:rsidRPr="004853EB">
              <w:rPr>
                <w:rFonts w:eastAsia="Times New Roman" w:cstheme="minorHAnsi"/>
                <w:color w:val="000000"/>
                <w:sz w:val="18"/>
                <w:szCs w:val="18"/>
                <w:lang w:eastAsia="pl-PL"/>
              </w:rPr>
              <w:t>°C]</w:t>
            </w:r>
          </w:p>
        </w:tc>
      </w:tr>
      <w:tr w:rsidR="00CC1EF4" w:rsidRPr="004853EB" w14:paraId="0BA35B95" w14:textId="77777777" w:rsidTr="00E95D02">
        <w:tc>
          <w:tcPr>
            <w:tcW w:w="3227" w:type="dxa"/>
            <w:vMerge/>
          </w:tcPr>
          <w:p w14:paraId="7B8A1E44"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c>
          <w:tcPr>
            <w:tcW w:w="2693" w:type="dxa"/>
          </w:tcPr>
          <w:p w14:paraId="7CB82417"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w czasie 24 h przed przystąpieniem </w:t>
            </w:r>
          </w:p>
          <w:p w14:paraId="3F4D7D44"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do robót</w:t>
            </w:r>
          </w:p>
        </w:tc>
        <w:tc>
          <w:tcPr>
            <w:tcW w:w="1591" w:type="dxa"/>
          </w:tcPr>
          <w:p w14:paraId="1ACB7DB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 czasie robót</w:t>
            </w:r>
          </w:p>
        </w:tc>
      </w:tr>
      <w:tr w:rsidR="00CC1EF4" w:rsidRPr="004853EB" w14:paraId="5E5D8BF6" w14:textId="77777777" w:rsidTr="00E95D02">
        <w:tc>
          <w:tcPr>
            <w:tcW w:w="3227" w:type="dxa"/>
          </w:tcPr>
          <w:p w14:paraId="14FD2525"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Warstwa wiążąca</w:t>
            </w:r>
          </w:p>
        </w:tc>
        <w:tc>
          <w:tcPr>
            <w:tcW w:w="2693" w:type="dxa"/>
          </w:tcPr>
          <w:p w14:paraId="4E86B0E4"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w:t>
            </w:r>
          </w:p>
        </w:tc>
        <w:tc>
          <w:tcPr>
            <w:tcW w:w="1591" w:type="dxa"/>
          </w:tcPr>
          <w:p w14:paraId="203CFA5D"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w:t>
            </w:r>
          </w:p>
        </w:tc>
      </w:tr>
      <w:tr w:rsidR="00CC1EF4" w:rsidRPr="004853EB" w14:paraId="2F0DE834" w14:textId="77777777" w:rsidTr="00E95D02">
        <w:tc>
          <w:tcPr>
            <w:tcW w:w="3227" w:type="dxa"/>
          </w:tcPr>
          <w:p w14:paraId="45CF55D3"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Warstwa wyrównawcza</w:t>
            </w:r>
          </w:p>
        </w:tc>
        <w:tc>
          <w:tcPr>
            <w:tcW w:w="2693" w:type="dxa"/>
          </w:tcPr>
          <w:p w14:paraId="3E1C6A5A"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w:t>
            </w:r>
          </w:p>
        </w:tc>
        <w:tc>
          <w:tcPr>
            <w:tcW w:w="1591" w:type="dxa"/>
          </w:tcPr>
          <w:p w14:paraId="6328CB58"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w:t>
            </w:r>
          </w:p>
        </w:tc>
      </w:tr>
    </w:tbl>
    <w:p w14:paraId="4391E8AF" w14:textId="77777777" w:rsidR="00CC1EF4" w:rsidRPr="004853EB" w:rsidRDefault="00CC1EF4" w:rsidP="00CC1EF4">
      <w:pPr>
        <w:spacing w:before="120"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Mieszanka mineralno-asfaltowa powinna być wbudowywana rozkładarką wyposażoną w układ automatycznego sterowania grubości warstwy i utrzymywania niwelety zgodnie z dokumentacją projektową. </w:t>
      </w:r>
      <w:r w:rsidRPr="004853EB">
        <w:rPr>
          <w:rFonts w:eastAsia="Times New Roman" w:cstheme="minorHAnsi"/>
          <w:color w:val="000000"/>
          <w:sz w:val="20"/>
          <w:szCs w:val="20"/>
          <w:lang w:eastAsia="pl-PL"/>
        </w:rPr>
        <w:br/>
        <w:t>W miejscach niedostępnych dla sprzętu dopuszcza się wbudowywanie ręczne.</w:t>
      </w:r>
    </w:p>
    <w:p w14:paraId="4F985A97" w14:textId="4FDF1C96"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Grubość wykonywanej warstwy powinna być sprawdzana co 25 m, w co najmniej trzech miejscach </w:t>
      </w:r>
      <w:r w:rsidR="00C562CD">
        <w:rPr>
          <w:rFonts w:eastAsia="Times New Roman" w:cstheme="minorHAnsi"/>
          <w:color w:val="000000"/>
          <w:sz w:val="20"/>
          <w:szCs w:val="20"/>
          <w:lang w:eastAsia="pl-PL"/>
        </w:rPr>
        <w:br/>
      </w:r>
      <w:r w:rsidRPr="004853EB">
        <w:rPr>
          <w:rFonts w:eastAsia="Times New Roman" w:cstheme="minorHAnsi"/>
          <w:color w:val="000000"/>
          <w:sz w:val="20"/>
          <w:szCs w:val="20"/>
          <w:lang w:eastAsia="pl-PL"/>
        </w:rPr>
        <w:t>(w osi i przy brzegach warstwy).</w:t>
      </w:r>
    </w:p>
    <w:p w14:paraId="22D8249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Warstwy wałowane powinny być równomiernie zagęszczone ciężkimi walcami drogowymi. Do warstw </w:t>
      </w:r>
      <w:r w:rsidRPr="004853EB">
        <w:rPr>
          <w:rFonts w:eastAsia="Times New Roman" w:cstheme="minorHAnsi"/>
          <w:color w:val="000000"/>
          <w:sz w:val="20"/>
          <w:szCs w:val="20"/>
          <w:lang w:eastAsia="pl-PL"/>
        </w:rPr>
        <w:br/>
        <w:t xml:space="preserve">z betonu asfaltowego należy stosować walce drogowe stalowe gładkie z możliwością wibracji, oscylacji lub walce ogumione. </w:t>
      </w:r>
    </w:p>
    <w:p w14:paraId="5901084D"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17A86271"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503" w:name="_Toc97034639"/>
      <w:bookmarkStart w:id="3504" w:name="_Toc97035327"/>
      <w:bookmarkStart w:id="3505" w:name="_Toc194477030"/>
      <w:bookmarkStart w:id="3506" w:name="_Toc227825512"/>
      <w:r w:rsidRPr="004853EB">
        <w:rPr>
          <w:rFonts w:eastAsia="Times New Roman" w:cstheme="minorHAnsi"/>
          <w:b/>
          <w:bCs/>
          <w:color w:val="000000"/>
          <w:sz w:val="20"/>
          <w:szCs w:val="20"/>
          <w:lang w:eastAsia="pl-PL"/>
        </w:rPr>
        <w:t>5.9. Połączenia technologiczne</w:t>
      </w:r>
      <w:bookmarkEnd w:id="3503"/>
      <w:bookmarkEnd w:id="3504"/>
      <w:bookmarkEnd w:id="3505"/>
      <w:bookmarkEnd w:id="3506"/>
    </w:p>
    <w:p w14:paraId="31D5552E" w14:textId="77777777" w:rsidR="00CC1EF4" w:rsidRPr="004853EB" w:rsidRDefault="00CC1EF4" w:rsidP="00CC1EF4">
      <w:pPr>
        <w:keepNext/>
        <w:spacing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5.9.1.</w:t>
      </w:r>
      <w:r w:rsidRPr="004853EB">
        <w:rPr>
          <w:rFonts w:eastAsia="Times New Roman" w:cstheme="minorHAnsi"/>
          <w:color w:val="000000"/>
          <w:sz w:val="20"/>
          <w:szCs w:val="20"/>
          <w:lang w:eastAsia="pl-PL"/>
        </w:rPr>
        <w:t xml:space="preserve"> Wymagania ogólne </w:t>
      </w:r>
    </w:p>
    <w:p w14:paraId="60318E2A"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Połączenia technologiczne należy wykonywać jako:</w:t>
      </w:r>
    </w:p>
    <w:p w14:paraId="6827D3E5" w14:textId="77777777" w:rsidR="00CC1EF4" w:rsidRPr="004853EB" w:rsidRDefault="00CC1EF4">
      <w:pPr>
        <w:numPr>
          <w:ilvl w:val="0"/>
          <w:numId w:val="121"/>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złącza podłużne i poprzeczne (połączenia tego samego materiału wykonywanego w różnym czasie),</w:t>
      </w:r>
    </w:p>
    <w:p w14:paraId="5AF8F4F2" w14:textId="77777777" w:rsidR="00CC1EF4" w:rsidRPr="004853EB" w:rsidRDefault="00CC1EF4">
      <w:pPr>
        <w:numPr>
          <w:ilvl w:val="0"/>
          <w:numId w:val="121"/>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spoiny (połączenia różnych materiałów oraz warstwy asfaltowej z urządzeniami obcymi w nawierzchni lub ją ograniczającymi).</w:t>
      </w:r>
    </w:p>
    <w:p w14:paraId="1BD9D251"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Połączenia technologiczne powinny być jednorodne i szczelne. </w:t>
      </w:r>
    </w:p>
    <w:p w14:paraId="0E661E35"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Złącza podłużnego nie można umiejscawiać w śladach kół. Należy unikać umiejscawiania złączy </w:t>
      </w:r>
      <w:r w:rsidRPr="004853EB">
        <w:rPr>
          <w:rFonts w:eastAsia="Times New Roman" w:cstheme="minorHAnsi"/>
          <w:color w:val="000000"/>
          <w:sz w:val="20"/>
          <w:szCs w:val="20"/>
          <w:lang w:eastAsia="pl-PL"/>
        </w:rPr>
        <w:br/>
        <w:t>w obszarze poziomego oznakowania jezdni. Złącza podłużne między pasami kolejnych warstw technologicznych należy przesuwać względem siebie co najmniej 15 cm w kierunku poprzecznym do osi jezdni. Złącza poprzeczne między działkami roboczymi układanych pasów kolejnych warstw technologicznych należy przesunąć względem siebie o co najmniej 2 m w kierunku podłużnym do osi jezdni.</w:t>
      </w:r>
    </w:p>
    <w:p w14:paraId="7EA1943E"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Połączenie nawierzchni mostowej z nawierzchnią drogową powinno być wykonane w strefie płyty przejściowej. Połączenie warstw ścieralnej i wiążącej powinno być przesunięte o co najmniej 0,5 m. Krawędzie poprzeczne łączonych warstw wiążącej i ścieralnej nawierzchni drogowej powinny być odcięte piłą. </w:t>
      </w:r>
    </w:p>
    <w:p w14:paraId="17C1092F" w14:textId="77777777" w:rsidR="00CC1EF4" w:rsidRPr="004853EB" w:rsidRDefault="00CC1EF4" w:rsidP="00CC1EF4">
      <w:pPr>
        <w:spacing w:before="120" w:after="120" w:line="240" w:lineRule="auto"/>
        <w:jc w:val="both"/>
        <w:rPr>
          <w:rFonts w:eastAsia="Times New Roman" w:cstheme="minorHAnsi"/>
          <w:b/>
          <w:color w:val="000000"/>
          <w:sz w:val="20"/>
          <w:szCs w:val="20"/>
          <w:lang w:eastAsia="pl-PL"/>
        </w:rPr>
      </w:pPr>
    </w:p>
    <w:p w14:paraId="638A10E3"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5.9.2.</w:t>
      </w:r>
      <w:r w:rsidRPr="004853EB">
        <w:rPr>
          <w:rFonts w:eastAsia="Times New Roman" w:cstheme="minorHAnsi"/>
          <w:color w:val="000000"/>
          <w:sz w:val="20"/>
          <w:szCs w:val="20"/>
          <w:lang w:eastAsia="pl-PL"/>
        </w:rPr>
        <w:t xml:space="preserve"> Złącza</w:t>
      </w:r>
    </w:p>
    <w:p w14:paraId="42B6B2E0"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5.9.2.1. Technologia rozkładania „gorące przy zimnym” </w:t>
      </w:r>
    </w:p>
    <w:p w14:paraId="75F9101E" w14:textId="6477C992"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Wcześniej wykonany pas warstwy technologicznej powinien mieć wyprofilowaną krawędź równomiernie zagęszczoną, bez pęknięć. Krawędź ta nie może być </w:t>
      </w:r>
      <w:r w:rsidR="00C562CD" w:rsidRPr="004853EB">
        <w:rPr>
          <w:rFonts w:eastAsia="Times New Roman" w:cstheme="minorHAnsi"/>
          <w:color w:val="000000"/>
          <w:sz w:val="20"/>
          <w:szCs w:val="20"/>
          <w:lang w:eastAsia="pl-PL"/>
        </w:rPr>
        <w:t>pionowa,</w:t>
      </w:r>
      <w:r w:rsidRPr="004853EB">
        <w:rPr>
          <w:rFonts w:eastAsia="Times New Roman" w:cstheme="minorHAnsi"/>
          <w:color w:val="000000"/>
          <w:sz w:val="20"/>
          <w:szCs w:val="20"/>
          <w:lang w:eastAsia="pl-PL"/>
        </w:rPr>
        <w:t xml:space="preserve"> lecz powinna być skośna. Można to uzyskać przez odcięcie wąskiego pasa wzdłuż krawędzi ciepłej warstwy. </w:t>
      </w:r>
    </w:p>
    <w:p w14:paraId="6EEC3972" w14:textId="6C37EE9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Na krawędzi pasa warstw </w:t>
      </w:r>
      <w:r w:rsidR="00C562CD" w:rsidRPr="004853EB">
        <w:rPr>
          <w:rFonts w:eastAsia="Times New Roman" w:cstheme="minorHAnsi"/>
          <w:color w:val="000000"/>
          <w:sz w:val="20"/>
          <w:szCs w:val="20"/>
          <w:lang w:eastAsia="pl-PL"/>
        </w:rPr>
        <w:t>wiążącej należy</w:t>
      </w:r>
      <w:r w:rsidRPr="004853EB">
        <w:rPr>
          <w:rFonts w:eastAsia="Times New Roman" w:cstheme="minorHAnsi"/>
          <w:color w:val="000000"/>
          <w:sz w:val="20"/>
          <w:szCs w:val="20"/>
          <w:lang w:eastAsia="pl-PL"/>
        </w:rPr>
        <w:t xml:space="preserve"> nanieść materiał do złączy wg pktu 2.5.</w:t>
      </w:r>
    </w:p>
    <w:p w14:paraId="7764AFA4" w14:textId="137583FF"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Na krawędź pasa warstw </w:t>
      </w:r>
      <w:r w:rsidR="00C562CD" w:rsidRPr="004853EB">
        <w:rPr>
          <w:rFonts w:eastAsia="Times New Roman" w:cstheme="minorHAnsi"/>
          <w:color w:val="000000"/>
          <w:sz w:val="20"/>
          <w:szCs w:val="20"/>
          <w:lang w:eastAsia="pl-PL"/>
        </w:rPr>
        <w:t>wiążącej nie</w:t>
      </w:r>
      <w:r w:rsidRPr="004853EB">
        <w:rPr>
          <w:rFonts w:eastAsia="Times New Roman" w:cstheme="minorHAnsi"/>
          <w:color w:val="000000"/>
          <w:sz w:val="20"/>
          <w:szCs w:val="20"/>
          <w:lang w:eastAsia="pl-PL"/>
        </w:rPr>
        <w:t xml:space="preserve"> należy nanosić lepiszczy używanych do połączenia międzywarstwowego wg pktu 2.6. </w:t>
      </w:r>
    </w:p>
    <w:p w14:paraId="6CB30FB3"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5.9.2.3. Zakończenie działki roboczej </w:t>
      </w:r>
    </w:p>
    <w:p w14:paraId="2C6E403D" w14:textId="50E82B79"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 przypadku wystąpienia przerw w układania pasa warstwy technologicznej na czas, po którym temperatura mieszanki mineralno-asfaltowej obniży się poza dopuszczalną granicę, przed przystąpieniem do ułożenia kolejnego pasa warstwy </w:t>
      </w:r>
      <w:r w:rsidR="00C562CD" w:rsidRPr="004853EB">
        <w:rPr>
          <w:rFonts w:eastAsia="Times New Roman" w:cstheme="minorHAnsi"/>
          <w:color w:val="000000"/>
          <w:sz w:val="20"/>
          <w:szCs w:val="20"/>
          <w:lang w:eastAsia="pl-PL"/>
        </w:rPr>
        <w:t>należy usunąć</w:t>
      </w:r>
      <w:r w:rsidRPr="004853EB">
        <w:rPr>
          <w:rFonts w:eastAsia="Times New Roman" w:cstheme="minorHAnsi"/>
          <w:color w:val="000000"/>
          <w:sz w:val="20"/>
          <w:szCs w:val="20"/>
          <w:lang w:eastAsia="pl-PL"/>
        </w:rPr>
        <w:t xml:space="preserve"> ułożony wcześniej pas o długości do 3 m.  Należy usunąć fragment pasa na całej jego grubości. Na tak powstałą krawędź należy nanieść lepiszcze lub inny materiał wg pktu 2.5, </w:t>
      </w:r>
      <w:r w:rsidRPr="004853EB">
        <w:rPr>
          <w:rFonts w:eastAsia="Times New Roman" w:cstheme="minorHAnsi"/>
          <w:color w:val="000000"/>
          <w:sz w:val="20"/>
          <w:szCs w:val="20"/>
          <w:lang w:eastAsia="pl-PL"/>
        </w:rPr>
        <w:br/>
        <w:t>w ilości co najmniej 50 g na 1 cm grubości warstwy na 1 metr bieżący krawędzi.</w:t>
      </w:r>
    </w:p>
    <w:p w14:paraId="1CA32187" w14:textId="77777777" w:rsidR="00CC1EF4" w:rsidRPr="004853EB" w:rsidRDefault="00CC1EF4" w:rsidP="00CC1EF4">
      <w:pPr>
        <w:keepNext/>
        <w:spacing w:before="120"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5.9.3.</w:t>
      </w:r>
      <w:r w:rsidRPr="004853EB">
        <w:rPr>
          <w:rFonts w:eastAsia="Times New Roman" w:cstheme="minorHAnsi"/>
          <w:color w:val="000000"/>
          <w:sz w:val="20"/>
          <w:szCs w:val="20"/>
          <w:lang w:eastAsia="pl-PL"/>
        </w:rPr>
        <w:t xml:space="preserve"> Spoiny </w:t>
      </w:r>
    </w:p>
    <w:p w14:paraId="394A08D1"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Spoiny należy wykonywać w wypadku połączeń warstwy wiążącej z urządzeniami w nawierzchni lub ją ograniczającymi. </w:t>
      </w:r>
    </w:p>
    <w:p w14:paraId="68410C6B"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Spoiny należy wykonywać z materiałów termoplastycznych (taśmy, pasty) zgodnych z pktem 2.6. </w:t>
      </w:r>
    </w:p>
    <w:p w14:paraId="2286648D"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18CC3C7B"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507" w:name="_Toc97034640"/>
      <w:bookmarkStart w:id="3508" w:name="_Toc97035328"/>
      <w:bookmarkStart w:id="3509" w:name="_Toc194477031"/>
      <w:bookmarkStart w:id="3510" w:name="_Toc227825513"/>
      <w:r w:rsidRPr="004853EB">
        <w:rPr>
          <w:rFonts w:eastAsia="Times New Roman" w:cstheme="minorHAnsi"/>
          <w:b/>
          <w:bCs/>
          <w:color w:val="000000"/>
          <w:sz w:val="20"/>
          <w:szCs w:val="20"/>
          <w:lang w:eastAsia="pl-PL"/>
        </w:rPr>
        <w:t>5.10. Krawędzie</w:t>
      </w:r>
      <w:bookmarkEnd w:id="3507"/>
      <w:bookmarkEnd w:id="3508"/>
      <w:bookmarkEnd w:id="3509"/>
      <w:bookmarkEnd w:id="3510"/>
      <w:r w:rsidRPr="004853EB">
        <w:rPr>
          <w:rFonts w:eastAsia="Times New Roman" w:cstheme="minorHAnsi"/>
          <w:b/>
          <w:bCs/>
          <w:color w:val="000000"/>
          <w:sz w:val="20"/>
          <w:szCs w:val="20"/>
          <w:lang w:eastAsia="pl-PL"/>
        </w:rPr>
        <w:t xml:space="preserve"> </w:t>
      </w:r>
    </w:p>
    <w:p w14:paraId="6E390A8E"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 wypadku warstw nawierzchni bez urządzeń ograniczających (np. krawężników) krawędziom należy nadać spadki o nachyleniu nie większym niż 2:1, a za pomocą odpowiednich środków technicznych wykonać krawędzie w linii prostej i docisnąć równomiernie na całej długości.</w:t>
      </w:r>
    </w:p>
    <w:p w14:paraId="1D56DB8E"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Po wykonaniu nawierzchni asfaltowej o jednostronnym nachyleniu jezdni należy uszczelnić krawędź położoną wyżej, a w strefie zmiany przechyłki obie krawędzie. W tym celu boczną powierzchnię krawędzi należy pokryć gorącym lepiszczem w ilości 4,0 kg/m</w:t>
      </w:r>
      <w:r w:rsidRPr="004853EB">
        <w:rPr>
          <w:rFonts w:eastAsia="Times New Roman" w:cstheme="minorHAnsi"/>
          <w:color w:val="000000"/>
          <w:sz w:val="20"/>
          <w:szCs w:val="20"/>
          <w:vertAlign w:val="superscript"/>
          <w:lang w:eastAsia="pl-PL"/>
        </w:rPr>
        <w:t>2</w:t>
      </w:r>
      <w:r w:rsidRPr="004853EB">
        <w:rPr>
          <w:rFonts w:eastAsia="Times New Roman" w:cstheme="minorHAnsi"/>
          <w:color w:val="000000"/>
          <w:sz w:val="20"/>
          <w:szCs w:val="20"/>
          <w:lang w:eastAsia="pl-PL"/>
        </w:rPr>
        <w:t xml:space="preserve">.  Lepiszcze powinno być naniesione odpowiednio szybko tak, aby krawędzie nie uległy zabrudzeniu. Niżej położona krawędź (z wyjątkiem strefy zmiany przechyłki) powinna pozostać nieuszczelniona. </w:t>
      </w:r>
    </w:p>
    <w:p w14:paraId="283194B4"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10 cm.</w:t>
      </w:r>
    </w:p>
    <w:p w14:paraId="11228720"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 wypadku nakładania warstwy na nawierzchnię przeznaczoną do ruchu należy odpowiednio ukształtować krawędź nakładanej warstwy, łączącej ją z niższą warstwą, aby złagodzić wjazd z niższej warstwy na wyższą. </w:t>
      </w:r>
      <w:r w:rsidRPr="004853EB">
        <w:rPr>
          <w:rFonts w:eastAsia="Times New Roman" w:cstheme="minorHAnsi"/>
          <w:color w:val="000000"/>
          <w:sz w:val="20"/>
          <w:szCs w:val="20"/>
          <w:lang w:eastAsia="pl-PL"/>
        </w:rPr>
        <w:br/>
        <w:t>W tym celu należy:</w:t>
      </w:r>
    </w:p>
    <w:p w14:paraId="74A67FE8" w14:textId="77777777" w:rsidR="00CC1EF4" w:rsidRPr="004853EB" w:rsidRDefault="00CC1EF4">
      <w:pPr>
        <w:numPr>
          <w:ilvl w:val="0"/>
          <w:numId w:val="124"/>
        </w:numPr>
        <w:overflowPunct w:val="0"/>
        <w:autoSpaceDE w:val="0"/>
        <w:autoSpaceDN w:val="0"/>
        <w:adjustRightInd w:val="0"/>
        <w:spacing w:after="0" w:line="240" w:lineRule="auto"/>
        <w:ind w:left="36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sfrezować klin niższej warstwy na głębokości od 0 do grubości nakładanej warstwy oraz na długości równej co najmniej 125 krotności grubości nakładanej warstwy,</w:t>
      </w:r>
    </w:p>
    <w:p w14:paraId="3285EAB5" w14:textId="77777777" w:rsidR="00CC1EF4" w:rsidRPr="004853EB" w:rsidRDefault="00CC1EF4">
      <w:pPr>
        <w:numPr>
          <w:ilvl w:val="0"/>
          <w:numId w:val="124"/>
        </w:numPr>
        <w:overflowPunct w:val="0"/>
        <w:autoSpaceDE w:val="0"/>
        <w:autoSpaceDN w:val="0"/>
        <w:adjustRightInd w:val="0"/>
        <w:spacing w:after="0" w:line="240" w:lineRule="auto"/>
        <w:ind w:left="36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przygotować podłoże zgodnie z pktem 5.4 i 5.7,</w:t>
      </w:r>
    </w:p>
    <w:p w14:paraId="5689EC4E" w14:textId="77777777" w:rsidR="00CC1EF4" w:rsidRPr="004853EB" w:rsidRDefault="00CC1EF4">
      <w:pPr>
        <w:numPr>
          <w:ilvl w:val="0"/>
          <w:numId w:val="124"/>
        </w:numPr>
        <w:overflowPunct w:val="0"/>
        <w:autoSpaceDE w:val="0"/>
        <w:autoSpaceDN w:val="0"/>
        <w:adjustRightInd w:val="0"/>
        <w:spacing w:after="0" w:line="240" w:lineRule="auto"/>
        <w:ind w:left="36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ułożyć nakładaną warstwę o stałej grubości.</w:t>
      </w:r>
    </w:p>
    <w:p w14:paraId="043B6247"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511" w:name="_Toc412707323"/>
    </w:p>
    <w:p w14:paraId="7535ED85"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512" w:name="_Toc68686954"/>
      <w:bookmarkStart w:id="3513" w:name="_Toc68690552"/>
      <w:bookmarkStart w:id="3514" w:name="_Toc97034641"/>
      <w:bookmarkStart w:id="3515" w:name="_Toc97035329"/>
      <w:bookmarkStart w:id="3516" w:name="_Toc194477032"/>
      <w:bookmarkStart w:id="3517" w:name="_Toc227825514"/>
      <w:r w:rsidRPr="004853EB">
        <w:rPr>
          <w:rFonts w:eastAsia="Times New Roman" w:cstheme="minorHAnsi"/>
          <w:b/>
          <w:bCs/>
          <w:color w:val="000000"/>
          <w:sz w:val="20"/>
          <w:szCs w:val="20"/>
          <w:lang w:eastAsia="pl-PL"/>
        </w:rPr>
        <w:t>6. KONTROLA JAKOŚCI ROBÓT</w:t>
      </w:r>
      <w:bookmarkEnd w:id="3512"/>
      <w:bookmarkEnd w:id="3513"/>
      <w:bookmarkEnd w:id="3514"/>
      <w:bookmarkEnd w:id="3515"/>
      <w:bookmarkEnd w:id="3516"/>
      <w:bookmarkEnd w:id="3517"/>
      <w:r w:rsidRPr="004853EB">
        <w:rPr>
          <w:rFonts w:eastAsia="Times New Roman" w:cstheme="minorHAnsi"/>
          <w:b/>
          <w:bCs/>
          <w:color w:val="000000"/>
          <w:sz w:val="20"/>
          <w:szCs w:val="20"/>
          <w:lang w:eastAsia="pl-PL"/>
        </w:rPr>
        <w:t xml:space="preserve"> </w:t>
      </w:r>
      <w:bookmarkEnd w:id="3511"/>
    </w:p>
    <w:p w14:paraId="30E5FC35"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p>
    <w:p w14:paraId="02093E85"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518" w:name="_Toc97034642"/>
      <w:bookmarkStart w:id="3519" w:name="_Toc97035330"/>
      <w:bookmarkStart w:id="3520" w:name="_Toc194477033"/>
      <w:bookmarkStart w:id="3521" w:name="_Toc227825515"/>
      <w:r w:rsidRPr="004853EB">
        <w:rPr>
          <w:rFonts w:eastAsia="Times New Roman" w:cstheme="minorHAnsi"/>
          <w:b/>
          <w:bCs/>
          <w:color w:val="000000"/>
          <w:sz w:val="20"/>
          <w:szCs w:val="20"/>
          <w:lang w:eastAsia="pl-PL"/>
        </w:rPr>
        <w:t>6.1. Ogólne zasady kontroli jakości robót</w:t>
      </w:r>
      <w:bookmarkEnd w:id="3518"/>
      <w:bookmarkEnd w:id="3519"/>
      <w:bookmarkEnd w:id="3520"/>
      <w:bookmarkEnd w:id="3521"/>
    </w:p>
    <w:p w14:paraId="37B02FCF" w14:textId="77777777" w:rsidR="00CC1EF4" w:rsidRPr="004853EB" w:rsidRDefault="00CC1EF4" w:rsidP="00CC1EF4">
      <w:pPr>
        <w:numPr>
          <w:ilvl w:val="12"/>
          <w:numId w:val="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Ogólne zasady kontroli jakości robót podano w ST   D-M-00.00.00 „Wymagania ogólne” [1] pkt 6.</w:t>
      </w:r>
    </w:p>
    <w:p w14:paraId="7D26FA94"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p>
    <w:p w14:paraId="5B680390"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522" w:name="_Toc97034643"/>
      <w:bookmarkStart w:id="3523" w:name="_Toc97035331"/>
      <w:bookmarkStart w:id="3524" w:name="_Toc194477034"/>
      <w:bookmarkStart w:id="3525" w:name="_Toc227825516"/>
      <w:r w:rsidRPr="004853EB">
        <w:rPr>
          <w:rFonts w:eastAsia="Times New Roman" w:cstheme="minorHAnsi"/>
          <w:b/>
          <w:bCs/>
          <w:color w:val="000000"/>
          <w:sz w:val="20"/>
          <w:szCs w:val="20"/>
          <w:lang w:eastAsia="pl-PL"/>
        </w:rPr>
        <w:t>6.2. Badania przed przystąpieniem do robót</w:t>
      </w:r>
      <w:bookmarkEnd w:id="3522"/>
      <w:bookmarkEnd w:id="3523"/>
      <w:bookmarkEnd w:id="3524"/>
      <w:bookmarkEnd w:id="3525"/>
    </w:p>
    <w:p w14:paraId="405D98A2" w14:textId="77777777" w:rsidR="00CC1EF4" w:rsidRPr="004853EB" w:rsidRDefault="00CC1EF4" w:rsidP="00CC1EF4">
      <w:pPr>
        <w:spacing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6.2.1.</w:t>
      </w:r>
      <w:r w:rsidRPr="004853EB">
        <w:rPr>
          <w:rFonts w:eastAsia="Times New Roman" w:cstheme="minorHAnsi"/>
          <w:color w:val="000000"/>
          <w:sz w:val="20"/>
          <w:szCs w:val="20"/>
          <w:lang w:eastAsia="pl-PL"/>
        </w:rPr>
        <w:t xml:space="preserve"> Dokumenty i wyniki badań materiałów</w:t>
      </w:r>
    </w:p>
    <w:p w14:paraId="61B5593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Przed przystąpieniem do robót Wykonawca powinien:</w:t>
      </w:r>
    </w:p>
    <w:p w14:paraId="052C6F12"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14ADC216"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ew. wykonać własne badania właściwości materiałów przeznaczonych do wykonania robót, określone przez Inżyniera.</w:t>
      </w:r>
    </w:p>
    <w:p w14:paraId="68FB7079" w14:textId="77777777" w:rsidR="00CC1EF4" w:rsidRPr="004853EB" w:rsidRDefault="00CC1EF4" w:rsidP="00CC1EF4">
      <w:pPr>
        <w:widowControl w:val="0"/>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 przypadku zmiany rodzaju i właściwości materiałów budowlanych należy ponownie wykazać ich przydatność do przewidywanego celu.  </w:t>
      </w:r>
    </w:p>
    <w:p w14:paraId="1116D1CA" w14:textId="77777777" w:rsidR="00CC1EF4" w:rsidRPr="004853EB" w:rsidRDefault="00CC1EF4" w:rsidP="00CC1EF4">
      <w:pPr>
        <w:numPr>
          <w:ilvl w:val="12"/>
          <w:numId w:val="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Wszystkie dokumenty oraz wyniki badań Wykonawca przedstawia Inżynierowi do akceptacji.</w:t>
      </w:r>
    </w:p>
    <w:p w14:paraId="0C1EC29E"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6.2.2.</w:t>
      </w:r>
      <w:r w:rsidRPr="004853EB">
        <w:rPr>
          <w:rFonts w:eastAsia="Times New Roman" w:cstheme="minorHAnsi"/>
          <w:color w:val="000000"/>
          <w:sz w:val="20"/>
          <w:szCs w:val="20"/>
          <w:lang w:eastAsia="pl-PL"/>
        </w:rPr>
        <w:t xml:space="preserve"> Badanie typu </w:t>
      </w:r>
    </w:p>
    <w:p w14:paraId="131CCD64"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Przed przystąpieniem do robót, w terminie uzgodnionym z Inżynierem, Wykonawca przedstawi do akceptacji badania typu mieszanek mineralno-asfaltowych wraz z wymaganymi w normie PN-EN 13108-20 [53] załącznikami, w celu zatwierdzenia do stosowania. W przypadku zaistnienia podanych poniżej sytuacji wymagających powtórzenia badania typu należy je ponownie wykonać i przedstawić do akceptacji.</w:t>
      </w:r>
    </w:p>
    <w:p w14:paraId="53002C53"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Badanie typu powinno zawierać:</w:t>
      </w:r>
    </w:p>
    <w:p w14:paraId="48B1526E" w14:textId="77777777" w:rsidR="00CC1EF4" w:rsidRPr="004853EB" w:rsidRDefault="00CC1EF4">
      <w:pPr>
        <w:numPr>
          <w:ilvl w:val="0"/>
          <w:numId w:val="133"/>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informacje ogólne:</w:t>
      </w:r>
    </w:p>
    <w:p w14:paraId="55B41D7A" w14:textId="77777777" w:rsidR="00CC1EF4" w:rsidRPr="004853EB" w:rsidRDefault="00CC1EF4">
      <w:pPr>
        <w:numPr>
          <w:ilvl w:val="0"/>
          <w:numId w:val="125"/>
        </w:numPr>
        <w:tabs>
          <w:tab w:val="num" w:pos="600"/>
        </w:tabs>
        <w:overflowPunct w:val="0"/>
        <w:autoSpaceDE w:val="0"/>
        <w:autoSpaceDN w:val="0"/>
        <w:adjustRightInd w:val="0"/>
        <w:spacing w:after="0" w:line="240" w:lineRule="auto"/>
        <w:ind w:left="600" w:hanging="24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nazwę i adres producenta mieszanki mineralno-asfaltowej,</w:t>
      </w:r>
    </w:p>
    <w:p w14:paraId="79DBB127" w14:textId="77777777" w:rsidR="00CC1EF4" w:rsidRPr="004853EB" w:rsidRDefault="00CC1EF4">
      <w:pPr>
        <w:numPr>
          <w:ilvl w:val="0"/>
          <w:numId w:val="125"/>
        </w:numPr>
        <w:tabs>
          <w:tab w:val="num" w:pos="600"/>
        </w:tabs>
        <w:overflowPunct w:val="0"/>
        <w:autoSpaceDE w:val="0"/>
        <w:autoSpaceDN w:val="0"/>
        <w:adjustRightInd w:val="0"/>
        <w:spacing w:after="0" w:line="240" w:lineRule="auto"/>
        <w:ind w:left="600" w:hanging="24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datę wydania,</w:t>
      </w:r>
    </w:p>
    <w:p w14:paraId="7C280B38" w14:textId="77777777" w:rsidR="00CC1EF4" w:rsidRPr="004853EB" w:rsidRDefault="00CC1EF4">
      <w:pPr>
        <w:numPr>
          <w:ilvl w:val="0"/>
          <w:numId w:val="125"/>
        </w:numPr>
        <w:tabs>
          <w:tab w:val="num" w:pos="600"/>
        </w:tabs>
        <w:overflowPunct w:val="0"/>
        <w:autoSpaceDE w:val="0"/>
        <w:autoSpaceDN w:val="0"/>
        <w:adjustRightInd w:val="0"/>
        <w:spacing w:after="0" w:line="240" w:lineRule="auto"/>
        <w:ind w:left="600" w:hanging="24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nazwę wytwórni produkującej mieszankę mineralno –asfaltową,</w:t>
      </w:r>
    </w:p>
    <w:p w14:paraId="27434C78" w14:textId="77777777" w:rsidR="00CC1EF4" w:rsidRPr="004853EB" w:rsidRDefault="00CC1EF4">
      <w:pPr>
        <w:numPr>
          <w:ilvl w:val="0"/>
          <w:numId w:val="125"/>
        </w:numPr>
        <w:tabs>
          <w:tab w:val="num" w:pos="600"/>
        </w:tabs>
        <w:overflowPunct w:val="0"/>
        <w:autoSpaceDE w:val="0"/>
        <w:autoSpaceDN w:val="0"/>
        <w:adjustRightInd w:val="0"/>
        <w:spacing w:after="0" w:line="240" w:lineRule="auto"/>
        <w:ind w:left="600" w:hanging="24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określenie typu mieszanki i kategorii, z którymi jest deklarowana zgodność,</w:t>
      </w:r>
    </w:p>
    <w:p w14:paraId="5BD96B70" w14:textId="77777777" w:rsidR="00CC1EF4" w:rsidRPr="004853EB" w:rsidRDefault="00CC1EF4">
      <w:pPr>
        <w:numPr>
          <w:ilvl w:val="0"/>
          <w:numId w:val="125"/>
        </w:numPr>
        <w:tabs>
          <w:tab w:val="num" w:pos="600"/>
        </w:tabs>
        <w:overflowPunct w:val="0"/>
        <w:autoSpaceDE w:val="0"/>
        <w:autoSpaceDN w:val="0"/>
        <w:adjustRightInd w:val="0"/>
        <w:spacing w:after="0" w:line="240" w:lineRule="auto"/>
        <w:ind w:left="600" w:hanging="24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zestawienie metod przygotowania próbek oraz metod i warunków badania poszczególnych właściwości,</w:t>
      </w:r>
    </w:p>
    <w:p w14:paraId="3EFB8B58" w14:textId="77777777" w:rsidR="00CC1EF4" w:rsidRPr="004853EB" w:rsidRDefault="00CC1EF4">
      <w:pPr>
        <w:numPr>
          <w:ilvl w:val="0"/>
          <w:numId w:val="134"/>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informacje o składnikach:</w:t>
      </w:r>
    </w:p>
    <w:p w14:paraId="531D78C6" w14:textId="77777777" w:rsidR="00CC1EF4" w:rsidRPr="004853EB" w:rsidRDefault="00CC1EF4">
      <w:pPr>
        <w:numPr>
          <w:ilvl w:val="0"/>
          <w:numId w:val="126"/>
        </w:numPr>
        <w:tabs>
          <w:tab w:val="num" w:pos="600"/>
        </w:tabs>
        <w:overflowPunct w:val="0"/>
        <w:autoSpaceDE w:val="0"/>
        <w:autoSpaceDN w:val="0"/>
        <w:adjustRightInd w:val="0"/>
        <w:spacing w:after="0" w:line="240" w:lineRule="auto"/>
        <w:ind w:hanging="454"/>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każdy wymiar kruszywa: źródło i rodzaj,</w:t>
      </w:r>
    </w:p>
    <w:p w14:paraId="2CAF1A8C" w14:textId="77777777" w:rsidR="00CC1EF4" w:rsidRPr="004853EB" w:rsidRDefault="00CC1EF4">
      <w:pPr>
        <w:numPr>
          <w:ilvl w:val="0"/>
          <w:numId w:val="126"/>
        </w:numPr>
        <w:tabs>
          <w:tab w:val="num" w:pos="600"/>
        </w:tabs>
        <w:overflowPunct w:val="0"/>
        <w:autoSpaceDE w:val="0"/>
        <w:autoSpaceDN w:val="0"/>
        <w:adjustRightInd w:val="0"/>
        <w:spacing w:after="0" w:line="240" w:lineRule="auto"/>
        <w:ind w:hanging="454"/>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lepiszcze: typ i rodzaj,</w:t>
      </w:r>
    </w:p>
    <w:p w14:paraId="549A45CC" w14:textId="77777777" w:rsidR="00CC1EF4" w:rsidRPr="004853EB" w:rsidRDefault="00CC1EF4">
      <w:pPr>
        <w:numPr>
          <w:ilvl w:val="0"/>
          <w:numId w:val="126"/>
        </w:numPr>
        <w:tabs>
          <w:tab w:val="num" w:pos="600"/>
        </w:tabs>
        <w:overflowPunct w:val="0"/>
        <w:autoSpaceDE w:val="0"/>
        <w:autoSpaceDN w:val="0"/>
        <w:adjustRightInd w:val="0"/>
        <w:spacing w:after="0" w:line="240" w:lineRule="auto"/>
        <w:ind w:hanging="454"/>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wypełniacz: źródło i rodzaj,</w:t>
      </w:r>
    </w:p>
    <w:p w14:paraId="3D749440" w14:textId="77777777" w:rsidR="00CC1EF4" w:rsidRPr="004853EB" w:rsidRDefault="00CC1EF4">
      <w:pPr>
        <w:numPr>
          <w:ilvl w:val="0"/>
          <w:numId w:val="126"/>
        </w:numPr>
        <w:tabs>
          <w:tab w:val="num" w:pos="600"/>
        </w:tabs>
        <w:overflowPunct w:val="0"/>
        <w:autoSpaceDE w:val="0"/>
        <w:autoSpaceDN w:val="0"/>
        <w:adjustRightInd w:val="0"/>
        <w:spacing w:after="0" w:line="240" w:lineRule="auto"/>
        <w:ind w:hanging="454"/>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dodatki: źródło i rodzaj,</w:t>
      </w:r>
    </w:p>
    <w:p w14:paraId="3C683FBB" w14:textId="77777777" w:rsidR="00CC1EF4" w:rsidRPr="004853EB" w:rsidRDefault="00CC1EF4">
      <w:pPr>
        <w:numPr>
          <w:ilvl w:val="0"/>
          <w:numId w:val="135"/>
        </w:numPr>
        <w:overflowPunct w:val="0"/>
        <w:autoSpaceDE w:val="0"/>
        <w:autoSpaceDN w:val="0"/>
        <w:adjustRightInd w:val="0"/>
        <w:spacing w:before="120"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informacje o mieszance mineralno-asfaltowej:</w:t>
      </w:r>
    </w:p>
    <w:p w14:paraId="0661B2AB" w14:textId="77777777" w:rsidR="00CC1EF4" w:rsidRPr="004853EB" w:rsidRDefault="00CC1EF4">
      <w:pPr>
        <w:numPr>
          <w:ilvl w:val="0"/>
          <w:numId w:val="127"/>
        </w:numPr>
        <w:tabs>
          <w:tab w:val="num" w:pos="720"/>
        </w:tabs>
        <w:overflowPunct w:val="0"/>
        <w:autoSpaceDE w:val="0"/>
        <w:autoSpaceDN w:val="0"/>
        <w:adjustRightInd w:val="0"/>
        <w:spacing w:after="0" w:line="240" w:lineRule="auto"/>
        <w:ind w:left="72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skład mieszaki podany jako wejściowy (w przypadku walidacji w laboratorium) lub wyjściowy skład </w:t>
      </w:r>
      <w:r w:rsidRPr="004853EB">
        <w:rPr>
          <w:rFonts w:eastAsia="Times New Roman" w:cstheme="minorHAnsi"/>
          <w:color w:val="000000"/>
          <w:sz w:val="20"/>
          <w:szCs w:val="20"/>
          <w:lang w:eastAsia="pl-PL"/>
        </w:rPr>
        <w:br/>
        <w:t>(w wypadku walidacji produkcji),</w:t>
      </w:r>
    </w:p>
    <w:p w14:paraId="6D0FF367" w14:textId="77777777" w:rsidR="00CC1EF4" w:rsidRPr="004853EB" w:rsidRDefault="00CC1EF4" w:rsidP="00CC1EF4">
      <w:pPr>
        <w:spacing w:after="0" w:line="240" w:lineRule="auto"/>
        <w:jc w:val="both"/>
        <w:rPr>
          <w:rFonts w:eastAsia="Times New Roman" w:cstheme="minorHAnsi"/>
          <w:color w:val="000000"/>
          <w:sz w:val="20"/>
          <w:szCs w:val="20"/>
          <w:lang w:eastAsia="pl-PL"/>
        </w:rPr>
      </w:pPr>
    </w:p>
    <w:p w14:paraId="17F9B9D8"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Badanie typu należy przeprowadzić zgodnie z PN-EN 13108-20 [53] przy pierwszym wprowadzeniu mieszanek mineralno-asfaltowych do obrotu i powinno być powtórzone w wypadku: </w:t>
      </w:r>
    </w:p>
    <w:p w14:paraId="625B5E05" w14:textId="77777777" w:rsidR="00CC1EF4" w:rsidRPr="004853EB" w:rsidRDefault="00CC1EF4">
      <w:pPr>
        <w:widowControl w:val="0"/>
        <w:numPr>
          <w:ilvl w:val="0"/>
          <w:numId w:val="97"/>
        </w:numPr>
        <w:tabs>
          <w:tab w:val="left" w:pos="240"/>
        </w:tabs>
        <w:spacing w:after="0" w:line="240" w:lineRule="auto"/>
        <w:ind w:left="240" w:right="-57" w:hanging="24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upływu pieciu lat,</w:t>
      </w:r>
    </w:p>
    <w:p w14:paraId="6632DBC0" w14:textId="77777777" w:rsidR="00CC1EF4" w:rsidRPr="004853EB" w:rsidRDefault="00CC1EF4">
      <w:pPr>
        <w:widowControl w:val="0"/>
        <w:numPr>
          <w:ilvl w:val="0"/>
          <w:numId w:val="97"/>
        </w:numPr>
        <w:tabs>
          <w:tab w:val="left" w:pos="240"/>
        </w:tabs>
        <w:spacing w:after="0" w:line="240" w:lineRule="auto"/>
        <w:ind w:left="240" w:right="-57" w:hanging="24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zmiany złoża kruszywa,</w:t>
      </w:r>
    </w:p>
    <w:p w14:paraId="48255135" w14:textId="77777777" w:rsidR="00CC1EF4" w:rsidRPr="004853EB" w:rsidRDefault="00CC1EF4">
      <w:pPr>
        <w:widowControl w:val="0"/>
        <w:numPr>
          <w:ilvl w:val="0"/>
          <w:numId w:val="97"/>
        </w:numPr>
        <w:tabs>
          <w:tab w:val="left" w:pos="240"/>
        </w:tabs>
        <w:spacing w:after="0" w:line="240" w:lineRule="auto"/>
        <w:ind w:left="240" w:right="-57" w:hanging="24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zmiany rodzaju kruszywa (typu petrograficznego),</w:t>
      </w:r>
    </w:p>
    <w:p w14:paraId="5AA92CC7" w14:textId="77777777" w:rsidR="00CC1EF4" w:rsidRPr="004853EB" w:rsidRDefault="00CC1EF4">
      <w:pPr>
        <w:widowControl w:val="0"/>
        <w:numPr>
          <w:ilvl w:val="0"/>
          <w:numId w:val="97"/>
        </w:numPr>
        <w:tabs>
          <w:tab w:val="left" w:pos="240"/>
        </w:tabs>
        <w:spacing w:after="0" w:line="240" w:lineRule="auto"/>
        <w:ind w:left="240" w:right="-57" w:hanging="24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zmiany kategorii kruszywa grubego, jak definiowano w PN-EN 13043 [49], jednej z następujących właściwości: kształtu, udziału ziaren częściowo przekruszonych, odporności na rozdrabnianie, odporności na ścieranie lub kanciastości kruszywa drobnego,</w:t>
      </w:r>
    </w:p>
    <w:p w14:paraId="2727B5EC" w14:textId="77777777" w:rsidR="00CC1EF4" w:rsidRPr="004853EB" w:rsidRDefault="00CC1EF4">
      <w:pPr>
        <w:widowControl w:val="0"/>
        <w:numPr>
          <w:ilvl w:val="0"/>
          <w:numId w:val="97"/>
        </w:numPr>
        <w:tabs>
          <w:tab w:val="left" w:pos="240"/>
        </w:tabs>
        <w:spacing w:after="0" w:line="240" w:lineRule="auto"/>
        <w:ind w:left="426" w:right="-57" w:hanging="426"/>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zmiany gęstości ziaren (średnia ważona) o więcej niż 0,1 Mg/m</w:t>
      </w:r>
      <w:r w:rsidRPr="004853EB">
        <w:rPr>
          <w:rFonts w:eastAsia="Times New Roman" w:cstheme="minorHAnsi"/>
          <w:color w:val="000000"/>
          <w:sz w:val="20"/>
          <w:szCs w:val="20"/>
          <w:vertAlign w:val="superscript"/>
          <w:lang w:eastAsia="pl-PL"/>
        </w:rPr>
        <w:t>3</w:t>
      </w:r>
      <w:r w:rsidRPr="004853EB">
        <w:rPr>
          <w:rFonts w:eastAsia="Times New Roman" w:cstheme="minorHAnsi"/>
          <w:color w:val="000000"/>
          <w:sz w:val="20"/>
          <w:szCs w:val="20"/>
          <w:lang w:eastAsia="pl-PL"/>
        </w:rPr>
        <w:t>,</w:t>
      </w:r>
    </w:p>
    <w:p w14:paraId="397ADA3A" w14:textId="77777777" w:rsidR="00CC1EF4" w:rsidRPr="004853EB" w:rsidRDefault="00CC1EF4">
      <w:pPr>
        <w:widowControl w:val="0"/>
        <w:numPr>
          <w:ilvl w:val="0"/>
          <w:numId w:val="97"/>
        </w:numPr>
        <w:tabs>
          <w:tab w:val="left" w:pos="240"/>
        </w:tabs>
        <w:spacing w:after="0" w:line="240" w:lineRule="auto"/>
        <w:ind w:left="426" w:right="-57" w:hanging="426"/>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zmiany rodzaju lepiszcza,</w:t>
      </w:r>
    </w:p>
    <w:p w14:paraId="3912C574" w14:textId="77777777" w:rsidR="00CC1EF4" w:rsidRPr="004853EB" w:rsidRDefault="00CC1EF4">
      <w:pPr>
        <w:widowControl w:val="0"/>
        <w:numPr>
          <w:ilvl w:val="0"/>
          <w:numId w:val="97"/>
        </w:numPr>
        <w:tabs>
          <w:tab w:val="left" w:pos="240"/>
        </w:tabs>
        <w:spacing w:after="0" w:line="240" w:lineRule="auto"/>
        <w:ind w:left="426" w:right="-57" w:hanging="426"/>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zmiany typu mineralogicznego wypełniacza.</w:t>
      </w:r>
    </w:p>
    <w:p w14:paraId="202DB993"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 </w:t>
      </w:r>
    </w:p>
    <w:p w14:paraId="15350C5B"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p>
    <w:p w14:paraId="2F27AB45"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526" w:name="_Toc97034644"/>
      <w:bookmarkStart w:id="3527" w:name="_Toc97035332"/>
      <w:bookmarkStart w:id="3528" w:name="_Toc194477035"/>
      <w:bookmarkStart w:id="3529" w:name="_Toc227825517"/>
      <w:r w:rsidRPr="004853EB">
        <w:rPr>
          <w:rFonts w:eastAsia="Times New Roman" w:cstheme="minorHAnsi"/>
          <w:b/>
          <w:bCs/>
          <w:color w:val="000000"/>
          <w:sz w:val="20"/>
          <w:szCs w:val="20"/>
          <w:lang w:eastAsia="pl-PL"/>
        </w:rPr>
        <w:t>6.3. Badania w czasie robót</w:t>
      </w:r>
      <w:bookmarkEnd w:id="3526"/>
      <w:bookmarkEnd w:id="3527"/>
      <w:bookmarkEnd w:id="3528"/>
      <w:bookmarkEnd w:id="3529"/>
    </w:p>
    <w:p w14:paraId="1FE22FFD" w14:textId="77777777" w:rsidR="00CC1EF4" w:rsidRPr="004853EB" w:rsidRDefault="00CC1EF4" w:rsidP="00CC1EF4">
      <w:pPr>
        <w:spacing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6.3.1. </w:t>
      </w:r>
      <w:r w:rsidRPr="004853EB">
        <w:rPr>
          <w:rFonts w:eastAsia="Times New Roman" w:cstheme="minorHAnsi"/>
          <w:color w:val="000000"/>
          <w:sz w:val="20"/>
          <w:szCs w:val="20"/>
          <w:lang w:eastAsia="pl-PL"/>
        </w:rPr>
        <w:t>Uwagi ogólne</w:t>
      </w:r>
    </w:p>
    <w:p w14:paraId="4357C00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Badania dzielą się na:</w:t>
      </w:r>
    </w:p>
    <w:p w14:paraId="186F5C9C" w14:textId="77777777" w:rsidR="00CC1EF4" w:rsidRPr="004853EB" w:rsidRDefault="00CC1EF4">
      <w:pPr>
        <w:numPr>
          <w:ilvl w:val="0"/>
          <w:numId w:val="95"/>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Wykonawcy (w ramach własnego nadzoru),</w:t>
      </w:r>
    </w:p>
    <w:p w14:paraId="034094C2" w14:textId="77777777" w:rsidR="00CC1EF4" w:rsidRPr="004853EB" w:rsidRDefault="00CC1EF4">
      <w:pPr>
        <w:numPr>
          <w:ilvl w:val="0"/>
          <w:numId w:val="95"/>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kontrolne (w ramach nadzoru zleceniodawcy – Inżyniera)</w:t>
      </w:r>
    </w:p>
    <w:p w14:paraId="5F977FE9" w14:textId="77777777" w:rsidR="00CC1EF4" w:rsidRPr="004853EB" w:rsidRDefault="00CC1EF4">
      <w:pPr>
        <w:numPr>
          <w:ilvl w:val="0"/>
          <w:numId w:val="95"/>
        </w:numPr>
        <w:overflowPunct w:val="0"/>
        <w:autoSpaceDE w:val="0"/>
        <w:autoSpaceDN w:val="0"/>
        <w:adjustRightInd w:val="0"/>
        <w:spacing w:after="0" w:line="240" w:lineRule="auto"/>
        <w:ind w:hanging="37"/>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dodatkowe,</w:t>
      </w:r>
    </w:p>
    <w:p w14:paraId="5212F8A5" w14:textId="77777777" w:rsidR="00CC1EF4" w:rsidRPr="004853EB" w:rsidRDefault="00CC1EF4">
      <w:pPr>
        <w:numPr>
          <w:ilvl w:val="0"/>
          <w:numId w:val="95"/>
        </w:numPr>
        <w:overflowPunct w:val="0"/>
        <w:autoSpaceDE w:val="0"/>
        <w:autoSpaceDN w:val="0"/>
        <w:adjustRightInd w:val="0"/>
        <w:spacing w:after="0" w:line="240" w:lineRule="auto"/>
        <w:ind w:hanging="37"/>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arbitrażowe.</w:t>
      </w:r>
    </w:p>
    <w:p w14:paraId="3CD9AB1B"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05860A7F"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530" w:name="_Toc97034645"/>
      <w:bookmarkStart w:id="3531" w:name="_Toc97035333"/>
      <w:bookmarkStart w:id="3532" w:name="_Toc194477036"/>
      <w:bookmarkStart w:id="3533" w:name="_Toc227825518"/>
      <w:r w:rsidRPr="004853EB">
        <w:rPr>
          <w:rFonts w:eastAsia="Times New Roman" w:cstheme="minorHAnsi"/>
          <w:b/>
          <w:bCs/>
          <w:color w:val="000000"/>
          <w:sz w:val="20"/>
          <w:szCs w:val="20"/>
          <w:lang w:eastAsia="pl-PL"/>
        </w:rPr>
        <w:t>6.4. Badania Wykonawcy</w:t>
      </w:r>
      <w:bookmarkEnd w:id="3530"/>
      <w:bookmarkEnd w:id="3531"/>
      <w:bookmarkEnd w:id="3532"/>
      <w:bookmarkEnd w:id="3533"/>
    </w:p>
    <w:p w14:paraId="024D5BE5" w14:textId="77777777" w:rsidR="00CC1EF4" w:rsidRPr="004853EB" w:rsidRDefault="00CC1EF4" w:rsidP="00CC1EF4">
      <w:pPr>
        <w:spacing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6.4.1.</w:t>
      </w:r>
      <w:r w:rsidRPr="004853EB">
        <w:rPr>
          <w:rFonts w:eastAsia="Times New Roman" w:cstheme="minorHAnsi"/>
          <w:color w:val="000000"/>
          <w:sz w:val="20"/>
          <w:szCs w:val="20"/>
          <w:lang w:eastAsia="pl-PL"/>
        </w:rPr>
        <w:t xml:space="preserve"> Badania w czasie wytwarzania mieszanki mineralno-asfaltowej </w:t>
      </w:r>
    </w:p>
    <w:p w14:paraId="6CCB04AE"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Badania Wykonawcy w czasie wytwarzania mieszanki mineralno–asfaltowej powinny być wykonywane </w:t>
      </w:r>
      <w:r w:rsidRPr="004853EB">
        <w:rPr>
          <w:rFonts w:eastAsia="Times New Roman" w:cstheme="minorHAnsi"/>
          <w:color w:val="000000"/>
          <w:sz w:val="20"/>
          <w:szCs w:val="20"/>
          <w:lang w:eastAsia="pl-PL"/>
        </w:rPr>
        <w:br/>
        <w:t>w ramach zakładowej kontroli produkcji, zgodnie z normą PN-EN 13108-21 [54].</w:t>
      </w:r>
    </w:p>
    <w:p w14:paraId="437F72A9"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Zakres badań Wykonawcy w systemie zakładowej kontroli produkcji obejmuje:</w:t>
      </w:r>
    </w:p>
    <w:p w14:paraId="0B5E9A16" w14:textId="77777777" w:rsidR="00CC1EF4" w:rsidRPr="004853EB" w:rsidRDefault="00CC1EF4">
      <w:pPr>
        <w:numPr>
          <w:ilvl w:val="0"/>
          <w:numId w:val="98"/>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badania materiałów wsadowych do mieszanki mineralno-asfaltowej (asfaltów, kruszyw wypełniacza </w:t>
      </w:r>
      <w:r w:rsidRPr="004853EB">
        <w:rPr>
          <w:rFonts w:eastAsia="Times New Roman" w:cstheme="minorHAnsi"/>
          <w:color w:val="000000"/>
          <w:sz w:val="20"/>
          <w:szCs w:val="20"/>
          <w:lang w:eastAsia="pl-PL"/>
        </w:rPr>
        <w:br/>
        <w:t xml:space="preserve">i dodatków), </w:t>
      </w:r>
    </w:p>
    <w:p w14:paraId="4749E58E" w14:textId="77777777" w:rsidR="00CC1EF4" w:rsidRPr="004853EB" w:rsidRDefault="00CC1EF4">
      <w:pPr>
        <w:numPr>
          <w:ilvl w:val="0"/>
          <w:numId w:val="98"/>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badanie składu i właściwości mieszanki mineralno-asfaltowej.</w:t>
      </w:r>
    </w:p>
    <w:p w14:paraId="78F84ED3"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Częstotliwość oraz zakres badań i pomiarów w czasie wytwarzania mieszanki mineralno-asfaltowej powinno być zgodne z certyfikowanym systemem ZKP. </w:t>
      </w:r>
    </w:p>
    <w:p w14:paraId="68F4F77A" w14:textId="77777777" w:rsidR="00CC1EF4" w:rsidRPr="004853EB" w:rsidRDefault="00CC1EF4" w:rsidP="00CC1EF4">
      <w:pPr>
        <w:spacing w:before="120" w:after="120" w:line="240" w:lineRule="auto"/>
        <w:jc w:val="both"/>
        <w:rPr>
          <w:rFonts w:eastAsia="Times New Roman" w:cstheme="minorHAnsi"/>
          <w:b/>
          <w:color w:val="000000"/>
          <w:sz w:val="20"/>
          <w:szCs w:val="20"/>
          <w:lang w:eastAsia="pl-PL"/>
        </w:rPr>
      </w:pPr>
    </w:p>
    <w:p w14:paraId="18C6E2DB"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6.4.2.</w:t>
      </w:r>
      <w:r w:rsidRPr="004853EB">
        <w:rPr>
          <w:rFonts w:eastAsia="Times New Roman" w:cstheme="minorHAnsi"/>
          <w:color w:val="000000"/>
          <w:sz w:val="20"/>
          <w:szCs w:val="20"/>
          <w:lang w:eastAsia="pl-PL"/>
        </w:rPr>
        <w:t xml:space="preserve"> Badania w czasie wykonywania warstwy asfaltowej i badania gotowej warstwy</w:t>
      </w:r>
      <w:r w:rsidRPr="004853EB">
        <w:rPr>
          <w:rFonts w:eastAsia="Times New Roman" w:cstheme="minorHAnsi"/>
          <w:color w:val="000000"/>
          <w:sz w:val="20"/>
          <w:szCs w:val="20"/>
          <w:lang w:eastAsia="pl-PL"/>
        </w:rPr>
        <w:tab/>
        <w:t xml:space="preserve"> </w:t>
      </w:r>
    </w:p>
    <w:p w14:paraId="20F9B5BD" w14:textId="14C8127A"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Badania Wykonawcy są wykonywane przez Wykonawcę lub jego zleceniobiorców celem </w:t>
      </w:r>
      <w:r w:rsidR="00C562CD" w:rsidRPr="004853EB">
        <w:rPr>
          <w:rFonts w:eastAsia="Times New Roman" w:cstheme="minorHAnsi"/>
          <w:color w:val="000000"/>
          <w:sz w:val="20"/>
          <w:szCs w:val="20"/>
          <w:lang w:eastAsia="pl-PL"/>
        </w:rPr>
        <w:t>sprawdzenia</w:t>
      </w:r>
      <w:r w:rsidRPr="004853EB">
        <w:rPr>
          <w:rFonts w:eastAsia="Times New Roman" w:cstheme="minorHAnsi"/>
          <w:color w:val="000000"/>
          <w:sz w:val="20"/>
          <w:szCs w:val="20"/>
          <w:lang w:eastAsia="pl-PL"/>
        </w:rPr>
        <w:t xml:space="preserve"> czy jakość materiałów budowlanych (mieszanek mineralno-asfaltowych i ich składników, lepiszczy i materiałów do uszczelnień itp.) oraz gotowej warstwy (wbudowane warstwy asfaltowe, połączenia itp.) spełniają wymagania określone w kontrakcie.</w:t>
      </w:r>
    </w:p>
    <w:p w14:paraId="26BDE6C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Wykonawca powinien wykonywać te badania podczas realizacji kontraktu, z niezbędną starannością </w:t>
      </w:r>
      <w:r w:rsidRPr="004853EB">
        <w:rPr>
          <w:rFonts w:eastAsia="Times New Roman" w:cstheme="minorHAnsi"/>
          <w:color w:val="000000"/>
          <w:sz w:val="20"/>
          <w:szCs w:val="20"/>
          <w:lang w:eastAsia="pl-PL"/>
        </w:rPr>
        <w:br/>
        <w:t>i w wymaganym zakresie. Wyniki należy zapisywać w protokołach. W razie stwierdzenia uchybień w stosunku do wymagań kontraktu, ich przyczyny należy niezwłocznie usunąć.</w:t>
      </w:r>
    </w:p>
    <w:p w14:paraId="5E4A64C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Wyniki badań Wykonawcy należy przekazywać Inżynierowi na jego żądanie. Inżynier może zdecydować </w:t>
      </w:r>
      <w:r w:rsidRPr="004853EB">
        <w:rPr>
          <w:rFonts w:eastAsia="Times New Roman" w:cstheme="minorHAnsi"/>
          <w:color w:val="000000"/>
          <w:sz w:val="20"/>
          <w:szCs w:val="20"/>
          <w:lang w:eastAsia="pl-PL"/>
        </w:rPr>
        <w:br/>
        <w:t>o dokonaniu odbioru na podstawie badań Wykonawcy. W razie zastrzeżeń Inżynier może przeprowadzić badania kontrolne według pktu 6.5.</w:t>
      </w:r>
    </w:p>
    <w:p w14:paraId="670A4C3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Zakres badań Wykonawcy związany z wykonywaniem nawierzchni:</w:t>
      </w:r>
    </w:p>
    <w:p w14:paraId="111AACDB"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pomiar temperatury powietrza,</w:t>
      </w:r>
    </w:p>
    <w:p w14:paraId="4765FCFD"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pomiar temperatury mieszanki mineralno-asfaltowej podczas wykonywania nawierzchni (wg PN-EN 12697-13 [39]),</w:t>
      </w:r>
    </w:p>
    <w:p w14:paraId="2EA74EED"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ocena wizualna mieszanki mineralno-asfaltowej,</w:t>
      </w:r>
    </w:p>
    <w:p w14:paraId="638BABD8"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wykaz ilości materiałów lub grubości wykonanej warstwy,</w:t>
      </w:r>
    </w:p>
    <w:p w14:paraId="004C5DD5"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pomiar spadku poprzecznego warstwy asfaltowej,</w:t>
      </w:r>
    </w:p>
    <w:p w14:paraId="0CB85820"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pomiar równości warstwy asfaltowej (wg pktu 6.5.4.4),</w:t>
      </w:r>
    </w:p>
    <w:p w14:paraId="17196965"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pomiar parametrów geometrycznych poboczy,</w:t>
      </w:r>
    </w:p>
    <w:p w14:paraId="44ECF829"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ocena wizualna jednorodności powierzchni warstwy,</w:t>
      </w:r>
    </w:p>
    <w:p w14:paraId="51F91B7E" w14:textId="77777777" w:rsidR="00CC1EF4" w:rsidRPr="004853EB" w:rsidRDefault="00CC1EF4">
      <w:pPr>
        <w:numPr>
          <w:ilvl w:val="0"/>
          <w:numId w:val="96"/>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ocena wizualna jakości wykonania połączeń technologicznych.</w:t>
      </w:r>
    </w:p>
    <w:p w14:paraId="5CA083CB"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14ECE67B"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534" w:name="_Toc97034646"/>
      <w:bookmarkStart w:id="3535" w:name="_Toc97035334"/>
      <w:bookmarkStart w:id="3536" w:name="_Toc194477037"/>
      <w:bookmarkStart w:id="3537" w:name="_Toc227825519"/>
      <w:r w:rsidRPr="004853EB">
        <w:rPr>
          <w:rFonts w:eastAsia="Times New Roman" w:cstheme="minorHAnsi"/>
          <w:b/>
          <w:bCs/>
          <w:color w:val="000000"/>
          <w:sz w:val="20"/>
          <w:szCs w:val="20"/>
          <w:lang w:eastAsia="pl-PL"/>
        </w:rPr>
        <w:t>6.5. Badania kontrolne Zamawiającego</w:t>
      </w:r>
      <w:bookmarkEnd w:id="3534"/>
      <w:bookmarkEnd w:id="3535"/>
      <w:bookmarkEnd w:id="3536"/>
      <w:bookmarkEnd w:id="3537"/>
    </w:p>
    <w:p w14:paraId="5F52A717" w14:textId="06E008D0"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Badania kontrolne są badaniami Inżyniera, których celem jest </w:t>
      </w:r>
      <w:r w:rsidR="00C562CD" w:rsidRPr="004853EB">
        <w:rPr>
          <w:rFonts w:eastAsia="Times New Roman" w:cstheme="minorHAnsi"/>
          <w:color w:val="000000"/>
          <w:sz w:val="20"/>
          <w:szCs w:val="20"/>
          <w:lang w:eastAsia="pl-PL"/>
        </w:rPr>
        <w:t>sprawdzenie</w:t>
      </w:r>
      <w:r w:rsidRPr="004853EB">
        <w:rPr>
          <w:rFonts w:eastAsia="Times New Roman" w:cstheme="minorHAnsi"/>
          <w:color w:val="000000"/>
          <w:sz w:val="20"/>
          <w:szCs w:val="20"/>
          <w:lang w:eastAsia="pl-PL"/>
        </w:rPr>
        <w:t xml:space="preserv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14:paraId="00E11638"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Rodzaj i zakres badań kontrolnych Zamawiającego mieszanki mineralno-asfaltowej i wykonanej warstwy jest następujący: </w:t>
      </w:r>
    </w:p>
    <w:p w14:paraId="561E154B" w14:textId="77777777" w:rsidR="00CC1EF4" w:rsidRPr="004853EB" w:rsidRDefault="00CC1EF4">
      <w:pPr>
        <w:numPr>
          <w:ilvl w:val="0"/>
          <w:numId w:val="12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badania materiałów wsadowych do mieszanki mineralno-asfaltowej (asfaltów, kruszyw, wypełniacza </w:t>
      </w:r>
      <w:r w:rsidRPr="004853EB">
        <w:rPr>
          <w:rFonts w:eastAsia="Times New Roman" w:cstheme="minorHAnsi"/>
          <w:color w:val="000000"/>
          <w:sz w:val="20"/>
          <w:szCs w:val="20"/>
          <w:lang w:eastAsia="pl-PL"/>
        </w:rPr>
        <w:br/>
        <w:t>i dodatków).</w:t>
      </w:r>
    </w:p>
    <w:p w14:paraId="5B23CBD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Mieszanka mineralno-asfaltowa </w:t>
      </w:r>
      <w:r w:rsidRPr="004853EB">
        <w:rPr>
          <w:rFonts w:eastAsia="Times New Roman" w:cstheme="minorHAnsi"/>
          <w:color w:val="000000"/>
          <w:sz w:val="20"/>
          <w:szCs w:val="20"/>
          <w:vertAlign w:val="superscript"/>
          <w:lang w:eastAsia="pl-PL"/>
        </w:rPr>
        <w:t>a)</w:t>
      </w:r>
      <w:r w:rsidRPr="004853EB">
        <w:rPr>
          <w:rFonts w:eastAsia="Times New Roman" w:cstheme="minorHAnsi"/>
          <w:color w:val="000000"/>
          <w:sz w:val="20"/>
          <w:szCs w:val="20"/>
          <w:lang w:eastAsia="pl-PL"/>
        </w:rPr>
        <w:t>:</w:t>
      </w:r>
    </w:p>
    <w:p w14:paraId="0750DEFD" w14:textId="77777777" w:rsidR="00CC1EF4" w:rsidRPr="004853EB" w:rsidRDefault="00CC1EF4">
      <w:pPr>
        <w:numPr>
          <w:ilvl w:val="0"/>
          <w:numId w:val="13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uziarnienie,</w:t>
      </w:r>
    </w:p>
    <w:p w14:paraId="4487537F" w14:textId="77777777" w:rsidR="00CC1EF4" w:rsidRPr="004853EB" w:rsidRDefault="00CC1EF4">
      <w:pPr>
        <w:numPr>
          <w:ilvl w:val="0"/>
          <w:numId w:val="13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zawartość lepiszcza,</w:t>
      </w:r>
    </w:p>
    <w:p w14:paraId="169B02D6" w14:textId="77777777" w:rsidR="00CC1EF4" w:rsidRPr="004853EB" w:rsidRDefault="00CC1EF4">
      <w:pPr>
        <w:numPr>
          <w:ilvl w:val="0"/>
          <w:numId w:val="13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gęstość i zawartość wolnych przestrzeni próbki.</w:t>
      </w:r>
    </w:p>
    <w:p w14:paraId="53C87B1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Warunki technologiczne wbudowywania mieszanki mineralno-asfaltowej:</w:t>
      </w:r>
    </w:p>
    <w:p w14:paraId="4D274021" w14:textId="4392BD86" w:rsidR="00CC1EF4" w:rsidRPr="004853EB" w:rsidRDefault="00CC1EF4">
      <w:pPr>
        <w:numPr>
          <w:ilvl w:val="0"/>
          <w:numId w:val="131"/>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pomiar temperatury powietrza podczas </w:t>
      </w:r>
      <w:r w:rsidR="00C562CD" w:rsidRPr="004853EB">
        <w:rPr>
          <w:rFonts w:eastAsia="Times New Roman" w:cstheme="minorHAnsi"/>
          <w:color w:val="000000"/>
          <w:sz w:val="20"/>
          <w:szCs w:val="20"/>
          <w:lang w:eastAsia="pl-PL"/>
        </w:rPr>
        <w:t>pobrania próby</w:t>
      </w:r>
      <w:r w:rsidRPr="004853EB">
        <w:rPr>
          <w:rFonts w:eastAsia="Times New Roman" w:cstheme="minorHAnsi"/>
          <w:color w:val="000000"/>
          <w:sz w:val="20"/>
          <w:szCs w:val="20"/>
          <w:lang w:eastAsia="pl-PL"/>
        </w:rPr>
        <w:t xml:space="preserve"> do badań,</w:t>
      </w:r>
    </w:p>
    <w:p w14:paraId="75D407DA" w14:textId="77777777" w:rsidR="00CC1EF4" w:rsidRPr="004853EB" w:rsidRDefault="00CC1EF4">
      <w:pPr>
        <w:numPr>
          <w:ilvl w:val="0"/>
          <w:numId w:val="131"/>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pomiar temperatury mieszanki mineralno-asfaltowej,</w:t>
      </w:r>
    </w:p>
    <w:p w14:paraId="623E3C8A" w14:textId="77777777" w:rsidR="00CC1EF4" w:rsidRPr="004853EB" w:rsidRDefault="00CC1EF4">
      <w:pPr>
        <w:numPr>
          <w:ilvl w:val="0"/>
          <w:numId w:val="131"/>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ocena wizualna dostarczonej mieszanki mineralno-asfaltowej.</w:t>
      </w:r>
    </w:p>
    <w:p w14:paraId="08A56E3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Wykonana warstwa:</w:t>
      </w:r>
    </w:p>
    <w:p w14:paraId="4D815BDD" w14:textId="77777777" w:rsidR="00CC1EF4" w:rsidRPr="004853EB" w:rsidRDefault="00CC1EF4">
      <w:pPr>
        <w:numPr>
          <w:ilvl w:val="0"/>
          <w:numId w:val="132"/>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wskaźnik zagęszczenia</w:t>
      </w:r>
    </w:p>
    <w:p w14:paraId="76AE161B" w14:textId="77777777" w:rsidR="00CC1EF4" w:rsidRPr="004853EB" w:rsidRDefault="00CC1EF4">
      <w:pPr>
        <w:numPr>
          <w:ilvl w:val="0"/>
          <w:numId w:val="132"/>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grubość warstwy lub ilość zużytego materiału,</w:t>
      </w:r>
    </w:p>
    <w:p w14:paraId="0F930E6F" w14:textId="77777777" w:rsidR="00CC1EF4" w:rsidRPr="004853EB" w:rsidRDefault="00CC1EF4">
      <w:pPr>
        <w:numPr>
          <w:ilvl w:val="0"/>
          <w:numId w:val="132"/>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równość podłużna i poprzeczna,</w:t>
      </w:r>
    </w:p>
    <w:p w14:paraId="179D7F49" w14:textId="77777777" w:rsidR="00CC1EF4" w:rsidRPr="004853EB" w:rsidRDefault="00CC1EF4">
      <w:pPr>
        <w:numPr>
          <w:ilvl w:val="0"/>
          <w:numId w:val="132"/>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spadki poprzeczne,</w:t>
      </w:r>
    </w:p>
    <w:p w14:paraId="1028C786" w14:textId="77777777" w:rsidR="00CC1EF4" w:rsidRPr="004853EB" w:rsidRDefault="00CC1EF4">
      <w:pPr>
        <w:numPr>
          <w:ilvl w:val="0"/>
          <w:numId w:val="132"/>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zawartość wolnych przestrzeni,</w:t>
      </w:r>
    </w:p>
    <w:p w14:paraId="077B1568" w14:textId="77777777" w:rsidR="00CC1EF4" w:rsidRPr="004853EB" w:rsidRDefault="00CC1EF4">
      <w:pPr>
        <w:numPr>
          <w:ilvl w:val="0"/>
          <w:numId w:val="132"/>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złącza technologiczne,</w:t>
      </w:r>
    </w:p>
    <w:p w14:paraId="17F0F353" w14:textId="77777777" w:rsidR="00CC1EF4" w:rsidRPr="004853EB" w:rsidRDefault="00CC1EF4">
      <w:pPr>
        <w:numPr>
          <w:ilvl w:val="0"/>
          <w:numId w:val="132"/>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szerokość warstwy,</w:t>
      </w:r>
    </w:p>
    <w:p w14:paraId="11B38801" w14:textId="77777777" w:rsidR="00CC1EF4" w:rsidRPr="004853EB" w:rsidRDefault="00CC1EF4">
      <w:pPr>
        <w:numPr>
          <w:ilvl w:val="0"/>
          <w:numId w:val="132"/>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rzędne wysokościowe,</w:t>
      </w:r>
    </w:p>
    <w:p w14:paraId="2F754177" w14:textId="77777777" w:rsidR="00CC1EF4" w:rsidRPr="004853EB" w:rsidRDefault="00CC1EF4">
      <w:pPr>
        <w:numPr>
          <w:ilvl w:val="0"/>
          <w:numId w:val="132"/>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ukształtowanie osi w planie,</w:t>
      </w:r>
    </w:p>
    <w:p w14:paraId="405D476D" w14:textId="77777777" w:rsidR="00CC1EF4" w:rsidRPr="004853EB" w:rsidRDefault="00CC1EF4">
      <w:pPr>
        <w:numPr>
          <w:ilvl w:val="0"/>
          <w:numId w:val="132"/>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ocena wizualna warstwy.</w:t>
      </w:r>
    </w:p>
    <w:p w14:paraId="5589E83A" w14:textId="77777777" w:rsidR="00CC1EF4" w:rsidRPr="004853EB" w:rsidRDefault="00CC1EF4" w:rsidP="00CC1EF4">
      <w:pPr>
        <w:keepNext/>
        <w:spacing w:after="0" w:line="240" w:lineRule="auto"/>
        <w:jc w:val="both"/>
        <w:rPr>
          <w:rFonts w:eastAsia="Times New Roman" w:cstheme="minorHAnsi"/>
          <w:b/>
          <w:color w:val="000000"/>
          <w:sz w:val="20"/>
          <w:szCs w:val="20"/>
          <w:lang w:eastAsia="pl-PL"/>
        </w:rPr>
      </w:pPr>
      <w:r w:rsidRPr="004853EB">
        <w:rPr>
          <w:rFonts w:eastAsia="Times New Roman" w:cstheme="minorHAnsi"/>
          <w:color w:val="000000"/>
          <w:sz w:val="20"/>
          <w:szCs w:val="20"/>
          <w:vertAlign w:val="superscript"/>
          <w:lang w:eastAsia="pl-PL"/>
        </w:rPr>
        <w:t>a)</w:t>
      </w:r>
      <w:r w:rsidRPr="004853EB">
        <w:rPr>
          <w:rFonts w:eastAsia="Times New Roman" w:cstheme="minorHAnsi"/>
          <w:color w:val="000000"/>
          <w:sz w:val="20"/>
          <w:szCs w:val="20"/>
          <w:lang w:eastAsia="pl-PL"/>
        </w:rPr>
        <w:t xml:space="preserve">  w razie potrzeby specjalne kruszywa i dodatki.</w:t>
      </w:r>
    </w:p>
    <w:p w14:paraId="269EEBCA" w14:textId="77777777" w:rsidR="00CC1EF4" w:rsidRPr="004853EB" w:rsidRDefault="00CC1EF4" w:rsidP="00CC1EF4">
      <w:pPr>
        <w:spacing w:before="120" w:after="120" w:line="240" w:lineRule="auto"/>
        <w:jc w:val="both"/>
        <w:rPr>
          <w:rFonts w:eastAsia="Times New Roman" w:cstheme="minorHAnsi"/>
          <w:b/>
          <w:color w:val="000000"/>
          <w:sz w:val="20"/>
          <w:szCs w:val="20"/>
          <w:lang w:eastAsia="pl-PL"/>
        </w:rPr>
      </w:pPr>
    </w:p>
    <w:p w14:paraId="39C85B62"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6.5.1.</w:t>
      </w:r>
      <w:r w:rsidRPr="004853EB">
        <w:rPr>
          <w:rFonts w:eastAsia="Times New Roman" w:cstheme="minorHAnsi"/>
          <w:color w:val="000000"/>
          <w:sz w:val="20"/>
          <w:szCs w:val="20"/>
          <w:lang w:eastAsia="pl-PL"/>
        </w:rPr>
        <w:t xml:space="preserve"> Badanie materiałów wsadowych</w:t>
      </w:r>
    </w:p>
    <w:p w14:paraId="56667E84" w14:textId="42977F0E"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Właściwości materiałów wsadowych należy oceniać na podstawie badań pobranych próbek w miejscu </w:t>
      </w:r>
      <w:r w:rsidR="00C562CD" w:rsidRPr="004853EB">
        <w:rPr>
          <w:rFonts w:eastAsia="Times New Roman" w:cstheme="minorHAnsi"/>
          <w:color w:val="000000"/>
          <w:sz w:val="20"/>
          <w:szCs w:val="20"/>
          <w:lang w:eastAsia="pl-PL"/>
        </w:rPr>
        <w:t>produkcji mieszanki</w:t>
      </w:r>
      <w:r w:rsidRPr="004853EB">
        <w:rPr>
          <w:rFonts w:eastAsia="Times New Roman" w:cstheme="minorHAnsi"/>
          <w:color w:val="000000"/>
          <w:sz w:val="20"/>
          <w:szCs w:val="20"/>
          <w:lang w:eastAsia="pl-PL"/>
        </w:rPr>
        <w:t xml:space="preserve"> mineralno-asfaltowej. </w:t>
      </w:r>
    </w:p>
    <w:p w14:paraId="35106578"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Do oceny jakości materiałów wsadowych mieszanki mineralno-asfaltowej, za zgodą nadzoru </w:t>
      </w:r>
      <w:r w:rsidRPr="004853EB">
        <w:rPr>
          <w:rFonts w:eastAsia="Times New Roman" w:cstheme="minorHAnsi"/>
          <w:color w:val="000000"/>
          <w:sz w:val="20"/>
          <w:szCs w:val="20"/>
          <w:lang w:eastAsia="pl-PL"/>
        </w:rPr>
        <w:br/>
        <w:t xml:space="preserve">i Zamawiającego mogą posłużyć wyniki badań wykonanych w ramach zakładowej kontroli produkcji. </w:t>
      </w:r>
    </w:p>
    <w:p w14:paraId="51118C6D" w14:textId="77777777" w:rsidR="00CC1EF4" w:rsidRPr="004853EB" w:rsidRDefault="00CC1EF4" w:rsidP="00CC1EF4">
      <w:pPr>
        <w:spacing w:before="120" w:after="120" w:line="240" w:lineRule="auto"/>
        <w:ind w:right="-57"/>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6.5.1.1.</w:t>
      </w:r>
      <w:r w:rsidRPr="004853EB">
        <w:rPr>
          <w:rFonts w:eastAsia="Times New Roman" w:cstheme="minorHAnsi"/>
          <w:b/>
          <w:color w:val="000000"/>
          <w:sz w:val="20"/>
          <w:szCs w:val="20"/>
          <w:lang w:eastAsia="pl-PL"/>
        </w:rPr>
        <w:t xml:space="preserve"> </w:t>
      </w:r>
      <w:r w:rsidRPr="004853EB">
        <w:rPr>
          <w:rFonts w:eastAsia="Times New Roman" w:cstheme="minorHAnsi"/>
          <w:color w:val="000000"/>
          <w:sz w:val="20"/>
          <w:szCs w:val="20"/>
          <w:lang w:eastAsia="pl-PL"/>
        </w:rPr>
        <w:t>Kruszywa i wypełniacz</w:t>
      </w:r>
    </w:p>
    <w:p w14:paraId="294517A7" w14:textId="77777777" w:rsidR="00CC1EF4" w:rsidRPr="004853EB" w:rsidRDefault="00CC1EF4" w:rsidP="00CC1EF4">
      <w:pPr>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Z kruszywa należy pobrać i zbadać średnie próbki. Wielkość pobranej średniej próbki nie może być mniejsza niż: </w:t>
      </w:r>
    </w:p>
    <w:p w14:paraId="5AA92447" w14:textId="77777777" w:rsidR="00CC1EF4" w:rsidRPr="004853EB" w:rsidRDefault="00CC1EF4">
      <w:pPr>
        <w:widowControl w:val="0"/>
        <w:numPr>
          <w:ilvl w:val="0"/>
          <w:numId w:val="97"/>
        </w:numPr>
        <w:tabs>
          <w:tab w:val="left" w:pos="426"/>
        </w:tabs>
        <w:spacing w:after="0" w:line="240" w:lineRule="auto"/>
        <w:ind w:left="426" w:right="-57" w:hanging="426"/>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wypełniacz</w:t>
      </w:r>
      <w:r w:rsidRPr="004853EB">
        <w:rPr>
          <w:rFonts w:eastAsia="Times New Roman" w:cstheme="minorHAnsi"/>
          <w:color w:val="000000"/>
          <w:sz w:val="20"/>
          <w:szCs w:val="20"/>
          <w:lang w:eastAsia="pl-PL"/>
        </w:rPr>
        <w:tab/>
      </w:r>
      <w:r w:rsidRPr="004853EB">
        <w:rPr>
          <w:rFonts w:eastAsia="Times New Roman" w:cstheme="minorHAnsi"/>
          <w:color w:val="000000"/>
          <w:sz w:val="20"/>
          <w:szCs w:val="20"/>
          <w:lang w:eastAsia="pl-PL"/>
        </w:rPr>
        <w:tab/>
      </w:r>
      <w:r w:rsidRPr="004853EB">
        <w:rPr>
          <w:rFonts w:eastAsia="Times New Roman" w:cstheme="minorHAnsi"/>
          <w:color w:val="000000"/>
          <w:sz w:val="20"/>
          <w:szCs w:val="20"/>
          <w:lang w:eastAsia="pl-PL"/>
        </w:rPr>
        <w:tab/>
      </w:r>
      <w:r w:rsidRPr="004853EB">
        <w:rPr>
          <w:rFonts w:eastAsia="Times New Roman" w:cstheme="minorHAnsi"/>
          <w:color w:val="000000"/>
          <w:sz w:val="20"/>
          <w:szCs w:val="20"/>
          <w:lang w:eastAsia="pl-PL"/>
        </w:rPr>
        <w:tab/>
      </w:r>
      <w:r w:rsidRPr="004853EB">
        <w:rPr>
          <w:rFonts w:eastAsia="Times New Roman" w:cstheme="minorHAnsi"/>
          <w:color w:val="000000"/>
          <w:sz w:val="20"/>
          <w:szCs w:val="20"/>
          <w:lang w:eastAsia="pl-PL"/>
        </w:rPr>
        <w:tab/>
        <w:t>2 kg,</w:t>
      </w:r>
    </w:p>
    <w:p w14:paraId="25E1A3FE" w14:textId="77777777" w:rsidR="00CC1EF4" w:rsidRPr="004853EB" w:rsidRDefault="00CC1EF4">
      <w:pPr>
        <w:widowControl w:val="0"/>
        <w:numPr>
          <w:ilvl w:val="0"/>
          <w:numId w:val="97"/>
        </w:numPr>
        <w:tabs>
          <w:tab w:val="left" w:pos="426"/>
        </w:tabs>
        <w:spacing w:after="0" w:line="240" w:lineRule="auto"/>
        <w:ind w:left="426" w:right="-57" w:hanging="426"/>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kruszywa o uziarnieniu do 8 mm</w:t>
      </w:r>
      <w:r w:rsidRPr="004853EB">
        <w:rPr>
          <w:rFonts w:eastAsia="Times New Roman" w:cstheme="minorHAnsi"/>
          <w:color w:val="000000"/>
          <w:sz w:val="20"/>
          <w:szCs w:val="20"/>
          <w:lang w:eastAsia="pl-PL"/>
        </w:rPr>
        <w:tab/>
      </w:r>
      <w:r w:rsidRPr="004853EB">
        <w:rPr>
          <w:rFonts w:eastAsia="Times New Roman" w:cstheme="minorHAnsi"/>
          <w:color w:val="000000"/>
          <w:sz w:val="20"/>
          <w:szCs w:val="20"/>
          <w:lang w:eastAsia="pl-PL"/>
        </w:rPr>
        <w:tab/>
        <w:t>5 kg,</w:t>
      </w:r>
    </w:p>
    <w:p w14:paraId="5C5D05D6" w14:textId="77777777" w:rsidR="00CC1EF4" w:rsidRPr="004853EB" w:rsidRDefault="00CC1EF4">
      <w:pPr>
        <w:widowControl w:val="0"/>
        <w:numPr>
          <w:ilvl w:val="0"/>
          <w:numId w:val="97"/>
        </w:numPr>
        <w:tabs>
          <w:tab w:val="left" w:pos="426"/>
        </w:tabs>
        <w:spacing w:after="0" w:line="240" w:lineRule="auto"/>
        <w:ind w:left="426" w:right="-57" w:hanging="426"/>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kruszywa o uziarnieniu powyżej 8 mm</w:t>
      </w:r>
      <w:r w:rsidRPr="004853EB">
        <w:rPr>
          <w:rFonts w:eastAsia="Times New Roman" w:cstheme="minorHAnsi"/>
          <w:color w:val="000000"/>
          <w:sz w:val="20"/>
          <w:szCs w:val="20"/>
          <w:lang w:eastAsia="pl-PL"/>
        </w:rPr>
        <w:tab/>
      </w:r>
      <w:r w:rsidRPr="004853EB">
        <w:rPr>
          <w:rFonts w:eastAsia="Times New Roman" w:cstheme="minorHAnsi"/>
          <w:color w:val="000000"/>
          <w:sz w:val="20"/>
          <w:szCs w:val="20"/>
          <w:lang w:eastAsia="pl-PL"/>
        </w:rPr>
        <w:tab/>
        <w:t>15 kg.</w:t>
      </w:r>
    </w:p>
    <w:p w14:paraId="77B5D647" w14:textId="090984BE" w:rsidR="00CC1EF4" w:rsidRPr="004853EB" w:rsidRDefault="00CC1EF4" w:rsidP="00CC1EF4">
      <w:pPr>
        <w:widowControl w:val="0"/>
        <w:tabs>
          <w:tab w:val="left" w:pos="426"/>
        </w:tabs>
        <w:spacing w:after="0" w:line="240" w:lineRule="auto"/>
        <w:ind w:right="-57"/>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r>
      <w:r w:rsidRPr="004853EB">
        <w:rPr>
          <w:rFonts w:eastAsia="Times New Roman" w:cstheme="minorHAnsi"/>
          <w:color w:val="000000"/>
          <w:sz w:val="20"/>
          <w:szCs w:val="20"/>
          <w:lang w:eastAsia="pl-PL"/>
        </w:rPr>
        <w:tab/>
        <w:t xml:space="preserve">Wypełniacz i kruszywa powinny spełniać wymagania podane w </w:t>
      </w:r>
      <w:r w:rsidR="00C562CD" w:rsidRPr="004853EB">
        <w:rPr>
          <w:rFonts w:eastAsia="Times New Roman" w:cstheme="minorHAnsi"/>
          <w:color w:val="000000"/>
          <w:sz w:val="20"/>
          <w:szCs w:val="20"/>
          <w:lang w:eastAsia="pl-PL"/>
        </w:rPr>
        <w:t>pkcie 2.3.</w:t>
      </w:r>
    </w:p>
    <w:p w14:paraId="15EA6572" w14:textId="77777777" w:rsidR="00CC1EF4" w:rsidRPr="004853EB" w:rsidRDefault="00CC1EF4" w:rsidP="00CC1EF4">
      <w:pPr>
        <w:spacing w:before="120" w:after="120" w:line="240" w:lineRule="auto"/>
        <w:ind w:right="-57"/>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6.5.1.2. Lepiszcze </w:t>
      </w:r>
    </w:p>
    <w:p w14:paraId="5C427F6F" w14:textId="2E2DFB55" w:rsidR="00CC1EF4" w:rsidRPr="004853EB" w:rsidRDefault="00CC1EF4" w:rsidP="00CC1EF4">
      <w:pPr>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Z lepiszcza należy pobrać próbkę średnią składająca się z 3 próbek częściowych po 2 kg. Z tego jedną próbkę częściową należy poddać badaniom. Ponadto </w:t>
      </w:r>
      <w:r w:rsidR="00C562CD" w:rsidRPr="004853EB">
        <w:rPr>
          <w:rFonts w:eastAsia="Times New Roman" w:cstheme="minorHAnsi"/>
          <w:color w:val="000000"/>
          <w:sz w:val="20"/>
          <w:szCs w:val="20"/>
          <w:lang w:eastAsia="pl-PL"/>
        </w:rPr>
        <w:t>należy zbadać</w:t>
      </w:r>
      <w:r w:rsidRPr="004853EB">
        <w:rPr>
          <w:rFonts w:eastAsia="Times New Roman" w:cstheme="minorHAnsi"/>
          <w:color w:val="000000"/>
          <w:sz w:val="20"/>
          <w:szCs w:val="20"/>
          <w:lang w:eastAsia="pl-PL"/>
        </w:rPr>
        <w:t xml:space="preserve"> kolejną próbkę, jeżeli wygląd zewnętrzny (jednolitość, kolor, zapach, zanieczyszczenia) może budzić obawy.</w:t>
      </w:r>
    </w:p>
    <w:p w14:paraId="7E1FA7ED" w14:textId="77777777" w:rsidR="00CC1EF4" w:rsidRPr="004853EB" w:rsidRDefault="00CC1EF4" w:rsidP="00CC1EF4">
      <w:pPr>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powinny spełniać wymagania podane w pkcie 2.2.</w:t>
      </w:r>
    </w:p>
    <w:p w14:paraId="1F7A30CD" w14:textId="77777777" w:rsidR="00CC1EF4" w:rsidRPr="004853EB" w:rsidRDefault="00CC1EF4" w:rsidP="00CC1EF4">
      <w:pPr>
        <w:spacing w:before="120" w:after="120" w:line="240" w:lineRule="auto"/>
        <w:ind w:right="-57"/>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6.5.1.3. Materiały do uszczelniania połączeń </w:t>
      </w:r>
    </w:p>
    <w:p w14:paraId="2DAEEC22" w14:textId="77777777" w:rsidR="00CC1EF4" w:rsidRPr="004853EB" w:rsidRDefault="00CC1EF4" w:rsidP="00CC1EF4">
      <w:pPr>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 lepiszcza lub materiałów termoplastycznych należy pobrać próbki średnie składające się z 3 próbek częściowych po 2 kg. Z tego jedną próbkę częściową należy poddać badaniom. Ponadto należy pobrać i zbadać kolejną próbkę, jeżeli zewnętrzny wygląd (jednolitość, kolor, połysk, zapach, zanieczyszczenia) może budzić obawy.</w:t>
      </w:r>
    </w:p>
    <w:p w14:paraId="2AA5AF04" w14:textId="77777777" w:rsidR="00CC1EF4" w:rsidRPr="004853EB" w:rsidRDefault="00CC1EF4" w:rsidP="00CC1EF4">
      <w:pPr>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Materiały do uszczelniania połączeń powinny spełniać wymagania podane w pkcie 2.6.</w:t>
      </w:r>
    </w:p>
    <w:p w14:paraId="3137FE0D" w14:textId="77777777" w:rsidR="00CC1EF4" w:rsidRPr="004853EB" w:rsidRDefault="00CC1EF4" w:rsidP="00CC1EF4">
      <w:pPr>
        <w:spacing w:before="120" w:after="120" w:line="240" w:lineRule="auto"/>
        <w:ind w:right="-57"/>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6.5.2.</w:t>
      </w:r>
      <w:r w:rsidRPr="004853EB">
        <w:rPr>
          <w:rFonts w:eastAsia="Times New Roman" w:cstheme="minorHAnsi"/>
          <w:color w:val="000000"/>
          <w:sz w:val="20"/>
          <w:szCs w:val="20"/>
          <w:lang w:eastAsia="pl-PL"/>
        </w:rPr>
        <w:t xml:space="preserve"> Badania mieszanki mineralno-asfaltowej  </w:t>
      </w:r>
    </w:p>
    <w:p w14:paraId="4C1A0B25"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1E2A5CCA"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Do oceny jakości mieszanki mineralno-asfaltowej za zgodą nadzoru i Zamawiającego mogą posłużyć wyniki badań wykonanych w ramach zakładowej kontroli produkcji.  </w:t>
      </w:r>
    </w:p>
    <w:p w14:paraId="5A367CC2"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Na etapie oceny jakości wbudowanej mieszanki mineralno-asfaltowej podaje się wartości dopuszczalne </w:t>
      </w:r>
      <w:r w:rsidRPr="004853EB">
        <w:rPr>
          <w:rFonts w:eastAsia="Times New Roman" w:cstheme="minorHAnsi"/>
          <w:color w:val="000000"/>
          <w:sz w:val="20"/>
          <w:szCs w:val="20"/>
          <w:lang w:eastAsia="pl-PL"/>
        </w:rPr>
        <w:br/>
        <w:t>i tolerancje, w których uwzględnia się: rozrzut występujący przy pobieraniu próbek, dokładność metod badań oraz odstępstwa uwarunkowane metodą pracy.</w:t>
      </w:r>
    </w:p>
    <w:p w14:paraId="775D1456"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Właściwości materiałów budowlanych należy określać dla każdej warstwy technologicznej, a metody badań powinny być zgodne z wymaganiami podanymi poniżej, chyba że ST lub dokumentacja projektowa podają inaczej. </w:t>
      </w:r>
    </w:p>
    <w:p w14:paraId="48E21CBB" w14:textId="77777777" w:rsidR="00CC1EF4" w:rsidRPr="004853EB" w:rsidRDefault="00CC1EF4" w:rsidP="00CC1EF4">
      <w:pPr>
        <w:keepNext/>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6.5.2.1. Uziarnienie </w:t>
      </w:r>
    </w:p>
    <w:p w14:paraId="25750495" w14:textId="77777777" w:rsidR="00CC1EF4" w:rsidRPr="004853EB" w:rsidRDefault="00CC1EF4" w:rsidP="00CC1EF4">
      <w:pPr>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Uziarnienie każdej próbki pobranej z luźnej mieszanki mineralno-asfaltowej nie może odbiegać od wartości projektowanej, z uwzględnieniem dopuszczalnych odchyłek podanych w tablicy 23, w zależności od liczby wyników badań z danego odcinka budowy. Wyniki badań nie uwzględniają badań kontrolnych dodatkowych.</w:t>
      </w:r>
    </w:p>
    <w:p w14:paraId="153D8905" w14:textId="77777777" w:rsidR="00CC1EF4" w:rsidRPr="004853EB" w:rsidRDefault="00CC1EF4" w:rsidP="00CC1EF4">
      <w:pPr>
        <w:spacing w:before="120" w:after="120" w:line="240" w:lineRule="auto"/>
        <w:ind w:left="1321" w:right="-57" w:hanging="1321"/>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Tablica 23.</w:t>
      </w:r>
      <w:r w:rsidRPr="004853EB">
        <w:rPr>
          <w:rFonts w:eastAsia="Times New Roman" w:cstheme="minorHAnsi"/>
          <w:color w:val="000000"/>
          <w:sz w:val="20"/>
          <w:szCs w:val="20"/>
          <w:lang w:eastAsia="pl-PL"/>
        </w:rPr>
        <w:tab/>
        <w:t xml:space="preserve">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8"/>
        <w:gridCol w:w="720"/>
        <w:gridCol w:w="720"/>
        <w:gridCol w:w="1080"/>
        <w:gridCol w:w="1080"/>
        <w:gridCol w:w="1200"/>
        <w:gridCol w:w="786"/>
      </w:tblGrid>
      <w:tr w:rsidR="00CC1EF4" w:rsidRPr="004853EB" w14:paraId="3C0ED1EC" w14:textId="77777777" w:rsidTr="00E95D02">
        <w:tc>
          <w:tcPr>
            <w:tcW w:w="3228" w:type="dxa"/>
            <w:vMerge w:val="restart"/>
          </w:tcPr>
          <w:p w14:paraId="74BE43D4" w14:textId="77777777" w:rsidR="00CC1EF4" w:rsidRPr="004853EB" w:rsidRDefault="00CC1EF4" w:rsidP="00CC1EF4">
            <w:pPr>
              <w:tabs>
                <w:tab w:val="left" w:pos="1877"/>
              </w:tabs>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Kruszywo o wymiarze</w:t>
            </w:r>
          </w:p>
        </w:tc>
        <w:tc>
          <w:tcPr>
            <w:tcW w:w="5586" w:type="dxa"/>
            <w:gridSpan w:val="6"/>
          </w:tcPr>
          <w:p w14:paraId="423D1300"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Liczba wyników badań</w:t>
            </w:r>
          </w:p>
        </w:tc>
      </w:tr>
      <w:tr w:rsidR="00CC1EF4" w:rsidRPr="004853EB" w14:paraId="6FD52D7C" w14:textId="77777777" w:rsidTr="00E95D02">
        <w:tc>
          <w:tcPr>
            <w:tcW w:w="3228" w:type="dxa"/>
            <w:vMerge/>
          </w:tcPr>
          <w:p w14:paraId="1F982C4B" w14:textId="77777777" w:rsidR="00CC1EF4" w:rsidRPr="004853EB" w:rsidRDefault="00CC1EF4" w:rsidP="00CC1EF4">
            <w:pPr>
              <w:tabs>
                <w:tab w:val="left" w:pos="1877"/>
              </w:tabs>
              <w:spacing w:after="0" w:line="240" w:lineRule="auto"/>
              <w:ind w:right="-57"/>
              <w:jc w:val="both"/>
              <w:rPr>
                <w:rFonts w:eastAsia="Times New Roman" w:cstheme="minorHAnsi"/>
                <w:color w:val="000000"/>
                <w:sz w:val="18"/>
                <w:szCs w:val="18"/>
                <w:lang w:eastAsia="pl-PL"/>
              </w:rPr>
            </w:pPr>
          </w:p>
        </w:tc>
        <w:tc>
          <w:tcPr>
            <w:tcW w:w="720" w:type="dxa"/>
          </w:tcPr>
          <w:p w14:paraId="2BE7FFC1"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w:t>
            </w:r>
          </w:p>
        </w:tc>
        <w:tc>
          <w:tcPr>
            <w:tcW w:w="720" w:type="dxa"/>
          </w:tcPr>
          <w:p w14:paraId="7E4B6607"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w:t>
            </w:r>
          </w:p>
        </w:tc>
        <w:tc>
          <w:tcPr>
            <w:tcW w:w="1080" w:type="dxa"/>
          </w:tcPr>
          <w:p w14:paraId="2D960F5C"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 3do 4</w:t>
            </w:r>
          </w:p>
        </w:tc>
        <w:tc>
          <w:tcPr>
            <w:tcW w:w="1080" w:type="dxa"/>
          </w:tcPr>
          <w:p w14:paraId="70D7F6CA"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 5 do 8</w:t>
            </w:r>
          </w:p>
        </w:tc>
        <w:tc>
          <w:tcPr>
            <w:tcW w:w="1200" w:type="dxa"/>
          </w:tcPr>
          <w:p w14:paraId="28239055"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 9 do 19</w:t>
            </w:r>
          </w:p>
        </w:tc>
        <w:tc>
          <w:tcPr>
            <w:tcW w:w="786" w:type="dxa"/>
          </w:tcPr>
          <w:p w14:paraId="7764C48C"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≥20</w:t>
            </w:r>
          </w:p>
        </w:tc>
      </w:tr>
      <w:tr w:rsidR="00CC1EF4" w:rsidRPr="004853EB" w14:paraId="00F81DE3" w14:textId="77777777" w:rsidTr="00E95D02">
        <w:tc>
          <w:tcPr>
            <w:tcW w:w="3228" w:type="dxa"/>
          </w:tcPr>
          <w:p w14:paraId="603EED59" w14:textId="77777777" w:rsidR="00CC1EF4" w:rsidRPr="004853EB" w:rsidRDefault="00CC1EF4" w:rsidP="00CC1EF4">
            <w:pPr>
              <w:tabs>
                <w:tab w:val="left" w:pos="1877"/>
              </w:tabs>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&lt; 0,063 mm [%(m/m) –mieszanki gruboziarniste</w:t>
            </w:r>
          </w:p>
        </w:tc>
        <w:tc>
          <w:tcPr>
            <w:tcW w:w="720" w:type="dxa"/>
          </w:tcPr>
          <w:p w14:paraId="6924608C"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±4,0</w:t>
            </w:r>
          </w:p>
        </w:tc>
        <w:tc>
          <w:tcPr>
            <w:tcW w:w="720" w:type="dxa"/>
          </w:tcPr>
          <w:p w14:paraId="3398C64F"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±3,6</w:t>
            </w:r>
          </w:p>
        </w:tc>
        <w:tc>
          <w:tcPr>
            <w:tcW w:w="1080" w:type="dxa"/>
          </w:tcPr>
          <w:p w14:paraId="06FC8A50"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±3,2</w:t>
            </w:r>
          </w:p>
        </w:tc>
        <w:tc>
          <w:tcPr>
            <w:tcW w:w="1080" w:type="dxa"/>
          </w:tcPr>
          <w:p w14:paraId="2152C8BA"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±2,9</w:t>
            </w:r>
          </w:p>
        </w:tc>
        <w:tc>
          <w:tcPr>
            <w:tcW w:w="1200" w:type="dxa"/>
          </w:tcPr>
          <w:p w14:paraId="7FEB3ABE"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±2,4</w:t>
            </w:r>
          </w:p>
        </w:tc>
        <w:tc>
          <w:tcPr>
            <w:tcW w:w="786" w:type="dxa"/>
          </w:tcPr>
          <w:p w14:paraId="7E398D8C"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±2,0</w:t>
            </w:r>
          </w:p>
        </w:tc>
      </w:tr>
      <w:tr w:rsidR="00CC1EF4" w:rsidRPr="004853EB" w14:paraId="71A6A6AC" w14:textId="77777777" w:rsidTr="00E95D02">
        <w:tc>
          <w:tcPr>
            <w:tcW w:w="3228" w:type="dxa"/>
          </w:tcPr>
          <w:p w14:paraId="499F41D7" w14:textId="77777777" w:rsidR="00CC1EF4" w:rsidRPr="004853EB" w:rsidRDefault="00CC1EF4" w:rsidP="00CC1EF4">
            <w:pPr>
              <w:tabs>
                <w:tab w:val="left" w:pos="1877"/>
              </w:tabs>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&lt; 0,063 mm [%(m/m) –mieszanki drobnoziarniste</w:t>
            </w:r>
          </w:p>
        </w:tc>
        <w:tc>
          <w:tcPr>
            <w:tcW w:w="720" w:type="dxa"/>
          </w:tcPr>
          <w:p w14:paraId="7DADADAB"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±3,0</w:t>
            </w:r>
          </w:p>
        </w:tc>
        <w:tc>
          <w:tcPr>
            <w:tcW w:w="720" w:type="dxa"/>
          </w:tcPr>
          <w:p w14:paraId="0AEC7941"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±2,7</w:t>
            </w:r>
          </w:p>
        </w:tc>
        <w:tc>
          <w:tcPr>
            <w:tcW w:w="1080" w:type="dxa"/>
          </w:tcPr>
          <w:p w14:paraId="2CF4571B"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±2,4</w:t>
            </w:r>
          </w:p>
        </w:tc>
        <w:tc>
          <w:tcPr>
            <w:tcW w:w="1080" w:type="dxa"/>
          </w:tcPr>
          <w:p w14:paraId="34BE6BE5"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±2,1</w:t>
            </w:r>
          </w:p>
        </w:tc>
        <w:tc>
          <w:tcPr>
            <w:tcW w:w="1200" w:type="dxa"/>
          </w:tcPr>
          <w:p w14:paraId="083DF5CE"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±1,8</w:t>
            </w:r>
          </w:p>
        </w:tc>
        <w:tc>
          <w:tcPr>
            <w:tcW w:w="786" w:type="dxa"/>
          </w:tcPr>
          <w:p w14:paraId="4C0B897F"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±1,5</w:t>
            </w:r>
          </w:p>
        </w:tc>
      </w:tr>
      <w:tr w:rsidR="00CC1EF4" w:rsidRPr="004853EB" w14:paraId="6C5CA0C4" w14:textId="77777777" w:rsidTr="00E95D02">
        <w:tc>
          <w:tcPr>
            <w:tcW w:w="3228" w:type="dxa"/>
          </w:tcPr>
          <w:p w14:paraId="21551703" w14:textId="77777777" w:rsidR="00CC1EF4" w:rsidRPr="004853EB" w:rsidRDefault="00CC1EF4" w:rsidP="00CC1EF4">
            <w:pPr>
              <w:tabs>
                <w:tab w:val="left" w:pos="1877"/>
              </w:tabs>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&lt; 0,125 mm, [%(m/m)] – mieszanki gruboziarniste</w:t>
            </w:r>
          </w:p>
        </w:tc>
        <w:tc>
          <w:tcPr>
            <w:tcW w:w="720" w:type="dxa"/>
          </w:tcPr>
          <w:p w14:paraId="586091C0"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w:t>
            </w:r>
          </w:p>
        </w:tc>
        <w:tc>
          <w:tcPr>
            <w:tcW w:w="720" w:type="dxa"/>
          </w:tcPr>
          <w:p w14:paraId="0BC44D6B"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±4,4</w:t>
            </w:r>
          </w:p>
        </w:tc>
        <w:tc>
          <w:tcPr>
            <w:tcW w:w="1080" w:type="dxa"/>
          </w:tcPr>
          <w:p w14:paraId="04DAAD1C"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±3,9</w:t>
            </w:r>
          </w:p>
        </w:tc>
        <w:tc>
          <w:tcPr>
            <w:tcW w:w="1080" w:type="dxa"/>
          </w:tcPr>
          <w:p w14:paraId="542FB73B"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±3,4</w:t>
            </w:r>
          </w:p>
        </w:tc>
        <w:tc>
          <w:tcPr>
            <w:tcW w:w="1200" w:type="dxa"/>
          </w:tcPr>
          <w:p w14:paraId="459524C8"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±2,7</w:t>
            </w:r>
          </w:p>
        </w:tc>
        <w:tc>
          <w:tcPr>
            <w:tcW w:w="786" w:type="dxa"/>
          </w:tcPr>
          <w:p w14:paraId="05B0D80A"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±2,0</w:t>
            </w:r>
          </w:p>
        </w:tc>
      </w:tr>
      <w:tr w:rsidR="00CC1EF4" w:rsidRPr="004853EB" w14:paraId="035A20F0" w14:textId="77777777" w:rsidTr="00E95D02">
        <w:tc>
          <w:tcPr>
            <w:tcW w:w="3228" w:type="dxa"/>
          </w:tcPr>
          <w:p w14:paraId="389074B1" w14:textId="77777777" w:rsidR="00CC1EF4" w:rsidRPr="004853EB" w:rsidRDefault="00CC1EF4" w:rsidP="00CC1EF4">
            <w:pPr>
              <w:tabs>
                <w:tab w:val="left" w:pos="1877"/>
              </w:tabs>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&lt;0,125 mm, [%(m/m)] – mieszanki drobnoziarniste</w:t>
            </w:r>
          </w:p>
        </w:tc>
        <w:tc>
          <w:tcPr>
            <w:tcW w:w="720" w:type="dxa"/>
          </w:tcPr>
          <w:p w14:paraId="18D97CF3"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±4,0</w:t>
            </w:r>
          </w:p>
        </w:tc>
        <w:tc>
          <w:tcPr>
            <w:tcW w:w="720" w:type="dxa"/>
          </w:tcPr>
          <w:p w14:paraId="6A9B372A"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±3,6</w:t>
            </w:r>
          </w:p>
        </w:tc>
        <w:tc>
          <w:tcPr>
            <w:tcW w:w="1080" w:type="dxa"/>
          </w:tcPr>
          <w:p w14:paraId="5FA02BA2"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±3,3</w:t>
            </w:r>
          </w:p>
        </w:tc>
        <w:tc>
          <w:tcPr>
            <w:tcW w:w="1080" w:type="dxa"/>
          </w:tcPr>
          <w:p w14:paraId="1EB6DCD7"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±2,9</w:t>
            </w:r>
          </w:p>
        </w:tc>
        <w:tc>
          <w:tcPr>
            <w:tcW w:w="1200" w:type="dxa"/>
          </w:tcPr>
          <w:p w14:paraId="6842E8AA"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±2,5</w:t>
            </w:r>
          </w:p>
        </w:tc>
        <w:tc>
          <w:tcPr>
            <w:tcW w:w="786" w:type="dxa"/>
          </w:tcPr>
          <w:p w14:paraId="69E4A350" w14:textId="77777777" w:rsidR="00CC1EF4" w:rsidRPr="004853EB" w:rsidRDefault="00CC1EF4" w:rsidP="00CC1EF4">
            <w:pPr>
              <w:spacing w:before="18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±2,0</w:t>
            </w:r>
          </w:p>
        </w:tc>
      </w:tr>
      <w:tr w:rsidR="00CC1EF4" w:rsidRPr="004853EB" w14:paraId="7FE36B59" w14:textId="77777777" w:rsidTr="00E95D02">
        <w:tc>
          <w:tcPr>
            <w:tcW w:w="3228" w:type="dxa"/>
          </w:tcPr>
          <w:p w14:paraId="33AE47BE" w14:textId="77777777" w:rsidR="00CC1EF4" w:rsidRPr="004853EB" w:rsidRDefault="00CC1EF4" w:rsidP="00CC1EF4">
            <w:pPr>
              <w:tabs>
                <w:tab w:val="left" w:pos="1877"/>
              </w:tabs>
              <w:spacing w:before="6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 0,063 mm do 2 mm</w:t>
            </w:r>
          </w:p>
        </w:tc>
        <w:tc>
          <w:tcPr>
            <w:tcW w:w="720" w:type="dxa"/>
          </w:tcPr>
          <w:p w14:paraId="40031279"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w:t>
            </w:r>
          </w:p>
        </w:tc>
        <w:tc>
          <w:tcPr>
            <w:tcW w:w="720" w:type="dxa"/>
          </w:tcPr>
          <w:p w14:paraId="50E88C9D"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±6,1</w:t>
            </w:r>
          </w:p>
        </w:tc>
        <w:tc>
          <w:tcPr>
            <w:tcW w:w="1080" w:type="dxa"/>
          </w:tcPr>
          <w:p w14:paraId="04674904"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w:t>
            </w:r>
          </w:p>
        </w:tc>
        <w:tc>
          <w:tcPr>
            <w:tcW w:w="1080" w:type="dxa"/>
          </w:tcPr>
          <w:p w14:paraId="0968DA1A"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±4,1</w:t>
            </w:r>
          </w:p>
        </w:tc>
        <w:tc>
          <w:tcPr>
            <w:tcW w:w="1200" w:type="dxa"/>
          </w:tcPr>
          <w:p w14:paraId="1683BB0A"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±3,3</w:t>
            </w:r>
          </w:p>
        </w:tc>
        <w:tc>
          <w:tcPr>
            <w:tcW w:w="786" w:type="dxa"/>
          </w:tcPr>
          <w:p w14:paraId="56AB2CD2"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±3,0</w:t>
            </w:r>
          </w:p>
        </w:tc>
      </w:tr>
      <w:tr w:rsidR="00CC1EF4" w:rsidRPr="004853EB" w14:paraId="7C9DFB5D" w14:textId="77777777" w:rsidTr="00E95D02">
        <w:tc>
          <w:tcPr>
            <w:tcW w:w="3228" w:type="dxa"/>
          </w:tcPr>
          <w:p w14:paraId="529A2739" w14:textId="77777777" w:rsidR="00CC1EF4" w:rsidRPr="004853EB" w:rsidRDefault="00CC1EF4" w:rsidP="00CC1EF4">
            <w:pPr>
              <w:tabs>
                <w:tab w:val="left" w:pos="1877"/>
              </w:tabs>
              <w:spacing w:before="6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&gt; 2 mm </w:t>
            </w:r>
          </w:p>
        </w:tc>
        <w:tc>
          <w:tcPr>
            <w:tcW w:w="720" w:type="dxa"/>
          </w:tcPr>
          <w:p w14:paraId="7EDF9324"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w:t>
            </w:r>
          </w:p>
        </w:tc>
        <w:tc>
          <w:tcPr>
            <w:tcW w:w="720" w:type="dxa"/>
          </w:tcPr>
          <w:p w14:paraId="621CB952"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±6,1</w:t>
            </w:r>
          </w:p>
        </w:tc>
        <w:tc>
          <w:tcPr>
            <w:tcW w:w="1080" w:type="dxa"/>
          </w:tcPr>
          <w:p w14:paraId="02FE78B4"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w:t>
            </w:r>
          </w:p>
        </w:tc>
        <w:tc>
          <w:tcPr>
            <w:tcW w:w="1080" w:type="dxa"/>
          </w:tcPr>
          <w:p w14:paraId="776932CE"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±4,1</w:t>
            </w:r>
          </w:p>
        </w:tc>
        <w:tc>
          <w:tcPr>
            <w:tcW w:w="1200" w:type="dxa"/>
          </w:tcPr>
          <w:p w14:paraId="19CF097E"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±3,3</w:t>
            </w:r>
          </w:p>
        </w:tc>
        <w:tc>
          <w:tcPr>
            <w:tcW w:w="786" w:type="dxa"/>
          </w:tcPr>
          <w:p w14:paraId="36ABEC88"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±3,0</w:t>
            </w:r>
          </w:p>
        </w:tc>
      </w:tr>
      <w:tr w:rsidR="00CC1EF4" w:rsidRPr="004853EB" w14:paraId="45EE65AF" w14:textId="77777777" w:rsidTr="00E95D02">
        <w:tc>
          <w:tcPr>
            <w:tcW w:w="3228" w:type="dxa"/>
          </w:tcPr>
          <w:p w14:paraId="53C11672" w14:textId="77777777" w:rsidR="00CC1EF4" w:rsidRPr="004853EB" w:rsidRDefault="00CC1EF4" w:rsidP="00CC1EF4">
            <w:pPr>
              <w:tabs>
                <w:tab w:val="left" w:pos="1877"/>
              </w:tabs>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Ziarna grube </w:t>
            </w:r>
          </w:p>
          <w:p w14:paraId="3186F067" w14:textId="77777777" w:rsidR="00CC1EF4" w:rsidRPr="004853EB" w:rsidRDefault="00CC1EF4" w:rsidP="00CC1EF4">
            <w:pPr>
              <w:tabs>
                <w:tab w:val="left" w:pos="1877"/>
              </w:tabs>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(mieszanki drobnoziarniste)</w:t>
            </w:r>
          </w:p>
        </w:tc>
        <w:tc>
          <w:tcPr>
            <w:tcW w:w="720" w:type="dxa"/>
          </w:tcPr>
          <w:p w14:paraId="20C162DB"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-8    +5</w:t>
            </w:r>
          </w:p>
        </w:tc>
        <w:tc>
          <w:tcPr>
            <w:tcW w:w="720" w:type="dxa"/>
          </w:tcPr>
          <w:p w14:paraId="35FA3151"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-6,7   +4,7</w:t>
            </w:r>
          </w:p>
        </w:tc>
        <w:tc>
          <w:tcPr>
            <w:tcW w:w="1080" w:type="dxa"/>
          </w:tcPr>
          <w:p w14:paraId="5A42CE62"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-5,8   +4,5</w:t>
            </w:r>
          </w:p>
        </w:tc>
        <w:tc>
          <w:tcPr>
            <w:tcW w:w="1080" w:type="dxa"/>
          </w:tcPr>
          <w:p w14:paraId="4FF47D43"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-5,1   +4,3</w:t>
            </w:r>
          </w:p>
        </w:tc>
        <w:tc>
          <w:tcPr>
            <w:tcW w:w="1200" w:type="dxa"/>
          </w:tcPr>
          <w:p w14:paraId="71765040"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-4,4   </w:t>
            </w:r>
          </w:p>
          <w:p w14:paraId="62F18A14"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+4,1</w:t>
            </w:r>
          </w:p>
        </w:tc>
        <w:tc>
          <w:tcPr>
            <w:tcW w:w="786" w:type="dxa"/>
          </w:tcPr>
          <w:p w14:paraId="674B1195" w14:textId="77777777" w:rsidR="00CC1EF4" w:rsidRPr="004853EB" w:rsidRDefault="00CC1EF4" w:rsidP="00CC1EF4">
            <w:pPr>
              <w:spacing w:before="120"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±4,0</w:t>
            </w:r>
          </w:p>
        </w:tc>
      </w:tr>
      <w:tr w:rsidR="00CC1EF4" w:rsidRPr="004853EB" w14:paraId="719222A6" w14:textId="77777777" w:rsidTr="00E95D02">
        <w:tc>
          <w:tcPr>
            <w:tcW w:w="3228" w:type="dxa"/>
          </w:tcPr>
          <w:p w14:paraId="65BFBB45" w14:textId="77777777" w:rsidR="00CC1EF4" w:rsidRPr="004853EB" w:rsidRDefault="00CC1EF4" w:rsidP="00CC1EF4">
            <w:pPr>
              <w:tabs>
                <w:tab w:val="left" w:pos="1877"/>
              </w:tabs>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Ziarna grube </w:t>
            </w:r>
          </w:p>
          <w:p w14:paraId="078037F6" w14:textId="77777777" w:rsidR="00CC1EF4" w:rsidRPr="004853EB" w:rsidRDefault="00CC1EF4" w:rsidP="00CC1EF4">
            <w:pPr>
              <w:tabs>
                <w:tab w:val="left" w:pos="1877"/>
              </w:tabs>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(mieszanki gruboziarniste)</w:t>
            </w:r>
          </w:p>
        </w:tc>
        <w:tc>
          <w:tcPr>
            <w:tcW w:w="720" w:type="dxa"/>
          </w:tcPr>
          <w:p w14:paraId="5CEF8F70"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-9 +5,0</w:t>
            </w:r>
          </w:p>
        </w:tc>
        <w:tc>
          <w:tcPr>
            <w:tcW w:w="720" w:type="dxa"/>
          </w:tcPr>
          <w:p w14:paraId="6D5EA8EE"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-7,6 </w:t>
            </w:r>
          </w:p>
          <w:p w14:paraId="6383AC38"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w:t>
            </w:r>
          </w:p>
        </w:tc>
        <w:tc>
          <w:tcPr>
            <w:tcW w:w="1080" w:type="dxa"/>
          </w:tcPr>
          <w:p w14:paraId="4D72C0A0"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-6,8 </w:t>
            </w:r>
          </w:p>
          <w:p w14:paraId="4654A3A0"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w:t>
            </w:r>
          </w:p>
        </w:tc>
        <w:tc>
          <w:tcPr>
            <w:tcW w:w="1080" w:type="dxa"/>
          </w:tcPr>
          <w:p w14:paraId="38160160"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-6,1 </w:t>
            </w:r>
          </w:p>
          <w:p w14:paraId="3F3F87F5"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w:t>
            </w:r>
          </w:p>
        </w:tc>
        <w:tc>
          <w:tcPr>
            <w:tcW w:w="1200" w:type="dxa"/>
          </w:tcPr>
          <w:p w14:paraId="034F91CE"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-5,5 </w:t>
            </w:r>
          </w:p>
          <w:p w14:paraId="1E995079"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w:t>
            </w:r>
          </w:p>
        </w:tc>
        <w:tc>
          <w:tcPr>
            <w:tcW w:w="786" w:type="dxa"/>
          </w:tcPr>
          <w:p w14:paraId="7AB0F41E" w14:textId="77777777" w:rsidR="00CC1EF4" w:rsidRPr="004853EB" w:rsidRDefault="00CC1EF4" w:rsidP="00CC1EF4">
            <w:pPr>
              <w:spacing w:before="120"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±5,0</w:t>
            </w:r>
          </w:p>
        </w:tc>
      </w:tr>
    </w:tbl>
    <w:p w14:paraId="0E482EF9" w14:textId="77777777" w:rsidR="00CC1EF4" w:rsidRPr="004853EB" w:rsidRDefault="00CC1EF4" w:rsidP="00CC1EF4">
      <w:pPr>
        <w:spacing w:after="0" w:line="240" w:lineRule="auto"/>
        <w:jc w:val="both"/>
        <w:rPr>
          <w:rFonts w:eastAsia="Times New Roman" w:cstheme="minorHAnsi"/>
          <w:color w:val="000000"/>
          <w:sz w:val="20"/>
          <w:szCs w:val="20"/>
          <w:lang w:eastAsia="pl-PL"/>
        </w:rPr>
      </w:pPr>
    </w:p>
    <w:p w14:paraId="023EB2E5" w14:textId="77777777" w:rsidR="00CC1EF4" w:rsidRPr="004853EB" w:rsidRDefault="00CC1EF4" w:rsidP="00CC1EF4">
      <w:pPr>
        <w:keepNext/>
        <w:spacing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6.5.2.2. Zawartość lepiszcza </w:t>
      </w:r>
    </w:p>
    <w:p w14:paraId="3A61A3A7" w14:textId="77777777" w:rsidR="00CC1EF4" w:rsidRPr="004853EB" w:rsidRDefault="00CC1EF4" w:rsidP="00CC1EF4">
      <w:pPr>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Zawartość rozpuszczalnego lepiszcza z każdej próbki pobranej z mieszanki mineralno-asfaltowej nie może odbiegać od wartości projektowanej, z uwzględnieniem podanych dopuszczalnych odchyłek, w zależności od </w:t>
      </w:r>
      <w:r w:rsidRPr="004853EB">
        <w:rPr>
          <w:rFonts w:eastAsia="Times New Roman" w:cstheme="minorHAnsi"/>
          <w:color w:val="000000"/>
          <w:sz w:val="20"/>
          <w:szCs w:val="20"/>
          <w:lang w:eastAsia="pl-PL"/>
        </w:rPr>
        <w:lastRenderedPageBreak/>
        <w:t>liczby wyników badań z danego odcinka budowy (tablica 24). Do wyników badań nie zalicza się badań kontrolnych dodatkowych.</w:t>
      </w:r>
    </w:p>
    <w:p w14:paraId="4ED01ACE" w14:textId="77777777" w:rsidR="00CC1EF4" w:rsidRPr="004853EB" w:rsidRDefault="00CC1EF4" w:rsidP="00CC1EF4">
      <w:pPr>
        <w:spacing w:before="120" w:after="120" w:line="240" w:lineRule="auto"/>
        <w:ind w:left="1200" w:right="-57" w:hanging="120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Tablica 24. 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2"/>
        <w:gridCol w:w="976"/>
        <w:gridCol w:w="960"/>
        <w:gridCol w:w="1164"/>
        <w:gridCol w:w="1320"/>
        <w:gridCol w:w="1596"/>
        <w:gridCol w:w="1200"/>
      </w:tblGrid>
      <w:tr w:rsidR="00CC1EF4" w:rsidRPr="004853EB" w14:paraId="3A50067F" w14:textId="77777777" w:rsidTr="00E95D02">
        <w:tc>
          <w:tcPr>
            <w:tcW w:w="1652" w:type="dxa"/>
            <w:vMerge w:val="restart"/>
          </w:tcPr>
          <w:p w14:paraId="20A13937" w14:textId="77777777" w:rsidR="00CC1EF4" w:rsidRPr="004853EB" w:rsidRDefault="00CC1EF4" w:rsidP="00CC1EF4">
            <w:pPr>
              <w:spacing w:before="120"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Rodzaj mieszanki</w:t>
            </w:r>
          </w:p>
        </w:tc>
        <w:tc>
          <w:tcPr>
            <w:tcW w:w="7216" w:type="dxa"/>
            <w:gridSpan w:val="6"/>
          </w:tcPr>
          <w:p w14:paraId="641CA76E"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Liczba wyników badań</w:t>
            </w:r>
          </w:p>
        </w:tc>
      </w:tr>
      <w:tr w:rsidR="00CC1EF4" w:rsidRPr="004853EB" w14:paraId="70E175FB" w14:textId="77777777" w:rsidTr="00E95D02">
        <w:tc>
          <w:tcPr>
            <w:tcW w:w="1652" w:type="dxa"/>
            <w:vMerge/>
          </w:tcPr>
          <w:p w14:paraId="2B160051"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p>
        </w:tc>
        <w:tc>
          <w:tcPr>
            <w:tcW w:w="976" w:type="dxa"/>
          </w:tcPr>
          <w:p w14:paraId="0616F686"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1</w:t>
            </w:r>
          </w:p>
        </w:tc>
        <w:tc>
          <w:tcPr>
            <w:tcW w:w="960" w:type="dxa"/>
          </w:tcPr>
          <w:p w14:paraId="39FC3704"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w:t>
            </w:r>
          </w:p>
        </w:tc>
        <w:tc>
          <w:tcPr>
            <w:tcW w:w="1164" w:type="dxa"/>
          </w:tcPr>
          <w:p w14:paraId="1BD7611B"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Od 3 do 4</w:t>
            </w:r>
          </w:p>
        </w:tc>
        <w:tc>
          <w:tcPr>
            <w:tcW w:w="1320" w:type="dxa"/>
          </w:tcPr>
          <w:p w14:paraId="30B51BAE" w14:textId="77777777" w:rsidR="00CC1EF4" w:rsidRPr="004853EB" w:rsidRDefault="00CC1EF4" w:rsidP="00CC1EF4">
            <w:pPr>
              <w:spacing w:after="0" w:line="240" w:lineRule="auto"/>
              <w:ind w:right="-57"/>
              <w:jc w:val="both"/>
              <w:rPr>
                <w:rFonts w:eastAsia="Times New Roman" w:cstheme="minorHAnsi"/>
                <w:color w:val="000000"/>
                <w:sz w:val="18"/>
                <w:szCs w:val="18"/>
                <w:vertAlign w:val="superscript"/>
                <w:lang w:eastAsia="pl-PL"/>
              </w:rPr>
            </w:pPr>
            <w:r w:rsidRPr="004853EB">
              <w:rPr>
                <w:rFonts w:eastAsia="Times New Roman" w:cstheme="minorHAnsi"/>
                <w:color w:val="000000"/>
                <w:sz w:val="18"/>
                <w:szCs w:val="18"/>
                <w:lang w:eastAsia="pl-PL"/>
              </w:rPr>
              <w:t>Od 5 do 8</w:t>
            </w:r>
            <w:r w:rsidRPr="004853EB">
              <w:rPr>
                <w:rFonts w:eastAsia="Times New Roman" w:cstheme="minorHAnsi"/>
                <w:color w:val="000000"/>
                <w:sz w:val="18"/>
                <w:szCs w:val="18"/>
                <w:vertAlign w:val="superscript"/>
                <w:lang w:eastAsia="pl-PL"/>
              </w:rPr>
              <w:t>a)</w:t>
            </w:r>
          </w:p>
        </w:tc>
        <w:tc>
          <w:tcPr>
            <w:tcW w:w="1596" w:type="dxa"/>
          </w:tcPr>
          <w:p w14:paraId="2EF3B801" w14:textId="77777777" w:rsidR="00CC1EF4" w:rsidRPr="004853EB" w:rsidRDefault="00CC1EF4" w:rsidP="00CC1EF4">
            <w:pPr>
              <w:spacing w:after="0" w:line="240" w:lineRule="auto"/>
              <w:ind w:right="-57"/>
              <w:jc w:val="both"/>
              <w:rPr>
                <w:rFonts w:eastAsia="Times New Roman" w:cstheme="minorHAnsi"/>
                <w:color w:val="000000"/>
                <w:sz w:val="18"/>
                <w:szCs w:val="18"/>
                <w:vertAlign w:val="superscript"/>
                <w:lang w:eastAsia="pl-PL"/>
              </w:rPr>
            </w:pPr>
            <w:r w:rsidRPr="004853EB">
              <w:rPr>
                <w:rFonts w:eastAsia="Times New Roman" w:cstheme="minorHAnsi"/>
                <w:color w:val="000000"/>
                <w:sz w:val="18"/>
                <w:szCs w:val="18"/>
                <w:lang w:eastAsia="pl-PL"/>
              </w:rPr>
              <w:t>Od 9 do 19</w:t>
            </w:r>
            <w:r w:rsidRPr="004853EB">
              <w:rPr>
                <w:rFonts w:eastAsia="Times New Roman" w:cstheme="minorHAnsi"/>
                <w:color w:val="000000"/>
                <w:sz w:val="18"/>
                <w:szCs w:val="18"/>
                <w:vertAlign w:val="superscript"/>
                <w:lang w:eastAsia="pl-PL"/>
              </w:rPr>
              <w:t>a)</w:t>
            </w:r>
          </w:p>
        </w:tc>
        <w:tc>
          <w:tcPr>
            <w:tcW w:w="1200" w:type="dxa"/>
          </w:tcPr>
          <w:p w14:paraId="56E6D761"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≥20</w:t>
            </w:r>
          </w:p>
        </w:tc>
      </w:tr>
      <w:tr w:rsidR="00CC1EF4" w:rsidRPr="004853EB" w14:paraId="1E287D4C" w14:textId="77777777" w:rsidTr="00E95D02">
        <w:tc>
          <w:tcPr>
            <w:tcW w:w="1652" w:type="dxa"/>
          </w:tcPr>
          <w:p w14:paraId="147824E8"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Mieszanki gruboziarniste</w:t>
            </w:r>
          </w:p>
        </w:tc>
        <w:tc>
          <w:tcPr>
            <w:tcW w:w="976" w:type="dxa"/>
          </w:tcPr>
          <w:p w14:paraId="602CA289"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±0,6</w:t>
            </w:r>
          </w:p>
        </w:tc>
        <w:tc>
          <w:tcPr>
            <w:tcW w:w="960" w:type="dxa"/>
          </w:tcPr>
          <w:p w14:paraId="2B643BD6"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±0,55</w:t>
            </w:r>
          </w:p>
        </w:tc>
        <w:tc>
          <w:tcPr>
            <w:tcW w:w="1164" w:type="dxa"/>
          </w:tcPr>
          <w:p w14:paraId="3F5840F5"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±0,50</w:t>
            </w:r>
          </w:p>
        </w:tc>
        <w:tc>
          <w:tcPr>
            <w:tcW w:w="1320" w:type="dxa"/>
          </w:tcPr>
          <w:p w14:paraId="37C0C408"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±0,40</w:t>
            </w:r>
          </w:p>
        </w:tc>
        <w:tc>
          <w:tcPr>
            <w:tcW w:w="1596" w:type="dxa"/>
          </w:tcPr>
          <w:p w14:paraId="792D3641"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±0,35</w:t>
            </w:r>
          </w:p>
        </w:tc>
        <w:tc>
          <w:tcPr>
            <w:tcW w:w="1200" w:type="dxa"/>
          </w:tcPr>
          <w:p w14:paraId="5687432A"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±0,30</w:t>
            </w:r>
          </w:p>
        </w:tc>
      </w:tr>
      <w:tr w:rsidR="00CC1EF4" w:rsidRPr="004853EB" w14:paraId="3FB544EA" w14:textId="77777777" w:rsidTr="00E95D02">
        <w:tc>
          <w:tcPr>
            <w:tcW w:w="1652" w:type="dxa"/>
          </w:tcPr>
          <w:p w14:paraId="125B9AB0" w14:textId="77777777" w:rsidR="00CC1EF4" w:rsidRPr="004853EB" w:rsidRDefault="00CC1EF4" w:rsidP="00CC1EF4">
            <w:pPr>
              <w:spacing w:after="0" w:line="240" w:lineRule="auto"/>
              <w:ind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Mieszanki drobnoziarniste</w:t>
            </w:r>
          </w:p>
        </w:tc>
        <w:tc>
          <w:tcPr>
            <w:tcW w:w="976" w:type="dxa"/>
          </w:tcPr>
          <w:p w14:paraId="5F4A0FC0"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±0,5</w:t>
            </w:r>
          </w:p>
        </w:tc>
        <w:tc>
          <w:tcPr>
            <w:tcW w:w="960" w:type="dxa"/>
          </w:tcPr>
          <w:p w14:paraId="374B3355"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±0,45</w:t>
            </w:r>
          </w:p>
        </w:tc>
        <w:tc>
          <w:tcPr>
            <w:tcW w:w="1164" w:type="dxa"/>
          </w:tcPr>
          <w:p w14:paraId="5AFD2403"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±0,40</w:t>
            </w:r>
          </w:p>
        </w:tc>
        <w:tc>
          <w:tcPr>
            <w:tcW w:w="1320" w:type="dxa"/>
          </w:tcPr>
          <w:p w14:paraId="3C5B62A7"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±0,40</w:t>
            </w:r>
          </w:p>
        </w:tc>
        <w:tc>
          <w:tcPr>
            <w:tcW w:w="1596" w:type="dxa"/>
          </w:tcPr>
          <w:p w14:paraId="18E47929"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±0,35</w:t>
            </w:r>
          </w:p>
        </w:tc>
        <w:tc>
          <w:tcPr>
            <w:tcW w:w="1200" w:type="dxa"/>
          </w:tcPr>
          <w:p w14:paraId="1008E13B"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±0,30</w:t>
            </w:r>
          </w:p>
        </w:tc>
      </w:tr>
      <w:tr w:rsidR="00CC1EF4" w:rsidRPr="004853EB" w14:paraId="2A177C31" w14:textId="77777777" w:rsidTr="00E95D02">
        <w:tc>
          <w:tcPr>
            <w:tcW w:w="8868" w:type="dxa"/>
            <w:gridSpan w:val="7"/>
          </w:tcPr>
          <w:p w14:paraId="28218C7E" w14:textId="77777777" w:rsidR="00CC1EF4" w:rsidRPr="004853EB" w:rsidRDefault="00CC1EF4">
            <w:pPr>
              <w:numPr>
                <w:ilvl w:val="0"/>
                <w:numId w:val="88"/>
              </w:numPr>
              <w:tabs>
                <w:tab w:val="left" w:pos="426"/>
              </w:tabs>
              <w:spacing w:after="0" w:line="240" w:lineRule="auto"/>
              <w:ind w:left="426" w:right="-57"/>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14:paraId="6204230A"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53C11C29" w14:textId="77777777" w:rsidR="00CC1EF4" w:rsidRPr="004853EB" w:rsidRDefault="00CC1EF4" w:rsidP="00CC1EF4">
      <w:pPr>
        <w:spacing w:after="0" w:line="240" w:lineRule="auto"/>
        <w:ind w:right="-57" w:firstLine="709"/>
        <w:jc w:val="both"/>
        <w:rPr>
          <w:rFonts w:eastAsia="Times New Roman" w:cstheme="minorHAnsi"/>
          <w:color w:val="000000"/>
          <w:sz w:val="20"/>
          <w:szCs w:val="20"/>
          <w:highlight w:val="yellow"/>
          <w:lang w:eastAsia="pl-PL"/>
        </w:rPr>
      </w:pPr>
    </w:p>
    <w:p w14:paraId="32622F75" w14:textId="77777777" w:rsidR="00CC1EF4" w:rsidRPr="004853EB" w:rsidRDefault="00CC1EF4" w:rsidP="00CC1EF4">
      <w:pPr>
        <w:spacing w:before="120" w:after="120" w:line="240" w:lineRule="auto"/>
        <w:ind w:right="-57"/>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6.5.2.3. Gęstość i zawartość wolnych przestrzeni</w:t>
      </w:r>
    </w:p>
    <w:p w14:paraId="7BC357D1" w14:textId="77777777" w:rsidR="00CC1EF4" w:rsidRPr="004853EB" w:rsidRDefault="00CC1EF4" w:rsidP="00CC1EF4">
      <w:pPr>
        <w:spacing w:after="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Zawartość wolnych przestrzeni w próbce Marshalla pobranej z mieszanki mineralno-asfaltowej </w:t>
      </w:r>
      <w:r w:rsidRPr="004853EB">
        <w:rPr>
          <w:rFonts w:eastAsia="Times New Roman" w:cstheme="minorHAnsi"/>
          <w:color w:val="000000"/>
          <w:sz w:val="20"/>
          <w:szCs w:val="20"/>
          <w:lang w:eastAsia="pl-PL"/>
        </w:rPr>
        <w:br/>
        <w:t xml:space="preserve">lub wyjątkowo powtórnie rozgrzanej próbki pobranej z nawierzchni nie może wykroczyć poza wartości podane </w:t>
      </w:r>
      <w:r w:rsidRPr="004853EB">
        <w:rPr>
          <w:rFonts w:eastAsia="Times New Roman" w:cstheme="minorHAnsi"/>
          <w:color w:val="000000"/>
          <w:sz w:val="20"/>
          <w:szCs w:val="20"/>
          <w:lang w:eastAsia="pl-PL"/>
        </w:rPr>
        <w:br/>
        <w:t>w pkcie 2.10 o więcej niż 1,5% (v/v).</w:t>
      </w:r>
    </w:p>
    <w:p w14:paraId="100CF599"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 xml:space="preserve">6.5.3. </w:t>
      </w:r>
      <w:r w:rsidRPr="004853EB">
        <w:rPr>
          <w:rFonts w:eastAsia="Times New Roman" w:cstheme="minorHAnsi"/>
          <w:color w:val="000000"/>
          <w:sz w:val="20"/>
          <w:szCs w:val="20"/>
          <w:lang w:eastAsia="pl-PL"/>
        </w:rPr>
        <w:t xml:space="preserve">Warunki technologiczne wbudowywania mieszanki mineralno-asfaltowej </w:t>
      </w:r>
    </w:p>
    <w:p w14:paraId="5C36AE0B"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Temperatura powietrza powinna być mierzona przed i w czasie robót; nie powinna być mniejsza niż podano w tablicy 20.  </w:t>
      </w:r>
    </w:p>
    <w:p w14:paraId="38BFD66E" w14:textId="36861385"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Pomiar temperatury </w:t>
      </w:r>
      <w:r w:rsidR="00C562CD" w:rsidRPr="004853EB">
        <w:rPr>
          <w:rFonts w:eastAsia="Times New Roman" w:cstheme="minorHAnsi"/>
          <w:color w:val="000000"/>
          <w:sz w:val="20"/>
          <w:szCs w:val="20"/>
          <w:lang w:eastAsia="pl-PL"/>
        </w:rPr>
        <w:t>mieszanki mineralno</w:t>
      </w:r>
      <w:r w:rsidRPr="004853EB">
        <w:rPr>
          <w:rFonts w:eastAsia="Times New Roman" w:cstheme="minorHAnsi"/>
          <w:color w:val="000000"/>
          <w:sz w:val="20"/>
          <w:szCs w:val="20"/>
          <w:lang w:eastAsia="pl-PL"/>
        </w:rPr>
        <w:t xml:space="preserve">-asfaltowej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14:paraId="32920C29" w14:textId="4B732927" w:rsidR="00CC1EF4" w:rsidRPr="004853EB" w:rsidRDefault="00CC1EF4" w:rsidP="00CC1EF4">
      <w:pPr>
        <w:numPr>
          <w:ilvl w:val="12"/>
          <w:numId w:val="0"/>
        </w:num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Pomiar temperatury </w:t>
      </w:r>
      <w:r w:rsidR="00C562CD" w:rsidRPr="004853EB">
        <w:rPr>
          <w:rFonts w:eastAsia="Times New Roman" w:cstheme="minorHAnsi"/>
          <w:color w:val="000000"/>
          <w:sz w:val="20"/>
          <w:szCs w:val="20"/>
          <w:lang w:eastAsia="pl-PL"/>
        </w:rPr>
        <w:t>mieszanki mineralno</w:t>
      </w:r>
      <w:r w:rsidRPr="004853EB">
        <w:rPr>
          <w:rFonts w:eastAsia="Times New Roman" w:cstheme="minorHAnsi"/>
          <w:color w:val="000000"/>
          <w:sz w:val="20"/>
          <w:szCs w:val="20"/>
          <w:lang w:eastAsia="pl-PL"/>
        </w:rPr>
        <w:t xml:space="preserve">-asfaltowej należy wykonać zgodnie z wymaganiami normy PN-EN 12697-13 [39]. </w:t>
      </w:r>
    </w:p>
    <w:p w14:paraId="27E93E56" w14:textId="77777777" w:rsidR="00CC1EF4" w:rsidRPr="004853EB" w:rsidRDefault="00CC1EF4" w:rsidP="00CC1EF4">
      <w:pPr>
        <w:spacing w:after="0" w:line="240" w:lineRule="auto"/>
        <w:ind w:firstLine="709"/>
        <w:jc w:val="both"/>
        <w:rPr>
          <w:rFonts w:eastAsia="Times New Roman" w:cstheme="minorHAnsi"/>
          <w:b/>
          <w:color w:val="000000"/>
          <w:sz w:val="20"/>
          <w:szCs w:val="20"/>
          <w:lang w:eastAsia="pl-PL"/>
        </w:rPr>
      </w:pPr>
      <w:r w:rsidRPr="004853EB">
        <w:rPr>
          <w:rFonts w:eastAsia="Times New Roman" w:cstheme="minorHAnsi"/>
          <w:color w:val="000000"/>
          <w:sz w:val="20"/>
          <w:szCs w:val="20"/>
          <w:lang w:eastAsia="pl-PL"/>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3A0940FC"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b/>
          <w:color w:val="000000"/>
          <w:sz w:val="20"/>
          <w:szCs w:val="20"/>
          <w:lang w:eastAsia="pl-PL"/>
        </w:rPr>
        <w:t>6.5.4.</w:t>
      </w:r>
      <w:r w:rsidRPr="004853EB">
        <w:rPr>
          <w:rFonts w:eastAsia="Times New Roman" w:cstheme="minorHAnsi"/>
          <w:color w:val="000000"/>
          <w:sz w:val="20"/>
          <w:szCs w:val="20"/>
          <w:lang w:eastAsia="pl-PL"/>
        </w:rPr>
        <w:t xml:space="preserve"> Wykonana warstwa</w:t>
      </w:r>
    </w:p>
    <w:p w14:paraId="100ED1ED" w14:textId="77777777" w:rsidR="00CC1EF4" w:rsidRPr="004853EB" w:rsidRDefault="00CC1EF4" w:rsidP="00CC1EF4">
      <w:pPr>
        <w:spacing w:after="120" w:line="240" w:lineRule="auto"/>
        <w:ind w:right="-57"/>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6.5.4.1. Wskaźnik zagęszczenia i zawartość wolnych przestrzeni</w:t>
      </w:r>
    </w:p>
    <w:p w14:paraId="2398246D" w14:textId="108C7E0F"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Zagęszczenie wykonanej warstwy wyrażone wskaźnikiem zagęszczenia oraz zawartością wolnych przestrzeni nie może przekroczyć wartości </w:t>
      </w:r>
      <w:r w:rsidR="00C562CD" w:rsidRPr="004853EB">
        <w:rPr>
          <w:rFonts w:eastAsia="Times New Roman" w:cstheme="minorHAnsi"/>
          <w:color w:val="000000"/>
          <w:sz w:val="20"/>
          <w:szCs w:val="20"/>
          <w:lang w:eastAsia="pl-PL"/>
        </w:rPr>
        <w:t>dopuszczalnych podanych</w:t>
      </w:r>
      <w:r w:rsidRPr="004853EB">
        <w:rPr>
          <w:rFonts w:eastAsia="Times New Roman" w:cstheme="minorHAnsi"/>
          <w:color w:val="000000"/>
          <w:sz w:val="20"/>
          <w:szCs w:val="20"/>
          <w:lang w:eastAsia="pl-PL"/>
        </w:rPr>
        <w:t xml:space="preserve"> w tablicy 26. Dotyczy to każdego pojedynczego oznaczenia danej właściwości.</w:t>
      </w:r>
    </w:p>
    <w:p w14:paraId="1EBA2D56" w14:textId="600A775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Określenie gęstości objętościowej należy wykonywać według PN-EN 12697-</w:t>
      </w:r>
      <w:r w:rsidR="00C562CD" w:rsidRPr="004853EB">
        <w:rPr>
          <w:rFonts w:eastAsia="Times New Roman" w:cstheme="minorHAnsi"/>
          <w:color w:val="000000"/>
          <w:sz w:val="20"/>
          <w:szCs w:val="20"/>
          <w:lang w:eastAsia="pl-PL"/>
        </w:rPr>
        <w:t>6 [</w:t>
      </w:r>
      <w:r w:rsidRPr="004853EB">
        <w:rPr>
          <w:rFonts w:eastAsia="Times New Roman" w:cstheme="minorHAnsi"/>
          <w:color w:val="000000"/>
          <w:sz w:val="20"/>
          <w:szCs w:val="20"/>
          <w:lang w:eastAsia="pl-PL"/>
        </w:rPr>
        <w:t>35].</w:t>
      </w:r>
    </w:p>
    <w:p w14:paraId="6769F782" w14:textId="77777777" w:rsidR="00CC1EF4" w:rsidRPr="004853EB" w:rsidRDefault="00CC1EF4" w:rsidP="00CC1EF4">
      <w:pPr>
        <w:spacing w:after="0" w:line="240" w:lineRule="auto"/>
        <w:jc w:val="both"/>
        <w:rPr>
          <w:rFonts w:eastAsia="Times New Roman" w:cstheme="minorHAnsi"/>
          <w:color w:val="000000"/>
          <w:sz w:val="20"/>
          <w:szCs w:val="20"/>
          <w:lang w:eastAsia="pl-PL"/>
        </w:rPr>
      </w:pPr>
    </w:p>
    <w:p w14:paraId="67492A10"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Tablica 26.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2280"/>
        <w:gridCol w:w="1572"/>
        <w:gridCol w:w="1698"/>
      </w:tblGrid>
      <w:tr w:rsidR="00CC1EF4" w:rsidRPr="004853EB" w14:paraId="33BEE52F" w14:textId="77777777" w:rsidTr="00E95D02">
        <w:tc>
          <w:tcPr>
            <w:tcW w:w="1788" w:type="dxa"/>
          </w:tcPr>
          <w:p w14:paraId="7CDFA0F8"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2A2F3F49"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Warstwa </w:t>
            </w:r>
          </w:p>
        </w:tc>
        <w:tc>
          <w:tcPr>
            <w:tcW w:w="2280" w:type="dxa"/>
          </w:tcPr>
          <w:p w14:paraId="719B8A4A"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7715309D"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Typ i wymiar mieszanki</w:t>
            </w:r>
          </w:p>
        </w:tc>
        <w:tc>
          <w:tcPr>
            <w:tcW w:w="1572" w:type="dxa"/>
          </w:tcPr>
          <w:p w14:paraId="02F7016F" w14:textId="77777777" w:rsidR="00CC1EF4" w:rsidRPr="004853EB" w:rsidRDefault="00CC1EF4" w:rsidP="00CC1EF4">
            <w:pPr>
              <w:spacing w:before="120"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Wskaźnik zagęszczenia </w:t>
            </w:r>
          </w:p>
          <w:p w14:paraId="58FE9F51"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t>
            </w:r>
          </w:p>
        </w:tc>
        <w:tc>
          <w:tcPr>
            <w:tcW w:w="1698" w:type="dxa"/>
          </w:tcPr>
          <w:p w14:paraId="3B32D5C6" w14:textId="77777777" w:rsidR="00CC1EF4" w:rsidRPr="004853EB" w:rsidRDefault="00CC1EF4" w:rsidP="00CC1EF4">
            <w:pPr>
              <w:spacing w:after="0" w:line="240" w:lineRule="auto"/>
              <w:rPr>
                <w:rFonts w:eastAsia="Times New Roman" w:cstheme="minorHAnsi"/>
                <w:color w:val="000000"/>
                <w:sz w:val="18"/>
                <w:szCs w:val="18"/>
                <w:lang w:eastAsia="pl-PL"/>
              </w:rPr>
            </w:pPr>
            <w:r w:rsidRPr="004853EB">
              <w:rPr>
                <w:rFonts w:eastAsia="Times New Roman" w:cstheme="minorHAnsi"/>
                <w:color w:val="000000"/>
                <w:sz w:val="18"/>
                <w:szCs w:val="18"/>
                <w:lang w:eastAsia="pl-PL"/>
              </w:rPr>
              <w:t>Zawartość wolnych przestrzeni w warstwie</w:t>
            </w:r>
          </w:p>
          <w:p w14:paraId="283FD443" w14:textId="77777777" w:rsidR="00CC1EF4" w:rsidRPr="004853EB" w:rsidRDefault="00CC1EF4" w:rsidP="00CC1EF4">
            <w:pPr>
              <w:spacing w:after="0" w:line="240" w:lineRule="auto"/>
              <w:rPr>
                <w:rFonts w:eastAsia="Times New Roman" w:cstheme="minorHAnsi"/>
                <w:color w:val="000000"/>
                <w:sz w:val="18"/>
                <w:szCs w:val="18"/>
                <w:lang w:eastAsia="pl-PL"/>
              </w:rPr>
            </w:pPr>
            <w:r w:rsidRPr="004853EB">
              <w:rPr>
                <w:rFonts w:eastAsia="Times New Roman" w:cstheme="minorHAnsi"/>
                <w:color w:val="000000"/>
                <w:sz w:val="18"/>
                <w:szCs w:val="18"/>
                <w:lang w:eastAsia="pl-PL"/>
              </w:rPr>
              <w:t>[%(v/v)]</w:t>
            </w:r>
          </w:p>
        </w:tc>
      </w:tr>
      <w:tr w:rsidR="00CC1EF4" w:rsidRPr="004853EB" w14:paraId="00492C64" w14:textId="77777777" w:rsidTr="00E95D02">
        <w:trPr>
          <w:trHeight w:val="317"/>
        </w:trPr>
        <w:tc>
          <w:tcPr>
            <w:tcW w:w="1788" w:type="dxa"/>
            <w:vMerge w:val="restart"/>
          </w:tcPr>
          <w:p w14:paraId="3D6B038E"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Wiążąca</w:t>
            </w:r>
          </w:p>
        </w:tc>
        <w:tc>
          <w:tcPr>
            <w:tcW w:w="5550" w:type="dxa"/>
            <w:gridSpan w:val="3"/>
          </w:tcPr>
          <w:p w14:paraId="4D74435D" w14:textId="77777777" w:rsidR="00CC1EF4" w:rsidRPr="004853EB" w:rsidRDefault="00CC1EF4" w:rsidP="00CC1EF4">
            <w:pPr>
              <w:spacing w:after="0" w:line="240" w:lineRule="auto"/>
              <w:jc w:val="both"/>
              <w:rPr>
                <w:rFonts w:eastAsia="Times New Roman" w:cstheme="minorHAnsi"/>
                <w:color w:val="000000"/>
                <w:sz w:val="18"/>
                <w:szCs w:val="18"/>
                <w:lang w:eastAsia="pl-PL"/>
              </w:rPr>
            </w:pPr>
          </w:p>
        </w:tc>
      </w:tr>
      <w:tr w:rsidR="00CC1EF4" w:rsidRPr="004853EB" w14:paraId="21BA39F2" w14:textId="77777777" w:rsidTr="00E95D02">
        <w:tc>
          <w:tcPr>
            <w:tcW w:w="1788" w:type="dxa"/>
            <w:vMerge/>
          </w:tcPr>
          <w:p w14:paraId="1238B77F"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p>
        </w:tc>
        <w:tc>
          <w:tcPr>
            <w:tcW w:w="2280" w:type="dxa"/>
          </w:tcPr>
          <w:p w14:paraId="24E43B56"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AC 16 W, KR3-KR7</w:t>
            </w:r>
          </w:p>
        </w:tc>
        <w:tc>
          <w:tcPr>
            <w:tcW w:w="1572" w:type="dxa"/>
          </w:tcPr>
          <w:p w14:paraId="62C51CED"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98</w:t>
            </w:r>
          </w:p>
        </w:tc>
        <w:tc>
          <w:tcPr>
            <w:tcW w:w="1698" w:type="dxa"/>
          </w:tcPr>
          <w:p w14:paraId="3EF3957A"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3,0÷7,0</w:t>
            </w:r>
          </w:p>
        </w:tc>
      </w:tr>
      <w:tr w:rsidR="00CC1EF4" w:rsidRPr="004853EB" w14:paraId="2801FFA4" w14:textId="77777777" w:rsidTr="00E95D02">
        <w:tc>
          <w:tcPr>
            <w:tcW w:w="1788" w:type="dxa"/>
            <w:vMerge/>
          </w:tcPr>
          <w:p w14:paraId="004DBD7A"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p>
        </w:tc>
        <w:tc>
          <w:tcPr>
            <w:tcW w:w="2280" w:type="dxa"/>
          </w:tcPr>
          <w:p w14:paraId="416AAC84"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AC 22 W, KR3-KR7</w:t>
            </w:r>
          </w:p>
        </w:tc>
        <w:tc>
          <w:tcPr>
            <w:tcW w:w="1572" w:type="dxa"/>
          </w:tcPr>
          <w:p w14:paraId="34690A77"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98</w:t>
            </w:r>
          </w:p>
        </w:tc>
        <w:tc>
          <w:tcPr>
            <w:tcW w:w="1698" w:type="dxa"/>
          </w:tcPr>
          <w:p w14:paraId="3CC3362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3,0÷7,0</w:t>
            </w:r>
          </w:p>
        </w:tc>
      </w:tr>
    </w:tbl>
    <w:p w14:paraId="6FB8FF42" w14:textId="77777777" w:rsidR="00CC1EF4" w:rsidRPr="004853EB" w:rsidRDefault="00CC1EF4" w:rsidP="00CC1EF4">
      <w:pPr>
        <w:spacing w:after="120" w:line="240" w:lineRule="auto"/>
        <w:ind w:right="-57" w:firstLine="709"/>
        <w:jc w:val="both"/>
        <w:rPr>
          <w:rFonts w:eastAsia="Times New Roman" w:cstheme="minorHAnsi"/>
          <w:color w:val="000000"/>
          <w:sz w:val="20"/>
          <w:szCs w:val="20"/>
          <w:lang w:eastAsia="pl-PL"/>
        </w:rPr>
      </w:pPr>
    </w:p>
    <w:p w14:paraId="27256829" w14:textId="35EDD13A" w:rsidR="00CC1EF4" w:rsidRPr="004853EB" w:rsidRDefault="00CC1EF4" w:rsidP="00CC1EF4">
      <w:pPr>
        <w:spacing w:after="120" w:line="240" w:lineRule="auto"/>
        <w:ind w:right="-57"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 xml:space="preserve">Wskaźnik zagęszczenia i zawartość wolnych </w:t>
      </w:r>
      <w:r w:rsidR="00C562CD" w:rsidRPr="004853EB">
        <w:rPr>
          <w:rFonts w:eastAsia="Times New Roman" w:cstheme="minorHAnsi"/>
          <w:color w:val="000000"/>
          <w:sz w:val="20"/>
          <w:szCs w:val="20"/>
          <w:lang w:eastAsia="pl-PL"/>
        </w:rPr>
        <w:t>przestrzeni należy</w:t>
      </w:r>
      <w:r w:rsidRPr="004853EB">
        <w:rPr>
          <w:rFonts w:eastAsia="Times New Roman" w:cstheme="minorHAnsi"/>
          <w:color w:val="000000"/>
          <w:sz w:val="20"/>
          <w:szCs w:val="20"/>
          <w:lang w:eastAsia="pl-PL"/>
        </w:rPr>
        <w:t xml:space="preserve"> badać dla każdej warstwy i na każde rozpoczęte 6000 m</w:t>
      </w:r>
      <w:r w:rsidRPr="004853EB">
        <w:rPr>
          <w:rFonts w:eastAsia="Times New Roman" w:cstheme="minorHAnsi"/>
          <w:color w:val="000000"/>
          <w:sz w:val="20"/>
          <w:szCs w:val="20"/>
          <w:vertAlign w:val="superscript"/>
          <w:lang w:eastAsia="pl-PL"/>
        </w:rPr>
        <w:t>2</w:t>
      </w:r>
      <w:r w:rsidRPr="004853EB">
        <w:rPr>
          <w:rFonts w:eastAsia="Times New Roman" w:cstheme="minorHAnsi"/>
          <w:color w:val="000000"/>
          <w:sz w:val="20"/>
          <w:szCs w:val="20"/>
          <w:lang w:eastAsia="pl-PL"/>
        </w:rPr>
        <w:t xml:space="preserve"> nawierzchni jedna próbka; w razie potrzeby liczba próbek może zostać zwiększona </w:t>
      </w:r>
      <w:r w:rsidRPr="004853EB">
        <w:rPr>
          <w:rFonts w:eastAsia="Times New Roman" w:cstheme="minorHAnsi"/>
          <w:color w:val="000000"/>
          <w:sz w:val="20"/>
          <w:szCs w:val="20"/>
          <w:lang w:eastAsia="pl-PL"/>
        </w:rPr>
        <w:br/>
        <w:t>(np. nawierzchnie dróg w terenie zabudowy, nawierzchnie mostowe).</w:t>
      </w:r>
    </w:p>
    <w:p w14:paraId="6119B6FF" w14:textId="77777777" w:rsidR="00CC1EF4" w:rsidRPr="004853EB" w:rsidRDefault="00CC1EF4" w:rsidP="00CC1EF4">
      <w:pPr>
        <w:spacing w:after="120" w:line="240" w:lineRule="auto"/>
        <w:ind w:right="-57"/>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 6.5.4.2. Grubość warstwy lub ilość zużytego materiału  </w:t>
      </w:r>
    </w:p>
    <w:p w14:paraId="328E4721"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Grubość wykonanej warstwy oznaczana według PN-EN 12697-36 [44] oraz ilość wbudowanego materiału na określoną powierzchnię (dotyczy przede wszystkim cienkich warstw) mogą odbiegać od projektu o wartości podane w tablicy 27.</w:t>
      </w:r>
    </w:p>
    <w:p w14:paraId="174B857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w:t>
      </w:r>
      <w:r w:rsidRPr="004853EB">
        <w:rPr>
          <w:rFonts w:eastAsia="Times New Roman" w:cstheme="minorHAnsi"/>
          <w:color w:val="000000"/>
          <w:sz w:val="20"/>
          <w:szCs w:val="20"/>
          <w:lang w:eastAsia="pl-PL"/>
        </w:rPr>
        <w:br/>
        <w:t>te same wymagania jak do odcinka budowy.</w:t>
      </w:r>
    </w:p>
    <w:p w14:paraId="474B32B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Za grubość warstwy lub warstw przyjmuje się średnią arytmetyczną wszystkich pojedynczych oznaczeń grubości warstwy na całym odcinku budowy lub odcinku częściowym.</w:t>
      </w:r>
    </w:p>
    <w:p w14:paraId="2AE486B2" w14:textId="77777777" w:rsidR="00CC1EF4" w:rsidRPr="004853EB" w:rsidRDefault="00CC1EF4" w:rsidP="00CC1EF4">
      <w:pPr>
        <w:spacing w:before="120" w:after="120" w:line="240" w:lineRule="auto"/>
        <w:ind w:left="1200" w:hanging="1200"/>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Tablica 27. Dopuszczalne odchyłki grubości warstwy oraz ilości materiału na określonej powierzchni, [%] </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8"/>
        <w:gridCol w:w="3120"/>
      </w:tblGrid>
      <w:tr w:rsidR="00CC1EF4" w:rsidRPr="004853EB" w14:paraId="2C85A4FA" w14:textId="77777777" w:rsidTr="00E95D02">
        <w:tc>
          <w:tcPr>
            <w:tcW w:w="5748" w:type="dxa"/>
          </w:tcPr>
          <w:p w14:paraId="1C101EB4"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Warunki oceny</w:t>
            </w:r>
          </w:p>
        </w:tc>
        <w:tc>
          <w:tcPr>
            <w:tcW w:w="3120" w:type="dxa"/>
          </w:tcPr>
          <w:p w14:paraId="3176902C"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Warstwa asfaltowa AC </w:t>
            </w:r>
            <w:r w:rsidRPr="004853EB">
              <w:rPr>
                <w:rFonts w:eastAsia="Times New Roman" w:cstheme="minorHAnsi"/>
                <w:color w:val="000000"/>
                <w:sz w:val="18"/>
                <w:szCs w:val="18"/>
                <w:vertAlign w:val="superscript"/>
                <w:lang w:eastAsia="pl-PL"/>
              </w:rPr>
              <w:t>a)</w:t>
            </w:r>
          </w:p>
        </w:tc>
      </w:tr>
      <w:tr w:rsidR="00CC1EF4" w:rsidRPr="004853EB" w14:paraId="78A3719E" w14:textId="77777777" w:rsidTr="00E95D02">
        <w:trPr>
          <w:trHeight w:val="1690"/>
        </w:trPr>
        <w:tc>
          <w:tcPr>
            <w:tcW w:w="5748" w:type="dxa"/>
          </w:tcPr>
          <w:p w14:paraId="1E16DF1E"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A – Średnia z wielu oznaczeń grubości oraz ilości</w:t>
            </w:r>
          </w:p>
          <w:p w14:paraId="6E7A42A2" w14:textId="77777777" w:rsidR="00CC1EF4" w:rsidRPr="004853EB" w:rsidRDefault="00CC1EF4">
            <w:pPr>
              <w:numPr>
                <w:ilvl w:val="0"/>
                <w:numId w:val="136"/>
              </w:numPr>
              <w:overflowPunct w:val="0"/>
              <w:autoSpaceDE w:val="0"/>
              <w:autoSpaceDN w:val="0"/>
              <w:adjustRightInd w:val="0"/>
              <w:spacing w:after="0" w:line="240" w:lineRule="auto"/>
              <w:jc w:val="both"/>
              <w:textAlignment w:val="baseline"/>
              <w:rPr>
                <w:rFonts w:eastAsia="Times New Roman" w:cstheme="minorHAnsi"/>
                <w:color w:val="000000"/>
                <w:sz w:val="18"/>
                <w:szCs w:val="18"/>
                <w:lang w:eastAsia="pl-PL"/>
              </w:rPr>
            </w:pPr>
            <w:r w:rsidRPr="004853EB">
              <w:rPr>
                <w:rFonts w:eastAsia="Times New Roman" w:cstheme="minorHAnsi"/>
                <w:color w:val="000000"/>
                <w:sz w:val="18"/>
                <w:szCs w:val="18"/>
                <w:lang w:eastAsia="pl-PL"/>
              </w:rPr>
              <w:t>– duży odcinek budowy, powierzchnia większa niż 6000 m</w:t>
            </w:r>
            <w:r w:rsidRPr="004853EB">
              <w:rPr>
                <w:rFonts w:eastAsia="Times New Roman" w:cstheme="minorHAnsi"/>
                <w:color w:val="000000"/>
                <w:sz w:val="18"/>
                <w:szCs w:val="18"/>
                <w:vertAlign w:val="superscript"/>
                <w:lang w:eastAsia="pl-PL"/>
              </w:rPr>
              <w:t>2</w:t>
            </w:r>
            <w:r w:rsidRPr="004853EB">
              <w:rPr>
                <w:rFonts w:eastAsia="Times New Roman" w:cstheme="minorHAnsi"/>
                <w:color w:val="000000"/>
                <w:sz w:val="18"/>
                <w:szCs w:val="18"/>
                <w:lang w:eastAsia="pl-PL"/>
              </w:rPr>
              <w:t xml:space="preserve"> lub</w:t>
            </w:r>
          </w:p>
          <w:p w14:paraId="635B3EA8" w14:textId="77777777" w:rsidR="00CC1EF4" w:rsidRPr="004853EB" w:rsidRDefault="00CC1EF4" w:rsidP="00CC1EF4">
            <w:pPr>
              <w:spacing w:after="0" w:line="240" w:lineRule="auto"/>
              <w:ind w:left="600" w:hanging="600"/>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     – droga ograniczona krawężnikami, powierzchnia większa niż 1000 m</w:t>
            </w:r>
            <w:r w:rsidRPr="004853EB">
              <w:rPr>
                <w:rFonts w:eastAsia="Times New Roman" w:cstheme="minorHAnsi"/>
                <w:color w:val="000000"/>
                <w:sz w:val="18"/>
                <w:szCs w:val="18"/>
                <w:vertAlign w:val="superscript"/>
                <w:lang w:eastAsia="pl-PL"/>
              </w:rPr>
              <w:t>2</w:t>
            </w:r>
            <w:r w:rsidRPr="004853EB">
              <w:rPr>
                <w:rFonts w:eastAsia="Times New Roman" w:cstheme="minorHAnsi"/>
                <w:color w:val="000000"/>
                <w:sz w:val="18"/>
                <w:szCs w:val="18"/>
                <w:lang w:eastAsia="pl-PL"/>
              </w:rPr>
              <w:t xml:space="preserve"> lub</w:t>
            </w:r>
          </w:p>
          <w:p w14:paraId="3E7F8BF9" w14:textId="7B37DD56" w:rsidR="00CC1EF4" w:rsidRPr="004853EB" w:rsidRDefault="00CC1EF4" w:rsidP="00CC1EF4">
            <w:pPr>
              <w:spacing w:after="0" w:line="240" w:lineRule="auto"/>
              <w:ind w:left="600" w:hanging="600"/>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xml:space="preserve">2.  </w:t>
            </w:r>
            <w:r w:rsidR="00C562CD" w:rsidRPr="004853EB">
              <w:rPr>
                <w:rFonts w:eastAsia="Times New Roman" w:cstheme="minorHAnsi"/>
                <w:color w:val="000000"/>
                <w:sz w:val="18"/>
                <w:szCs w:val="18"/>
                <w:lang w:eastAsia="pl-PL"/>
              </w:rPr>
              <w:t>– mały</w:t>
            </w:r>
            <w:r w:rsidRPr="004853EB">
              <w:rPr>
                <w:rFonts w:eastAsia="Times New Roman" w:cstheme="minorHAnsi"/>
                <w:color w:val="000000"/>
                <w:sz w:val="18"/>
                <w:szCs w:val="18"/>
                <w:lang w:eastAsia="pl-PL"/>
              </w:rPr>
              <w:t xml:space="preserve"> odcinek budowy </w:t>
            </w:r>
          </w:p>
        </w:tc>
        <w:tc>
          <w:tcPr>
            <w:tcW w:w="3120" w:type="dxa"/>
          </w:tcPr>
          <w:p w14:paraId="3E299A3C"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5D0ED446" w14:textId="77777777" w:rsidR="00CC1EF4" w:rsidRPr="004853EB" w:rsidRDefault="00CC1EF4" w:rsidP="00CC1EF4">
            <w:pPr>
              <w:spacing w:after="0" w:line="240" w:lineRule="auto"/>
              <w:jc w:val="both"/>
              <w:rPr>
                <w:rFonts w:eastAsia="Times New Roman" w:cstheme="minorHAnsi"/>
                <w:color w:val="000000"/>
                <w:sz w:val="18"/>
                <w:szCs w:val="18"/>
                <w:lang w:eastAsia="pl-PL"/>
              </w:rPr>
            </w:pPr>
          </w:p>
          <w:p w14:paraId="1CF27186"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10</w:t>
            </w:r>
          </w:p>
          <w:p w14:paraId="1BF9F155" w14:textId="77777777" w:rsidR="00CC1EF4" w:rsidRPr="004853EB" w:rsidRDefault="00CC1EF4" w:rsidP="00CC1EF4">
            <w:pPr>
              <w:spacing w:after="0" w:line="240" w:lineRule="auto"/>
              <w:jc w:val="both"/>
              <w:rPr>
                <w:rFonts w:eastAsia="Times New Roman" w:cstheme="minorHAnsi"/>
                <w:color w:val="000000"/>
                <w:sz w:val="18"/>
                <w:szCs w:val="18"/>
                <w:highlight w:val="yellow"/>
                <w:lang w:eastAsia="pl-PL"/>
              </w:rPr>
            </w:pPr>
          </w:p>
          <w:p w14:paraId="5EAC0093" w14:textId="77777777" w:rsidR="00CC1EF4" w:rsidRPr="004853EB" w:rsidRDefault="00CC1EF4" w:rsidP="00CC1EF4">
            <w:pPr>
              <w:spacing w:after="0" w:line="240" w:lineRule="auto"/>
              <w:jc w:val="both"/>
              <w:rPr>
                <w:rFonts w:eastAsia="Times New Roman" w:cstheme="minorHAnsi"/>
                <w:color w:val="000000"/>
                <w:sz w:val="18"/>
                <w:szCs w:val="18"/>
                <w:highlight w:val="yellow"/>
                <w:lang w:eastAsia="pl-PL"/>
              </w:rPr>
            </w:pPr>
          </w:p>
          <w:p w14:paraId="079EF82C" w14:textId="77777777" w:rsidR="00CC1EF4" w:rsidRPr="004853EB" w:rsidRDefault="00CC1EF4" w:rsidP="00CC1EF4">
            <w:pPr>
              <w:spacing w:after="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10</w:t>
            </w:r>
          </w:p>
        </w:tc>
      </w:tr>
      <w:tr w:rsidR="00CC1EF4" w:rsidRPr="004853EB" w14:paraId="48AE7319" w14:textId="77777777" w:rsidTr="00E95D02">
        <w:tc>
          <w:tcPr>
            <w:tcW w:w="5748" w:type="dxa"/>
          </w:tcPr>
          <w:p w14:paraId="314ABF19"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B – Pojedyncze oznaczenie grubości</w:t>
            </w:r>
          </w:p>
        </w:tc>
        <w:tc>
          <w:tcPr>
            <w:tcW w:w="3120" w:type="dxa"/>
          </w:tcPr>
          <w:p w14:paraId="1B91EFEF" w14:textId="77777777" w:rsidR="00CC1EF4" w:rsidRPr="004853EB" w:rsidRDefault="00CC1EF4" w:rsidP="00CC1EF4">
            <w:pPr>
              <w:spacing w:before="60" w:after="60" w:line="240" w:lineRule="auto"/>
              <w:jc w:val="both"/>
              <w:rPr>
                <w:rFonts w:eastAsia="Times New Roman" w:cstheme="minorHAnsi"/>
                <w:color w:val="000000"/>
                <w:sz w:val="18"/>
                <w:szCs w:val="18"/>
                <w:lang w:eastAsia="pl-PL"/>
              </w:rPr>
            </w:pPr>
            <w:r w:rsidRPr="004853EB">
              <w:rPr>
                <w:rFonts w:eastAsia="Times New Roman" w:cstheme="minorHAnsi"/>
                <w:color w:val="000000"/>
                <w:sz w:val="18"/>
                <w:szCs w:val="18"/>
                <w:lang w:eastAsia="pl-PL"/>
              </w:rPr>
              <w:t>± 15</w:t>
            </w:r>
          </w:p>
        </w:tc>
      </w:tr>
      <w:tr w:rsidR="00CC1EF4" w:rsidRPr="004853EB" w14:paraId="10A966C5" w14:textId="77777777" w:rsidTr="00E95D02">
        <w:tc>
          <w:tcPr>
            <w:tcW w:w="8868" w:type="dxa"/>
            <w:gridSpan w:val="2"/>
          </w:tcPr>
          <w:p w14:paraId="678266AA" w14:textId="318DA71C" w:rsidR="00CC1EF4" w:rsidRPr="004853EB" w:rsidRDefault="00CC1EF4" w:rsidP="00CC1EF4">
            <w:pPr>
              <w:spacing w:after="0" w:line="240" w:lineRule="auto"/>
              <w:ind w:left="284" w:hanging="284"/>
              <w:jc w:val="both"/>
              <w:rPr>
                <w:rFonts w:eastAsia="Times New Roman" w:cstheme="minorHAnsi"/>
                <w:color w:val="000000"/>
                <w:sz w:val="18"/>
                <w:szCs w:val="18"/>
                <w:lang w:eastAsia="pl-PL"/>
              </w:rPr>
            </w:pPr>
            <w:r w:rsidRPr="004853EB">
              <w:rPr>
                <w:rFonts w:eastAsia="Times New Roman" w:cstheme="minorHAnsi"/>
                <w:color w:val="000000"/>
                <w:sz w:val="18"/>
                <w:szCs w:val="18"/>
                <w:vertAlign w:val="superscript"/>
                <w:lang w:eastAsia="pl-PL"/>
              </w:rPr>
              <w:t>a)</w:t>
            </w:r>
            <w:r w:rsidRPr="004853EB">
              <w:rPr>
                <w:rFonts w:eastAsia="Times New Roman" w:cstheme="minorHAnsi"/>
                <w:color w:val="000000"/>
                <w:sz w:val="18"/>
                <w:szCs w:val="18"/>
                <w:lang w:eastAsia="pl-PL"/>
              </w:rPr>
              <w:t xml:space="preserve"> w wypadku budowy dwuetapowej, </w:t>
            </w:r>
            <w:r w:rsidR="00C562CD" w:rsidRPr="004853EB">
              <w:rPr>
                <w:rFonts w:eastAsia="Times New Roman" w:cstheme="minorHAnsi"/>
                <w:color w:val="000000"/>
                <w:sz w:val="18"/>
                <w:szCs w:val="18"/>
                <w:lang w:eastAsia="pl-PL"/>
              </w:rPr>
              <w:t>tzn.,</w:t>
            </w:r>
            <w:r w:rsidRPr="004853EB">
              <w:rPr>
                <w:rFonts w:eastAsia="Times New Roman" w:cstheme="minorHAnsi"/>
                <w:color w:val="000000"/>
                <w:sz w:val="18"/>
                <w:szCs w:val="18"/>
                <w:lang w:eastAsia="pl-PL"/>
              </w:rPr>
              <w:t xml:space="preserve"> gdy warstwa ścieralna jest układana z opóźnieniem, wartość z wiersza B odpowiednio obowiązuje; w pierwszym etapie budowy do górnej warstwy nawierzchni obowiązuje wartość 25%, </w:t>
            </w:r>
            <w:r w:rsidR="00C562CD">
              <w:rPr>
                <w:rFonts w:eastAsia="Times New Roman" w:cstheme="minorHAnsi"/>
                <w:color w:val="000000"/>
                <w:sz w:val="18"/>
                <w:szCs w:val="18"/>
                <w:lang w:eastAsia="pl-PL"/>
              </w:rPr>
              <w:br/>
            </w:r>
            <w:r w:rsidRPr="004853EB">
              <w:rPr>
                <w:rFonts w:eastAsia="Times New Roman" w:cstheme="minorHAnsi"/>
                <w:color w:val="000000"/>
                <w:sz w:val="18"/>
                <w:szCs w:val="18"/>
                <w:lang w:eastAsia="pl-PL"/>
              </w:rPr>
              <w:t>a do łącznej grubości warstw etapu 1 ÷ 15%</w:t>
            </w:r>
          </w:p>
        </w:tc>
      </w:tr>
    </w:tbl>
    <w:p w14:paraId="4DD85354" w14:textId="77777777" w:rsidR="00CC1EF4" w:rsidRPr="004853EB" w:rsidRDefault="00CC1EF4" w:rsidP="00CC1EF4">
      <w:pPr>
        <w:keepNext/>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6.5.4.3. Spadki poprzeczne</w:t>
      </w:r>
    </w:p>
    <w:p w14:paraId="7F01AD7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Spadki poprzeczne nawierzchni należy badać nie rzadziej niż co 20 m oraz w punktach głównych łuków poziomych.</w:t>
      </w:r>
    </w:p>
    <w:p w14:paraId="7E684993"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Spadki poprzeczne powinny być zgodne z dokumentacją projektową, z tolerancją       </w:t>
      </w:r>
      <w:r w:rsidRPr="004853EB">
        <w:rPr>
          <w:rFonts w:eastAsia="Times New Roman" w:cstheme="minorHAnsi"/>
          <w:color w:val="000000"/>
          <w:sz w:val="20"/>
          <w:szCs w:val="20"/>
          <w:lang w:eastAsia="pl-PL"/>
        </w:rPr>
        <w:sym w:font="Symbol" w:char="00B1"/>
      </w:r>
      <w:r w:rsidRPr="004853EB">
        <w:rPr>
          <w:rFonts w:eastAsia="Times New Roman" w:cstheme="minorHAnsi"/>
          <w:color w:val="000000"/>
          <w:sz w:val="20"/>
          <w:szCs w:val="20"/>
          <w:lang w:eastAsia="pl-PL"/>
        </w:rPr>
        <w:t xml:space="preserve"> 0,5%. </w:t>
      </w:r>
    </w:p>
    <w:p w14:paraId="01DB9826"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6.5.4.4. Równość podłużna i poprzeczna  </w:t>
      </w:r>
    </w:p>
    <w:p w14:paraId="6068942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Do oceny równości podłużnej warstwy wiążącej nawierzchni dróg wszystkich klas technicznych oraz placów i parkingów należy stosować metodę pomiaru ciągłego równoważną użyciu łaty i klina z wykorzystaniem planografu (w miejscach niedostępnych dla planografu pomiar ciągły z użyciem łaty 4-metrowej i klina). Zasady wyznaczania oraz dopuszczalne odbiorcze wartości odchyleń równości podłużnej warstwy określono </w:t>
      </w:r>
      <w:r w:rsidRPr="004853EB">
        <w:rPr>
          <w:rFonts w:eastAsia="Times New Roman" w:cstheme="minorHAnsi"/>
          <w:color w:val="000000"/>
          <w:sz w:val="20"/>
          <w:szCs w:val="20"/>
          <w:lang w:eastAsia="pl-PL"/>
        </w:rPr>
        <w:br/>
        <w:t>w rozporządzeniu w sprawie warunków technicznych jakim powinny odpowiadać drogi i ich usytuowanie [74].</w:t>
      </w:r>
    </w:p>
    <w:p w14:paraId="2707F49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Do oceny równości poprzecznej warstw nawierzchni </w:t>
      </w:r>
      <w:r w:rsidRPr="004853EB">
        <w:rPr>
          <w:rFonts w:eastAsia="Times New Roman" w:cstheme="minorHAnsi"/>
          <w:color w:val="000000"/>
          <w:sz w:val="20"/>
          <w:szCs w:val="20"/>
          <w:lang w:eastAsia="pl-PL"/>
        </w:rPr>
        <w:pgNum/>
      </w:r>
      <w:r w:rsidRPr="004853EB">
        <w:rPr>
          <w:rFonts w:eastAsia="Times New Roman" w:cstheme="minorHAnsi"/>
          <w:color w:val="000000"/>
          <w:sz w:val="20"/>
          <w:szCs w:val="20"/>
          <w:lang w:eastAsia="pl-PL"/>
        </w:rPr>
        <w:t>róg wszystkich klas oraz placów i parkingów należy stosować metodę pomiaru profilometrycznego równoważną użyciu łaty o długości 2 m i klina, umożliwiającą wyznaczenie odchylenia równości w przekroju poprzecznym pasa ruchu/elementu drogi.</w:t>
      </w:r>
    </w:p>
    <w:p w14:paraId="773FD2B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W miejscach niedostępnych dla profilografu pomiar równości poprzecznej warstw nawierzchni należy wykonać z użyciem łaty i klina. Długość łaty w pomiarze równości poprzecznej powinien wynosić 2 m. Pomiar powinien być wykonany nie rzadziej niż co 5 m.</w:t>
      </w:r>
    </w:p>
    <w:p w14:paraId="6684CD9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Zasady wyznaczaniu odchylenia oraz wartości dopuszczalne odchyleń równości poprzecznej przy odbiorze warstwy określono w rozporządzeniu w sprawie warunków technicznych, jakim powinny odpowiadać drogi publiczne i ich usytuowanie [74].</w:t>
      </w:r>
    </w:p>
    <w:p w14:paraId="0FCF07F9"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6.5.4.5. Złącza technologiczne </w:t>
      </w:r>
    </w:p>
    <w:p w14:paraId="14719C33"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Złącza podłużne i poprzeczne, sprawdzone wizualnie, powinny być równe i związane, wykonane w linii prostej, równolegle lub prostopadle do osi drogi. Przylegające warstwy powinny być w jednym poziomie.</w:t>
      </w:r>
    </w:p>
    <w:p w14:paraId="6582019A" w14:textId="77777777" w:rsidR="00CC1EF4" w:rsidRPr="004853EB" w:rsidRDefault="00CC1EF4" w:rsidP="00CC1EF4">
      <w:pPr>
        <w:keepNext/>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 xml:space="preserve">6.5.4.6. Szerokość warstwy </w:t>
      </w:r>
    </w:p>
    <w:p w14:paraId="4784702C" w14:textId="0C9B2A80" w:rsidR="00CC1EF4" w:rsidRPr="004853EB" w:rsidRDefault="00CC1EF4" w:rsidP="00CC1EF4">
      <w:pPr>
        <w:numPr>
          <w:ilvl w:val="12"/>
          <w:numId w:val="0"/>
        </w:num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Szerokość warstwy, mierzona 10 razy na 1 km każdej jezdni powinna być zgodna z dokumentacją projektową, z </w:t>
      </w:r>
      <w:r w:rsidR="00C562CD" w:rsidRPr="004853EB">
        <w:rPr>
          <w:rFonts w:eastAsia="Times New Roman" w:cstheme="minorHAnsi"/>
          <w:color w:val="000000"/>
          <w:sz w:val="20"/>
          <w:szCs w:val="20"/>
          <w:lang w:eastAsia="pl-PL"/>
        </w:rPr>
        <w:t>tolerancją w</w:t>
      </w:r>
      <w:r w:rsidRPr="004853EB">
        <w:rPr>
          <w:rFonts w:eastAsia="Times New Roman" w:cstheme="minorHAnsi"/>
          <w:color w:val="000000"/>
          <w:sz w:val="20"/>
          <w:szCs w:val="20"/>
          <w:lang w:eastAsia="pl-PL"/>
        </w:rPr>
        <w:t xml:space="preserve"> zakresie od 0 do +5 cm, przy czym szerokość warstwy wiążącej powinna być odpowiednio szersza, tak aby stanowiła odsadzkę dla warstwy ścieralnej. W przypadku wyprofilowanej ukośnej krawędzi szerokość należy mierzyć w środku linii skosu.</w:t>
      </w:r>
    </w:p>
    <w:p w14:paraId="3ED03228" w14:textId="77777777" w:rsidR="00CC1EF4" w:rsidRPr="004853EB" w:rsidRDefault="00CC1EF4" w:rsidP="00CC1EF4">
      <w:pPr>
        <w:numPr>
          <w:ilvl w:val="12"/>
          <w:numId w:val="0"/>
        </w:num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6.5.4.7. Rzędne wysokościowe </w:t>
      </w:r>
    </w:p>
    <w:p w14:paraId="54211121"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14:paraId="139B0EB6" w14:textId="77777777" w:rsidR="00CC1EF4" w:rsidRPr="004853EB" w:rsidRDefault="00CC1EF4" w:rsidP="00CC1EF4">
      <w:pPr>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6.5.4.8. Ukształtowanie osi w planie </w:t>
      </w:r>
    </w:p>
    <w:p w14:paraId="3E9008ED"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Ukształtowanie osi w planie, mierzone co 100 m, nie powinno różnić się od dokumentacji projektowej </w:t>
      </w:r>
      <w:r w:rsidRPr="004853EB">
        <w:rPr>
          <w:rFonts w:eastAsia="Times New Roman" w:cstheme="minorHAnsi"/>
          <w:color w:val="000000"/>
          <w:sz w:val="20"/>
          <w:szCs w:val="20"/>
          <w:lang w:eastAsia="pl-PL"/>
        </w:rPr>
        <w:br/>
        <w:t>o więcej niż ± 5 cm.</w:t>
      </w:r>
    </w:p>
    <w:p w14:paraId="36B33767" w14:textId="77777777" w:rsidR="00CC1EF4" w:rsidRPr="004853EB" w:rsidRDefault="00CC1EF4" w:rsidP="00CC1EF4">
      <w:pPr>
        <w:keepNext/>
        <w:spacing w:before="120"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6.5.4.9. Ocena wizualna warstwy </w:t>
      </w:r>
    </w:p>
    <w:p w14:paraId="146132F4" w14:textId="77777777" w:rsidR="00CC1EF4" w:rsidRPr="004853EB" w:rsidRDefault="00CC1EF4" w:rsidP="00CC1EF4">
      <w:p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Wygląd zewnętrzny warstwy, sprawdzony wizualnie, powinien być jednorodny, bez spękań, deformacji, plam i wykruszeń.</w:t>
      </w:r>
    </w:p>
    <w:p w14:paraId="6FEC6785"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5B4C51F3"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538" w:name="_Toc97034647"/>
      <w:bookmarkStart w:id="3539" w:name="_Toc97035335"/>
      <w:bookmarkStart w:id="3540" w:name="_Toc194477038"/>
      <w:bookmarkStart w:id="3541" w:name="_Toc227825520"/>
      <w:r w:rsidRPr="004853EB">
        <w:rPr>
          <w:rFonts w:eastAsia="Times New Roman" w:cstheme="minorHAnsi"/>
          <w:b/>
          <w:bCs/>
          <w:color w:val="000000"/>
          <w:sz w:val="20"/>
          <w:szCs w:val="20"/>
          <w:lang w:eastAsia="pl-PL"/>
        </w:rPr>
        <w:t>6.6. Badania kontrolne dodatkowe</w:t>
      </w:r>
      <w:bookmarkEnd w:id="3538"/>
      <w:bookmarkEnd w:id="3539"/>
      <w:bookmarkEnd w:id="3540"/>
      <w:bookmarkEnd w:id="3541"/>
    </w:p>
    <w:p w14:paraId="19F0C23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W wypadku uznania, że jeden z wyników badań kontrolnych nie jest reprezentatywny dla ocenianego odcinka budowy, Wykonawca ma prawo żądać przeprowadzenia badań kontrolnych dodatkowych.</w:t>
      </w:r>
    </w:p>
    <w:p w14:paraId="4457001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58AB128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Do odbioru uwzględniane są wyniki badań kontrolnych i badań kontrolnych dodatkowych do wyznaczonych odcinków częściowych.</w:t>
      </w:r>
    </w:p>
    <w:p w14:paraId="35F18F6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Koszty badań kontrolnych dodatkowych zażądanych przez Wykonawcę ponosi Wykonawca.</w:t>
      </w:r>
    </w:p>
    <w:p w14:paraId="0F17CA53"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1EB98C73"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542" w:name="_Toc97034648"/>
      <w:bookmarkStart w:id="3543" w:name="_Toc97035336"/>
      <w:bookmarkStart w:id="3544" w:name="_Toc194477039"/>
      <w:bookmarkStart w:id="3545" w:name="_Toc227825521"/>
      <w:r w:rsidRPr="004853EB">
        <w:rPr>
          <w:rFonts w:eastAsia="Times New Roman" w:cstheme="minorHAnsi"/>
          <w:b/>
          <w:bCs/>
          <w:color w:val="000000"/>
          <w:sz w:val="20"/>
          <w:szCs w:val="20"/>
          <w:lang w:eastAsia="pl-PL"/>
        </w:rPr>
        <w:t>6.7. Badania arbitrażowe</w:t>
      </w:r>
      <w:bookmarkEnd w:id="3542"/>
      <w:bookmarkEnd w:id="3543"/>
      <w:bookmarkEnd w:id="3544"/>
      <w:bookmarkEnd w:id="3545"/>
    </w:p>
    <w:p w14:paraId="4F4DD76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Badania arbitrażowe są powtórzeniem badań kontrolnych, co do których istnieją uzasadnione wątpliwości ze strony Inżyniera lub Wykonawcy (np. na podstawie własnych badań).</w:t>
      </w:r>
    </w:p>
    <w:p w14:paraId="784CF95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Badania arbitrażowe wykonuje na wniosek strony kontraktu niezależne laboratorium, które nie wykonywało badań kontrolnych.</w:t>
      </w:r>
    </w:p>
    <w:p w14:paraId="3C06223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Koszty badań arbitrażowych wraz ze wszystkimi kosztami ubocznymi ponosi strona, na której niekorzyść przemawia wynik badania.</w:t>
      </w:r>
    </w:p>
    <w:p w14:paraId="525ABCCB"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546" w:name="_Toc412707324"/>
    </w:p>
    <w:p w14:paraId="7E098F69"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547" w:name="_Toc68686955"/>
      <w:bookmarkStart w:id="3548" w:name="_Toc68690553"/>
      <w:bookmarkStart w:id="3549" w:name="_Toc97034649"/>
      <w:bookmarkStart w:id="3550" w:name="_Toc97035337"/>
      <w:bookmarkStart w:id="3551" w:name="_Toc194477040"/>
      <w:bookmarkStart w:id="3552" w:name="_Toc227825522"/>
      <w:r w:rsidRPr="004853EB">
        <w:rPr>
          <w:rFonts w:eastAsia="Times New Roman" w:cstheme="minorHAnsi"/>
          <w:b/>
          <w:bCs/>
          <w:color w:val="000000"/>
          <w:sz w:val="20"/>
          <w:szCs w:val="20"/>
          <w:lang w:eastAsia="pl-PL"/>
        </w:rPr>
        <w:t>7. OBMIAR ROBÓT</w:t>
      </w:r>
      <w:bookmarkEnd w:id="3546"/>
      <w:bookmarkEnd w:id="3547"/>
      <w:bookmarkEnd w:id="3548"/>
      <w:bookmarkEnd w:id="3549"/>
      <w:bookmarkEnd w:id="3550"/>
      <w:bookmarkEnd w:id="3551"/>
      <w:bookmarkEnd w:id="3552"/>
    </w:p>
    <w:p w14:paraId="4FCF9CEA"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p>
    <w:p w14:paraId="6AC39AE4"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553" w:name="_Toc97034650"/>
      <w:bookmarkStart w:id="3554" w:name="_Toc97035338"/>
      <w:bookmarkStart w:id="3555" w:name="_Toc194477041"/>
      <w:bookmarkStart w:id="3556" w:name="_Toc227825523"/>
      <w:r w:rsidRPr="004853EB">
        <w:rPr>
          <w:rFonts w:eastAsia="Times New Roman" w:cstheme="minorHAnsi"/>
          <w:b/>
          <w:bCs/>
          <w:color w:val="000000"/>
          <w:sz w:val="20"/>
          <w:szCs w:val="20"/>
          <w:lang w:eastAsia="pl-PL"/>
        </w:rPr>
        <w:t>7.1. Ogólne zasady obmiaru robót</w:t>
      </w:r>
      <w:bookmarkEnd w:id="3553"/>
      <w:bookmarkEnd w:id="3554"/>
      <w:bookmarkEnd w:id="3555"/>
      <w:bookmarkEnd w:id="3556"/>
    </w:p>
    <w:p w14:paraId="6D1A0D85" w14:textId="7A7625D3" w:rsidR="00CC1EF4" w:rsidRPr="004853EB" w:rsidRDefault="00CC1EF4" w:rsidP="00CC1EF4">
      <w:pPr>
        <w:numPr>
          <w:ilvl w:val="12"/>
          <w:numId w:val="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Ogólne zasady obmiaru robót podano w </w:t>
      </w:r>
      <w:r w:rsidR="00C562CD" w:rsidRPr="004853EB">
        <w:rPr>
          <w:rFonts w:eastAsia="Times New Roman" w:cstheme="minorHAnsi"/>
          <w:color w:val="000000"/>
          <w:sz w:val="20"/>
          <w:szCs w:val="20"/>
          <w:lang w:eastAsia="pl-PL"/>
        </w:rPr>
        <w:t>ST D</w:t>
      </w:r>
      <w:r w:rsidRPr="004853EB">
        <w:rPr>
          <w:rFonts w:eastAsia="Times New Roman" w:cstheme="minorHAnsi"/>
          <w:color w:val="000000"/>
          <w:sz w:val="20"/>
          <w:szCs w:val="20"/>
          <w:lang w:eastAsia="pl-PL"/>
        </w:rPr>
        <w:t>-M-00.00.00 „Wymagania ogólne” [1] pkt 7.</w:t>
      </w:r>
    </w:p>
    <w:p w14:paraId="1B85885A"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p>
    <w:p w14:paraId="6CCCA0DC"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557" w:name="_Toc97034651"/>
      <w:bookmarkStart w:id="3558" w:name="_Toc97035339"/>
      <w:bookmarkStart w:id="3559" w:name="_Toc194477042"/>
      <w:bookmarkStart w:id="3560" w:name="_Toc227825524"/>
      <w:r w:rsidRPr="004853EB">
        <w:rPr>
          <w:rFonts w:eastAsia="Times New Roman" w:cstheme="minorHAnsi"/>
          <w:b/>
          <w:bCs/>
          <w:color w:val="000000"/>
          <w:sz w:val="20"/>
          <w:szCs w:val="20"/>
          <w:lang w:eastAsia="pl-PL"/>
        </w:rPr>
        <w:t>7.2. Jednostka obmiarowa</w:t>
      </w:r>
      <w:bookmarkEnd w:id="3557"/>
      <w:bookmarkEnd w:id="3558"/>
      <w:bookmarkEnd w:id="3559"/>
      <w:bookmarkEnd w:id="3560"/>
    </w:p>
    <w:p w14:paraId="014412A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Jednostką obmiarową jest m</w:t>
      </w:r>
      <w:r w:rsidRPr="004853EB">
        <w:rPr>
          <w:rFonts w:eastAsia="Times New Roman" w:cstheme="minorHAnsi"/>
          <w:color w:val="000000"/>
          <w:sz w:val="20"/>
          <w:szCs w:val="20"/>
          <w:vertAlign w:val="superscript"/>
          <w:lang w:eastAsia="pl-PL"/>
        </w:rPr>
        <w:t>2</w:t>
      </w:r>
      <w:r w:rsidRPr="004853EB">
        <w:rPr>
          <w:rFonts w:eastAsia="Times New Roman" w:cstheme="minorHAnsi"/>
          <w:color w:val="000000"/>
          <w:sz w:val="20"/>
          <w:szCs w:val="20"/>
          <w:lang w:eastAsia="pl-PL"/>
        </w:rPr>
        <w:t xml:space="preserve"> (metr kwadratowy) wykonanej warstwy z betonu asfaltowego (AC).</w:t>
      </w:r>
    </w:p>
    <w:p w14:paraId="2B8C7EE4"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561" w:name="_Toc412707325"/>
    </w:p>
    <w:p w14:paraId="47ECABB9"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562" w:name="_Toc68686956"/>
      <w:bookmarkStart w:id="3563" w:name="_Toc68690554"/>
      <w:bookmarkStart w:id="3564" w:name="_Toc97034652"/>
      <w:bookmarkStart w:id="3565" w:name="_Toc97035340"/>
      <w:bookmarkStart w:id="3566" w:name="_Toc194477043"/>
      <w:bookmarkStart w:id="3567" w:name="_Toc227825525"/>
      <w:r w:rsidRPr="004853EB">
        <w:rPr>
          <w:rFonts w:eastAsia="Times New Roman" w:cstheme="minorHAnsi"/>
          <w:b/>
          <w:bCs/>
          <w:color w:val="000000"/>
          <w:sz w:val="20"/>
          <w:szCs w:val="20"/>
          <w:lang w:eastAsia="pl-PL"/>
        </w:rPr>
        <w:t>8. O</w:t>
      </w:r>
      <w:bookmarkEnd w:id="3561"/>
      <w:r w:rsidRPr="004853EB">
        <w:rPr>
          <w:rFonts w:eastAsia="Times New Roman" w:cstheme="minorHAnsi"/>
          <w:b/>
          <w:bCs/>
          <w:color w:val="000000"/>
          <w:sz w:val="20"/>
          <w:szCs w:val="20"/>
          <w:lang w:eastAsia="pl-PL"/>
        </w:rPr>
        <w:t>DBIÓR ROBÓT</w:t>
      </w:r>
      <w:bookmarkEnd w:id="3562"/>
      <w:bookmarkEnd w:id="3563"/>
      <w:bookmarkEnd w:id="3564"/>
      <w:bookmarkEnd w:id="3565"/>
      <w:bookmarkEnd w:id="3566"/>
      <w:bookmarkEnd w:id="3567"/>
    </w:p>
    <w:p w14:paraId="5D84B4B4" w14:textId="165DE58D" w:rsidR="00CC1EF4" w:rsidRPr="004853EB" w:rsidRDefault="00CC1EF4" w:rsidP="00CC1EF4">
      <w:pPr>
        <w:numPr>
          <w:ilvl w:val="12"/>
          <w:numId w:val="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 xml:space="preserve">Ogólne zasady odbioru robót podano w </w:t>
      </w:r>
      <w:r w:rsidR="00C562CD" w:rsidRPr="004853EB">
        <w:rPr>
          <w:rFonts w:eastAsia="Times New Roman" w:cstheme="minorHAnsi"/>
          <w:color w:val="000000"/>
          <w:sz w:val="20"/>
          <w:szCs w:val="20"/>
          <w:lang w:eastAsia="pl-PL"/>
        </w:rPr>
        <w:t>ST D</w:t>
      </w:r>
      <w:r w:rsidRPr="004853EB">
        <w:rPr>
          <w:rFonts w:eastAsia="Times New Roman" w:cstheme="minorHAnsi"/>
          <w:color w:val="000000"/>
          <w:sz w:val="20"/>
          <w:szCs w:val="20"/>
          <w:lang w:eastAsia="pl-PL"/>
        </w:rPr>
        <w:t>-M-00.00.00 „Wymagania ogólne” [1] pkt 8.</w:t>
      </w:r>
    </w:p>
    <w:p w14:paraId="4715537A" w14:textId="77777777" w:rsidR="00CC1EF4" w:rsidRPr="004853EB" w:rsidRDefault="00CC1EF4" w:rsidP="00CC1EF4">
      <w:pPr>
        <w:numPr>
          <w:ilvl w:val="12"/>
          <w:numId w:val="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Roboty uznaje się za wykonane zgodnie z dokumentacją projektową, ST i wymaganiami Inżyniera, jeżeli wszystkie pomiary i badania z zachowaniem tolerancji według pktu 6 dały wyniki pozytywne.</w:t>
      </w:r>
    </w:p>
    <w:p w14:paraId="1830535A"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568" w:name="_Toc412707326"/>
    </w:p>
    <w:p w14:paraId="10FA69FB"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569" w:name="_Toc68686957"/>
      <w:bookmarkStart w:id="3570" w:name="_Toc68690555"/>
      <w:bookmarkStart w:id="3571" w:name="_Toc97034653"/>
      <w:bookmarkStart w:id="3572" w:name="_Toc97035341"/>
      <w:bookmarkStart w:id="3573" w:name="_Toc194477044"/>
      <w:bookmarkStart w:id="3574" w:name="_Toc227825526"/>
      <w:r w:rsidRPr="004853EB">
        <w:rPr>
          <w:rFonts w:eastAsia="Times New Roman" w:cstheme="minorHAnsi"/>
          <w:b/>
          <w:bCs/>
          <w:color w:val="000000"/>
          <w:sz w:val="20"/>
          <w:szCs w:val="20"/>
          <w:lang w:eastAsia="pl-PL"/>
        </w:rPr>
        <w:t>9. PODSTAWA PŁATNOŚCI</w:t>
      </w:r>
      <w:bookmarkEnd w:id="3568"/>
      <w:bookmarkEnd w:id="3569"/>
      <w:bookmarkEnd w:id="3570"/>
      <w:bookmarkEnd w:id="3571"/>
      <w:bookmarkEnd w:id="3572"/>
      <w:bookmarkEnd w:id="3573"/>
      <w:bookmarkEnd w:id="3574"/>
    </w:p>
    <w:p w14:paraId="71C08431"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p>
    <w:p w14:paraId="019C4CFB"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575" w:name="_Toc97034654"/>
      <w:bookmarkStart w:id="3576" w:name="_Toc97035342"/>
      <w:bookmarkStart w:id="3577" w:name="_Toc194477045"/>
      <w:bookmarkStart w:id="3578" w:name="_Toc227825527"/>
      <w:r w:rsidRPr="004853EB">
        <w:rPr>
          <w:rFonts w:eastAsia="Times New Roman" w:cstheme="minorHAnsi"/>
          <w:b/>
          <w:bCs/>
          <w:color w:val="000000"/>
          <w:sz w:val="20"/>
          <w:szCs w:val="20"/>
          <w:lang w:eastAsia="pl-PL"/>
        </w:rPr>
        <w:t>9.1. Ogólne ustalenia dotyczące podstawy płatności</w:t>
      </w:r>
      <w:bookmarkEnd w:id="3575"/>
      <w:bookmarkEnd w:id="3576"/>
      <w:bookmarkEnd w:id="3577"/>
      <w:bookmarkEnd w:id="3578"/>
    </w:p>
    <w:p w14:paraId="6441F25A" w14:textId="77777777" w:rsidR="00CC1EF4" w:rsidRPr="004853EB" w:rsidRDefault="00CC1EF4" w:rsidP="00CC1EF4">
      <w:pPr>
        <w:numPr>
          <w:ilvl w:val="12"/>
          <w:numId w:val="0"/>
        </w:num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Ogólne ustalenia dotyczące podstawy płatności podano w ST D-M-00.00.00 „Wymagania ogólne” [1] pkt 9.</w:t>
      </w:r>
    </w:p>
    <w:p w14:paraId="554E9DB8" w14:textId="77777777" w:rsidR="00CC1EF4" w:rsidRPr="004853EB" w:rsidRDefault="00CC1EF4" w:rsidP="00CC1EF4">
      <w:pPr>
        <w:keepNext/>
        <w:numPr>
          <w:ilvl w:val="12"/>
          <w:numId w:val="0"/>
        </w:numPr>
        <w:spacing w:after="0" w:line="240" w:lineRule="auto"/>
        <w:jc w:val="both"/>
        <w:outlineLvl w:val="1"/>
        <w:rPr>
          <w:rFonts w:eastAsia="Times New Roman" w:cstheme="minorHAnsi"/>
          <w:b/>
          <w:bCs/>
          <w:color w:val="000000"/>
          <w:sz w:val="20"/>
          <w:szCs w:val="20"/>
          <w:lang w:eastAsia="pl-PL"/>
        </w:rPr>
      </w:pPr>
      <w:bookmarkStart w:id="3579" w:name="_Toc97034655"/>
      <w:bookmarkStart w:id="3580" w:name="_Toc97035343"/>
      <w:bookmarkStart w:id="3581" w:name="_Toc194477046"/>
      <w:bookmarkStart w:id="3582" w:name="_Toc227825528"/>
      <w:r w:rsidRPr="004853EB">
        <w:rPr>
          <w:rFonts w:eastAsia="Times New Roman" w:cstheme="minorHAnsi"/>
          <w:b/>
          <w:bCs/>
          <w:color w:val="000000"/>
          <w:sz w:val="20"/>
          <w:szCs w:val="20"/>
          <w:lang w:eastAsia="pl-PL"/>
        </w:rPr>
        <w:lastRenderedPageBreak/>
        <w:t>9.2. Cena jednostki obmiarowej</w:t>
      </w:r>
      <w:bookmarkEnd w:id="3579"/>
      <w:bookmarkEnd w:id="3580"/>
      <w:bookmarkEnd w:id="3581"/>
      <w:bookmarkEnd w:id="3582"/>
    </w:p>
    <w:p w14:paraId="44057E86" w14:textId="39740D09" w:rsidR="00CC1EF4" w:rsidRPr="004853EB" w:rsidRDefault="00CC1EF4" w:rsidP="00CC1EF4">
      <w:pPr>
        <w:numPr>
          <w:ilvl w:val="12"/>
          <w:numId w:val="0"/>
        </w:numPr>
        <w:spacing w:after="0" w:line="240" w:lineRule="auto"/>
        <w:ind w:firstLine="709"/>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Cena wykonania 1 m</w:t>
      </w:r>
      <w:r w:rsidRPr="004853EB">
        <w:rPr>
          <w:rFonts w:eastAsia="Times New Roman" w:cstheme="minorHAnsi"/>
          <w:color w:val="000000"/>
          <w:sz w:val="20"/>
          <w:szCs w:val="20"/>
          <w:vertAlign w:val="superscript"/>
          <w:lang w:eastAsia="pl-PL"/>
        </w:rPr>
        <w:t>2</w:t>
      </w:r>
      <w:r w:rsidRPr="004853EB">
        <w:rPr>
          <w:rFonts w:eastAsia="Times New Roman" w:cstheme="minorHAnsi"/>
          <w:color w:val="000000"/>
          <w:sz w:val="20"/>
          <w:szCs w:val="20"/>
          <w:lang w:eastAsia="pl-PL"/>
        </w:rPr>
        <w:t xml:space="preserve"> </w:t>
      </w:r>
      <w:r w:rsidR="00C562CD" w:rsidRPr="004853EB">
        <w:rPr>
          <w:rFonts w:eastAsia="Times New Roman" w:cstheme="minorHAnsi"/>
          <w:color w:val="000000"/>
          <w:sz w:val="20"/>
          <w:szCs w:val="20"/>
          <w:lang w:eastAsia="pl-PL"/>
        </w:rPr>
        <w:t>warstwy z</w:t>
      </w:r>
      <w:r w:rsidRPr="004853EB">
        <w:rPr>
          <w:rFonts w:eastAsia="Times New Roman" w:cstheme="minorHAnsi"/>
          <w:color w:val="000000"/>
          <w:sz w:val="20"/>
          <w:szCs w:val="20"/>
          <w:lang w:eastAsia="pl-PL"/>
        </w:rPr>
        <w:t xml:space="preserve"> betonu asfaltowego (AC) obejmuje:</w:t>
      </w:r>
    </w:p>
    <w:p w14:paraId="21D3BCFD"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prace pomiarowe i roboty przygotowawcze, </w:t>
      </w:r>
    </w:p>
    <w:p w14:paraId="5305F560"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oznakowanie robót,</w:t>
      </w:r>
    </w:p>
    <w:p w14:paraId="26A337F2"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oczyszczenie i skropienie podłoża,</w:t>
      </w:r>
    </w:p>
    <w:p w14:paraId="5EA6111C"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dostarczenie materiałów i sprzętu,</w:t>
      </w:r>
    </w:p>
    <w:p w14:paraId="23EB42FA"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opracowanie recepty laboratoryjnej,</w:t>
      </w:r>
    </w:p>
    <w:p w14:paraId="13754890"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wykonanie próby technologicznej i odcinka próbnego,</w:t>
      </w:r>
    </w:p>
    <w:p w14:paraId="156D8AB1"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wyprodukowanie mieszanki betonu asfaltowego i jej transport na miejsce wbudowania,</w:t>
      </w:r>
    </w:p>
    <w:p w14:paraId="266E5BA1"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posmarowanie lepiszczem lub pokrycie taśmą asfaltową krawędzi urządzeń obcych i krawężników,</w:t>
      </w:r>
    </w:p>
    <w:p w14:paraId="72BDF338"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rozłożenie i zagęszczenie mieszanki betonu asfaltowego,</w:t>
      </w:r>
    </w:p>
    <w:p w14:paraId="7C28B356"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obcięcie krawędzi i posmarowanie lepiszczem,</w:t>
      </w:r>
    </w:p>
    <w:p w14:paraId="4074DE28" w14:textId="064F2DAF"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przeprowadzenie pomiarów i </w:t>
      </w:r>
      <w:r w:rsidR="00C562CD" w:rsidRPr="004853EB">
        <w:rPr>
          <w:rFonts w:eastAsia="Times New Roman" w:cstheme="minorHAnsi"/>
          <w:color w:val="000000"/>
          <w:sz w:val="20"/>
          <w:szCs w:val="20"/>
          <w:lang w:eastAsia="pl-PL"/>
        </w:rPr>
        <w:t>badań wymaganych</w:t>
      </w:r>
      <w:r w:rsidRPr="004853EB">
        <w:rPr>
          <w:rFonts w:eastAsia="Times New Roman" w:cstheme="minorHAnsi"/>
          <w:color w:val="000000"/>
          <w:sz w:val="20"/>
          <w:szCs w:val="20"/>
          <w:lang w:eastAsia="pl-PL"/>
        </w:rPr>
        <w:t xml:space="preserve"> w specyfikacji technicznej,</w:t>
      </w:r>
    </w:p>
    <w:p w14:paraId="5E7B7E5E"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b/>
          <w:color w:val="000000"/>
          <w:sz w:val="20"/>
          <w:szCs w:val="20"/>
          <w:lang w:eastAsia="pl-PL"/>
        </w:rPr>
      </w:pPr>
      <w:r w:rsidRPr="004853EB">
        <w:rPr>
          <w:rFonts w:eastAsia="Times New Roman" w:cstheme="minorHAnsi"/>
          <w:color w:val="000000"/>
          <w:sz w:val="20"/>
          <w:szCs w:val="20"/>
          <w:lang w:eastAsia="pl-PL"/>
        </w:rPr>
        <w:t>odwiezienie sprzętu.</w:t>
      </w:r>
    </w:p>
    <w:p w14:paraId="42ABD42F"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54F7E876"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583" w:name="_Toc97034656"/>
      <w:bookmarkStart w:id="3584" w:name="_Toc97035344"/>
      <w:bookmarkStart w:id="3585" w:name="_Toc194477047"/>
      <w:bookmarkStart w:id="3586" w:name="_Toc227825529"/>
      <w:r w:rsidRPr="004853EB">
        <w:rPr>
          <w:rFonts w:eastAsia="Times New Roman" w:cstheme="minorHAnsi"/>
          <w:b/>
          <w:bCs/>
          <w:color w:val="000000"/>
          <w:sz w:val="20"/>
          <w:szCs w:val="20"/>
          <w:lang w:eastAsia="pl-PL"/>
        </w:rPr>
        <w:t>9.3. Sposób rozliczenia robót tymczasowych i prac towarzyszących</w:t>
      </w:r>
      <w:bookmarkEnd w:id="3583"/>
      <w:bookmarkEnd w:id="3584"/>
      <w:bookmarkEnd w:id="3585"/>
      <w:bookmarkEnd w:id="3586"/>
    </w:p>
    <w:p w14:paraId="459DEB7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b/>
        <w:t>Cena wykonania robót określonych niniejszą ST obejmuje:</w:t>
      </w:r>
    </w:p>
    <w:p w14:paraId="565EB341"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roboty tymczasowe, które są potrzebne do wykonania robót podstawowych, ale nie są przekazywane Zamawiającemu i są usuwane po wykonaniu robót podstawowych,</w:t>
      </w:r>
    </w:p>
    <w:p w14:paraId="0A0FB6F5"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prace towarzyszące, które są niezbędne do wykonania robót podstawowych, niezaliczane do robót tymczasowych, jak geodezyjne wytyczenie robót itd.</w:t>
      </w:r>
    </w:p>
    <w:p w14:paraId="17EA8F87"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587" w:name="_Toc412707327"/>
    </w:p>
    <w:p w14:paraId="1C90DC34" w14:textId="77777777" w:rsidR="00CC1EF4" w:rsidRPr="004853EB" w:rsidRDefault="00CC1EF4" w:rsidP="00CC1EF4">
      <w:pPr>
        <w:keepNext/>
        <w:spacing w:after="0" w:line="240" w:lineRule="auto"/>
        <w:jc w:val="both"/>
        <w:outlineLvl w:val="0"/>
        <w:rPr>
          <w:rFonts w:eastAsia="Times New Roman" w:cstheme="minorHAnsi"/>
          <w:b/>
          <w:bCs/>
          <w:color w:val="000000"/>
          <w:sz w:val="20"/>
          <w:szCs w:val="20"/>
          <w:lang w:eastAsia="pl-PL"/>
        </w:rPr>
      </w:pPr>
      <w:bookmarkStart w:id="3588" w:name="_Toc68686958"/>
      <w:bookmarkStart w:id="3589" w:name="_Toc68690556"/>
      <w:bookmarkStart w:id="3590" w:name="_Toc97034657"/>
      <w:bookmarkStart w:id="3591" w:name="_Toc97035345"/>
      <w:bookmarkStart w:id="3592" w:name="_Toc194477048"/>
      <w:bookmarkStart w:id="3593" w:name="_Toc227825530"/>
      <w:r w:rsidRPr="004853EB">
        <w:rPr>
          <w:rFonts w:eastAsia="Times New Roman" w:cstheme="minorHAnsi"/>
          <w:b/>
          <w:bCs/>
          <w:color w:val="000000"/>
          <w:sz w:val="20"/>
          <w:szCs w:val="20"/>
          <w:lang w:eastAsia="pl-PL"/>
        </w:rPr>
        <w:t>10. PRZEPISY ZWIĄZANE</w:t>
      </w:r>
      <w:bookmarkEnd w:id="3587"/>
      <w:bookmarkEnd w:id="3588"/>
      <w:bookmarkEnd w:id="3589"/>
      <w:bookmarkEnd w:id="3590"/>
      <w:bookmarkEnd w:id="3591"/>
      <w:bookmarkEnd w:id="3592"/>
      <w:bookmarkEnd w:id="3593"/>
    </w:p>
    <w:p w14:paraId="7C5C662B"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7FC8710F"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594" w:name="_Toc97034658"/>
      <w:bookmarkStart w:id="3595" w:name="_Toc97035346"/>
      <w:bookmarkStart w:id="3596" w:name="_Toc194477049"/>
      <w:bookmarkStart w:id="3597" w:name="_Toc227825531"/>
      <w:r w:rsidRPr="004853EB">
        <w:rPr>
          <w:rFonts w:eastAsia="Times New Roman" w:cstheme="minorHAnsi"/>
          <w:b/>
          <w:bCs/>
          <w:color w:val="000000"/>
          <w:sz w:val="20"/>
          <w:szCs w:val="20"/>
          <w:lang w:eastAsia="pl-PL"/>
        </w:rPr>
        <w:t>10.1. Specyfikacje techniczne (ST)</w:t>
      </w:r>
      <w:bookmarkEnd w:id="3594"/>
      <w:bookmarkEnd w:id="3595"/>
      <w:bookmarkEnd w:id="3596"/>
      <w:bookmarkEnd w:id="3597"/>
    </w:p>
    <w:tbl>
      <w:tblPr>
        <w:tblW w:w="0" w:type="auto"/>
        <w:tblLayout w:type="fixed"/>
        <w:tblCellMar>
          <w:left w:w="70" w:type="dxa"/>
          <w:right w:w="70" w:type="dxa"/>
        </w:tblCellMar>
        <w:tblLook w:val="0000" w:firstRow="0" w:lastRow="0" w:firstColumn="0" w:lastColumn="0" w:noHBand="0" w:noVBand="0"/>
      </w:tblPr>
      <w:tblGrid>
        <w:gridCol w:w="496"/>
        <w:gridCol w:w="2334"/>
        <w:gridCol w:w="6000"/>
      </w:tblGrid>
      <w:tr w:rsidR="00CC1EF4" w:rsidRPr="004853EB" w14:paraId="256BDD91" w14:textId="77777777" w:rsidTr="00E95D02">
        <w:tc>
          <w:tcPr>
            <w:tcW w:w="496" w:type="dxa"/>
          </w:tcPr>
          <w:p w14:paraId="47A64CF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w:t>
            </w:r>
          </w:p>
        </w:tc>
        <w:tc>
          <w:tcPr>
            <w:tcW w:w="2334" w:type="dxa"/>
          </w:tcPr>
          <w:p w14:paraId="51E2F3E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D-M-00.00.00</w:t>
            </w:r>
          </w:p>
        </w:tc>
        <w:tc>
          <w:tcPr>
            <w:tcW w:w="6000" w:type="dxa"/>
          </w:tcPr>
          <w:p w14:paraId="0AB38E6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Wymagania ogólne</w:t>
            </w:r>
          </w:p>
        </w:tc>
      </w:tr>
      <w:tr w:rsidR="00CC1EF4" w:rsidRPr="004853EB" w14:paraId="460F741A" w14:textId="77777777" w:rsidTr="00E95D02">
        <w:tc>
          <w:tcPr>
            <w:tcW w:w="496" w:type="dxa"/>
          </w:tcPr>
          <w:p w14:paraId="361FC1B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1a.</w:t>
            </w:r>
          </w:p>
        </w:tc>
        <w:tc>
          <w:tcPr>
            <w:tcW w:w="2334" w:type="dxa"/>
          </w:tcPr>
          <w:p w14:paraId="7B57729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D-04.03.01a</w:t>
            </w:r>
          </w:p>
        </w:tc>
        <w:tc>
          <w:tcPr>
            <w:tcW w:w="6000" w:type="dxa"/>
          </w:tcPr>
          <w:p w14:paraId="64D4781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Połączenie międzywarstwowe nawierzchni drogowej emulsją asfaltową</w:t>
            </w:r>
          </w:p>
        </w:tc>
      </w:tr>
    </w:tbl>
    <w:p w14:paraId="59E5E54E"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639AD5B3"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598" w:name="_Toc97034659"/>
      <w:bookmarkStart w:id="3599" w:name="_Toc97035347"/>
      <w:bookmarkStart w:id="3600" w:name="_Toc194477050"/>
      <w:bookmarkStart w:id="3601" w:name="_Toc227825532"/>
      <w:r w:rsidRPr="004853EB">
        <w:rPr>
          <w:rFonts w:eastAsia="Times New Roman" w:cstheme="minorHAnsi"/>
          <w:b/>
          <w:bCs/>
          <w:color w:val="000000"/>
          <w:sz w:val="20"/>
          <w:szCs w:val="20"/>
          <w:lang w:eastAsia="pl-PL"/>
        </w:rPr>
        <w:t>10.2. Normy</w:t>
      </w:r>
      <w:bookmarkEnd w:id="3598"/>
      <w:bookmarkEnd w:id="3599"/>
      <w:bookmarkEnd w:id="3600"/>
      <w:bookmarkEnd w:id="3601"/>
    </w:p>
    <w:p w14:paraId="4605113D" w14:textId="77777777" w:rsidR="00CC1EF4" w:rsidRPr="004853EB" w:rsidRDefault="00CC1EF4" w:rsidP="00CC1EF4">
      <w:pPr>
        <w:spacing w:after="12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(Zestawienie zawiera dodatkowo normy PN-EN związane z badaniami materiałów występujących w niniejszej ST)</w:t>
      </w:r>
    </w:p>
    <w:tbl>
      <w:tblPr>
        <w:tblW w:w="8868" w:type="dxa"/>
        <w:tblLayout w:type="fixed"/>
        <w:tblLook w:val="01E0" w:firstRow="1" w:lastRow="1" w:firstColumn="1" w:lastColumn="1" w:noHBand="0" w:noVBand="0"/>
      </w:tblPr>
      <w:tblGrid>
        <w:gridCol w:w="614"/>
        <w:gridCol w:w="2254"/>
        <w:gridCol w:w="6000"/>
      </w:tblGrid>
      <w:tr w:rsidR="00CC1EF4" w:rsidRPr="004853EB" w14:paraId="780ECE8B" w14:textId="77777777" w:rsidTr="00E95D02">
        <w:tc>
          <w:tcPr>
            <w:tcW w:w="614" w:type="dxa"/>
          </w:tcPr>
          <w:p w14:paraId="4B73298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w:t>
            </w:r>
          </w:p>
        </w:tc>
        <w:tc>
          <w:tcPr>
            <w:tcW w:w="2254" w:type="dxa"/>
          </w:tcPr>
          <w:p w14:paraId="1C0BF34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196-2</w:t>
            </w:r>
          </w:p>
        </w:tc>
        <w:tc>
          <w:tcPr>
            <w:tcW w:w="6000" w:type="dxa"/>
          </w:tcPr>
          <w:p w14:paraId="11800A1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Metody badania cementu - Część 2: Analiza chemiczna cementu</w:t>
            </w:r>
          </w:p>
        </w:tc>
      </w:tr>
      <w:tr w:rsidR="00CC1EF4" w:rsidRPr="004853EB" w14:paraId="25B77BB5" w14:textId="77777777" w:rsidTr="00E95D02">
        <w:tc>
          <w:tcPr>
            <w:tcW w:w="614" w:type="dxa"/>
          </w:tcPr>
          <w:p w14:paraId="6B16965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w:t>
            </w:r>
          </w:p>
        </w:tc>
        <w:tc>
          <w:tcPr>
            <w:tcW w:w="2254" w:type="dxa"/>
          </w:tcPr>
          <w:p w14:paraId="5C9189F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459-2</w:t>
            </w:r>
          </w:p>
        </w:tc>
        <w:tc>
          <w:tcPr>
            <w:tcW w:w="6000" w:type="dxa"/>
          </w:tcPr>
          <w:p w14:paraId="5666181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Wapno budowlane – Część 2: Metody badań</w:t>
            </w:r>
          </w:p>
        </w:tc>
      </w:tr>
      <w:tr w:rsidR="00CC1EF4" w:rsidRPr="004853EB" w14:paraId="28CCB311" w14:textId="77777777" w:rsidTr="00E95D02">
        <w:tc>
          <w:tcPr>
            <w:tcW w:w="614" w:type="dxa"/>
          </w:tcPr>
          <w:p w14:paraId="0B11959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w:t>
            </w:r>
          </w:p>
        </w:tc>
        <w:tc>
          <w:tcPr>
            <w:tcW w:w="2254" w:type="dxa"/>
          </w:tcPr>
          <w:p w14:paraId="3CA381B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932-3</w:t>
            </w:r>
          </w:p>
        </w:tc>
        <w:tc>
          <w:tcPr>
            <w:tcW w:w="6000" w:type="dxa"/>
          </w:tcPr>
          <w:p w14:paraId="67B513F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Badania podstawowych właściwości kruszyw – Procedura </w:t>
            </w:r>
            <w:r w:rsidRPr="004853EB">
              <w:rPr>
                <w:rFonts w:eastAsia="Times New Roman" w:cstheme="minorHAnsi"/>
                <w:color w:val="000000"/>
                <w:sz w:val="20"/>
                <w:szCs w:val="20"/>
                <w:lang w:eastAsia="pl-PL"/>
              </w:rPr>
              <w:br/>
              <w:t>i terminologia uproszczonego opisu petrograficznego</w:t>
            </w:r>
          </w:p>
        </w:tc>
      </w:tr>
      <w:tr w:rsidR="00CC1EF4" w:rsidRPr="004853EB" w14:paraId="5FDC577B" w14:textId="77777777" w:rsidTr="00E95D02">
        <w:tc>
          <w:tcPr>
            <w:tcW w:w="614" w:type="dxa"/>
          </w:tcPr>
          <w:p w14:paraId="4FFE6B1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w:t>
            </w:r>
          </w:p>
        </w:tc>
        <w:tc>
          <w:tcPr>
            <w:tcW w:w="2254" w:type="dxa"/>
          </w:tcPr>
          <w:p w14:paraId="6E5E477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933-1</w:t>
            </w:r>
          </w:p>
        </w:tc>
        <w:tc>
          <w:tcPr>
            <w:tcW w:w="6000" w:type="dxa"/>
          </w:tcPr>
          <w:p w14:paraId="31E957D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geometrycznych właściwości kruszyw – Część 1: Oznaczanie składu ziarnowego – Metoda przesiewania</w:t>
            </w:r>
          </w:p>
        </w:tc>
      </w:tr>
    </w:tbl>
    <w:p w14:paraId="2314EB3E" w14:textId="77777777" w:rsidR="00CC1EF4" w:rsidRPr="004853EB" w:rsidRDefault="00CC1EF4" w:rsidP="00CC1EF4">
      <w:pPr>
        <w:spacing w:after="0" w:line="240" w:lineRule="auto"/>
        <w:jc w:val="both"/>
        <w:rPr>
          <w:rFonts w:eastAsia="Times New Roman" w:cstheme="minorHAnsi"/>
          <w:color w:val="000000"/>
          <w:sz w:val="20"/>
          <w:szCs w:val="20"/>
          <w:lang w:eastAsia="pl-PL"/>
        </w:rPr>
      </w:pPr>
    </w:p>
    <w:tbl>
      <w:tblPr>
        <w:tblW w:w="8868" w:type="dxa"/>
        <w:tblLayout w:type="fixed"/>
        <w:tblLook w:val="01E0" w:firstRow="1" w:lastRow="1" w:firstColumn="1" w:lastColumn="1" w:noHBand="0" w:noVBand="0"/>
      </w:tblPr>
      <w:tblGrid>
        <w:gridCol w:w="614"/>
        <w:gridCol w:w="18"/>
        <w:gridCol w:w="2236"/>
        <w:gridCol w:w="6000"/>
      </w:tblGrid>
      <w:tr w:rsidR="00CC1EF4" w:rsidRPr="004853EB" w14:paraId="1A63A01B" w14:textId="77777777" w:rsidTr="00E95D02">
        <w:tc>
          <w:tcPr>
            <w:tcW w:w="614" w:type="dxa"/>
          </w:tcPr>
          <w:p w14:paraId="7491700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w:t>
            </w:r>
          </w:p>
        </w:tc>
        <w:tc>
          <w:tcPr>
            <w:tcW w:w="2254" w:type="dxa"/>
            <w:gridSpan w:val="2"/>
          </w:tcPr>
          <w:p w14:paraId="0A83B9D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933-3</w:t>
            </w:r>
          </w:p>
        </w:tc>
        <w:tc>
          <w:tcPr>
            <w:tcW w:w="6000" w:type="dxa"/>
          </w:tcPr>
          <w:p w14:paraId="7A7CA21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geometrycznych właściwości kruszyw – Część 3: Oznaczanie kształtu ziarn za pomocą wskaźnika płaskości</w:t>
            </w:r>
          </w:p>
        </w:tc>
      </w:tr>
      <w:tr w:rsidR="00CC1EF4" w:rsidRPr="004853EB" w14:paraId="45BBC105" w14:textId="77777777" w:rsidTr="00E95D02">
        <w:tc>
          <w:tcPr>
            <w:tcW w:w="614" w:type="dxa"/>
          </w:tcPr>
          <w:p w14:paraId="7B01EB9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7.</w:t>
            </w:r>
          </w:p>
        </w:tc>
        <w:tc>
          <w:tcPr>
            <w:tcW w:w="2254" w:type="dxa"/>
            <w:gridSpan w:val="2"/>
          </w:tcPr>
          <w:p w14:paraId="13B72FF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933-4</w:t>
            </w:r>
          </w:p>
        </w:tc>
        <w:tc>
          <w:tcPr>
            <w:tcW w:w="6000" w:type="dxa"/>
          </w:tcPr>
          <w:p w14:paraId="75B8986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geometrycznych właściwości kruszyw – Część 4: Oznaczanie kształtu ziarn – Wskaźnik kształtu</w:t>
            </w:r>
          </w:p>
        </w:tc>
      </w:tr>
      <w:tr w:rsidR="00CC1EF4" w:rsidRPr="004853EB" w14:paraId="07EEF301" w14:textId="77777777" w:rsidTr="00E95D02">
        <w:tc>
          <w:tcPr>
            <w:tcW w:w="614" w:type="dxa"/>
          </w:tcPr>
          <w:p w14:paraId="4EE8C4B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8.</w:t>
            </w:r>
          </w:p>
        </w:tc>
        <w:tc>
          <w:tcPr>
            <w:tcW w:w="2254" w:type="dxa"/>
            <w:gridSpan w:val="2"/>
          </w:tcPr>
          <w:p w14:paraId="52D0846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933-5</w:t>
            </w:r>
          </w:p>
        </w:tc>
        <w:tc>
          <w:tcPr>
            <w:tcW w:w="6000" w:type="dxa"/>
          </w:tcPr>
          <w:p w14:paraId="2473C23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geometrycznych właściwości kruszyw – Oznaczanie procentowej zawartości ziarn o powierzchniach powstałych w wyniku przekruszenia lub łamania kruszyw grubych</w:t>
            </w:r>
          </w:p>
        </w:tc>
      </w:tr>
      <w:tr w:rsidR="00CC1EF4" w:rsidRPr="004853EB" w14:paraId="7EEDBE78" w14:textId="77777777" w:rsidTr="00E95D02">
        <w:tc>
          <w:tcPr>
            <w:tcW w:w="614" w:type="dxa"/>
          </w:tcPr>
          <w:p w14:paraId="74ED2F3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9.</w:t>
            </w:r>
          </w:p>
        </w:tc>
        <w:tc>
          <w:tcPr>
            <w:tcW w:w="2254" w:type="dxa"/>
            <w:gridSpan w:val="2"/>
          </w:tcPr>
          <w:p w14:paraId="4A3990F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933-6</w:t>
            </w:r>
          </w:p>
        </w:tc>
        <w:tc>
          <w:tcPr>
            <w:tcW w:w="6000" w:type="dxa"/>
          </w:tcPr>
          <w:p w14:paraId="1D7A7BD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geometrycznych właściwości kruszyw – Część 6: Ocena właściwości powierzchni – Wskaźnik przepływu kruszyw</w:t>
            </w:r>
          </w:p>
        </w:tc>
      </w:tr>
      <w:tr w:rsidR="00CC1EF4" w:rsidRPr="004853EB" w14:paraId="43DAF00F" w14:textId="77777777" w:rsidTr="00E95D02">
        <w:tc>
          <w:tcPr>
            <w:tcW w:w="614" w:type="dxa"/>
          </w:tcPr>
          <w:p w14:paraId="01B0F9D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10.</w:t>
            </w:r>
          </w:p>
        </w:tc>
        <w:tc>
          <w:tcPr>
            <w:tcW w:w="2254" w:type="dxa"/>
            <w:gridSpan w:val="2"/>
          </w:tcPr>
          <w:p w14:paraId="7D6E0E9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933-9</w:t>
            </w:r>
          </w:p>
        </w:tc>
        <w:tc>
          <w:tcPr>
            <w:tcW w:w="6000" w:type="dxa"/>
          </w:tcPr>
          <w:p w14:paraId="0231998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geometrycznych właściwości kruszyw – Część 9: Ocena zawartości drobnych cząstek – Badania błękitem metylenowym</w:t>
            </w:r>
          </w:p>
        </w:tc>
      </w:tr>
      <w:tr w:rsidR="00CC1EF4" w:rsidRPr="004853EB" w14:paraId="4D8E8788" w14:textId="77777777" w:rsidTr="00E95D02">
        <w:tc>
          <w:tcPr>
            <w:tcW w:w="614" w:type="dxa"/>
          </w:tcPr>
          <w:p w14:paraId="4138558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11.</w:t>
            </w:r>
          </w:p>
        </w:tc>
        <w:tc>
          <w:tcPr>
            <w:tcW w:w="2254" w:type="dxa"/>
            <w:gridSpan w:val="2"/>
          </w:tcPr>
          <w:p w14:paraId="29350F7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933-10</w:t>
            </w:r>
          </w:p>
        </w:tc>
        <w:tc>
          <w:tcPr>
            <w:tcW w:w="6000" w:type="dxa"/>
          </w:tcPr>
          <w:p w14:paraId="739F9E7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geometrycznych właściwości kruszyw – Część 10: Ocena zawartości drobnych cząstek – Uziarnienie wypełniaczy (przesiewanie w strumieniu powietrza)</w:t>
            </w:r>
          </w:p>
        </w:tc>
      </w:tr>
      <w:tr w:rsidR="00CC1EF4" w:rsidRPr="004853EB" w14:paraId="7CA7F081" w14:textId="77777777" w:rsidTr="00E95D02">
        <w:tc>
          <w:tcPr>
            <w:tcW w:w="614" w:type="dxa"/>
          </w:tcPr>
          <w:p w14:paraId="6FF239A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12.</w:t>
            </w:r>
          </w:p>
        </w:tc>
        <w:tc>
          <w:tcPr>
            <w:tcW w:w="2254" w:type="dxa"/>
            <w:gridSpan w:val="2"/>
          </w:tcPr>
          <w:p w14:paraId="3A9AC64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1097-2</w:t>
            </w:r>
          </w:p>
        </w:tc>
        <w:tc>
          <w:tcPr>
            <w:tcW w:w="6000" w:type="dxa"/>
          </w:tcPr>
          <w:p w14:paraId="5EB5B9D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mechanicznych i fizycznych właściwości kruszyw – Metody oznaczania odporności na rozdrabnianie</w:t>
            </w:r>
          </w:p>
        </w:tc>
      </w:tr>
      <w:tr w:rsidR="00CC1EF4" w:rsidRPr="004853EB" w14:paraId="3FC6D632" w14:textId="77777777" w:rsidTr="00E95D02">
        <w:tc>
          <w:tcPr>
            <w:tcW w:w="614" w:type="dxa"/>
          </w:tcPr>
          <w:p w14:paraId="51C27EE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13.</w:t>
            </w:r>
          </w:p>
        </w:tc>
        <w:tc>
          <w:tcPr>
            <w:tcW w:w="2254" w:type="dxa"/>
            <w:gridSpan w:val="2"/>
          </w:tcPr>
          <w:p w14:paraId="2D8BF98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1097-4</w:t>
            </w:r>
          </w:p>
        </w:tc>
        <w:tc>
          <w:tcPr>
            <w:tcW w:w="6000" w:type="dxa"/>
          </w:tcPr>
          <w:p w14:paraId="6DF0890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mechanicznych i fizycznych właściwości kruszyw – Część 4: Oznaczanie pustych przestrzeni suchego, zagęszczonego wypełniacza</w:t>
            </w:r>
          </w:p>
        </w:tc>
      </w:tr>
      <w:tr w:rsidR="00CC1EF4" w:rsidRPr="004853EB" w14:paraId="4AD10377" w14:textId="77777777" w:rsidTr="00E95D02">
        <w:tc>
          <w:tcPr>
            <w:tcW w:w="614" w:type="dxa"/>
          </w:tcPr>
          <w:p w14:paraId="4A141C9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14.</w:t>
            </w:r>
          </w:p>
        </w:tc>
        <w:tc>
          <w:tcPr>
            <w:tcW w:w="2254" w:type="dxa"/>
            <w:gridSpan w:val="2"/>
          </w:tcPr>
          <w:p w14:paraId="0099EAA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1097-5</w:t>
            </w:r>
          </w:p>
        </w:tc>
        <w:tc>
          <w:tcPr>
            <w:tcW w:w="6000" w:type="dxa"/>
          </w:tcPr>
          <w:p w14:paraId="2BCBF70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mechanicznych i fizycznych właściwości kruszyw – Część 5: Oznaczanie zawartości wody przez suszenie w suszarce z wentylacją</w:t>
            </w:r>
          </w:p>
        </w:tc>
      </w:tr>
      <w:tr w:rsidR="00CC1EF4" w:rsidRPr="004853EB" w14:paraId="08A907CB" w14:textId="77777777" w:rsidTr="00E95D02">
        <w:tc>
          <w:tcPr>
            <w:tcW w:w="614" w:type="dxa"/>
          </w:tcPr>
          <w:p w14:paraId="4F7EC07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15.</w:t>
            </w:r>
          </w:p>
        </w:tc>
        <w:tc>
          <w:tcPr>
            <w:tcW w:w="2254" w:type="dxa"/>
            <w:gridSpan w:val="2"/>
          </w:tcPr>
          <w:p w14:paraId="4CAB4BE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1097-6</w:t>
            </w:r>
          </w:p>
        </w:tc>
        <w:tc>
          <w:tcPr>
            <w:tcW w:w="6000" w:type="dxa"/>
          </w:tcPr>
          <w:p w14:paraId="628AFA1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mechanicznych i fizycznych właściwości kruszyw –Część 6: Oznaczanie gęstości ziarn i nasiąkliwości</w:t>
            </w:r>
          </w:p>
        </w:tc>
      </w:tr>
      <w:tr w:rsidR="00CC1EF4" w:rsidRPr="004853EB" w14:paraId="0EF08831" w14:textId="77777777" w:rsidTr="00E95D02">
        <w:tc>
          <w:tcPr>
            <w:tcW w:w="614" w:type="dxa"/>
          </w:tcPr>
          <w:p w14:paraId="579CBC8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16.</w:t>
            </w:r>
          </w:p>
        </w:tc>
        <w:tc>
          <w:tcPr>
            <w:tcW w:w="2254" w:type="dxa"/>
            <w:gridSpan w:val="2"/>
          </w:tcPr>
          <w:p w14:paraId="32F87ED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1097-7</w:t>
            </w:r>
          </w:p>
        </w:tc>
        <w:tc>
          <w:tcPr>
            <w:tcW w:w="6000" w:type="dxa"/>
          </w:tcPr>
          <w:p w14:paraId="022635F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mechanicznych i fizycznych właściwości kruszyw – Część 7: Oznaczanie gęstości wypełniacza – Metoda piknometryczna</w:t>
            </w:r>
          </w:p>
        </w:tc>
      </w:tr>
      <w:tr w:rsidR="00CC1EF4" w:rsidRPr="004853EB" w14:paraId="693388C0" w14:textId="77777777" w:rsidTr="00E95D02">
        <w:tc>
          <w:tcPr>
            <w:tcW w:w="614" w:type="dxa"/>
          </w:tcPr>
          <w:p w14:paraId="3CA57C4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17.</w:t>
            </w:r>
          </w:p>
        </w:tc>
        <w:tc>
          <w:tcPr>
            <w:tcW w:w="2254" w:type="dxa"/>
            <w:gridSpan w:val="2"/>
          </w:tcPr>
          <w:p w14:paraId="339D43F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1367-1</w:t>
            </w:r>
          </w:p>
        </w:tc>
        <w:tc>
          <w:tcPr>
            <w:tcW w:w="6000" w:type="dxa"/>
          </w:tcPr>
          <w:p w14:paraId="334495C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właściwości cieplnych i odporności kruszyw na działanie czynników atmosferycznych – Część 1: Oznaczanie mrozoodporności</w:t>
            </w:r>
          </w:p>
        </w:tc>
      </w:tr>
      <w:tr w:rsidR="00CC1EF4" w:rsidRPr="004853EB" w14:paraId="2DD3E94B" w14:textId="77777777" w:rsidTr="00E95D02">
        <w:tc>
          <w:tcPr>
            <w:tcW w:w="614" w:type="dxa"/>
          </w:tcPr>
          <w:p w14:paraId="79121F3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18.</w:t>
            </w:r>
          </w:p>
        </w:tc>
        <w:tc>
          <w:tcPr>
            <w:tcW w:w="2254" w:type="dxa"/>
            <w:gridSpan w:val="2"/>
          </w:tcPr>
          <w:p w14:paraId="474374C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1367-3</w:t>
            </w:r>
          </w:p>
        </w:tc>
        <w:tc>
          <w:tcPr>
            <w:tcW w:w="6000" w:type="dxa"/>
          </w:tcPr>
          <w:p w14:paraId="01E4491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właściwości cieplnych i odporności kruszyw na działanie czynników atmosferycznych – Część 3: Badanie bazaltowej zgorzeli słonecznej metodą gotowania</w:t>
            </w:r>
          </w:p>
        </w:tc>
      </w:tr>
      <w:tr w:rsidR="00CC1EF4" w:rsidRPr="004853EB" w14:paraId="36636BE9" w14:textId="77777777" w:rsidTr="00E95D02">
        <w:tc>
          <w:tcPr>
            <w:tcW w:w="614" w:type="dxa"/>
          </w:tcPr>
          <w:p w14:paraId="35A9AD1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19.</w:t>
            </w:r>
          </w:p>
        </w:tc>
        <w:tc>
          <w:tcPr>
            <w:tcW w:w="2254" w:type="dxa"/>
            <w:gridSpan w:val="2"/>
          </w:tcPr>
          <w:p w14:paraId="49629A8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1426</w:t>
            </w:r>
          </w:p>
        </w:tc>
        <w:tc>
          <w:tcPr>
            <w:tcW w:w="6000" w:type="dxa"/>
          </w:tcPr>
          <w:p w14:paraId="66CF364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produkty asfaltowe – Oznaczanie penetracji igłą</w:t>
            </w:r>
          </w:p>
        </w:tc>
      </w:tr>
      <w:tr w:rsidR="00CC1EF4" w:rsidRPr="004853EB" w14:paraId="288ABC03" w14:textId="77777777" w:rsidTr="00E95D02">
        <w:tc>
          <w:tcPr>
            <w:tcW w:w="614" w:type="dxa"/>
          </w:tcPr>
          <w:p w14:paraId="1F2FA31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20. </w:t>
            </w:r>
          </w:p>
        </w:tc>
        <w:tc>
          <w:tcPr>
            <w:tcW w:w="2254" w:type="dxa"/>
            <w:gridSpan w:val="2"/>
          </w:tcPr>
          <w:p w14:paraId="01913E5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1427</w:t>
            </w:r>
          </w:p>
        </w:tc>
        <w:tc>
          <w:tcPr>
            <w:tcW w:w="6000" w:type="dxa"/>
          </w:tcPr>
          <w:p w14:paraId="3C1263C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produkty asfaltowe – Oznaczanie temperatury mięknienia – Metoda Pierścień i Kula</w:t>
            </w:r>
          </w:p>
        </w:tc>
      </w:tr>
      <w:tr w:rsidR="00CC1EF4" w:rsidRPr="004853EB" w14:paraId="379F28BA" w14:textId="77777777" w:rsidTr="00E95D02">
        <w:tc>
          <w:tcPr>
            <w:tcW w:w="614" w:type="dxa"/>
          </w:tcPr>
          <w:p w14:paraId="6D5B818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21.</w:t>
            </w:r>
          </w:p>
        </w:tc>
        <w:tc>
          <w:tcPr>
            <w:tcW w:w="2254" w:type="dxa"/>
            <w:gridSpan w:val="2"/>
          </w:tcPr>
          <w:p w14:paraId="6A85DC7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1744-1</w:t>
            </w:r>
          </w:p>
        </w:tc>
        <w:tc>
          <w:tcPr>
            <w:tcW w:w="6000" w:type="dxa"/>
          </w:tcPr>
          <w:p w14:paraId="2C68480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chemicznych właściwości kruszyw – Analiza chemiczna</w:t>
            </w:r>
          </w:p>
        </w:tc>
      </w:tr>
      <w:tr w:rsidR="00CC1EF4" w:rsidRPr="004853EB" w14:paraId="4156F0BC" w14:textId="77777777" w:rsidTr="00E95D02">
        <w:tc>
          <w:tcPr>
            <w:tcW w:w="614" w:type="dxa"/>
          </w:tcPr>
          <w:p w14:paraId="6FEA43A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22.</w:t>
            </w:r>
          </w:p>
        </w:tc>
        <w:tc>
          <w:tcPr>
            <w:tcW w:w="2254" w:type="dxa"/>
            <w:gridSpan w:val="2"/>
          </w:tcPr>
          <w:p w14:paraId="093266F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12591</w:t>
            </w:r>
          </w:p>
        </w:tc>
        <w:tc>
          <w:tcPr>
            <w:tcW w:w="6000" w:type="dxa"/>
          </w:tcPr>
          <w:p w14:paraId="6DA3D60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produkty asfaltowe – Wymagania dla asfaltów drogowych</w:t>
            </w:r>
          </w:p>
        </w:tc>
      </w:tr>
      <w:tr w:rsidR="00CC1EF4" w:rsidRPr="004853EB" w14:paraId="2A45D61F" w14:textId="77777777" w:rsidTr="00E95D02">
        <w:tc>
          <w:tcPr>
            <w:tcW w:w="614" w:type="dxa"/>
          </w:tcPr>
          <w:p w14:paraId="3F5E31A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23.</w:t>
            </w:r>
          </w:p>
        </w:tc>
        <w:tc>
          <w:tcPr>
            <w:tcW w:w="2254" w:type="dxa"/>
            <w:gridSpan w:val="2"/>
          </w:tcPr>
          <w:p w14:paraId="1BA3362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12592</w:t>
            </w:r>
          </w:p>
        </w:tc>
        <w:tc>
          <w:tcPr>
            <w:tcW w:w="6000" w:type="dxa"/>
          </w:tcPr>
          <w:p w14:paraId="5F6113E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produkty asfaltowe – Oznaczanie rozpuszczalności</w:t>
            </w:r>
          </w:p>
        </w:tc>
      </w:tr>
      <w:tr w:rsidR="00CC1EF4" w:rsidRPr="004853EB" w14:paraId="3432E3F7" w14:textId="77777777" w:rsidTr="00E95D02">
        <w:tc>
          <w:tcPr>
            <w:tcW w:w="614" w:type="dxa"/>
          </w:tcPr>
          <w:p w14:paraId="54341C2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24.</w:t>
            </w:r>
          </w:p>
        </w:tc>
        <w:tc>
          <w:tcPr>
            <w:tcW w:w="2254" w:type="dxa"/>
            <w:gridSpan w:val="2"/>
          </w:tcPr>
          <w:p w14:paraId="6E28190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12593</w:t>
            </w:r>
          </w:p>
        </w:tc>
        <w:tc>
          <w:tcPr>
            <w:tcW w:w="6000" w:type="dxa"/>
          </w:tcPr>
          <w:p w14:paraId="1354B86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produkty asfaltowe – Oznaczanie temperatury łamliwości Fraassa</w:t>
            </w:r>
          </w:p>
        </w:tc>
      </w:tr>
      <w:tr w:rsidR="00CC1EF4" w:rsidRPr="004853EB" w14:paraId="43386DA3" w14:textId="77777777" w:rsidTr="00E95D02">
        <w:tc>
          <w:tcPr>
            <w:tcW w:w="614" w:type="dxa"/>
          </w:tcPr>
          <w:p w14:paraId="4EC7092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25.</w:t>
            </w:r>
          </w:p>
        </w:tc>
        <w:tc>
          <w:tcPr>
            <w:tcW w:w="2254" w:type="dxa"/>
            <w:gridSpan w:val="2"/>
          </w:tcPr>
          <w:p w14:paraId="44B62C0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12595</w:t>
            </w:r>
          </w:p>
        </w:tc>
        <w:tc>
          <w:tcPr>
            <w:tcW w:w="6000" w:type="dxa"/>
          </w:tcPr>
          <w:p w14:paraId="1BC3D7B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Oznaczanie lepkości kinematycznej</w:t>
            </w:r>
          </w:p>
        </w:tc>
      </w:tr>
      <w:tr w:rsidR="00CC1EF4" w:rsidRPr="004853EB" w14:paraId="03D76505" w14:textId="77777777" w:rsidTr="00E95D02">
        <w:tc>
          <w:tcPr>
            <w:tcW w:w="614" w:type="dxa"/>
          </w:tcPr>
          <w:p w14:paraId="66D2E95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26.</w:t>
            </w:r>
          </w:p>
        </w:tc>
        <w:tc>
          <w:tcPr>
            <w:tcW w:w="2254" w:type="dxa"/>
            <w:gridSpan w:val="2"/>
          </w:tcPr>
          <w:p w14:paraId="444EBAB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12596</w:t>
            </w:r>
          </w:p>
        </w:tc>
        <w:tc>
          <w:tcPr>
            <w:tcW w:w="6000" w:type="dxa"/>
          </w:tcPr>
          <w:p w14:paraId="1B5E185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Oznaczanie lepkości dynamicznej metodą próżniowej kapilary</w:t>
            </w:r>
          </w:p>
        </w:tc>
      </w:tr>
      <w:tr w:rsidR="00CC1EF4" w:rsidRPr="004853EB" w14:paraId="7CFE62C2" w14:textId="77777777" w:rsidTr="00E95D02">
        <w:tc>
          <w:tcPr>
            <w:tcW w:w="614" w:type="dxa"/>
          </w:tcPr>
          <w:p w14:paraId="794B2DE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27.</w:t>
            </w:r>
          </w:p>
        </w:tc>
        <w:tc>
          <w:tcPr>
            <w:tcW w:w="2254" w:type="dxa"/>
            <w:gridSpan w:val="2"/>
          </w:tcPr>
          <w:p w14:paraId="542C125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12606-1</w:t>
            </w:r>
          </w:p>
        </w:tc>
        <w:tc>
          <w:tcPr>
            <w:tcW w:w="6000" w:type="dxa"/>
          </w:tcPr>
          <w:p w14:paraId="39C95CE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produkty asfaltowe – Oznaczanie zawartości parafiny – Część 1: Metoda destylacji</w:t>
            </w:r>
          </w:p>
        </w:tc>
      </w:tr>
      <w:tr w:rsidR="00CC1EF4" w:rsidRPr="004853EB" w14:paraId="2CB6B26C" w14:textId="77777777" w:rsidTr="00E95D02">
        <w:tc>
          <w:tcPr>
            <w:tcW w:w="614" w:type="dxa"/>
          </w:tcPr>
          <w:p w14:paraId="461F9FF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28.</w:t>
            </w:r>
          </w:p>
        </w:tc>
        <w:tc>
          <w:tcPr>
            <w:tcW w:w="2254" w:type="dxa"/>
            <w:gridSpan w:val="2"/>
          </w:tcPr>
          <w:p w14:paraId="4647B6F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12607-1</w:t>
            </w:r>
          </w:p>
        </w:tc>
        <w:tc>
          <w:tcPr>
            <w:tcW w:w="6000" w:type="dxa"/>
          </w:tcPr>
          <w:p w14:paraId="484225F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Asfalty i produkty asfaltowe – Oznaczanie odporności na twardnienie pod wpływem ciepła i powietrza – Część 1: Metoda RTFOT </w:t>
            </w:r>
          </w:p>
        </w:tc>
      </w:tr>
      <w:tr w:rsidR="00CC1EF4" w:rsidRPr="004853EB" w14:paraId="3881D4C7" w14:textId="77777777" w:rsidTr="00E95D02">
        <w:tc>
          <w:tcPr>
            <w:tcW w:w="614" w:type="dxa"/>
          </w:tcPr>
          <w:p w14:paraId="77E7963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29.</w:t>
            </w:r>
          </w:p>
        </w:tc>
        <w:tc>
          <w:tcPr>
            <w:tcW w:w="2254" w:type="dxa"/>
            <w:gridSpan w:val="2"/>
          </w:tcPr>
          <w:p w14:paraId="0A7B035E" w14:textId="77777777" w:rsidR="00CC1EF4" w:rsidRPr="004853EB" w:rsidRDefault="00CC1EF4" w:rsidP="00CC1EF4">
            <w:pPr>
              <w:spacing w:after="0" w:line="240" w:lineRule="auto"/>
              <w:jc w:val="both"/>
              <w:rPr>
                <w:rFonts w:eastAsia="Times New Roman" w:cstheme="minorHAnsi"/>
                <w:color w:val="000000"/>
                <w:sz w:val="20"/>
                <w:szCs w:val="20"/>
                <w:highlight w:val="yellow"/>
                <w:lang w:eastAsia="pl-PL"/>
              </w:rPr>
            </w:pPr>
            <w:r w:rsidRPr="004853EB">
              <w:rPr>
                <w:rFonts w:eastAsia="Times New Roman" w:cstheme="minorHAnsi"/>
                <w:color w:val="000000"/>
                <w:sz w:val="20"/>
                <w:szCs w:val="20"/>
                <w:lang w:eastAsia="pl-PL"/>
              </w:rPr>
              <w:t>PN-EN 12607-3</w:t>
            </w:r>
          </w:p>
        </w:tc>
        <w:tc>
          <w:tcPr>
            <w:tcW w:w="6000" w:type="dxa"/>
          </w:tcPr>
          <w:p w14:paraId="2C3CEDF7" w14:textId="77777777" w:rsidR="00CC1EF4" w:rsidRPr="004853EB" w:rsidRDefault="00CC1EF4" w:rsidP="00CC1EF4">
            <w:pPr>
              <w:spacing w:after="0" w:line="240" w:lineRule="auto"/>
              <w:jc w:val="both"/>
              <w:rPr>
                <w:rFonts w:eastAsia="Times New Roman" w:cstheme="minorHAnsi"/>
                <w:color w:val="000000"/>
                <w:sz w:val="20"/>
                <w:szCs w:val="20"/>
                <w:highlight w:val="yellow"/>
                <w:lang w:eastAsia="pl-PL"/>
              </w:rPr>
            </w:pPr>
            <w:r w:rsidRPr="004853EB">
              <w:rPr>
                <w:rFonts w:eastAsia="Times New Roman" w:cstheme="minorHAnsi"/>
                <w:color w:val="000000"/>
                <w:sz w:val="20"/>
                <w:szCs w:val="20"/>
                <w:lang w:eastAsia="pl-PL"/>
              </w:rPr>
              <w:t>Asfalty i produkty asfaltowe – Oznaczanie odporności na twardnienie pod wpływem ciepła i powietrza – Część 3: Metoda RFT</w:t>
            </w:r>
          </w:p>
        </w:tc>
      </w:tr>
      <w:tr w:rsidR="00CC1EF4" w:rsidRPr="004853EB" w14:paraId="2A87EE7A" w14:textId="77777777" w:rsidTr="00E95D02">
        <w:tc>
          <w:tcPr>
            <w:tcW w:w="614" w:type="dxa"/>
          </w:tcPr>
          <w:p w14:paraId="67CCAB0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30.</w:t>
            </w:r>
          </w:p>
        </w:tc>
        <w:tc>
          <w:tcPr>
            <w:tcW w:w="2254" w:type="dxa"/>
            <w:gridSpan w:val="2"/>
          </w:tcPr>
          <w:p w14:paraId="31CA62D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12697-1</w:t>
            </w:r>
          </w:p>
        </w:tc>
        <w:tc>
          <w:tcPr>
            <w:tcW w:w="6000" w:type="dxa"/>
          </w:tcPr>
          <w:p w14:paraId="3C3DD10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1: Zawartość lepiszcza rozpuszczalnego</w:t>
            </w:r>
          </w:p>
        </w:tc>
      </w:tr>
      <w:tr w:rsidR="00CC1EF4" w:rsidRPr="004853EB" w14:paraId="1AEB2F6D" w14:textId="77777777" w:rsidTr="00E95D02">
        <w:tc>
          <w:tcPr>
            <w:tcW w:w="614" w:type="dxa"/>
          </w:tcPr>
          <w:p w14:paraId="3BD4935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31.</w:t>
            </w:r>
          </w:p>
        </w:tc>
        <w:tc>
          <w:tcPr>
            <w:tcW w:w="2254" w:type="dxa"/>
            <w:gridSpan w:val="2"/>
          </w:tcPr>
          <w:p w14:paraId="652636D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12697-2</w:t>
            </w:r>
          </w:p>
        </w:tc>
        <w:tc>
          <w:tcPr>
            <w:tcW w:w="6000" w:type="dxa"/>
          </w:tcPr>
          <w:p w14:paraId="0612D11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2: Oznaczanie składu ziarnowego</w:t>
            </w:r>
          </w:p>
        </w:tc>
      </w:tr>
      <w:tr w:rsidR="00CC1EF4" w:rsidRPr="004853EB" w14:paraId="3EEA14B1" w14:textId="77777777" w:rsidTr="00E95D02">
        <w:tc>
          <w:tcPr>
            <w:tcW w:w="614" w:type="dxa"/>
          </w:tcPr>
          <w:p w14:paraId="4B872F8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32.</w:t>
            </w:r>
          </w:p>
        </w:tc>
        <w:tc>
          <w:tcPr>
            <w:tcW w:w="2254" w:type="dxa"/>
            <w:gridSpan w:val="2"/>
          </w:tcPr>
          <w:p w14:paraId="1C3834F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12697-3</w:t>
            </w:r>
          </w:p>
        </w:tc>
        <w:tc>
          <w:tcPr>
            <w:tcW w:w="6000" w:type="dxa"/>
          </w:tcPr>
          <w:p w14:paraId="33542A5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3: Odzyskiwanie asfaltu: Wyparka obrotowa</w:t>
            </w:r>
          </w:p>
        </w:tc>
      </w:tr>
      <w:tr w:rsidR="00CC1EF4" w:rsidRPr="004853EB" w14:paraId="0E1AF80D" w14:textId="77777777" w:rsidTr="00E95D02">
        <w:tc>
          <w:tcPr>
            <w:tcW w:w="614" w:type="dxa"/>
          </w:tcPr>
          <w:p w14:paraId="35289B2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33.</w:t>
            </w:r>
          </w:p>
        </w:tc>
        <w:tc>
          <w:tcPr>
            <w:tcW w:w="2254" w:type="dxa"/>
            <w:gridSpan w:val="2"/>
          </w:tcPr>
          <w:p w14:paraId="71D4DA4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12697-4</w:t>
            </w:r>
          </w:p>
        </w:tc>
        <w:tc>
          <w:tcPr>
            <w:tcW w:w="6000" w:type="dxa"/>
          </w:tcPr>
          <w:p w14:paraId="0DC65E4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4: Odzyskiwanie asfaltu - Kolumna do destylacji frakcyjnej</w:t>
            </w:r>
          </w:p>
        </w:tc>
      </w:tr>
      <w:tr w:rsidR="00CC1EF4" w:rsidRPr="004853EB" w14:paraId="6E3488F4" w14:textId="77777777" w:rsidTr="00E95D02">
        <w:tc>
          <w:tcPr>
            <w:tcW w:w="614" w:type="dxa"/>
          </w:tcPr>
          <w:p w14:paraId="3BAAB7A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34.</w:t>
            </w:r>
          </w:p>
        </w:tc>
        <w:tc>
          <w:tcPr>
            <w:tcW w:w="2254" w:type="dxa"/>
            <w:gridSpan w:val="2"/>
          </w:tcPr>
          <w:p w14:paraId="1F55677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12697-5</w:t>
            </w:r>
          </w:p>
        </w:tc>
        <w:tc>
          <w:tcPr>
            <w:tcW w:w="6000" w:type="dxa"/>
          </w:tcPr>
          <w:p w14:paraId="2A6E8D6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5: Oznaczanie gęstości</w:t>
            </w:r>
          </w:p>
        </w:tc>
      </w:tr>
      <w:tr w:rsidR="00CC1EF4" w:rsidRPr="004853EB" w14:paraId="31D2A027" w14:textId="77777777" w:rsidTr="00E95D02">
        <w:tc>
          <w:tcPr>
            <w:tcW w:w="614" w:type="dxa"/>
          </w:tcPr>
          <w:p w14:paraId="7076EA3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35.</w:t>
            </w:r>
          </w:p>
        </w:tc>
        <w:tc>
          <w:tcPr>
            <w:tcW w:w="2254" w:type="dxa"/>
            <w:gridSpan w:val="2"/>
          </w:tcPr>
          <w:p w14:paraId="1D04C15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12697-6</w:t>
            </w:r>
          </w:p>
        </w:tc>
        <w:tc>
          <w:tcPr>
            <w:tcW w:w="6000" w:type="dxa"/>
          </w:tcPr>
          <w:p w14:paraId="5A7ABDD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6: Oznaczanie gęstości objętościowej próbek mieszanki mineralno-asfaltowej</w:t>
            </w:r>
          </w:p>
        </w:tc>
      </w:tr>
      <w:tr w:rsidR="00CC1EF4" w:rsidRPr="004853EB" w14:paraId="69F2CA06" w14:textId="77777777" w:rsidTr="00E95D02">
        <w:tc>
          <w:tcPr>
            <w:tcW w:w="614" w:type="dxa"/>
          </w:tcPr>
          <w:p w14:paraId="7856BBF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36.</w:t>
            </w:r>
          </w:p>
        </w:tc>
        <w:tc>
          <w:tcPr>
            <w:tcW w:w="2254" w:type="dxa"/>
            <w:gridSpan w:val="2"/>
          </w:tcPr>
          <w:p w14:paraId="32764E6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12697-8</w:t>
            </w:r>
          </w:p>
        </w:tc>
        <w:tc>
          <w:tcPr>
            <w:tcW w:w="6000" w:type="dxa"/>
          </w:tcPr>
          <w:p w14:paraId="7FAB4E9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8: Oznaczanie zawartości wolnej przestrzeni</w:t>
            </w:r>
          </w:p>
        </w:tc>
      </w:tr>
      <w:tr w:rsidR="00CC1EF4" w:rsidRPr="004853EB" w14:paraId="29760E96" w14:textId="77777777" w:rsidTr="00E95D02">
        <w:tc>
          <w:tcPr>
            <w:tcW w:w="614" w:type="dxa"/>
          </w:tcPr>
          <w:p w14:paraId="223D39F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37.</w:t>
            </w:r>
          </w:p>
        </w:tc>
        <w:tc>
          <w:tcPr>
            <w:tcW w:w="2254" w:type="dxa"/>
            <w:gridSpan w:val="2"/>
          </w:tcPr>
          <w:p w14:paraId="21E6C21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12697-11</w:t>
            </w:r>
          </w:p>
        </w:tc>
        <w:tc>
          <w:tcPr>
            <w:tcW w:w="6000" w:type="dxa"/>
          </w:tcPr>
          <w:p w14:paraId="2CB150D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11: Oznaczanie powinowactwa pomiędzy kruszywem i asfaltem</w:t>
            </w:r>
          </w:p>
        </w:tc>
      </w:tr>
      <w:tr w:rsidR="00CC1EF4" w:rsidRPr="004853EB" w14:paraId="298BAA36" w14:textId="77777777" w:rsidTr="00E95D02">
        <w:tc>
          <w:tcPr>
            <w:tcW w:w="614" w:type="dxa"/>
          </w:tcPr>
          <w:p w14:paraId="311A4DD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38.</w:t>
            </w:r>
          </w:p>
        </w:tc>
        <w:tc>
          <w:tcPr>
            <w:tcW w:w="2254" w:type="dxa"/>
            <w:gridSpan w:val="2"/>
          </w:tcPr>
          <w:p w14:paraId="5929C1B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12697-12</w:t>
            </w:r>
          </w:p>
        </w:tc>
        <w:tc>
          <w:tcPr>
            <w:tcW w:w="6000" w:type="dxa"/>
          </w:tcPr>
          <w:p w14:paraId="31F89C2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12: Określanie wrażliwości próbek asfaltowych na wodę</w:t>
            </w:r>
          </w:p>
        </w:tc>
      </w:tr>
      <w:tr w:rsidR="00CC1EF4" w:rsidRPr="004853EB" w14:paraId="642C3257" w14:textId="77777777" w:rsidTr="00E95D02">
        <w:tc>
          <w:tcPr>
            <w:tcW w:w="614" w:type="dxa"/>
          </w:tcPr>
          <w:p w14:paraId="6E0DA0D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39.</w:t>
            </w:r>
          </w:p>
        </w:tc>
        <w:tc>
          <w:tcPr>
            <w:tcW w:w="2254" w:type="dxa"/>
            <w:gridSpan w:val="2"/>
          </w:tcPr>
          <w:p w14:paraId="1BE1814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12697-13</w:t>
            </w:r>
          </w:p>
        </w:tc>
        <w:tc>
          <w:tcPr>
            <w:tcW w:w="6000" w:type="dxa"/>
          </w:tcPr>
          <w:p w14:paraId="3528400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13: Pomiar temperatury</w:t>
            </w:r>
          </w:p>
        </w:tc>
      </w:tr>
      <w:tr w:rsidR="00CC1EF4" w:rsidRPr="004853EB" w14:paraId="6C8E01E2" w14:textId="77777777" w:rsidTr="00E95D02">
        <w:tc>
          <w:tcPr>
            <w:tcW w:w="614" w:type="dxa"/>
          </w:tcPr>
          <w:p w14:paraId="0E94147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40.</w:t>
            </w:r>
          </w:p>
        </w:tc>
        <w:tc>
          <w:tcPr>
            <w:tcW w:w="2254" w:type="dxa"/>
            <w:gridSpan w:val="2"/>
          </w:tcPr>
          <w:p w14:paraId="61E2D3E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12697-22</w:t>
            </w:r>
          </w:p>
        </w:tc>
        <w:tc>
          <w:tcPr>
            <w:tcW w:w="6000" w:type="dxa"/>
          </w:tcPr>
          <w:p w14:paraId="55E9271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22: Koleinowanie</w:t>
            </w:r>
          </w:p>
        </w:tc>
      </w:tr>
      <w:tr w:rsidR="00CC1EF4" w:rsidRPr="004853EB" w14:paraId="35435E6C" w14:textId="77777777" w:rsidTr="00E95D02">
        <w:tc>
          <w:tcPr>
            <w:tcW w:w="614" w:type="dxa"/>
          </w:tcPr>
          <w:p w14:paraId="1EEB3B7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41.</w:t>
            </w:r>
          </w:p>
        </w:tc>
        <w:tc>
          <w:tcPr>
            <w:tcW w:w="2254" w:type="dxa"/>
            <w:gridSpan w:val="2"/>
          </w:tcPr>
          <w:p w14:paraId="4154B0D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12697-24</w:t>
            </w:r>
          </w:p>
        </w:tc>
        <w:tc>
          <w:tcPr>
            <w:tcW w:w="6000" w:type="dxa"/>
          </w:tcPr>
          <w:p w14:paraId="691066C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24: Odporność na zmęczenie</w:t>
            </w:r>
          </w:p>
        </w:tc>
      </w:tr>
      <w:tr w:rsidR="00CC1EF4" w:rsidRPr="004853EB" w14:paraId="30C016C0" w14:textId="77777777" w:rsidTr="00E95D02">
        <w:tc>
          <w:tcPr>
            <w:tcW w:w="614" w:type="dxa"/>
          </w:tcPr>
          <w:p w14:paraId="748A1A5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42.</w:t>
            </w:r>
          </w:p>
        </w:tc>
        <w:tc>
          <w:tcPr>
            <w:tcW w:w="2254" w:type="dxa"/>
            <w:gridSpan w:val="2"/>
          </w:tcPr>
          <w:p w14:paraId="7120816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12697-26</w:t>
            </w:r>
          </w:p>
        </w:tc>
        <w:tc>
          <w:tcPr>
            <w:tcW w:w="6000" w:type="dxa"/>
          </w:tcPr>
          <w:p w14:paraId="0710F62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26: Sztywność</w:t>
            </w:r>
          </w:p>
        </w:tc>
      </w:tr>
      <w:tr w:rsidR="00CC1EF4" w:rsidRPr="004853EB" w14:paraId="395DE58A" w14:textId="77777777" w:rsidTr="00E95D02">
        <w:tc>
          <w:tcPr>
            <w:tcW w:w="614" w:type="dxa"/>
          </w:tcPr>
          <w:p w14:paraId="5435A2C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43.</w:t>
            </w:r>
          </w:p>
        </w:tc>
        <w:tc>
          <w:tcPr>
            <w:tcW w:w="2254" w:type="dxa"/>
            <w:gridSpan w:val="2"/>
          </w:tcPr>
          <w:p w14:paraId="28B1D29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12697-27</w:t>
            </w:r>
          </w:p>
        </w:tc>
        <w:tc>
          <w:tcPr>
            <w:tcW w:w="6000" w:type="dxa"/>
          </w:tcPr>
          <w:p w14:paraId="48E94DE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27: Pobieranie próbek</w:t>
            </w:r>
          </w:p>
        </w:tc>
      </w:tr>
      <w:tr w:rsidR="00CC1EF4" w:rsidRPr="004853EB" w14:paraId="03B14F7E" w14:textId="77777777" w:rsidTr="00E95D02">
        <w:tc>
          <w:tcPr>
            <w:tcW w:w="614" w:type="dxa"/>
          </w:tcPr>
          <w:p w14:paraId="623BC46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44.</w:t>
            </w:r>
          </w:p>
        </w:tc>
        <w:tc>
          <w:tcPr>
            <w:tcW w:w="2254" w:type="dxa"/>
            <w:gridSpan w:val="2"/>
          </w:tcPr>
          <w:p w14:paraId="29EBC65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12697-36</w:t>
            </w:r>
          </w:p>
        </w:tc>
        <w:tc>
          <w:tcPr>
            <w:tcW w:w="6000" w:type="dxa"/>
          </w:tcPr>
          <w:p w14:paraId="5524E6A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36: Oznaczanie grubości nawierzchni asfaltowych</w:t>
            </w:r>
          </w:p>
        </w:tc>
      </w:tr>
      <w:tr w:rsidR="00CC1EF4" w:rsidRPr="004853EB" w14:paraId="10C98A12" w14:textId="77777777" w:rsidTr="00E95D02">
        <w:tc>
          <w:tcPr>
            <w:tcW w:w="614" w:type="dxa"/>
          </w:tcPr>
          <w:p w14:paraId="4443387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45.</w:t>
            </w:r>
          </w:p>
        </w:tc>
        <w:tc>
          <w:tcPr>
            <w:tcW w:w="2254" w:type="dxa"/>
            <w:gridSpan w:val="2"/>
          </w:tcPr>
          <w:p w14:paraId="61D90C3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12697-39</w:t>
            </w:r>
          </w:p>
        </w:tc>
        <w:tc>
          <w:tcPr>
            <w:tcW w:w="6000" w:type="dxa"/>
          </w:tcPr>
          <w:p w14:paraId="5EB6403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39: Oznaczanie zawartości lepiszcza metodą spalania</w:t>
            </w:r>
          </w:p>
        </w:tc>
      </w:tr>
      <w:tr w:rsidR="00CC1EF4" w:rsidRPr="004853EB" w14:paraId="38D553E2" w14:textId="77777777" w:rsidTr="00E95D02">
        <w:tc>
          <w:tcPr>
            <w:tcW w:w="614" w:type="dxa"/>
          </w:tcPr>
          <w:p w14:paraId="1EC2881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46.</w:t>
            </w:r>
          </w:p>
        </w:tc>
        <w:tc>
          <w:tcPr>
            <w:tcW w:w="2254" w:type="dxa"/>
            <w:gridSpan w:val="2"/>
          </w:tcPr>
          <w:p w14:paraId="27EBB2F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12697-41</w:t>
            </w:r>
          </w:p>
        </w:tc>
        <w:tc>
          <w:tcPr>
            <w:tcW w:w="6000" w:type="dxa"/>
          </w:tcPr>
          <w:p w14:paraId="183EB5E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41: Odporność na płyny zapobiegające oblodzeniu</w:t>
            </w:r>
          </w:p>
        </w:tc>
      </w:tr>
      <w:tr w:rsidR="00CC1EF4" w:rsidRPr="004853EB" w14:paraId="58F11E9A" w14:textId="77777777" w:rsidTr="00E95D02">
        <w:tc>
          <w:tcPr>
            <w:tcW w:w="614" w:type="dxa"/>
          </w:tcPr>
          <w:p w14:paraId="6AFFCD5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47.</w:t>
            </w:r>
          </w:p>
        </w:tc>
        <w:tc>
          <w:tcPr>
            <w:tcW w:w="2254" w:type="dxa"/>
            <w:gridSpan w:val="2"/>
          </w:tcPr>
          <w:p w14:paraId="7275139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12697-42</w:t>
            </w:r>
          </w:p>
        </w:tc>
        <w:tc>
          <w:tcPr>
            <w:tcW w:w="6000" w:type="dxa"/>
          </w:tcPr>
          <w:p w14:paraId="107E50D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42: Zawartość części obcych w destrukcie asfaltowym</w:t>
            </w:r>
          </w:p>
        </w:tc>
      </w:tr>
      <w:tr w:rsidR="00CC1EF4" w:rsidRPr="004853EB" w14:paraId="0FDD3386" w14:textId="77777777" w:rsidTr="00E95D02">
        <w:tc>
          <w:tcPr>
            <w:tcW w:w="614" w:type="dxa"/>
          </w:tcPr>
          <w:p w14:paraId="352FDE8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48.</w:t>
            </w:r>
          </w:p>
        </w:tc>
        <w:tc>
          <w:tcPr>
            <w:tcW w:w="2254" w:type="dxa"/>
            <w:gridSpan w:val="2"/>
          </w:tcPr>
          <w:p w14:paraId="0877A53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12697-43</w:t>
            </w:r>
          </w:p>
        </w:tc>
        <w:tc>
          <w:tcPr>
            <w:tcW w:w="6000" w:type="dxa"/>
          </w:tcPr>
          <w:p w14:paraId="7109610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Metody badań mieszanek mineralno-asfaltowych na gorąco - Część 43: Odporność na paliwo</w:t>
            </w:r>
          </w:p>
        </w:tc>
      </w:tr>
      <w:tr w:rsidR="00CC1EF4" w:rsidRPr="004853EB" w14:paraId="7FC57C19" w14:textId="77777777" w:rsidTr="00E95D02">
        <w:tc>
          <w:tcPr>
            <w:tcW w:w="614" w:type="dxa"/>
          </w:tcPr>
          <w:p w14:paraId="340E62A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49.</w:t>
            </w:r>
          </w:p>
        </w:tc>
        <w:tc>
          <w:tcPr>
            <w:tcW w:w="2254" w:type="dxa"/>
            <w:gridSpan w:val="2"/>
          </w:tcPr>
          <w:p w14:paraId="26EAE19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13043</w:t>
            </w:r>
          </w:p>
        </w:tc>
        <w:tc>
          <w:tcPr>
            <w:tcW w:w="6000" w:type="dxa"/>
          </w:tcPr>
          <w:p w14:paraId="1BDCC6D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Kruszywa do mieszanek bitumicznych i powierzchniowych utrwaleń stosowanych na drogach, lotniskach i innych powierzchniach przeznaczonych do ruchu</w:t>
            </w:r>
          </w:p>
        </w:tc>
      </w:tr>
      <w:tr w:rsidR="00CC1EF4" w:rsidRPr="004853EB" w14:paraId="2FBC0D96" w14:textId="77777777" w:rsidTr="00E95D02">
        <w:tc>
          <w:tcPr>
            <w:tcW w:w="614" w:type="dxa"/>
          </w:tcPr>
          <w:p w14:paraId="5636C24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50.</w:t>
            </w:r>
          </w:p>
        </w:tc>
        <w:tc>
          <w:tcPr>
            <w:tcW w:w="2254" w:type="dxa"/>
            <w:gridSpan w:val="2"/>
          </w:tcPr>
          <w:p w14:paraId="0DC890C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13108-1</w:t>
            </w:r>
          </w:p>
        </w:tc>
        <w:tc>
          <w:tcPr>
            <w:tcW w:w="6000" w:type="dxa"/>
          </w:tcPr>
          <w:p w14:paraId="62674B2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Wymagania – Część 1: Beton asfaltowy</w:t>
            </w:r>
          </w:p>
        </w:tc>
      </w:tr>
      <w:tr w:rsidR="00CC1EF4" w:rsidRPr="004853EB" w14:paraId="766612C6" w14:textId="77777777" w:rsidTr="00E95D02">
        <w:tc>
          <w:tcPr>
            <w:tcW w:w="614" w:type="dxa"/>
          </w:tcPr>
          <w:p w14:paraId="5C62003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51.</w:t>
            </w:r>
          </w:p>
        </w:tc>
        <w:tc>
          <w:tcPr>
            <w:tcW w:w="2254" w:type="dxa"/>
            <w:gridSpan w:val="2"/>
          </w:tcPr>
          <w:p w14:paraId="36AF3E2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13108-4</w:t>
            </w:r>
          </w:p>
        </w:tc>
        <w:tc>
          <w:tcPr>
            <w:tcW w:w="6000" w:type="dxa"/>
          </w:tcPr>
          <w:p w14:paraId="7BF162B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Wymagania - Część 4: Mieszanka HRA</w:t>
            </w:r>
          </w:p>
        </w:tc>
      </w:tr>
      <w:tr w:rsidR="00CC1EF4" w:rsidRPr="004853EB" w14:paraId="197404EE" w14:textId="77777777" w:rsidTr="00E95D02">
        <w:tc>
          <w:tcPr>
            <w:tcW w:w="614" w:type="dxa"/>
          </w:tcPr>
          <w:p w14:paraId="44EB2A9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52.</w:t>
            </w:r>
          </w:p>
        </w:tc>
        <w:tc>
          <w:tcPr>
            <w:tcW w:w="2254" w:type="dxa"/>
            <w:gridSpan w:val="2"/>
          </w:tcPr>
          <w:p w14:paraId="0CCDDC0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13108-8</w:t>
            </w:r>
          </w:p>
        </w:tc>
        <w:tc>
          <w:tcPr>
            <w:tcW w:w="6000" w:type="dxa"/>
          </w:tcPr>
          <w:p w14:paraId="507E544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Wymagania - Część 8: Destrukt asfaltowy</w:t>
            </w:r>
          </w:p>
        </w:tc>
      </w:tr>
      <w:tr w:rsidR="00CC1EF4" w:rsidRPr="004853EB" w14:paraId="6D96D630" w14:textId="77777777" w:rsidTr="00E95D02">
        <w:tc>
          <w:tcPr>
            <w:tcW w:w="614" w:type="dxa"/>
          </w:tcPr>
          <w:p w14:paraId="12EDEFD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53.</w:t>
            </w:r>
          </w:p>
        </w:tc>
        <w:tc>
          <w:tcPr>
            <w:tcW w:w="2254" w:type="dxa"/>
            <w:gridSpan w:val="2"/>
          </w:tcPr>
          <w:p w14:paraId="4D16A24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13108-20</w:t>
            </w:r>
          </w:p>
        </w:tc>
        <w:tc>
          <w:tcPr>
            <w:tcW w:w="6000" w:type="dxa"/>
          </w:tcPr>
          <w:p w14:paraId="785B9CA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Wymagania – Część 20: Badanie typu</w:t>
            </w:r>
          </w:p>
        </w:tc>
      </w:tr>
      <w:tr w:rsidR="00CC1EF4" w:rsidRPr="004853EB" w14:paraId="0DE5B446" w14:textId="77777777" w:rsidTr="00E95D02">
        <w:tc>
          <w:tcPr>
            <w:tcW w:w="614" w:type="dxa"/>
          </w:tcPr>
          <w:p w14:paraId="4EA3EFF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54.</w:t>
            </w:r>
          </w:p>
        </w:tc>
        <w:tc>
          <w:tcPr>
            <w:tcW w:w="2254" w:type="dxa"/>
            <w:gridSpan w:val="2"/>
          </w:tcPr>
          <w:p w14:paraId="0238B7D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PN-EN </w:t>
            </w:r>
          </w:p>
          <w:p w14:paraId="54F0501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13108-21</w:t>
            </w:r>
          </w:p>
        </w:tc>
        <w:tc>
          <w:tcPr>
            <w:tcW w:w="6000" w:type="dxa"/>
          </w:tcPr>
          <w:p w14:paraId="223CB48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Mieszanki mineralno-asfaltowe - Wymagania - Część 21: Zakładowa kontrola produkcji</w:t>
            </w:r>
          </w:p>
        </w:tc>
      </w:tr>
      <w:tr w:rsidR="00CC1EF4" w:rsidRPr="004853EB" w14:paraId="00C064F7" w14:textId="77777777" w:rsidTr="00E95D02">
        <w:tc>
          <w:tcPr>
            <w:tcW w:w="614" w:type="dxa"/>
          </w:tcPr>
          <w:p w14:paraId="40419B2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55.</w:t>
            </w:r>
          </w:p>
        </w:tc>
        <w:tc>
          <w:tcPr>
            <w:tcW w:w="2254" w:type="dxa"/>
            <w:gridSpan w:val="2"/>
          </w:tcPr>
          <w:p w14:paraId="2FE8EF3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13179-1</w:t>
            </w:r>
          </w:p>
        </w:tc>
        <w:tc>
          <w:tcPr>
            <w:tcW w:w="6000" w:type="dxa"/>
          </w:tcPr>
          <w:p w14:paraId="162E13F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kruszyw wypełniających stosowanych do mieszanek bitumicznych – Część 1: Badanie metodą pierścienia delta i kuli</w:t>
            </w:r>
          </w:p>
        </w:tc>
      </w:tr>
      <w:tr w:rsidR="00CC1EF4" w:rsidRPr="004853EB" w14:paraId="50179902" w14:textId="77777777" w:rsidTr="00E95D02">
        <w:tc>
          <w:tcPr>
            <w:tcW w:w="614" w:type="dxa"/>
          </w:tcPr>
          <w:p w14:paraId="6FEE0BB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56.</w:t>
            </w:r>
          </w:p>
        </w:tc>
        <w:tc>
          <w:tcPr>
            <w:tcW w:w="2254" w:type="dxa"/>
            <w:gridSpan w:val="2"/>
          </w:tcPr>
          <w:p w14:paraId="1A44E10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13179-2</w:t>
            </w:r>
          </w:p>
        </w:tc>
        <w:tc>
          <w:tcPr>
            <w:tcW w:w="6000" w:type="dxa"/>
          </w:tcPr>
          <w:p w14:paraId="5F796B5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Badania kruszyw wypełniających stosowanych do mieszanek bitumicznych – Część 2: Liczba bitumiczna</w:t>
            </w:r>
          </w:p>
        </w:tc>
      </w:tr>
      <w:tr w:rsidR="00CC1EF4" w:rsidRPr="004853EB" w14:paraId="78C4B0B6" w14:textId="77777777" w:rsidTr="00E95D02">
        <w:tc>
          <w:tcPr>
            <w:tcW w:w="614" w:type="dxa"/>
          </w:tcPr>
          <w:p w14:paraId="3455C89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57.</w:t>
            </w:r>
          </w:p>
        </w:tc>
        <w:tc>
          <w:tcPr>
            <w:tcW w:w="2254" w:type="dxa"/>
            <w:gridSpan w:val="2"/>
          </w:tcPr>
          <w:p w14:paraId="59FDA4D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13398</w:t>
            </w:r>
          </w:p>
        </w:tc>
        <w:tc>
          <w:tcPr>
            <w:tcW w:w="6000" w:type="dxa"/>
          </w:tcPr>
          <w:p w14:paraId="72A9D7B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Oznaczanie nawrotu sprężystego asfaltów modyfikowanych</w:t>
            </w:r>
          </w:p>
        </w:tc>
      </w:tr>
      <w:tr w:rsidR="00CC1EF4" w:rsidRPr="004853EB" w14:paraId="14E0E238" w14:textId="77777777" w:rsidTr="00E95D02">
        <w:tc>
          <w:tcPr>
            <w:tcW w:w="632" w:type="dxa"/>
            <w:gridSpan w:val="2"/>
          </w:tcPr>
          <w:p w14:paraId="2CBC296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58.</w:t>
            </w:r>
          </w:p>
        </w:tc>
        <w:tc>
          <w:tcPr>
            <w:tcW w:w="2236" w:type="dxa"/>
          </w:tcPr>
          <w:p w14:paraId="498E4FC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13399</w:t>
            </w:r>
          </w:p>
        </w:tc>
        <w:tc>
          <w:tcPr>
            <w:tcW w:w="6000" w:type="dxa"/>
          </w:tcPr>
          <w:p w14:paraId="739777E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Oznaczanie stabilności podczas magazynowania asfaltów modyfikowanych</w:t>
            </w:r>
          </w:p>
        </w:tc>
      </w:tr>
      <w:tr w:rsidR="00CC1EF4" w:rsidRPr="004853EB" w14:paraId="74FCD1B7" w14:textId="77777777" w:rsidTr="00E95D02">
        <w:tc>
          <w:tcPr>
            <w:tcW w:w="632" w:type="dxa"/>
            <w:gridSpan w:val="2"/>
          </w:tcPr>
          <w:p w14:paraId="12534275"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59.</w:t>
            </w:r>
          </w:p>
        </w:tc>
        <w:tc>
          <w:tcPr>
            <w:tcW w:w="2236" w:type="dxa"/>
          </w:tcPr>
          <w:p w14:paraId="1F293A4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13587</w:t>
            </w:r>
          </w:p>
        </w:tc>
        <w:tc>
          <w:tcPr>
            <w:tcW w:w="6000" w:type="dxa"/>
          </w:tcPr>
          <w:p w14:paraId="0BAC887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Oznaczanie właściwości mechanicznych lepiszczy asfaltowych metodą rozciągania</w:t>
            </w:r>
          </w:p>
        </w:tc>
      </w:tr>
      <w:tr w:rsidR="00CC1EF4" w:rsidRPr="004853EB" w14:paraId="18017074" w14:textId="77777777" w:rsidTr="00E95D02">
        <w:tc>
          <w:tcPr>
            <w:tcW w:w="632" w:type="dxa"/>
            <w:gridSpan w:val="2"/>
          </w:tcPr>
          <w:p w14:paraId="22063D1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60.</w:t>
            </w:r>
          </w:p>
        </w:tc>
        <w:tc>
          <w:tcPr>
            <w:tcW w:w="2236" w:type="dxa"/>
          </w:tcPr>
          <w:p w14:paraId="646151B9"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13588</w:t>
            </w:r>
          </w:p>
        </w:tc>
        <w:tc>
          <w:tcPr>
            <w:tcW w:w="6000" w:type="dxa"/>
          </w:tcPr>
          <w:p w14:paraId="048907E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Oznaczanie kohezji lepiszczy asfaltowych metodą testu wahadłowego</w:t>
            </w:r>
          </w:p>
        </w:tc>
      </w:tr>
      <w:tr w:rsidR="00CC1EF4" w:rsidRPr="004853EB" w14:paraId="7253414A" w14:textId="77777777" w:rsidTr="00E95D02">
        <w:tc>
          <w:tcPr>
            <w:tcW w:w="632" w:type="dxa"/>
            <w:gridSpan w:val="2"/>
          </w:tcPr>
          <w:p w14:paraId="0A43E0D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61.</w:t>
            </w:r>
          </w:p>
        </w:tc>
        <w:tc>
          <w:tcPr>
            <w:tcW w:w="2236" w:type="dxa"/>
          </w:tcPr>
          <w:p w14:paraId="6914811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13589</w:t>
            </w:r>
          </w:p>
        </w:tc>
        <w:tc>
          <w:tcPr>
            <w:tcW w:w="6000" w:type="dxa"/>
          </w:tcPr>
          <w:p w14:paraId="52AA823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Oznaczanie siły rozciągania asfaltów modyfikowanych – Metoda z duktylometrem</w:t>
            </w:r>
          </w:p>
        </w:tc>
      </w:tr>
      <w:tr w:rsidR="00CC1EF4" w:rsidRPr="004853EB" w14:paraId="04450C1C" w14:textId="77777777" w:rsidTr="00E95D02">
        <w:tc>
          <w:tcPr>
            <w:tcW w:w="632" w:type="dxa"/>
            <w:gridSpan w:val="2"/>
          </w:tcPr>
          <w:p w14:paraId="7EFC99A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62.</w:t>
            </w:r>
          </w:p>
        </w:tc>
        <w:tc>
          <w:tcPr>
            <w:tcW w:w="2236" w:type="dxa"/>
          </w:tcPr>
          <w:p w14:paraId="3B9ECF7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13703</w:t>
            </w:r>
          </w:p>
        </w:tc>
        <w:tc>
          <w:tcPr>
            <w:tcW w:w="6000" w:type="dxa"/>
          </w:tcPr>
          <w:p w14:paraId="5689EC8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Oznaczanie energii odkształcenia</w:t>
            </w:r>
          </w:p>
        </w:tc>
      </w:tr>
      <w:tr w:rsidR="00CC1EF4" w:rsidRPr="004853EB" w14:paraId="0F300E93" w14:textId="77777777" w:rsidTr="00E95D02">
        <w:tc>
          <w:tcPr>
            <w:tcW w:w="632" w:type="dxa"/>
            <w:gridSpan w:val="2"/>
          </w:tcPr>
          <w:p w14:paraId="67EE3FB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63.</w:t>
            </w:r>
          </w:p>
        </w:tc>
        <w:tc>
          <w:tcPr>
            <w:tcW w:w="2236" w:type="dxa"/>
          </w:tcPr>
          <w:p w14:paraId="3A0E925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13808</w:t>
            </w:r>
          </w:p>
        </w:tc>
        <w:tc>
          <w:tcPr>
            <w:tcW w:w="6000" w:type="dxa"/>
          </w:tcPr>
          <w:p w14:paraId="5C10E50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Zasady specyfikacji kationowych emulsji asfaltowych</w:t>
            </w:r>
          </w:p>
        </w:tc>
      </w:tr>
      <w:tr w:rsidR="00CC1EF4" w:rsidRPr="004853EB" w14:paraId="30263A19" w14:textId="77777777" w:rsidTr="00E95D02">
        <w:tc>
          <w:tcPr>
            <w:tcW w:w="632" w:type="dxa"/>
            <w:gridSpan w:val="2"/>
          </w:tcPr>
          <w:p w14:paraId="41ABD1A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64.</w:t>
            </w:r>
          </w:p>
        </w:tc>
        <w:tc>
          <w:tcPr>
            <w:tcW w:w="2236" w:type="dxa"/>
          </w:tcPr>
          <w:p w14:paraId="7795D81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13924-2</w:t>
            </w:r>
          </w:p>
        </w:tc>
        <w:tc>
          <w:tcPr>
            <w:tcW w:w="6000" w:type="dxa"/>
          </w:tcPr>
          <w:p w14:paraId="4A90CD71"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Asfalty i lepiszcza asfaltowe - Zasady klasyfikacji asfaltów drogowych specjalnych - Część 2: Asfalty drogowe wielorodzajowe </w:t>
            </w:r>
          </w:p>
        </w:tc>
      </w:tr>
      <w:tr w:rsidR="00CC1EF4" w:rsidRPr="004853EB" w14:paraId="4C9736D0" w14:textId="77777777" w:rsidTr="00E95D02">
        <w:tc>
          <w:tcPr>
            <w:tcW w:w="632" w:type="dxa"/>
            <w:gridSpan w:val="2"/>
          </w:tcPr>
          <w:p w14:paraId="458FA6F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64a.</w:t>
            </w:r>
          </w:p>
        </w:tc>
        <w:tc>
          <w:tcPr>
            <w:tcW w:w="2236" w:type="dxa"/>
          </w:tcPr>
          <w:p w14:paraId="33049843"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13924-2:</w:t>
            </w:r>
          </w:p>
          <w:p w14:paraId="52520FF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2014-04/Ap1:2014-07</w:t>
            </w:r>
          </w:p>
        </w:tc>
        <w:tc>
          <w:tcPr>
            <w:tcW w:w="6000" w:type="dxa"/>
          </w:tcPr>
          <w:p w14:paraId="313B577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Zasady klasyfikacji asfaltów drogowych specjalnych - Część 2: Asfalty drogowe wielorodzajowe – Poprawka do Polskiej Normy</w:t>
            </w:r>
          </w:p>
        </w:tc>
      </w:tr>
      <w:tr w:rsidR="00CC1EF4" w:rsidRPr="004853EB" w14:paraId="5A6CCF8F" w14:textId="77777777" w:rsidTr="00E95D02">
        <w:tc>
          <w:tcPr>
            <w:tcW w:w="632" w:type="dxa"/>
            <w:gridSpan w:val="2"/>
          </w:tcPr>
          <w:p w14:paraId="601EA77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65.</w:t>
            </w:r>
          </w:p>
        </w:tc>
        <w:tc>
          <w:tcPr>
            <w:tcW w:w="2236" w:type="dxa"/>
          </w:tcPr>
          <w:p w14:paraId="130AB11C"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14023</w:t>
            </w:r>
          </w:p>
        </w:tc>
        <w:tc>
          <w:tcPr>
            <w:tcW w:w="6000" w:type="dxa"/>
          </w:tcPr>
          <w:p w14:paraId="1C3939D8"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Zasady specyfikacji asfaltów modyfikowanych polimerami</w:t>
            </w:r>
          </w:p>
        </w:tc>
      </w:tr>
      <w:tr w:rsidR="00CC1EF4" w:rsidRPr="004853EB" w14:paraId="2695E949" w14:textId="77777777" w:rsidTr="00E95D02">
        <w:tc>
          <w:tcPr>
            <w:tcW w:w="632" w:type="dxa"/>
            <w:gridSpan w:val="2"/>
          </w:tcPr>
          <w:p w14:paraId="1B6394B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65a.</w:t>
            </w:r>
          </w:p>
        </w:tc>
        <w:tc>
          <w:tcPr>
            <w:tcW w:w="2236" w:type="dxa"/>
          </w:tcPr>
          <w:p w14:paraId="564CFC4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14023:2011/Ap1:</w:t>
            </w:r>
          </w:p>
          <w:p w14:paraId="627835A5" w14:textId="77777777" w:rsidR="00CC1EF4" w:rsidRPr="004853EB" w:rsidRDefault="00CC1EF4" w:rsidP="00CC1EF4">
            <w:pPr>
              <w:spacing w:after="0" w:line="240" w:lineRule="auto"/>
              <w:jc w:val="both"/>
              <w:rPr>
                <w:rFonts w:eastAsia="Times New Roman" w:cstheme="minorHAnsi"/>
                <w:color w:val="000000"/>
                <w:sz w:val="20"/>
                <w:szCs w:val="20"/>
                <w:highlight w:val="yellow"/>
                <w:lang w:eastAsia="pl-PL"/>
              </w:rPr>
            </w:pPr>
            <w:r w:rsidRPr="004853EB">
              <w:rPr>
                <w:rFonts w:eastAsia="Times New Roman" w:cstheme="minorHAnsi"/>
                <w:color w:val="000000"/>
                <w:sz w:val="20"/>
                <w:szCs w:val="20"/>
                <w:lang w:eastAsia="pl-PL"/>
              </w:rPr>
              <w:t>2014-04</w:t>
            </w:r>
          </w:p>
        </w:tc>
        <w:tc>
          <w:tcPr>
            <w:tcW w:w="6000" w:type="dxa"/>
          </w:tcPr>
          <w:p w14:paraId="38AED7B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Asfalty i lepiszcza asfaltowe – Zasady klasyfikacji asfaltów modyfikowanych polimerami – Poprawka do Polskiej Normy</w:t>
            </w:r>
          </w:p>
        </w:tc>
      </w:tr>
      <w:tr w:rsidR="00CC1EF4" w:rsidRPr="004853EB" w14:paraId="2AFE0384" w14:textId="77777777" w:rsidTr="00E95D02">
        <w:tc>
          <w:tcPr>
            <w:tcW w:w="632" w:type="dxa"/>
            <w:gridSpan w:val="2"/>
          </w:tcPr>
          <w:p w14:paraId="602367A4"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lastRenderedPageBreak/>
              <w:t>66.</w:t>
            </w:r>
          </w:p>
        </w:tc>
        <w:tc>
          <w:tcPr>
            <w:tcW w:w="2236" w:type="dxa"/>
          </w:tcPr>
          <w:p w14:paraId="494BDB6A"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14188-1</w:t>
            </w:r>
          </w:p>
        </w:tc>
        <w:tc>
          <w:tcPr>
            <w:tcW w:w="6000" w:type="dxa"/>
          </w:tcPr>
          <w:p w14:paraId="7E2D4D5E"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Wypełniacze szczelin i zalewy drogowe – Część 1: Wymagania wobec zalew drogowych na gorąco</w:t>
            </w:r>
          </w:p>
        </w:tc>
      </w:tr>
      <w:tr w:rsidR="00CC1EF4" w:rsidRPr="004853EB" w14:paraId="66337113" w14:textId="77777777" w:rsidTr="00E95D02">
        <w:tc>
          <w:tcPr>
            <w:tcW w:w="632" w:type="dxa"/>
            <w:gridSpan w:val="2"/>
          </w:tcPr>
          <w:p w14:paraId="6DD995E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67.</w:t>
            </w:r>
          </w:p>
        </w:tc>
        <w:tc>
          <w:tcPr>
            <w:tcW w:w="2236" w:type="dxa"/>
          </w:tcPr>
          <w:p w14:paraId="4F5791A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14188-2</w:t>
            </w:r>
          </w:p>
        </w:tc>
        <w:tc>
          <w:tcPr>
            <w:tcW w:w="6000" w:type="dxa"/>
          </w:tcPr>
          <w:p w14:paraId="6D7CC236"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Wypełniacze szczelin i zalewy drogowe – Część 2: Wymagania wobec zalew drogowych na zimno</w:t>
            </w:r>
          </w:p>
        </w:tc>
      </w:tr>
      <w:tr w:rsidR="00CC1EF4" w:rsidRPr="004853EB" w14:paraId="5962D54C" w14:textId="77777777" w:rsidTr="00E95D02">
        <w:tc>
          <w:tcPr>
            <w:tcW w:w="632" w:type="dxa"/>
            <w:gridSpan w:val="2"/>
          </w:tcPr>
          <w:p w14:paraId="5E85CFA0"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68.</w:t>
            </w:r>
          </w:p>
        </w:tc>
        <w:tc>
          <w:tcPr>
            <w:tcW w:w="2236" w:type="dxa"/>
          </w:tcPr>
          <w:p w14:paraId="4E7B1247"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22592</w:t>
            </w:r>
          </w:p>
        </w:tc>
        <w:tc>
          <w:tcPr>
            <w:tcW w:w="6000" w:type="dxa"/>
          </w:tcPr>
          <w:p w14:paraId="62790FDF"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Przetwory naftowe – Oznaczanie temperatury zapłonu i palenia – Pomiar metodą otwartego tygla Clevelanda</w:t>
            </w:r>
          </w:p>
        </w:tc>
      </w:tr>
      <w:tr w:rsidR="00CC1EF4" w:rsidRPr="004853EB" w14:paraId="570FBDB0" w14:textId="77777777" w:rsidTr="00E95D02">
        <w:tc>
          <w:tcPr>
            <w:tcW w:w="632" w:type="dxa"/>
            <w:gridSpan w:val="2"/>
          </w:tcPr>
          <w:p w14:paraId="3F9DA50B"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69.</w:t>
            </w:r>
          </w:p>
        </w:tc>
        <w:tc>
          <w:tcPr>
            <w:tcW w:w="2236" w:type="dxa"/>
          </w:tcPr>
          <w:p w14:paraId="1DD16812"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PN-EN ISO 2592</w:t>
            </w:r>
          </w:p>
        </w:tc>
        <w:tc>
          <w:tcPr>
            <w:tcW w:w="6000" w:type="dxa"/>
          </w:tcPr>
          <w:p w14:paraId="0592428D" w14:textId="77777777" w:rsidR="00CC1EF4" w:rsidRPr="004853EB" w:rsidRDefault="00CC1EF4" w:rsidP="00CC1EF4">
            <w:pPr>
              <w:spacing w:after="0" w:line="240" w:lineRule="auto"/>
              <w:jc w:val="both"/>
              <w:rPr>
                <w:rFonts w:eastAsia="Times New Roman" w:cstheme="minorHAnsi"/>
                <w:color w:val="000000"/>
                <w:sz w:val="20"/>
                <w:szCs w:val="20"/>
                <w:lang w:eastAsia="pl-PL"/>
              </w:rPr>
            </w:pPr>
            <w:r w:rsidRPr="004853EB">
              <w:rPr>
                <w:rFonts w:eastAsia="Times New Roman" w:cstheme="minorHAnsi"/>
                <w:color w:val="000000"/>
                <w:sz w:val="20"/>
                <w:szCs w:val="20"/>
                <w:lang w:eastAsia="pl-PL"/>
              </w:rPr>
              <w:t>Oznaczanie temperatury zapłonu i palenia – Metoda otwartego tygla Clevelanda</w:t>
            </w:r>
          </w:p>
        </w:tc>
      </w:tr>
    </w:tbl>
    <w:p w14:paraId="11ECF80F"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4AF5193C"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602" w:name="_Toc97034660"/>
      <w:bookmarkStart w:id="3603" w:name="_Toc97035348"/>
      <w:bookmarkStart w:id="3604" w:name="_Toc194477051"/>
      <w:bookmarkStart w:id="3605" w:name="_Toc227825533"/>
      <w:r w:rsidRPr="004853EB">
        <w:rPr>
          <w:rFonts w:eastAsia="Times New Roman" w:cstheme="minorHAnsi"/>
          <w:b/>
          <w:bCs/>
          <w:color w:val="000000"/>
          <w:sz w:val="20"/>
          <w:szCs w:val="20"/>
          <w:lang w:eastAsia="pl-PL"/>
        </w:rPr>
        <w:t>10.3. Wymagania techniczne i katalogi</w:t>
      </w:r>
      <w:bookmarkEnd w:id="3602"/>
      <w:bookmarkEnd w:id="3603"/>
      <w:bookmarkEnd w:id="3604"/>
      <w:bookmarkEnd w:id="3605"/>
    </w:p>
    <w:p w14:paraId="37D5FF12" w14:textId="77777777" w:rsidR="00CC1EF4" w:rsidRPr="004853EB" w:rsidRDefault="00CC1EF4">
      <w:pPr>
        <w:numPr>
          <w:ilvl w:val="0"/>
          <w:numId w:val="128"/>
        </w:numPr>
        <w:tabs>
          <w:tab w:val="num" w:pos="-5245"/>
          <w:tab w:val="left" w:pos="600"/>
        </w:tabs>
        <w:overflowPunct w:val="0"/>
        <w:autoSpaceDE w:val="0"/>
        <w:autoSpaceDN w:val="0"/>
        <w:adjustRightInd w:val="0"/>
        <w:spacing w:after="0" w:line="240" w:lineRule="auto"/>
        <w:ind w:left="600" w:hanging="543"/>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WT-1 Kruszywa 2014. Kruszywa do mieszanek mineralno-asfaltowych i powierzchniowych utrwaleń na drogach krajowych. Zarządzenie nr 46 Generalnego Dyrektora Dróg Krajowych i Autostrad z dnia 25 września 2014 r.</w:t>
      </w:r>
    </w:p>
    <w:p w14:paraId="27A71B13" w14:textId="77777777" w:rsidR="00CC1EF4" w:rsidRPr="004853EB" w:rsidRDefault="00CC1EF4">
      <w:pPr>
        <w:numPr>
          <w:ilvl w:val="0"/>
          <w:numId w:val="128"/>
        </w:numPr>
        <w:tabs>
          <w:tab w:val="left" w:pos="567"/>
        </w:tabs>
        <w:overflowPunct w:val="0"/>
        <w:autoSpaceDE w:val="0"/>
        <w:autoSpaceDN w:val="0"/>
        <w:adjustRightInd w:val="0"/>
        <w:spacing w:after="0" w:line="240" w:lineRule="auto"/>
        <w:ind w:left="567" w:hanging="51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WT-2 Mieszanki mineralno-asfaltowe. Zarządzenie nr 54 Generalnego Dyrektora Dróg Krajowych </w:t>
      </w:r>
      <w:r w:rsidRPr="004853EB">
        <w:rPr>
          <w:rFonts w:eastAsia="Times New Roman" w:cstheme="minorHAnsi"/>
          <w:color w:val="000000"/>
          <w:sz w:val="20"/>
          <w:szCs w:val="20"/>
          <w:lang w:eastAsia="pl-PL"/>
        </w:rPr>
        <w:br/>
        <w:t>i Autostrad z dnia 18 listopada 2014 r.</w:t>
      </w:r>
    </w:p>
    <w:p w14:paraId="50C670F5" w14:textId="77777777" w:rsidR="00CC1EF4" w:rsidRPr="004853EB" w:rsidRDefault="00CC1EF4">
      <w:pPr>
        <w:numPr>
          <w:ilvl w:val="0"/>
          <w:numId w:val="128"/>
        </w:numPr>
        <w:tabs>
          <w:tab w:val="num" w:pos="-5103"/>
          <w:tab w:val="left" w:pos="567"/>
        </w:tabs>
        <w:overflowPunct w:val="0"/>
        <w:autoSpaceDE w:val="0"/>
        <w:autoSpaceDN w:val="0"/>
        <w:adjustRightInd w:val="0"/>
        <w:spacing w:after="0" w:line="240" w:lineRule="auto"/>
        <w:ind w:left="567" w:hanging="510"/>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Katalog typowych konstrukcji nawierzchni podatnych i półsztywnych. Załącznik do Zarządzenia nr 31 Generalnego Dyrektora Dróg Krajowych i Autostrad z dnia 16 czerwca 2014 r.</w:t>
      </w:r>
    </w:p>
    <w:p w14:paraId="67E844AA"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p>
    <w:p w14:paraId="549F098B" w14:textId="77777777" w:rsidR="00CC1EF4" w:rsidRPr="004853EB" w:rsidRDefault="00CC1EF4" w:rsidP="00CC1EF4">
      <w:pPr>
        <w:keepNext/>
        <w:spacing w:after="0" w:line="240" w:lineRule="auto"/>
        <w:jc w:val="both"/>
        <w:outlineLvl w:val="1"/>
        <w:rPr>
          <w:rFonts w:eastAsia="Times New Roman" w:cstheme="minorHAnsi"/>
          <w:b/>
          <w:bCs/>
          <w:color w:val="000000"/>
          <w:sz w:val="20"/>
          <w:szCs w:val="20"/>
          <w:lang w:eastAsia="pl-PL"/>
        </w:rPr>
      </w:pPr>
      <w:bookmarkStart w:id="3606" w:name="_Toc97034661"/>
      <w:bookmarkStart w:id="3607" w:name="_Toc97035349"/>
      <w:bookmarkStart w:id="3608" w:name="_Toc194477052"/>
      <w:bookmarkStart w:id="3609" w:name="_Toc227825534"/>
      <w:r w:rsidRPr="004853EB">
        <w:rPr>
          <w:rFonts w:eastAsia="Times New Roman" w:cstheme="minorHAnsi"/>
          <w:b/>
          <w:bCs/>
          <w:color w:val="000000"/>
          <w:sz w:val="20"/>
          <w:szCs w:val="20"/>
          <w:lang w:eastAsia="pl-PL"/>
        </w:rPr>
        <w:t>10.4. Inne dokumenty</w:t>
      </w:r>
      <w:bookmarkEnd w:id="3606"/>
      <w:bookmarkEnd w:id="3607"/>
      <w:bookmarkEnd w:id="3608"/>
      <w:bookmarkEnd w:id="3609"/>
    </w:p>
    <w:p w14:paraId="743E06E3" w14:textId="77777777" w:rsidR="00CC1EF4" w:rsidRPr="004853EB" w:rsidRDefault="00CC1EF4">
      <w:pPr>
        <w:numPr>
          <w:ilvl w:val="1"/>
          <w:numId w:val="137"/>
        </w:numPr>
        <w:tabs>
          <w:tab w:val="left" w:pos="600"/>
        </w:tabs>
        <w:overflowPunct w:val="0"/>
        <w:autoSpaceDE w:val="0"/>
        <w:autoSpaceDN w:val="0"/>
        <w:adjustRightInd w:val="0"/>
        <w:spacing w:after="0" w:line="240" w:lineRule="auto"/>
        <w:ind w:left="600" w:hanging="543"/>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Ustawa z dnia 19 sierpnia 2011 r. o przewozie drogowym towarów niebezpiecznych (Dz.U. nr 227, poz. 1367 z późniejszymi zmianami)</w:t>
      </w:r>
    </w:p>
    <w:p w14:paraId="0A9B3A2A" w14:textId="77777777" w:rsidR="00CC1EF4" w:rsidRPr="004853EB" w:rsidRDefault="00CC1EF4">
      <w:pPr>
        <w:numPr>
          <w:ilvl w:val="1"/>
          <w:numId w:val="137"/>
        </w:numPr>
        <w:tabs>
          <w:tab w:val="left" w:pos="600"/>
        </w:tabs>
        <w:overflowPunct w:val="0"/>
        <w:autoSpaceDE w:val="0"/>
        <w:autoSpaceDN w:val="0"/>
        <w:adjustRightInd w:val="0"/>
        <w:spacing w:after="0" w:line="240" w:lineRule="auto"/>
        <w:ind w:left="600" w:hanging="543"/>
        <w:jc w:val="both"/>
        <w:textAlignment w:val="baseline"/>
        <w:rPr>
          <w:rFonts w:eastAsia="Times New Roman" w:cstheme="minorHAnsi"/>
          <w:color w:val="000000"/>
          <w:sz w:val="20"/>
          <w:szCs w:val="20"/>
          <w:lang w:eastAsia="pl-PL"/>
        </w:rPr>
      </w:pPr>
      <w:r w:rsidRPr="004853EB">
        <w:rPr>
          <w:rFonts w:eastAsia="Times New Roman" w:cstheme="minorHAnsi"/>
          <w:color w:val="000000"/>
          <w:sz w:val="20"/>
          <w:szCs w:val="20"/>
          <w:lang w:eastAsia="pl-PL"/>
        </w:rPr>
        <w:t xml:space="preserve">Rozporządzenie Ministra Transportu i Gospodarki Morskiej z dnia 2 marca 1999 r. w sprawie warunków technicznych, jakim powinny odpowiadać drogi publiczne i ich usytuowanie (Dz.U. nr 43, poz. 430 </w:t>
      </w:r>
      <w:r w:rsidRPr="004853EB">
        <w:rPr>
          <w:rFonts w:eastAsia="Times New Roman" w:cstheme="minorHAnsi"/>
          <w:color w:val="000000"/>
          <w:sz w:val="20"/>
          <w:szCs w:val="20"/>
          <w:lang w:eastAsia="pl-PL"/>
        </w:rPr>
        <w:br/>
        <w:t>z późn. zm.).</w:t>
      </w:r>
    </w:p>
    <w:p w14:paraId="00130EF1" w14:textId="77777777" w:rsidR="00CC1EF4" w:rsidRPr="004853EB" w:rsidRDefault="00CC1EF4">
      <w:pPr>
        <w:rPr>
          <w:rFonts w:cstheme="minorHAnsi"/>
        </w:rPr>
      </w:pPr>
    </w:p>
    <w:p w14:paraId="7630D112" w14:textId="77777777" w:rsidR="00CC1EF4" w:rsidRPr="004853EB" w:rsidRDefault="00CC1EF4">
      <w:pPr>
        <w:rPr>
          <w:rFonts w:cstheme="minorHAnsi"/>
        </w:rPr>
      </w:pPr>
    </w:p>
    <w:p w14:paraId="49D18F1C" w14:textId="77777777" w:rsidR="00CC1EF4" w:rsidRPr="004853EB" w:rsidRDefault="00CC1EF4">
      <w:pPr>
        <w:rPr>
          <w:rFonts w:cstheme="minorHAnsi"/>
        </w:rPr>
      </w:pPr>
    </w:p>
    <w:p w14:paraId="076BF81F" w14:textId="77777777" w:rsidR="00CC1EF4" w:rsidRPr="004853EB" w:rsidRDefault="00CC1EF4">
      <w:pPr>
        <w:rPr>
          <w:rFonts w:cstheme="minorHAnsi"/>
        </w:rPr>
      </w:pPr>
    </w:p>
    <w:p w14:paraId="541A73A9" w14:textId="77777777" w:rsidR="00CC1EF4" w:rsidRPr="004853EB" w:rsidRDefault="00CC1EF4">
      <w:pPr>
        <w:rPr>
          <w:rFonts w:cstheme="minorHAnsi"/>
        </w:rPr>
      </w:pPr>
    </w:p>
    <w:p w14:paraId="15D3EF4B" w14:textId="77777777" w:rsidR="00CC1EF4" w:rsidRPr="004853EB" w:rsidRDefault="00CC1EF4">
      <w:pPr>
        <w:rPr>
          <w:rFonts w:cstheme="minorHAnsi"/>
        </w:rPr>
      </w:pPr>
    </w:p>
    <w:p w14:paraId="7E8FBC00" w14:textId="77777777" w:rsidR="00CC1EF4" w:rsidRPr="004853EB" w:rsidRDefault="00CC1EF4">
      <w:pPr>
        <w:rPr>
          <w:rFonts w:cstheme="minorHAnsi"/>
        </w:rPr>
      </w:pPr>
    </w:p>
    <w:p w14:paraId="6B2C4F32" w14:textId="77777777" w:rsidR="00CC1EF4" w:rsidRPr="004853EB" w:rsidRDefault="00CC1EF4">
      <w:pPr>
        <w:rPr>
          <w:rFonts w:cstheme="minorHAnsi"/>
        </w:rPr>
      </w:pPr>
    </w:p>
    <w:p w14:paraId="1DE73377" w14:textId="77777777" w:rsidR="00CC1EF4" w:rsidRPr="004853EB" w:rsidRDefault="00CC1EF4">
      <w:pPr>
        <w:rPr>
          <w:rFonts w:cstheme="minorHAnsi"/>
        </w:rPr>
      </w:pPr>
    </w:p>
    <w:p w14:paraId="49AE3146" w14:textId="77777777" w:rsidR="00CC1EF4" w:rsidRPr="004853EB" w:rsidRDefault="00CC1EF4">
      <w:pPr>
        <w:rPr>
          <w:rFonts w:cstheme="minorHAnsi"/>
        </w:rPr>
      </w:pPr>
    </w:p>
    <w:p w14:paraId="3AA52A7D" w14:textId="77777777" w:rsidR="00CC1EF4" w:rsidRPr="004853EB" w:rsidRDefault="00CC1EF4">
      <w:pPr>
        <w:rPr>
          <w:rFonts w:cstheme="minorHAnsi"/>
        </w:rPr>
      </w:pPr>
    </w:p>
    <w:p w14:paraId="6D5BD200" w14:textId="77777777" w:rsidR="00CC1EF4" w:rsidRPr="004853EB" w:rsidRDefault="00CC1EF4">
      <w:pPr>
        <w:rPr>
          <w:rFonts w:cstheme="minorHAnsi"/>
        </w:rPr>
      </w:pPr>
    </w:p>
    <w:p w14:paraId="76944CF9" w14:textId="77777777" w:rsidR="00CC1EF4" w:rsidRPr="004853EB" w:rsidRDefault="00CC1EF4">
      <w:pPr>
        <w:rPr>
          <w:rFonts w:cstheme="minorHAnsi"/>
        </w:rPr>
      </w:pPr>
    </w:p>
    <w:p w14:paraId="3259D9C7" w14:textId="77777777" w:rsidR="00CC1EF4" w:rsidRPr="004853EB" w:rsidRDefault="00CC1EF4">
      <w:pPr>
        <w:rPr>
          <w:rFonts w:cstheme="minorHAnsi"/>
        </w:rPr>
      </w:pPr>
    </w:p>
    <w:p w14:paraId="3C0481BB" w14:textId="77777777" w:rsidR="00CC1EF4" w:rsidRPr="004853EB" w:rsidRDefault="00CC1EF4">
      <w:pPr>
        <w:rPr>
          <w:rFonts w:cstheme="minorHAnsi"/>
        </w:rPr>
      </w:pPr>
    </w:p>
    <w:p w14:paraId="13F1C5FE" w14:textId="77777777" w:rsidR="003A11E0" w:rsidRPr="004853EB" w:rsidRDefault="003A11E0" w:rsidP="00CC1EF4">
      <w:pPr>
        <w:autoSpaceDE w:val="0"/>
        <w:autoSpaceDN w:val="0"/>
        <w:adjustRightInd w:val="0"/>
        <w:spacing w:after="0" w:line="240" w:lineRule="auto"/>
        <w:jc w:val="center"/>
        <w:rPr>
          <w:rFonts w:eastAsia="Times New Roman" w:cstheme="minorHAnsi"/>
          <w:b/>
          <w:bCs/>
          <w:lang w:val="pl" w:eastAsia="pl-PL"/>
        </w:rPr>
      </w:pPr>
    </w:p>
    <w:p w14:paraId="3D4559B2" w14:textId="77777777" w:rsidR="003A11E0" w:rsidRPr="004853EB" w:rsidRDefault="003A11E0" w:rsidP="00CC1EF4">
      <w:pPr>
        <w:autoSpaceDE w:val="0"/>
        <w:autoSpaceDN w:val="0"/>
        <w:adjustRightInd w:val="0"/>
        <w:spacing w:after="0" w:line="240" w:lineRule="auto"/>
        <w:jc w:val="center"/>
        <w:rPr>
          <w:rFonts w:eastAsia="Times New Roman" w:cstheme="minorHAnsi"/>
          <w:b/>
          <w:bCs/>
          <w:lang w:val="pl" w:eastAsia="pl-PL"/>
        </w:rPr>
      </w:pPr>
    </w:p>
    <w:p w14:paraId="288ED2E3" w14:textId="77777777" w:rsidR="003A11E0" w:rsidRPr="004853EB" w:rsidRDefault="003A11E0" w:rsidP="00CC1EF4">
      <w:pPr>
        <w:autoSpaceDE w:val="0"/>
        <w:autoSpaceDN w:val="0"/>
        <w:adjustRightInd w:val="0"/>
        <w:spacing w:after="0" w:line="240" w:lineRule="auto"/>
        <w:jc w:val="center"/>
        <w:rPr>
          <w:rFonts w:eastAsia="Times New Roman" w:cstheme="minorHAnsi"/>
          <w:b/>
          <w:bCs/>
          <w:lang w:val="pl" w:eastAsia="pl-PL"/>
        </w:rPr>
      </w:pPr>
    </w:p>
    <w:p w14:paraId="0A3D2469" w14:textId="77777777" w:rsidR="003A11E0" w:rsidRPr="004853EB" w:rsidRDefault="003A11E0" w:rsidP="00CC1EF4">
      <w:pPr>
        <w:autoSpaceDE w:val="0"/>
        <w:autoSpaceDN w:val="0"/>
        <w:adjustRightInd w:val="0"/>
        <w:spacing w:after="0" w:line="240" w:lineRule="auto"/>
        <w:jc w:val="center"/>
        <w:rPr>
          <w:rFonts w:eastAsia="Times New Roman" w:cstheme="minorHAnsi"/>
          <w:b/>
          <w:bCs/>
          <w:lang w:val="pl" w:eastAsia="pl-PL"/>
        </w:rPr>
      </w:pPr>
    </w:p>
    <w:p w14:paraId="708BBBFD" w14:textId="77777777" w:rsidR="00CC1EF4" w:rsidRPr="00D86E93" w:rsidRDefault="00CC1EF4" w:rsidP="00D86E93">
      <w:pPr>
        <w:pStyle w:val="Nagwek1"/>
        <w:rPr>
          <w:rFonts w:asciiTheme="minorHAnsi" w:hAnsiTheme="minorHAnsi" w:cstheme="minorHAnsi"/>
          <w:b w:val="0"/>
          <w:sz w:val="22"/>
          <w:szCs w:val="22"/>
        </w:rPr>
      </w:pPr>
      <w:bookmarkStart w:id="3610" w:name="_Toc227825535"/>
      <w:r w:rsidRPr="00D86E93">
        <w:rPr>
          <w:rFonts w:asciiTheme="minorHAnsi" w:hAnsiTheme="minorHAnsi" w:cstheme="minorHAnsi"/>
          <w:sz w:val="22"/>
          <w:szCs w:val="22"/>
        </w:rPr>
        <w:lastRenderedPageBreak/>
        <w:t xml:space="preserve">D </w:t>
      </w:r>
      <w:r w:rsidR="003A11E0" w:rsidRPr="00D86E93">
        <w:rPr>
          <w:rFonts w:asciiTheme="minorHAnsi" w:hAnsiTheme="minorHAnsi" w:cstheme="minorHAnsi"/>
          <w:sz w:val="22"/>
          <w:szCs w:val="22"/>
        </w:rPr>
        <w:t>-</w:t>
      </w:r>
      <w:r w:rsidRPr="00D86E93">
        <w:rPr>
          <w:rFonts w:asciiTheme="minorHAnsi" w:hAnsiTheme="minorHAnsi" w:cstheme="minorHAnsi"/>
          <w:sz w:val="22"/>
          <w:szCs w:val="22"/>
        </w:rPr>
        <w:t xml:space="preserve"> 06.02.01a PRZEPUST Z RUR POLIETYLENOWYCH</w:t>
      </w:r>
      <w:r w:rsidR="003A11E0" w:rsidRPr="00D86E93">
        <w:rPr>
          <w:rFonts w:asciiTheme="minorHAnsi" w:hAnsiTheme="minorHAnsi" w:cstheme="minorHAnsi"/>
          <w:sz w:val="22"/>
          <w:szCs w:val="22"/>
        </w:rPr>
        <w:t xml:space="preserve"> </w:t>
      </w:r>
      <w:r w:rsidRPr="00D86E93">
        <w:rPr>
          <w:rFonts w:asciiTheme="minorHAnsi" w:hAnsiTheme="minorHAnsi" w:cstheme="minorHAnsi"/>
          <w:sz w:val="22"/>
          <w:szCs w:val="22"/>
        </w:rPr>
        <w:t>SPIRALNIE KARBOWANYCH POD ZJAZDEM</w:t>
      </w:r>
      <w:bookmarkEnd w:id="3610"/>
    </w:p>
    <w:p w14:paraId="3BB7D3DE"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611" w:name="_Toc138042845"/>
      <w:bookmarkStart w:id="3612" w:name="_Toc179178830"/>
      <w:bookmarkStart w:id="3613" w:name="_Toc194477054"/>
      <w:bookmarkStart w:id="3614" w:name="_Toc227825536"/>
      <w:r w:rsidRPr="004853EB">
        <w:rPr>
          <w:rFonts w:eastAsia="Times New Roman" w:cstheme="minorHAnsi"/>
          <w:b/>
          <w:caps/>
          <w:kern w:val="28"/>
          <w:sz w:val="20"/>
          <w:szCs w:val="20"/>
          <w:lang w:eastAsia="pl-PL"/>
        </w:rPr>
        <w:t>1. WSTĘP</w:t>
      </w:r>
      <w:bookmarkEnd w:id="3611"/>
      <w:bookmarkEnd w:id="3612"/>
      <w:bookmarkEnd w:id="3613"/>
      <w:bookmarkEnd w:id="3614"/>
    </w:p>
    <w:p w14:paraId="1647C856"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15" w:name="_Toc194477055"/>
      <w:bookmarkStart w:id="3616" w:name="_Toc227825537"/>
      <w:r w:rsidRPr="004853EB">
        <w:rPr>
          <w:rFonts w:eastAsia="Times New Roman" w:cstheme="minorHAnsi"/>
          <w:b/>
          <w:sz w:val="20"/>
          <w:szCs w:val="20"/>
          <w:lang w:eastAsia="pl-PL"/>
        </w:rPr>
        <w:t>1.1. Przedmiot SST</w:t>
      </w:r>
      <w:bookmarkEnd w:id="3615"/>
      <w:bookmarkEnd w:id="3616"/>
    </w:p>
    <w:p w14:paraId="5ADD592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Przedmiotem niniejszej szczegółowej specyfikacji technicznej (SST) są wymagania dotyczące wykonania i odbioru robót budowlanych związanych z wykonaniem przepustu z rur polietylenowych spiralnie karbowanych pod zjazdem.</w:t>
      </w:r>
    </w:p>
    <w:p w14:paraId="78B29CDC"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17" w:name="_Toc194477056"/>
      <w:bookmarkStart w:id="3618" w:name="_Toc227825538"/>
      <w:r w:rsidRPr="004853EB">
        <w:rPr>
          <w:rFonts w:eastAsia="Times New Roman" w:cstheme="minorHAnsi"/>
          <w:b/>
          <w:sz w:val="20"/>
          <w:szCs w:val="20"/>
          <w:lang w:eastAsia="pl-PL"/>
        </w:rPr>
        <w:t>1.2. Zakres stosowania SST</w:t>
      </w:r>
      <w:bookmarkEnd w:id="3617"/>
      <w:bookmarkEnd w:id="3618"/>
    </w:p>
    <w:p w14:paraId="7738A6B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Specyfikacja techniczna jest stosowana jako dokument przetargowy i kontraktowy przy zlecaniu i realizacji robót wymienionych w pkt 1.1.</w:t>
      </w:r>
    </w:p>
    <w:p w14:paraId="5361CCEB"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19" w:name="_Toc194477057"/>
      <w:bookmarkStart w:id="3620" w:name="_Toc227825539"/>
      <w:r w:rsidRPr="004853EB">
        <w:rPr>
          <w:rFonts w:eastAsia="Times New Roman" w:cstheme="minorHAnsi"/>
          <w:b/>
          <w:sz w:val="20"/>
          <w:szCs w:val="20"/>
          <w:lang w:eastAsia="pl-PL"/>
        </w:rPr>
        <w:t>1.3. Zakres robót objętych SST</w:t>
      </w:r>
      <w:bookmarkEnd w:id="3619"/>
      <w:bookmarkEnd w:id="3620"/>
    </w:p>
    <w:p w14:paraId="69FF43FC" w14:textId="4C24868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Ustalenia zawarte w niniejszej specyfikacji związanych z</w:t>
      </w:r>
      <w:r w:rsidRPr="004853EB">
        <w:rPr>
          <w:rFonts w:eastAsia="Times New Roman" w:cstheme="minorHAnsi"/>
          <w:b/>
          <w:sz w:val="20"/>
          <w:szCs w:val="20"/>
          <w:lang w:eastAsia="pl-PL"/>
        </w:rPr>
        <w:t xml:space="preserve"> Przebudową </w:t>
      </w:r>
      <w:r w:rsidR="00C562CD" w:rsidRPr="004853EB">
        <w:rPr>
          <w:rFonts w:eastAsia="Times New Roman" w:cstheme="minorHAnsi"/>
          <w:b/>
          <w:sz w:val="20"/>
          <w:szCs w:val="20"/>
          <w:lang w:eastAsia="pl-PL"/>
        </w:rPr>
        <w:t>drogi powiatowej</w:t>
      </w:r>
      <w:r w:rsidRPr="004853EB">
        <w:rPr>
          <w:rFonts w:eastAsia="Times New Roman" w:cstheme="minorHAnsi"/>
          <w:b/>
          <w:sz w:val="20"/>
          <w:szCs w:val="20"/>
          <w:lang w:eastAsia="pl-PL"/>
        </w:rPr>
        <w:t xml:space="preserve"> nr </w:t>
      </w:r>
      <w:r w:rsidR="002A326C" w:rsidRPr="002A326C">
        <w:rPr>
          <w:rFonts w:eastAsia="Times New Roman" w:cstheme="minorHAnsi"/>
          <w:b/>
          <w:bCs/>
          <w:sz w:val="20"/>
          <w:szCs w:val="20"/>
          <w:lang w:eastAsia="pl-PL"/>
        </w:rPr>
        <w:t>4506W Zwoleń – Sarnów w miejscowości Łuczynów</w:t>
      </w:r>
      <w:r w:rsidRPr="004853EB">
        <w:rPr>
          <w:rFonts w:eastAsia="Times New Roman" w:cstheme="minorHAnsi"/>
          <w:b/>
          <w:sz w:val="20"/>
          <w:szCs w:val="20"/>
          <w:lang w:eastAsia="pl-PL"/>
        </w:rPr>
        <w:t xml:space="preserve"> </w:t>
      </w:r>
      <w:r w:rsidRPr="004853EB">
        <w:rPr>
          <w:rFonts w:eastAsia="Times New Roman" w:cstheme="minorHAnsi"/>
          <w:sz w:val="20"/>
          <w:szCs w:val="20"/>
          <w:lang w:eastAsia="pl-PL"/>
        </w:rPr>
        <w:t xml:space="preserve">i dotyczą zasad prowadzenia robót związanych z wykonaniem </w:t>
      </w:r>
      <w:r w:rsidR="00C562CD">
        <w:rPr>
          <w:rFonts w:eastAsia="Times New Roman" w:cstheme="minorHAnsi"/>
          <w:sz w:val="20"/>
          <w:szCs w:val="20"/>
          <w:lang w:eastAsia="pl-PL"/>
        </w:rPr>
        <w:br/>
      </w:r>
      <w:r w:rsidRPr="004853EB">
        <w:rPr>
          <w:rFonts w:eastAsia="Times New Roman" w:cstheme="minorHAnsi"/>
          <w:sz w:val="20"/>
          <w:szCs w:val="20"/>
          <w:lang w:eastAsia="pl-PL"/>
        </w:rPr>
        <w:t xml:space="preserve">i odbiorem przepustu rurowego z polietylenu wysokiej gęstości (HDPE) z rur spiralnie karbowanych Ø </w:t>
      </w:r>
      <w:r w:rsidR="00C562CD">
        <w:rPr>
          <w:rFonts w:eastAsia="Times New Roman" w:cstheme="minorHAnsi"/>
          <w:sz w:val="20"/>
          <w:szCs w:val="20"/>
          <w:lang w:eastAsia="pl-PL"/>
        </w:rPr>
        <w:t>4</w:t>
      </w:r>
      <w:r w:rsidRPr="004853EB">
        <w:rPr>
          <w:rFonts w:eastAsia="Times New Roman" w:cstheme="minorHAnsi"/>
          <w:sz w:val="20"/>
          <w:szCs w:val="20"/>
          <w:lang w:eastAsia="pl-PL"/>
        </w:rPr>
        <w:t>0, budowanego pod zjazdami gospodarczymi.</w:t>
      </w:r>
    </w:p>
    <w:p w14:paraId="00E01AFA"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21" w:name="_Toc194477058"/>
      <w:bookmarkStart w:id="3622" w:name="_Toc227825540"/>
      <w:r w:rsidRPr="004853EB">
        <w:rPr>
          <w:rFonts w:eastAsia="Times New Roman" w:cstheme="minorHAnsi"/>
          <w:b/>
          <w:sz w:val="20"/>
          <w:szCs w:val="20"/>
          <w:lang w:eastAsia="pl-PL"/>
        </w:rPr>
        <w:t>1.4. Określenia podstawowe</w:t>
      </w:r>
      <w:bookmarkEnd w:id="3621"/>
      <w:bookmarkEnd w:id="3622"/>
    </w:p>
    <w:p w14:paraId="3077A909" w14:textId="77777777" w:rsidR="00CC1EF4" w:rsidRPr="004853EB" w:rsidRDefault="00CC1EF4" w:rsidP="00CC1EF4">
      <w:pPr>
        <w:overflowPunct w:val="0"/>
        <w:autoSpaceDE w:val="0"/>
        <w:autoSpaceDN w:val="0"/>
        <w:adjustRightInd w:val="0"/>
        <w:spacing w:after="120" w:line="240" w:lineRule="auto"/>
        <w:jc w:val="both"/>
        <w:textAlignment w:val="baseline"/>
        <w:rPr>
          <w:rFonts w:eastAsia="Times New Roman" w:cstheme="minorHAnsi"/>
          <w:b/>
          <w:sz w:val="20"/>
          <w:szCs w:val="20"/>
          <w:lang w:eastAsia="pl-PL"/>
        </w:rPr>
      </w:pPr>
      <w:r w:rsidRPr="004853EB">
        <w:rPr>
          <w:rFonts w:eastAsia="Times New Roman" w:cstheme="minorHAnsi"/>
          <w:b/>
          <w:sz w:val="20"/>
          <w:szCs w:val="20"/>
          <w:lang w:eastAsia="pl-PL"/>
        </w:rPr>
        <w:t xml:space="preserve">1.4.1. </w:t>
      </w:r>
      <w:r w:rsidRPr="004853EB">
        <w:rPr>
          <w:rFonts w:eastAsia="Times New Roman" w:cstheme="minorHAnsi"/>
          <w:sz w:val="20"/>
          <w:szCs w:val="20"/>
          <w:lang w:eastAsia="pl-PL"/>
        </w:rPr>
        <w:t>Przepust – obiekt wybudowany w formie zamkniętej</w:t>
      </w:r>
      <w:r w:rsidRPr="004853EB">
        <w:rPr>
          <w:rFonts w:eastAsia="Times New Roman" w:cstheme="minorHAnsi"/>
          <w:b/>
          <w:sz w:val="20"/>
          <w:szCs w:val="20"/>
          <w:lang w:eastAsia="pl-PL"/>
        </w:rPr>
        <w:t xml:space="preserve"> </w:t>
      </w:r>
      <w:r w:rsidRPr="004853EB">
        <w:rPr>
          <w:rFonts w:eastAsia="Times New Roman" w:cstheme="minorHAnsi"/>
          <w:sz w:val="20"/>
          <w:szCs w:val="20"/>
          <w:lang w:eastAsia="pl-PL"/>
        </w:rPr>
        <w:t>obudowy konstrukcyjnej, służący do przepływu małych cieków wodnych pod nasypem korpusu drogowego lub służący do ruchu kołowego i pieszego.</w:t>
      </w:r>
    </w:p>
    <w:p w14:paraId="799C8B4B" w14:textId="77777777" w:rsidR="00CC1EF4" w:rsidRPr="004853EB" w:rsidRDefault="00CC1EF4" w:rsidP="00CC1EF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1.4.2. </w:t>
      </w:r>
      <w:r w:rsidRPr="004853EB">
        <w:rPr>
          <w:rFonts w:eastAsia="Times New Roman" w:cstheme="minorHAnsi"/>
          <w:sz w:val="20"/>
          <w:szCs w:val="20"/>
          <w:lang w:eastAsia="pl-PL"/>
        </w:rPr>
        <w:t>Przepust rurowy – przepust, którego konstrukcja nośna wykonana jest z rur.</w:t>
      </w:r>
    </w:p>
    <w:p w14:paraId="0598BD7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1.4.3. </w:t>
      </w:r>
      <w:r w:rsidRPr="004853EB">
        <w:rPr>
          <w:rFonts w:eastAsia="Times New Roman" w:cstheme="minorHAnsi"/>
          <w:sz w:val="20"/>
          <w:szCs w:val="20"/>
          <w:lang w:eastAsia="pl-PL"/>
        </w:rPr>
        <w:t>Przepust pod zjazdem – przepust (zwykle rurowy) pod urządzonym miejscem dostępu do drogi (zjazdem), uzgodnionym z zarządzającym drogą.</w:t>
      </w:r>
    </w:p>
    <w:p w14:paraId="4FA927D1"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1.4.4. </w:t>
      </w:r>
      <w:r w:rsidRPr="004853EB">
        <w:rPr>
          <w:rFonts w:eastAsia="Times New Roman" w:cstheme="minorHAnsi"/>
          <w:sz w:val="20"/>
          <w:szCs w:val="20"/>
          <w:lang w:eastAsia="pl-PL"/>
        </w:rPr>
        <w:t>Polietylen HDPE – wysokoudarowa odmiana polietylenu wysokiej gęstości, charakteryzująca się dobrą odpornością na działanie roztworu soli i olejów mineralnych oraz ograniczoną odpornością na benzynę.</w:t>
      </w:r>
    </w:p>
    <w:p w14:paraId="27694F80" w14:textId="77777777" w:rsidR="00CC1EF4" w:rsidRPr="004853EB" w:rsidRDefault="00CC1EF4" w:rsidP="00CC1EF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1.4.5. </w:t>
      </w:r>
      <w:r w:rsidRPr="004853EB">
        <w:rPr>
          <w:rFonts w:eastAsia="Times New Roman" w:cstheme="minorHAnsi"/>
          <w:sz w:val="20"/>
          <w:szCs w:val="20"/>
          <w:lang w:eastAsia="pl-PL"/>
        </w:rPr>
        <w:t>Przepust z rur polietylenowych spiralnie karbowanych – przepust rurowy z polietylenu HDPE, którego zewnętrzna powierzchnia rur jest ukształtowana w formie spiralnego karbu o wielkości i skoku zwoju dostosowanego do średnicy rury.</w:t>
      </w:r>
    </w:p>
    <w:p w14:paraId="0E1B9B6C"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1.4.6. </w:t>
      </w:r>
      <w:r w:rsidRPr="004853EB">
        <w:rPr>
          <w:rFonts w:eastAsia="Times New Roman" w:cstheme="minorHAnsi"/>
          <w:sz w:val="20"/>
          <w:szCs w:val="20"/>
          <w:lang w:eastAsia="pl-PL"/>
        </w:rPr>
        <w:t>Złączka do rur – element służący do połączenia dwóch odcinków rur, przy montażu przepustu.</w:t>
      </w:r>
    </w:p>
    <w:p w14:paraId="5426415F"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1.4.7. </w:t>
      </w:r>
      <w:r w:rsidRPr="004853EB">
        <w:rPr>
          <w:rFonts w:eastAsia="Times New Roman" w:cstheme="minorHAnsi"/>
          <w:sz w:val="20"/>
          <w:szCs w:val="20"/>
          <w:lang w:eastAsia="pl-PL"/>
        </w:rPr>
        <w:t>Element zaciskowy – opaska zaciskowa lub śruba zaciskająca złączkę, przy łączeniu dwóch odcinków rur.</w:t>
      </w:r>
    </w:p>
    <w:p w14:paraId="5AA6A9C2" w14:textId="3049C8CD"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1.4.8. </w:t>
      </w:r>
      <w:r w:rsidRPr="004853EB">
        <w:rPr>
          <w:rFonts w:eastAsia="Times New Roman" w:cstheme="minorHAnsi"/>
          <w:sz w:val="20"/>
          <w:szCs w:val="20"/>
          <w:lang w:eastAsia="pl-PL"/>
        </w:rPr>
        <w:t xml:space="preserve">Pozostałe określenia podstawowe są zgodne z obowiązującymi, odpowiednimi polskimi normami </w:t>
      </w:r>
      <w:r w:rsidR="00C562CD">
        <w:rPr>
          <w:rFonts w:eastAsia="Times New Roman" w:cstheme="minorHAnsi"/>
          <w:sz w:val="20"/>
          <w:szCs w:val="20"/>
          <w:lang w:eastAsia="pl-PL"/>
        </w:rPr>
        <w:br/>
      </w:r>
      <w:r w:rsidRPr="004853EB">
        <w:rPr>
          <w:rFonts w:eastAsia="Times New Roman" w:cstheme="minorHAnsi"/>
          <w:sz w:val="20"/>
          <w:szCs w:val="20"/>
          <w:lang w:eastAsia="pl-PL"/>
        </w:rPr>
        <w:t xml:space="preserve">i z definicjami podanymi w SST D-00.00.00 „Wymagania ogólne” pkt 1.4. </w:t>
      </w:r>
    </w:p>
    <w:p w14:paraId="46CB65EC"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23" w:name="_Toc194477059"/>
      <w:bookmarkStart w:id="3624" w:name="_Toc227825541"/>
      <w:r w:rsidRPr="004853EB">
        <w:rPr>
          <w:rFonts w:eastAsia="Times New Roman" w:cstheme="minorHAnsi"/>
          <w:b/>
          <w:sz w:val="20"/>
          <w:szCs w:val="20"/>
          <w:lang w:eastAsia="pl-PL"/>
        </w:rPr>
        <w:t>1.5. Ogólne wymagania dotyczące robót</w:t>
      </w:r>
      <w:bookmarkEnd w:id="3623"/>
      <w:bookmarkEnd w:id="3624"/>
    </w:p>
    <w:p w14:paraId="0411DE8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robót podano w SST D-00.00.00 „Wymagania ogólne” pkt 1.5.</w:t>
      </w:r>
    </w:p>
    <w:p w14:paraId="3C92F268"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625" w:name="_Toc421594980"/>
      <w:bookmarkStart w:id="3626" w:name="_Toc507909780"/>
      <w:bookmarkStart w:id="3627" w:name="_Toc507909887"/>
      <w:bookmarkStart w:id="3628" w:name="_Toc138042846"/>
      <w:bookmarkStart w:id="3629" w:name="_Toc179178831"/>
      <w:bookmarkStart w:id="3630" w:name="_Toc194477060"/>
      <w:bookmarkStart w:id="3631" w:name="_Toc227825542"/>
      <w:r w:rsidRPr="004853EB">
        <w:rPr>
          <w:rFonts w:eastAsia="Times New Roman" w:cstheme="minorHAnsi"/>
          <w:b/>
          <w:caps/>
          <w:kern w:val="28"/>
          <w:sz w:val="20"/>
          <w:szCs w:val="20"/>
          <w:lang w:eastAsia="pl-PL"/>
        </w:rPr>
        <w:t>2. materiały</w:t>
      </w:r>
      <w:bookmarkEnd w:id="3625"/>
      <w:bookmarkEnd w:id="3626"/>
      <w:bookmarkEnd w:id="3627"/>
      <w:bookmarkEnd w:id="3628"/>
      <w:bookmarkEnd w:id="3629"/>
      <w:bookmarkEnd w:id="3630"/>
      <w:bookmarkEnd w:id="3631"/>
    </w:p>
    <w:p w14:paraId="6C6A41F1"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32" w:name="_Toc194477061"/>
      <w:bookmarkStart w:id="3633" w:name="_Toc227825543"/>
      <w:r w:rsidRPr="004853EB">
        <w:rPr>
          <w:rFonts w:eastAsia="Times New Roman" w:cstheme="minorHAnsi"/>
          <w:b/>
          <w:sz w:val="20"/>
          <w:szCs w:val="20"/>
          <w:lang w:eastAsia="pl-PL"/>
        </w:rPr>
        <w:t>2.1. Ogólne wymagania dotyczące materiałów</w:t>
      </w:r>
      <w:bookmarkEnd w:id="3632"/>
      <w:bookmarkEnd w:id="3633"/>
    </w:p>
    <w:p w14:paraId="4370A34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materiałów, ich pozyskiwania i składowania, podano w SST D-00.00.00 „Wymagania ogólne” pkt 2.</w:t>
      </w:r>
    </w:p>
    <w:p w14:paraId="5335986A"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34" w:name="_Toc194477062"/>
      <w:bookmarkStart w:id="3635" w:name="_Toc227825544"/>
      <w:r w:rsidRPr="004853EB">
        <w:rPr>
          <w:rFonts w:eastAsia="Times New Roman" w:cstheme="minorHAnsi"/>
          <w:b/>
          <w:sz w:val="20"/>
          <w:szCs w:val="20"/>
          <w:lang w:eastAsia="pl-PL"/>
        </w:rPr>
        <w:t>2.2. Materiały do wykonania robót</w:t>
      </w:r>
      <w:bookmarkEnd w:id="3634"/>
      <w:bookmarkEnd w:id="3635"/>
    </w:p>
    <w:p w14:paraId="4A24F35F" w14:textId="77777777" w:rsidR="00CC1EF4" w:rsidRPr="004853EB" w:rsidRDefault="00CC1EF4" w:rsidP="00CC1EF4">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2.2.1. </w:t>
      </w:r>
      <w:r w:rsidRPr="004853EB">
        <w:rPr>
          <w:rFonts w:eastAsia="Times New Roman" w:cstheme="minorHAnsi"/>
          <w:sz w:val="20"/>
          <w:szCs w:val="20"/>
          <w:lang w:eastAsia="pl-PL"/>
        </w:rPr>
        <w:t>Zgodność materiałów z dokumentacją projektową i aprobatą techniczną</w:t>
      </w:r>
    </w:p>
    <w:p w14:paraId="06996DB0"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Materiały do wykonania robót powinny być zgodne z ustaleniami dokumentacji projektowej lub SST oraz aprobatą techniczną IBDiM. </w:t>
      </w:r>
    </w:p>
    <w:p w14:paraId="4711BB2D"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2.2.2. </w:t>
      </w:r>
      <w:r w:rsidRPr="004853EB">
        <w:rPr>
          <w:rFonts w:eastAsia="Times New Roman" w:cstheme="minorHAnsi"/>
          <w:sz w:val="20"/>
          <w:szCs w:val="20"/>
          <w:lang w:eastAsia="pl-PL"/>
        </w:rPr>
        <w:t>Rodzaje materiałów</w:t>
      </w:r>
    </w:p>
    <w:p w14:paraId="0E4676B5"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Materiałami stosowanymi przy wykonywaniu przepustu są:</w:t>
      </w:r>
    </w:p>
    <w:p w14:paraId="4044AA90" w14:textId="77777777" w:rsidR="00CC1EF4" w:rsidRPr="004853EB" w:rsidRDefault="00CC1EF4">
      <w:pPr>
        <w:numPr>
          <w:ilvl w:val="0"/>
          <w:numId w:val="2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rury polietylenowe HDPE spiralnie karbowane oraz ew. elementy łączące rury, jak złączki, paski zaciskowe lub śruby, odpowiadające wymaganiom aprobaty technicznej,</w:t>
      </w:r>
    </w:p>
    <w:p w14:paraId="2550219E" w14:textId="19A93F8F" w:rsidR="00CC1EF4" w:rsidRPr="004853EB" w:rsidRDefault="00CC1EF4">
      <w:pPr>
        <w:numPr>
          <w:ilvl w:val="0"/>
          <w:numId w:val="2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materiał, stanowiący fundament pod rury i do zasypki przepustu, zgodny z dokumentacją projektową - mieszanka kruszywa niezwiązanego o uziarnieniu 0÷31,5 mm gr. 25</w:t>
      </w:r>
      <w:r w:rsidR="00C562CD">
        <w:rPr>
          <w:rFonts w:eastAsia="Times New Roman" w:cstheme="minorHAnsi"/>
          <w:sz w:val="20"/>
          <w:szCs w:val="20"/>
          <w:lang w:eastAsia="pl-PL"/>
        </w:rPr>
        <w:t xml:space="preserve"> </w:t>
      </w:r>
      <w:r w:rsidRPr="004853EB">
        <w:rPr>
          <w:rFonts w:eastAsia="Times New Roman" w:cstheme="minorHAnsi"/>
          <w:sz w:val="20"/>
          <w:szCs w:val="20"/>
          <w:lang w:eastAsia="pl-PL"/>
        </w:rPr>
        <w:t>cm,</w:t>
      </w:r>
    </w:p>
    <w:p w14:paraId="0E2672EF" w14:textId="77777777" w:rsidR="00CC1EF4" w:rsidRPr="004853EB" w:rsidRDefault="00CC1EF4">
      <w:pPr>
        <w:numPr>
          <w:ilvl w:val="0"/>
          <w:numId w:val="2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elementy zakończenia wlotów i wylotów przepustu w. dokumentacji projektowej</w:t>
      </w:r>
    </w:p>
    <w:p w14:paraId="7413E7B4" w14:textId="77777777" w:rsidR="00CC1EF4" w:rsidRPr="004853EB" w:rsidRDefault="00CC1EF4" w:rsidP="00CC1EF4">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2.2.3. </w:t>
      </w:r>
      <w:r w:rsidRPr="004853EB">
        <w:rPr>
          <w:rFonts w:eastAsia="Times New Roman" w:cstheme="minorHAnsi"/>
          <w:sz w:val="20"/>
          <w:szCs w:val="20"/>
          <w:lang w:eastAsia="pl-PL"/>
        </w:rPr>
        <w:t>Składowanie materiałów</w:t>
      </w:r>
    </w:p>
    <w:p w14:paraId="3AACDD0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Rury polietylenowe oraz złączki i paski zaciskowe należy przechowywać tak, aby nie uległy mechanicznemu uszkodzeniu.</w:t>
      </w:r>
    </w:p>
    <w:p w14:paraId="14A81A1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Podłoże, na którym składuje się rury, musi być równe, umożliwiające spoczywanie rury na karbach na całej długości rury. Rury można składować warstwowo do wysokości max. 3,2 m. Rury układane swobodnie zaleca się układać warstwami prostopadłymi względem siebie. Układanie można wykonywać z podpórkami drewnianymi lub metalowymi zapobiegającymi przemieszczaniu rur. Kształt podpórek musi być taki, aby nie występował zbyt duży nacisk na sąsiednie warstwy rur, mogący spowodować ich uszkodzenie. Okres składowania na wolnym powietrzu nie powinien przekraczać 2 lat.</w:t>
      </w:r>
    </w:p>
    <w:p w14:paraId="0FFE3901" w14:textId="0CF817AF"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Składowanie innych materiałów powinno odpowiadać wymaganiom norm i SST wymienionych </w:t>
      </w:r>
      <w:r w:rsidR="00C562CD">
        <w:rPr>
          <w:rFonts w:eastAsia="Times New Roman" w:cstheme="minorHAnsi"/>
          <w:sz w:val="20"/>
          <w:szCs w:val="20"/>
          <w:lang w:eastAsia="pl-PL"/>
        </w:rPr>
        <w:br/>
      </w:r>
      <w:r w:rsidRPr="004853EB">
        <w:rPr>
          <w:rFonts w:eastAsia="Times New Roman" w:cstheme="minorHAnsi"/>
          <w:sz w:val="20"/>
          <w:szCs w:val="20"/>
          <w:lang w:eastAsia="pl-PL"/>
        </w:rPr>
        <w:t>w punkcie 2.2.2.</w:t>
      </w:r>
    </w:p>
    <w:p w14:paraId="26DDA1DF" w14:textId="77777777" w:rsidR="00CC1EF4" w:rsidRPr="004853EB" w:rsidRDefault="00CC1EF4" w:rsidP="00CC1EF4">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636" w:name="_Toc161023544"/>
      <w:bookmarkStart w:id="3637" w:name="_Toc179178832"/>
      <w:bookmarkStart w:id="3638" w:name="_Toc194477063"/>
      <w:bookmarkStart w:id="3639" w:name="_Toc227825545"/>
      <w:r w:rsidRPr="004853EB">
        <w:rPr>
          <w:rFonts w:eastAsia="Times New Roman" w:cstheme="minorHAnsi"/>
          <w:b/>
          <w:caps/>
          <w:kern w:val="28"/>
          <w:sz w:val="20"/>
          <w:szCs w:val="20"/>
          <w:lang w:eastAsia="pl-PL"/>
        </w:rPr>
        <w:t>3. sprzęt</w:t>
      </w:r>
      <w:bookmarkEnd w:id="3636"/>
      <w:bookmarkEnd w:id="3637"/>
      <w:bookmarkEnd w:id="3638"/>
      <w:bookmarkEnd w:id="3639"/>
    </w:p>
    <w:p w14:paraId="1F97BEEE"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40" w:name="_Toc194477064"/>
      <w:bookmarkStart w:id="3641" w:name="_Toc227825546"/>
      <w:r w:rsidRPr="004853EB">
        <w:rPr>
          <w:rFonts w:eastAsia="Times New Roman" w:cstheme="minorHAnsi"/>
          <w:b/>
          <w:sz w:val="20"/>
          <w:szCs w:val="20"/>
          <w:lang w:eastAsia="pl-PL"/>
        </w:rPr>
        <w:t>3.1. Ogólne wymagania dotyczące sprzętu</w:t>
      </w:r>
      <w:bookmarkEnd w:id="3640"/>
      <w:bookmarkEnd w:id="3641"/>
    </w:p>
    <w:p w14:paraId="1B847EEA" w14:textId="42D7CD5B"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Ogólne wymagania dotyczące sprzętu podano w </w:t>
      </w:r>
      <w:r w:rsidR="00C562CD" w:rsidRPr="004853EB">
        <w:rPr>
          <w:rFonts w:eastAsia="Times New Roman" w:cstheme="minorHAnsi"/>
          <w:sz w:val="20"/>
          <w:szCs w:val="20"/>
          <w:lang w:eastAsia="pl-PL"/>
        </w:rPr>
        <w:t>SST D</w:t>
      </w:r>
      <w:r w:rsidRPr="004853EB">
        <w:rPr>
          <w:rFonts w:eastAsia="Times New Roman" w:cstheme="minorHAnsi"/>
          <w:sz w:val="20"/>
          <w:szCs w:val="20"/>
          <w:lang w:eastAsia="pl-PL"/>
        </w:rPr>
        <w:t>-00.00.00 „Wymagania ogólne” pkt 3.</w:t>
      </w:r>
    </w:p>
    <w:p w14:paraId="4505914D"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42" w:name="_Toc194477065"/>
      <w:bookmarkStart w:id="3643" w:name="_Toc227825547"/>
      <w:r w:rsidRPr="004853EB">
        <w:rPr>
          <w:rFonts w:eastAsia="Times New Roman" w:cstheme="minorHAnsi"/>
          <w:b/>
          <w:sz w:val="20"/>
          <w:szCs w:val="20"/>
          <w:lang w:eastAsia="pl-PL"/>
        </w:rPr>
        <w:t>3.2. Sprzęt stosowany do wykonania robót</w:t>
      </w:r>
      <w:bookmarkEnd w:id="3642"/>
      <w:bookmarkEnd w:id="3643"/>
    </w:p>
    <w:p w14:paraId="01A41CF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  Przy wykonywaniu robót Wykonawca w zależności od potrzeb, powinien wykazać się możliwością korzystania ze sprzętu dostosowanego do przyjętej metody robót, jak np.:</w:t>
      </w:r>
    </w:p>
    <w:p w14:paraId="0FF77849" w14:textId="77777777" w:rsidR="00CC1EF4" w:rsidRPr="004853EB" w:rsidRDefault="00CC1EF4">
      <w:pPr>
        <w:numPr>
          <w:ilvl w:val="0"/>
          <w:numId w:val="2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koparką chwytakową na podwoziu gąsienicowym o pojemności łyżki 0,4 m</w:t>
      </w:r>
      <w:r w:rsidRPr="004853EB">
        <w:rPr>
          <w:rFonts w:eastAsia="Times New Roman" w:cstheme="minorHAnsi"/>
          <w:sz w:val="20"/>
          <w:szCs w:val="20"/>
          <w:vertAlign w:val="superscript"/>
          <w:lang w:eastAsia="pl-PL"/>
        </w:rPr>
        <w:t>3</w:t>
      </w:r>
      <w:r w:rsidRPr="004853EB">
        <w:rPr>
          <w:rFonts w:eastAsia="Times New Roman" w:cstheme="minorHAnsi"/>
          <w:sz w:val="20"/>
          <w:szCs w:val="20"/>
          <w:lang w:eastAsia="pl-PL"/>
        </w:rPr>
        <w:t>,</w:t>
      </w:r>
    </w:p>
    <w:p w14:paraId="23CE527A" w14:textId="77777777" w:rsidR="00CC1EF4" w:rsidRPr="004853EB" w:rsidRDefault="00CC1EF4">
      <w:pPr>
        <w:numPr>
          <w:ilvl w:val="0"/>
          <w:numId w:val="2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ubijakiem spalinowym, płytą wibracyjną, walcem lub innym sprzętem zagęszczającym,</w:t>
      </w:r>
    </w:p>
    <w:p w14:paraId="3D3EDC03" w14:textId="77777777" w:rsidR="00CC1EF4" w:rsidRPr="004853EB" w:rsidRDefault="00CC1EF4">
      <w:pPr>
        <w:numPr>
          <w:ilvl w:val="0"/>
          <w:numId w:val="2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sprzętem transportowym,</w:t>
      </w:r>
    </w:p>
    <w:p w14:paraId="2F8B3E70" w14:textId="77777777" w:rsidR="00CC1EF4" w:rsidRPr="004853EB" w:rsidRDefault="00CC1EF4">
      <w:pPr>
        <w:numPr>
          <w:ilvl w:val="0"/>
          <w:numId w:val="2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sprzętem do rozładunku rur, jak lekkim sprzętem dźwigowym, wózkami widłowymi (rozładunek może też być wykonywany ręcznie).</w:t>
      </w:r>
    </w:p>
    <w:p w14:paraId="0BE71AAB"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Uwaga: W czasie rozładunku rur należy zwracać uwagę, żeby nie uszkodzić karbów, np. przez zbyt energiczne wyciąganie rur, co powoduje tarcie karbów o podłoże.</w:t>
      </w:r>
    </w:p>
    <w:p w14:paraId="3BF6CCA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Sprzęt powinien odpowiadać wymaganiom określonym w dokumentacji projektowej, ST, instrukcjach producentów lub propozycji Wykonawcy i powinien być zaakceptowany przez Inżyniera.</w:t>
      </w:r>
    </w:p>
    <w:p w14:paraId="0615841A"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644" w:name="_Toc161023545"/>
      <w:bookmarkStart w:id="3645" w:name="_Toc179178833"/>
      <w:bookmarkStart w:id="3646" w:name="_Toc194477066"/>
      <w:bookmarkStart w:id="3647" w:name="_Toc227825548"/>
      <w:r w:rsidRPr="004853EB">
        <w:rPr>
          <w:rFonts w:eastAsia="Times New Roman" w:cstheme="minorHAnsi"/>
          <w:b/>
          <w:caps/>
          <w:kern w:val="28"/>
          <w:sz w:val="20"/>
          <w:szCs w:val="20"/>
          <w:lang w:eastAsia="pl-PL"/>
        </w:rPr>
        <w:t>4. TRANSPORT</w:t>
      </w:r>
      <w:bookmarkEnd w:id="3644"/>
      <w:bookmarkEnd w:id="3645"/>
      <w:bookmarkEnd w:id="3646"/>
      <w:bookmarkEnd w:id="3647"/>
    </w:p>
    <w:p w14:paraId="027988BB"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48" w:name="_Toc194477067"/>
      <w:bookmarkStart w:id="3649" w:name="_Toc227825549"/>
      <w:r w:rsidRPr="004853EB">
        <w:rPr>
          <w:rFonts w:eastAsia="Times New Roman" w:cstheme="minorHAnsi"/>
          <w:b/>
          <w:sz w:val="20"/>
          <w:szCs w:val="20"/>
          <w:lang w:eastAsia="pl-PL"/>
        </w:rPr>
        <w:t>4.1. Ogólne wymagania dotyczące transportu</w:t>
      </w:r>
      <w:bookmarkEnd w:id="3648"/>
      <w:bookmarkEnd w:id="3649"/>
    </w:p>
    <w:p w14:paraId="0B7F12A7" w14:textId="77777777"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transportu podano w SST D-00.00.00 „Wymagania ogólne” pkt 4.</w:t>
      </w:r>
      <w:r w:rsidRPr="004853EB">
        <w:rPr>
          <w:rFonts w:eastAsia="Times New Roman" w:cstheme="minorHAnsi"/>
          <w:sz w:val="20"/>
          <w:szCs w:val="20"/>
          <w:lang w:eastAsia="pl-PL"/>
        </w:rPr>
        <w:tab/>
      </w:r>
    </w:p>
    <w:p w14:paraId="24FB444C"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50" w:name="_Toc194477068"/>
      <w:bookmarkStart w:id="3651" w:name="_Toc227825550"/>
      <w:r w:rsidRPr="004853EB">
        <w:rPr>
          <w:rFonts w:eastAsia="Times New Roman" w:cstheme="minorHAnsi"/>
          <w:b/>
          <w:sz w:val="20"/>
          <w:szCs w:val="20"/>
          <w:lang w:eastAsia="pl-PL"/>
        </w:rPr>
        <w:t>4.2. Transport materiałów</w:t>
      </w:r>
      <w:bookmarkEnd w:id="3650"/>
      <w:bookmarkEnd w:id="3651"/>
      <w:r w:rsidRPr="004853EB">
        <w:rPr>
          <w:rFonts w:eastAsia="Times New Roman" w:cstheme="minorHAnsi"/>
          <w:b/>
          <w:sz w:val="20"/>
          <w:szCs w:val="20"/>
          <w:lang w:eastAsia="pl-PL"/>
        </w:rPr>
        <w:t xml:space="preserve"> </w:t>
      </w:r>
    </w:p>
    <w:p w14:paraId="5677E7D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Materiały sypkie i drobne przedmioty można przewozić dowolnymi środkami transportu, w warunkach zabezpieczających je przed zanieczyszczeniem, zmieszaniem z innymi materiałami i nadmiernym zawilgoceniem.</w:t>
      </w:r>
    </w:p>
    <w:p w14:paraId="51064F0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Rury oraz elementy zakończenia przepustu należy ułożyć równomiernie na całej powierzchni ładunkowej obok siebie i zabezpieczyć przed możliwością przesuwania się podczas transportu. Nie należy dopuścić, aby więcej niż 1 m rury wystawał poza obrys środka transportowego.</w:t>
      </w:r>
    </w:p>
    <w:p w14:paraId="7A12A3F2"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652" w:name="_Toc161023546"/>
      <w:bookmarkStart w:id="3653" w:name="_Toc179178834"/>
      <w:bookmarkStart w:id="3654" w:name="_Toc194477069"/>
      <w:bookmarkStart w:id="3655" w:name="_Toc227825551"/>
      <w:r w:rsidRPr="004853EB">
        <w:rPr>
          <w:rFonts w:eastAsia="Times New Roman" w:cstheme="minorHAnsi"/>
          <w:b/>
          <w:caps/>
          <w:kern w:val="28"/>
          <w:sz w:val="20"/>
          <w:szCs w:val="20"/>
          <w:lang w:eastAsia="pl-PL"/>
        </w:rPr>
        <w:t>5. wykonanie robót</w:t>
      </w:r>
      <w:bookmarkEnd w:id="3652"/>
      <w:bookmarkEnd w:id="3653"/>
      <w:bookmarkEnd w:id="3654"/>
      <w:bookmarkEnd w:id="3655"/>
    </w:p>
    <w:p w14:paraId="3828640A"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56" w:name="_Toc194477070"/>
      <w:bookmarkStart w:id="3657" w:name="_Toc227825552"/>
      <w:r w:rsidRPr="004853EB">
        <w:rPr>
          <w:rFonts w:eastAsia="Times New Roman" w:cstheme="minorHAnsi"/>
          <w:b/>
          <w:sz w:val="20"/>
          <w:szCs w:val="20"/>
          <w:lang w:eastAsia="pl-PL"/>
        </w:rPr>
        <w:t>5.1. Ogólne zasady wykonania robót</w:t>
      </w:r>
      <w:bookmarkEnd w:id="3656"/>
      <w:bookmarkEnd w:id="3657"/>
    </w:p>
    <w:p w14:paraId="0092A77B" w14:textId="77777777"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wykonania robót podano w SST D-00.00.00 „Wymagania ogólne” pkt 5.</w:t>
      </w:r>
    </w:p>
    <w:p w14:paraId="152FD6FA" w14:textId="77777777"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6756FEA0"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58" w:name="_Toc194477071"/>
      <w:bookmarkStart w:id="3659" w:name="_Toc227825553"/>
      <w:r w:rsidRPr="004853EB">
        <w:rPr>
          <w:rFonts w:eastAsia="Times New Roman" w:cstheme="minorHAnsi"/>
          <w:b/>
          <w:sz w:val="20"/>
          <w:szCs w:val="20"/>
          <w:lang w:eastAsia="pl-PL"/>
        </w:rPr>
        <w:t>5.2. Zasady wykonywania robót</w:t>
      </w:r>
      <w:bookmarkEnd w:id="3658"/>
      <w:bookmarkEnd w:id="3659"/>
    </w:p>
    <w:p w14:paraId="0F73223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Sposób wykonania robót powinien być zgodny z dokumentacją projektową i ST. W przypadku braku wystarczających danych można korzystać z ustaleń podanych w niniejszej specyfikacji oraz z informacji podanych w załącznikach.</w:t>
      </w:r>
    </w:p>
    <w:p w14:paraId="4EF58C1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Podstawowe czynności przy wykonywaniu robót obejmują:</w:t>
      </w:r>
    </w:p>
    <w:p w14:paraId="3D0B8FCA" w14:textId="77777777" w:rsidR="00CC1EF4" w:rsidRPr="004853EB" w:rsidRDefault="00CC1EF4">
      <w:pPr>
        <w:numPr>
          <w:ilvl w:val="0"/>
          <w:numId w:val="2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 xml:space="preserve">roboty przygotowawcze, </w:t>
      </w:r>
    </w:p>
    <w:p w14:paraId="7F981EE2" w14:textId="77777777" w:rsidR="00CC1EF4" w:rsidRPr="004853EB" w:rsidRDefault="00CC1EF4">
      <w:pPr>
        <w:numPr>
          <w:ilvl w:val="0"/>
          <w:numId w:val="2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wykonanie wykopów, np. pod ławę,</w:t>
      </w:r>
    </w:p>
    <w:p w14:paraId="09E5B087" w14:textId="77777777" w:rsidR="00CC1EF4" w:rsidRPr="004853EB" w:rsidRDefault="00CC1EF4">
      <w:pPr>
        <w:numPr>
          <w:ilvl w:val="0"/>
          <w:numId w:val="2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wykonanie fundamentu (ławy) pod rury z mieszanki kruszywa niezwiązanego 0/31,5mm, </w:t>
      </w:r>
    </w:p>
    <w:p w14:paraId="4BB1D839" w14:textId="77777777" w:rsidR="00CC1EF4" w:rsidRPr="004853EB" w:rsidRDefault="00CC1EF4">
      <w:pPr>
        <w:numPr>
          <w:ilvl w:val="0"/>
          <w:numId w:val="2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ułożenie rury na ławie w jednym odcinku lub w odcinkach, wymagających połączenia kolejnych dwóch rur złączką,</w:t>
      </w:r>
    </w:p>
    <w:p w14:paraId="00C0F0DB" w14:textId="77777777" w:rsidR="00CC1EF4" w:rsidRPr="004853EB" w:rsidRDefault="00CC1EF4">
      <w:pPr>
        <w:numPr>
          <w:ilvl w:val="0"/>
          <w:numId w:val="2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ustawienie elementów zakończeń przepustu,</w:t>
      </w:r>
    </w:p>
    <w:p w14:paraId="04E4B57D" w14:textId="77777777" w:rsidR="00CC1EF4" w:rsidRPr="004853EB" w:rsidRDefault="00CC1EF4">
      <w:pPr>
        <w:numPr>
          <w:ilvl w:val="0"/>
          <w:numId w:val="2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wykonanie zasypki przepustu,</w:t>
      </w:r>
    </w:p>
    <w:p w14:paraId="55132B2A" w14:textId="77777777" w:rsidR="00CC1EF4" w:rsidRPr="004853EB" w:rsidRDefault="00CC1EF4">
      <w:pPr>
        <w:numPr>
          <w:ilvl w:val="0"/>
          <w:numId w:val="24"/>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wykończeniowe.</w:t>
      </w:r>
    </w:p>
    <w:p w14:paraId="5B6BDCC8"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60" w:name="_Toc194477072"/>
      <w:bookmarkStart w:id="3661" w:name="_Toc227825554"/>
      <w:r w:rsidRPr="004853EB">
        <w:rPr>
          <w:rFonts w:eastAsia="Times New Roman" w:cstheme="minorHAnsi"/>
          <w:b/>
          <w:sz w:val="20"/>
          <w:szCs w:val="20"/>
          <w:lang w:eastAsia="pl-PL"/>
        </w:rPr>
        <w:t>5.3. Roboty przygotowawcze</w:t>
      </w:r>
      <w:bookmarkEnd w:id="3660"/>
      <w:bookmarkEnd w:id="3661"/>
    </w:p>
    <w:p w14:paraId="5401BC2C" w14:textId="242FFC85"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Przed przystąpieniem do robót należy, na podstawie dokumentacji </w:t>
      </w:r>
      <w:r w:rsidR="00C562CD" w:rsidRPr="004853EB">
        <w:rPr>
          <w:rFonts w:eastAsia="Times New Roman" w:cstheme="minorHAnsi"/>
          <w:sz w:val="20"/>
          <w:szCs w:val="20"/>
          <w:lang w:eastAsia="pl-PL"/>
        </w:rPr>
        <w:t>projektowej, SST</w:t>
      </w:r>
      <w:r w:rsidRPr="004853EB">
        <w:rPr>
          <w:rFonts w:eastAsia="Times New Roman" w:cstheme="minorHAnsi"/>
          <w:sz w:val="20"/>
          <w:szCs w:val="20"/>
          <w:lang w:eastAsia="pl-PL"/>
        </w:rPr>
        <w:t xml:space="preserve"> lub wskazań Inżyniera:</w:t>
      </w:r>
    </w:p>
    <w:p w14:paraId="619CC3D1"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ustalić lokalizację robót,</w:t>
      </w:r>
    </w:p>
    <w:p w14:paraId="56110EFA"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przeprowadzić obliczenia i pomiary geodezyjne niezbędne do szczegółowego wytyczenia robót oraz ustalenia danych wysokościowych,</w:t>
      </w:r>
    </w:p>
    <w:p w14:paraId="677875CB"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usunąć przeszkody, np. drzewa, krzaki, obiekty, elementy dróg, ogrodzeń itd.,</w:t>
      </w:r>
    </w:p>
    <w:p w14:paraId="134BD8F2"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ew. odwodnić teren budowy w zakresie uzgodnionym z Inżynierem.</w:t>
      </w:r>
    </w:p>
    <w:p w14:paraId="5FCE7A7A"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Zaleca się korzystanie z ustaleń SST D-01.00.00 w zakresie niezbędnym do wykonania robót przygotowawczych. </w:t>
      </w:r>
    </w:p>
    <w:p w14:paraId="0F3D8DDD"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62" w:name="_Toc194477073"/>
      <w:bookmarkStart w:id="3663" w:name="_Toc227825555"/>
      <w:r w:rsidRPr="004853EB">
        <w:rPr>
          <w:rFonts w:eastAsia="Times New Roman" w:cstheme="minorHAnsi"/>
          <w:b/>
          <w:sz w:val="20"/>
          <w:szCs w:val="20"/>
          <w:lang w:eastAsia="pl-PL"/>
        </w:rPr>
        <w:t>5.4. Wykonanie wykopów</w:t>
      </w:r>
      <w:bookmarkEnd w:id="3662"/>
      <w:bookmarkEnd w:id="3663"/>
    </w:p>
    <w:p w14:paraId="47780E35" w14:textId="5FF744DE"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Wykonanie wykopów pod ławę i ewentualne inne elementy robót powinno być zgodne z dokumentacją projektową. Dobór sprzętu i metody wykonania należy dostosować do rodzajów gruntu, objętości robót </w:t>
      </w:r>
      <w:r w:rsidR="00C562CD">
        <w:rPr>
          <w:rFonts w:eastAsia="Times New Roman" w:cstheme="minorHAnsi"/>
          <w:sz w:val="20"/>
          <w:szCs w:val="20"/>
          <w:lang w:eastAsia="pl-PL"/>
        </w:rPr>
        <w:br/>
      </w:r>
      <w:r w:rsidRPr="004853EB">
        <w:rPr>
          <w:rFonts w:eastAsia="Times New Roman" w:cstheme="minorHAnsi"/>
          <w:sz w:val="20"/>
          <w:szCs w:val="20"/>
          <w:lang w:eastAsia="pl-PL"/>
        </w:rPr>
        <w:t>i odległości transportu.</w:t>
      </w:r>
    </w:p>
    <w:p w14:paraId="63C5E69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Wykonanie wykopów powinno odpowiadać wymaganiom określonym w SST   D-02.01.01 </w:t>
      </w:r>
    </w:p>
    <w:p w14:paraId="3A2AFDF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Dno wykopu powinno być wyrównane z dokładnością co najmniej ± 2 cm.</w:t>
      </w:r>
    </w:p>
    <w:p w14:paraId="1E5D32B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Wykop należy wykonać w takim okresie, aby po jego zakończeniu można było przystąpić do wykonywania przepustu.</w:t>
      </w:r>
    </w:p>
    <w:p w14:paraId="78703FDE"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64" w:name="_Toc194477074"/>
      <w:bookmarkStart w:id="3665" w:name="_Toc227825556"/>
      <w:r w:rsidRPr="004853EB">
        <w:rPr>
          <w:rFonts w:eastAsia="Times New Roman" w:cstheme="minorHAnsi"/>
          <w:b/>
          <w:sz w:val="20"/>
          <w:szCs w:val="20"/>
          <w:lang w:eastAsia="pl-PL"/>
        </w:rPr>
        <w:t>5.5. Ława pod przepustem</w:t>
      </w:r>
      <w:bookmarkEnd w:id="3664"/>
      <w:bookmarkEnd w:id="3665"/>
    </w:p>
    <w:p w14:paraId="054F253B" w14:textId="79E2C695"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Rury przepustu powinny być układane na zagęszczonej warstwie podsypki (ławie) o grubości 25</w:t>
      </w:r>
      <w:r w:rsidR="00C562CD">
        <w:rPr>
          <w:rFonts w:eastAsia="Times New Roman" w:cstheme="minorHAnsi"/>
          <w:sz w:val="20"/>
          <w:szCs w:val="20"/>
          <w:lang w:eastAsia="pl-PL"/>
        </w:rPr>
        <w:t xml:space="preserve"> </w:t>
      </w:r>
      <w:r w:rsidRPr="004853EB">
        <w:rPr>
          <w:rFonts w:eastAsia="Times New Roman" w:cstheme="minorHAnsi"/>
          <w:sz w:val="20"/>
          <w:szCs w:val="20"/>
          <w:lang w:eastAsia="pl-PL"/>
        </w:rPr>
        <w:t xml:space="preserve">cm </w:t>
      </w:r>
      <w:r w:rsidR="00C562CD">
        <w:rPr>
          <w:rFonts w:eastAsia="Times New Roman" w:cstheme="minorHAnsi"/>
          <w:sz w:val="20"/>
          <w:szCs w:val="20"/>
          <w:lang w:eastAsia="pl-PL"/>
        </w:rPr>
        <w:br/>
      </w:r>
      <w:r w:rsidRPr="004853EB">
        <w:rPr>
          <w:rFonts w:eastAsia="Times New Roman" w:cstheme="minorHAnsi"/>
          <w:sz w:val="20"/>
          <w:szCs w:val="20"/>
          <w:lang w:eastAsia="pl-PL"/>
        </w:rPr>
        <w:t xml:space="preserve">z mieszanki kruszywa niezwiązanego o uziarnieniu np. 0÷31,5 mm, bez zanieczyszczeń. </w:t>
      </w:r>
    </w:p>
    <w:p w14:paraId="48540C65"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Podsypkę należy zagęścić do 0,98 Proctora normalnego. Górna jej warstwa o grubości równej wysokości karbu powinna być luźna, aby karby rury mogły swobodnie się w niej zagłębić.</w:t>
      </w:r>
    </w:p>
    <w:p w14:paraId="5B6C4ED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Dopuszczalne odchyłki dla ław fundamentowych przepustu wynoszą:</w:t>
      </w:r>
    </w:p>
    <w:p w14:paraId="651A5BC2" w14:textId="77777777" w:rsidR="00CC1EF4" w:rsidRPr="004853EB" w:rsidRDefault="00CC1EF4">
      <w:pPr>
        <w:numPr>
          <w:ilvl w:val="0"/>
          <w:numId w:val="3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dla wymiarów w planie ± 5 cm,</w:t>
      </w:r>
    </w:p>
    <w:p w14:paraId="3F3F1BC3" w14:textId="77777777" w:rsidR="00CC1EF4" w:rsidRPr="004853EB" w:rsidRDefault="00CC1EF4">
      <w:pPr>
        <w:numPr>
          <w:ilvl w:val="0"/>
          <w:numId w:val="3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dla rzędnych wierzchu ławy ± 2 cm.</w:t>
      </w:r>
    </w:p>
    <w:p w14:paraId="7318CC19"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66" w:name="_Toc194477075"/>
      <w:bookmarkStart w:id="3667" w:name="_Toc227825557"/>
      <w:r w:rsidRPr="004853EB">
        <w:rPr>
          <w:rFonts w:eastAsia="Times New Roman" w:cstheme="minorHAnsi"/>
          <w:b/>
          <w:sz w:val="20"/>
          <w:szCs w:val="20"/>
          <w:lang w:eastAsia="pl-PL"/>
        </w:rPr>
        <w:t>5.6. Ułożenie rur przepustu na ławie</w:t>
      </w:r>
      <w:bookmarkEnd w:id="3666"/>
      <w:bookmarkEnd w:id="3667"/>
    </w:p>
    <w:p w14:paraId="195AC722" w14:textId="0CF07C15"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Ułożenia rury na ławie należy dokonać po zaniwelowaniu poziomu </w:t>
      </w:r>
      <w:r w:rsidR="00C562CD" w:rsidRPr="004853EB">
        <w:rPr>
          <w:rFonts w:eastAsia="Times New Roman" w:cstheme="minorHAnsi"/>
          <w:sz w:val="20"/>
          <w:szCs w:val="20"/>
          <w:lang w:eastAsia="pl-PL"/>
        </w:rPr>
        <w:t>dna i</w:t>
      </w:r>
      <w:r w:rsidRPr="004853EB">
        <w:rPr>
          <w:rFonts w:eastAsia="Times New Roman" w:cstheme="minorHAnsi"/>
          <w:sz w:val="20"/>
          <w:szCs w:val="20"/>
          <w:lang w:eastAsia="pl-PL"/>
        </w:rPr>
        <w:t xml:space="preserve"> wytyczeniu osi przepustu.</w:t>
      </w:r>
    </w:p>
    <w:p w14:paraId="4A961421" w14:textId="00D4ED20"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Zaleca się układać rurę w jednym odcinku, jeśli możliwa jest dostawa rury o odpowiedniej długości, wynikająca z asortymentu produkcji i możliwości transportowych. W innych przypadkach, przepust złożony </w:t>
      </w:r>
      <w:r w:rsidR="00C562CD">
        <w:rPr>
          <w:rFonts w:eastAsia="Times New Roman" w:cstheme="minorHAnsi"/>
          <w:sz w:val="20"/>
          <w:szCs w:val="20"/>
          <w:lang w:eastAsia="pl-PL"/>
        </w:rPr>
        <w:br/>
      </w:r>
      <w:r w:rsidRPr="004853EB">
        <w:rPr>
          <w:rFonts w:eastAsia="Times New Roman" w:cstheme="minorHAnsi"/>
          <w:sz w:val="20"/>
          <w:szCs w:val="20"/>
          <w:lang w:eastAsia="pl-PL"/>
        </w:rPr>
        <w:t>z dwóch lub większej liczby rur powinien mieć połączenia złączkami poszczególnych odcinków rur.</w:t>
      </w:r>
    </w:p>
    <w:p w14:paraId="7A8F195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Łączenie dwóch odcinków rur polega na:</w:t>
      </w:r>
    </w:p>
    <w:p w14:paraId="5ECC1943" w14:textId="77777777" w:rsidR="00CC1EF4" w:rsidRPr="004853EB" w:rsidRDefault="00CC1EF4">
      <w:pPr>
        <w:numPr>
          <w:ilvl w:val="0"/>
          <w:numId w:val="25"/>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ułożeniu na ławie złączki,</w:t>
      </w:r>
    </w:p>
    <w:p w14:paraId="56F20684" w14:textId="77777777" w:rsidR="00CC1EF4" w:rsidRPr="004853EB" w:rsidRDefault="00CC1EF4">
      <w:pPr>
        <w:numPr>
          <w:ilvl w:val="0"/>
          <w:numId w:val="25"/>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położeniu na złączce dwóch sąsiednich końców rur,</w:t>
      </w:r>
    </w:p>
    <w:p w14:paraId="1DF0D45D" w14:textId="77777777" w:rsidR="00CC1EF4" w:rsidRPr="004853EB" w:rsidRDefault="00CC1EF4">
      <w:pPr>
        <w:numPr>
          <w:ilvl w:val="0"/>
          <w:numId w:val="25"/>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zamknięciu złączki,</w:t>
      </w:r>
    </w:p>
    <w:p w14:paraId="3B0FC888" w14:textId="77777777" w:rsidR="00CC1EF4" w:rsidRPr="004853EB" w:rsidRDefault="00CC1EF4">
      <w:pPr>
        <w:numPr>
          <w:ilvl w:val="0"/>
          <w:numId w:val="25"/>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założeniu w złączce pasków lub śrub zaciskowych i zaciągnięcie ich.</w:t>
      </w:r>
    </w:p>
    <w:p w14:paraId="678CCD97"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 przypadku gdy przepust ułożono na ławie, po uprzednim połączeniu odcinków rur poza ławą, należy sprawdzić skuteczność połączeń między rurami.</w:t>
      </w:r>
    </w:p>
    <w:p w14:paraId="1FB7FEF0" w14:textId="0399A0A6"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Rurę przepustu po ułożeniu należy ustabilizować w taki sposób, aby nie zmieniła swojego położenia </w:t>
      </w:r>
      <w:r w:rsidR="00C562CD">
        <w:rPr>
          <w:rFonts w:eastAsia="Times New Roman" w:cstheme="minorHAnsi"/>
          <w:sz w:val="20"/>
          <w:szCs w:val="20"/>
          <w:lang w:eastAsia="pl-PL"/>
        </w:rPr>
        <w:br/>
      </w:r>
      <w:r w:rsidRPr="004853EB">
        <w:rPr>
          <w:rFonts w:eastAsia="Times New Roman" w:cstheme="minorHAnsi"/>
          <w:sz w:val="20"/>
          <w:szCs w:val="20"/>
          <w:lang w:eastAsia="pl-PL"/>
        </w:rPr>
        <w:t>w czasie zasypywania przepustu. Można dokonać tego podsypką wspierającą.</w:t>
      </w:r>
    </w:p>
    <w:p w14:paraId="70BBF1EF"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Przycięcie skrajnych rur do płaszczyzny skarpy można wykonać przed montażem przepustu lub też na budowie po wykonaniu nasypu.</w:t>
      </w:r>
    </w:p>
    <w:p w14:paraId="753D593A"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68" w:name="_Toc194477076"/>
      <w:bookmarkStart w:id="3669" w:name="_Toc227825558"/>
      <w:r w:rsidRPr="004853EB">
        <w:rPr>
          <w:rFonts w:eastAsia="Times New Roman" w:cstheme="minorHAnsi"/>
          <w:b/>
          <w:sz w:val="20"/>
          <w:szCs w:val="20"/>
          <w:lang w:eastAsia="pl-PL"/>
        </w:rPr>
        <w:lastRenderedPageBreak/>
        <w:t>5.7. Zakończenie wlotu i wylotu przepustu</w:t>
      </w:r>
      <w:bookmarkEnd w:id="3668"/>
      <w:bookmarkEnd w:id="3669"/>
    </w:p>
    <w:p w14:paraId="4D950C91"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Wlot i wylot przepustu należy zakończyć elementami prefabrykowanymi – żelbetowymi ściankami oporowymi wykonanymi z betonu klasy C25/30 wg. dokumentacji projektowej.</w:t>
      </w:r>
    </w:p>
    <w:p w14:paraId="6A0FF250"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70" w:name="_Toc194477077"/>
      <w:bookmarkStart w:id="3671" w:name="_Toc227825559"/>
      <w:r w:rsidRPr="004853EB">
        <w:rPr>
          <w:rFonts w:eastAsia="Times New Roman" w:cstheme="minorHAnsi"/>
          <w:b/>
          <w:sz w:val="20"/>
          <w:szCs w:val="20"/>
          <w:lang w:eastAsia="pl-PL"/>
        </w:rPr>
        <w:t>5.8. Zasypka przepustu</w:t>
      </w:r>
      <w:bookmarkEnd w:id="3670"/>
      <w:bookmarkEnd w:id="3671"/>
    </w:p>
    <w:p w14:paraId="00CFC686"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Zasypka przepustu do wysokości co najmniej 30 cm ponad górną krawędź przepustu zaleca się wykonać piaskiem gruboziarnistym. Za zgodą Inżyniera, do zasypki można użyć piasku lub gruntu rodzimego.</w:t>
      </w:r>
    </w:p>
    <w:p w14:paraId="3DFFC5E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Zasypka powinna być wykonywana:</w:t>
      </w:r>
    </w:p>
    <w:p w14:paraId="1857930C" w14:textId="77777777" w:rsidR="00CC1EF4" w:rsidRPr="004853EB" w:rsidRDefault="00CC1EF4">
      <w:pPr>
        <w:numPr>
          <w:ilvl w:val="0"/>
          <w:numId w:val="26"/>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równomiernie i równocześnie z obu stron przepustu,</w:t>
      </w:r>
    </w:p>
    <w:p w14:paraId="72B102C8" w14:textId="27795E52" w:rsidR="00CC1EF4" w:rsidRPr="004853EB" w:rsidRDefault="00CC1EF4">
      <w:pPr>
        <w:numPr>
          <w:ilvl w:val="0"/>
          <w:numId w:val="26"/>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warstwami o grubości dostosowanej do wysokości zasypki, zagęszczonymi do wskaźnika </w:t>
      </w:r>
      <w:r w:rsidR="00C562CD" w:rsidRPr="004853EB">
        <w:rPr>
          <w:rFonts w:eastAsia="Times New Roman" w:cstheme="minorHAnsi"/>
          <w:sz w:val="20"/>
          <w:szCs w:val="20"/>
          <w:lang w:eastAsia="pl-PL"/>
        </w:rPr>
        <w:t>zagęszczenia ≥</w:t>
      </w:r>
      <w:r w:rsidRPr="004853EB">
        <w:rPr>
          <w:rFonts w:eastAsia="Times New Roman" w:cstheme="minorHAnsi"/>
          <w:sz w:val="20"/>
          <w:szCs w:val="20"/>
          <w:lang w:eastAsia="pl-PL"/>
        </w:rPr>
        <w:t xml:space="preserve"> 0,98,   </w:t>
      </w:r>
    </w:p>
    <w:p w14:paraId="0BC4A12E" w14:textId="77777777" w:rsidR="00CC1EF4" w:rsidRPr="004853EB" w:rsidRDefault="00CC1EF4">
      <w:pPr>
        <w:numPr>
          <w:ilvl w:val="0"/>
          <w:numId w:val="26"/>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ze zwróceniem uwagi, aby średnica ziaren kruszywa, układanego bezpośrednio na rurze, nie przekraczała wielkości skoku karbu zewnętrznego rury.</w:t>
      </w:r>
    </w:p>
    <w:p w14:paraId="11681231"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Szczególnie starannie należy wykonać podsypkę wspierającą przepust, umieszczoną nad ławą. Materiał na podsypkę wspierającą powinien odpowiadać wymaganiom mieszanki z kruszywa 0÷20 mm dla ławy.</w:t>
      </w:r>
    </w:p>
    <w:p w14:paraId="608EA948"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72" w:name="_Toc194477078"/>
      <w:bookmarkStart w:id="3673" w:name="_Toc227825560"/>
      <w:r w:rsidRPr="004853EB">
        <w:rPr>
          <w:rFonts w:eastAsia="Times New Roman" w:cstheme="minorHAnsi"/>
          <w:b/>
          <w:sz w:val="20"/>
          <w:szCs w:val="20"/>
          <w:lang w:eastAsia="pl-PL"/>
        </w:rPr>
        <w:t>5.9. Roboty wykończeniowe</w:t>
      </w:r>
      <w:bookmarkEnd w:id="3672"/>
      <w:bookmarkEnd w:id="3673"/>
    </w:p>
    <w:p w14:paraId="5C0113EF"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wykończeniowe powinny być zgodne z dokumentacją projektową i ST. Do robót wykończeniowych należą prace związane z dostosowaniem wykonanych robót do istniejących warunków terenowych, takie jak:</w:t>
      </w:r>
    </w:p>
    <w:p w14:paraId="30669D6E"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niezbędne uzupełnienia zniszczonej w czasie robót roślinności, tj. zatrawienia, </w:t>
      </w:r>
    </w:p>
    <w:p w14:paraId="6BB24420"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porządkujące otoczenie terenu robót.</w:t>
      </w:r>
    </w:p>
    <w:p w14:paraId="30EC5E30"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674" w:name="_Toc179178835"/>
      <w:bookmarkStart w:id="3675" w:name="_Toc194477079"/>
      <w:bookmarkStart w:id="3676" w:name="_Toc227825561"/>
      <w:r w:rsidRPr="004853EB">
        <w:rPr>
          <w:rFonts w:eastAsia="Times New Roman" w:cstheme="minorHAnsi"/>
          <w:b/>
          <w:caps/>
          <w:kern w:val="28"/>
          <w:sz w:val="20"/>
          <w:szCs w:val="20"/>
          <w:lang w:eastAsia="pl-PL"/>
        </w:rPr>
        <w:t>6. KONTROLA JAKOŚCI ROBÓT</w:t>
      </w:r>
      <w:bookmarkEnd w:id="3674"/>
      <w:bookmarkEnd w:id="3675"/>
      <w:bookmarkEnd w:id="3676"/>
    </w:p>
    <w:p w14:paraId="76E613E7"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77" w:name="_Toc194477080"/>
      <w:bookmarkStart w:id="3678" w:name="_Toc227825562"/>
      <w:r w:rsidRPr="004853EB">
        <w:rPr>
          <w:rFonts w:eastAsia="Times New Roman" w:cstheme="minorHAnsi"/>
          <w:b/>
          <w:sz w:val="20"/>
          <w:szCs w:val="20"/>
          <w:lang w:eastAsia="pl-PL"/>
        </w:rPr>
        <w:t>6.1. Ogólne zasady kontroli jakości robót</w:t>
      </w:r>
      <w:bookmarkEnd w:id="3677"/>
      <w:bookmarkEnd w:id="3678"/>
    </w:p>
    <w:p w14:paraId="7396752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kontroli jakości robót podano w SST D-00.00.00 „Wymagania ogólne” [1] pkt 6.</w:t>
      </w:r>
    </w:p>
    <w:p w14:paraId="6E1983A1" w14:textId="6920D78C"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79" w:name="_Toc194477081"/>
      <w:bookmarkStart w:id="3680" w:name="_Toc227825563"/>
      <w:r w:rsidRPr="004853EB">
        <w:rPr>
          <w:rFonts w:eastAsia="Times New Roman" w:cstheme="minorHAnsi"/>
          <w:b/>
          <w:sz w:val="20"/>
          <w:szCs w:val="20"/>
          <w:lang w:eastAsia="pl-PL"/>
        </w:rPr>
        <w:t xml:space="preserve">6.2. </w:t>
      </w:r>
      <w:r w:rsidR="00C562CD" w:rsidRPr="004853EB">
        <w:rPr>
          <w:rFonts w:eastAsia="Times New Roman" w:cstheme="minorHAnsi"/>
          <w:b/>
          <w:sz w:val="20"/>
          <w:szCs w:val="20"/>
          <w:lang w:eastAsia="pl-PL"/>
        </w:rPr>
        <w:t>Badania przed</w:t>
      </w:r>
      <w:r w:rsidRPr="004853EB">
        <w:rPr>
          <w:rFonts w:eastAsia="Times New Roman" w:cstheme="minorHAnsi"/>
          <w:b/>
          <w:sz w:val="20"/>
          <w:szCs w:val="20"/>
          <w:lang w:eastAsia="pl-PL"/>
        </w:rPr>
        <w:t xml:space="preserve"> przystąpieniem do robót</w:t>
      </w:r>
      <w:bookmarkEnd w:id="3679"/>
      <w:bookmarkEnd w:id="3680"/>
    </w:p>
    <w:p w14:paraId="63DB9A5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 przystąpieniem do robót Wykonawca powinien:</w:t>
      </w:r>
    </w:p>
    <w:p w14:paraId="7ABC05BD" w14:textId="77777777" w:rsidR="00CC1EF4" w:rsidRPr="004853EB" w:rsidRDefault="00CC1EF4">
      <w:pPr>
        <w:numPr>
          <w:ilvl w:val="0"/>
          <w:numId w:val="27"/>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uzyskać wymagane dokumenty, dopuszczające wyroby budowlane do obrotu i powszechnego stosowania (aprobaty techniczne, certyfikaty zgodności, deklaracje zgodności, ew. badania materiałów wykonane przez dostawców itp.),</w:t>
      </w:r>
    </w:p>
    <w:p w14:paraId="1A352E94" w14:textId="77777777" w:rsidR="00CC1EF4" w:rsidRPr="004853EB" w:rsidRDefault="00CC1EF4">
      <w:pPr>
        <w:numPr>
          <w:ilvl w:val="0"/>
          <w:numId w:val="27"/>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ew. wykonać własne badania właściwości materiałów przeznaczonych do wykonania robót, określone w pkcie 2,</w:t>
      </w:r>
    </w:p>
    <w:p w14:paraId="0548B49E" w14:textId="77777777" w:rsidR="00CC1EF4" w:rsidRPr="004853EB" w:rsidRDefault="00CC1EF4">
      <w:pPr>
        <w:numPr>
          <w:ilvl w:val="0"/>
          <w:numId w:val="27"/>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sprawdzić cechy zewnętrzne gotowych materiałów z tworzyw i prefabrykowanych.</w:t>
      </w:r>
    </w:p>
    <w:p w14:paraId="5145C480"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Wszystkie dokumenty oraz wyniki badań Wykonawca przedstawia Inżynierowi do akceptacji.</w:t>
      </w:r>
    </w:p>
    <w:p w14:paraId="7C9037B1" w14:textId="77777777" w:rsidR="00CC1EF4" w:rsidRPr="004853EB" w:rsidRDefault="00CC1EF4" w:rsidP="00CC1EF4">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81" w:name="_Toc194477082"/>
      <w:bookmarkStart w:id="3682" w:name="_Toc227825564"/>
      <w:r w:rsidRPr="004853EB">
        <w:rPr>
          <w:rFonts w:eastAsia="Times New Roman" w:cstheme="minorHAnsi"/>
          <w:b/>
          <w:sz w:val="20"/>
          <w:szCs w:val="20"/>
          <w:lang w:eastAsia="pl-PL"/>
        </w:rPr>
        <w:t>6.3. Badania w czasie robót</w:t>
      </w:r>
      <w:bookmarkEnd w:id="3681"/>
      <w:bookmarkEnd w:id="3682"/>
    </w:p>
    <w:p w14:paraId="43B56F4C" w14:textId="30396302" w:rsidR="00CC1EF4" w:rsidRPr="004853EB" w:rsidRDefault="00CC1EF4" w:rsidP="00CC1EF4">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Częstotliwość oraz zakres badań i pomiarów, które należy wykonać w czasie </w:t>
      </w:r>
      <w:r w:rsidR="00C562CD" w:rsidRPr="004853EB">
        <w:rPr>
          <w:rFonts w:eastAsia="Times New Roman" w:cstheme="minorHAnsi"/>
          <w:sz w:val="20"/>
          <w:szCs w:val="20"/>
          <w:lang w:eastAsia="pl-PL"/>
        </w:rPr>
        <w:t>robót podaje</w:t>
      </w:r>
      <w:r w:rsidRPr="004853EB">
        <w:rPr>
          <w:rFonts w:eastAsia="Times New Roman" w:cstheme="minorHAnsi"/>
          <w:sz w:val="20"/>
          <w:szCs w:val="20"/>
          <w:lang w:eastAsia="pl-PL"/>
        </w:rPr>
        <w:t xml:space="preserve"> tablica 1.</w:t>
      </w:r>
    </w:p>
    <w:p w14:paraId="227B82F7" w14:textId="77777777" w:rsidR="00CC1EF4" w:rsidRPr="004853EB" w:rsidRDefault="00CC1EF4" w:rsidP="00CC1EF4">
      <w:pPr>
        <w:numPr>
          <w:ilvl w:val="12"/>
          <w:numId w:val="0"/>
        </w:num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1.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118"/>
        <w:gridCol w:w="1559"/>
        <w:gridCol w:w="2410"/>
      </w:tblGrid>
      <w:tr w:rsidR="00CC1EF4" w:rsidRPr="004853EB" w14:paraId="6F5E8233" w14:textId="77777777" w:rsidTr="00E95D02">
        <w:tc>
          <w:tcPr>
            <w:tcW w:w="496" w:type="dxa"/>
            <w:tcBorders>
              <w:bottom w:val="double" w:sz="6" w:space="0" w:color="auto"/>
            </w:tcBorders>
          </w:tcPr>
          <w:p w14:paraId="775BF4BA" w14:textId="77777777" w:rsidR="00CC1EF4" w:rsidRPr="004853EB" w:rsidRDefault="00CC1EF4" w:rsidP="00CC1EF4">
            <w:pPr>
              <w:numPr>
                <w:ilvl w:val="12"/>
                <w:numId w:val="0"/>
              </w:num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Lp.</w:t>
            </w:r>
          </w:p>
        </w:tc>
        <w:tc>
          <w:tcPr>
            <w:tcW w:w="3118" w:type="dxa"/>
            <w:tcBorders>
              <w:bottom w:val="double" w:sz="6" w:space="0" w:color="auto"/>
            </w:tcBorders>
          </w:tcPr>
          <w:p w14:paraId="1DC869DA" w14:textId="77777777" w:rsidR="00CC1EF4" w:rsidRPr="004853EB" w:rsidRDefault="00CC1EF4" w:rsidP="00CC1EF4">
            <w:pPr>
              <w:numPr>
                <w:ilvl w:val="12"/>
                <w:numId w:val="0"/>
              </w:num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Wyszczególnienie robót</w:t>
            </w:r>
          </w:p>
        </w:tc>
        <w:tc>
          <w:tcPr>
            <w:tcW w:w="1559" w:type="dxa"/>
            <w:tcBorders>
              <w:bottom w:val="double" w:sz="6" w:space="0" w:color="auto"/>
            </w:tcBorders>
          </w:tcPr>
          <w:p w14:paraId="2C91816D" w14:textId="77777777" w:rsidR="00CC1EF4" w:rsidRPr="004853EB" w:rsidRDefault="00CC1EF4" w:rsidP="00CC1EF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Częstotliwość badań</w:t>
            </w:r>
          </w:p>
        </w:tc>
        <w:tc>
          <w:tcPr>
            <w:tcW w:w="2410" w:type="dxa"/>
            <w:tcBorders>
              <w:bottom w:val="double" w:sz="6" w:space="0" w:color="auto"/>
            </w:tcBorders>
          </w:tcPr>
          <w:p w14:paraId="651EF309" w14:textId="77777777" w:rsidR="00CC1EF4" w:rsidRPr="004853EB" w:rsidRDefault="00CC1EF4" w:rsidP="00CC1EF4">
            <w:pPr>
              <w:numPr>
                <w:ilvl w:val="12"/>
                <w:numId w:val="0"/>
              </w:num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Wartości dopuszczalne</w:t>
            </w:r>
          </w:p>
        </w:tc>
      </w:tr>
      <w:tr w:rsidR="00CC1EF4" w:rsidRPr="004853EB" w14:paraId="09D27467" w14:textId="77777777" w:rsidTr="00E95D02">
        <w:tc>
          <w:tcPr>
            <w:tcW w:w="496" w:type="dxa"/>
            <w:tcBorders>
              <w:top w:val="nil"/>
            </w:tcBorders>
          </w:tcPr>
          <w:p w14:paraId="17B5C7E1" w14:textId="77777777" w:rsidR="00CC1EF4" w:rsidRPr="004853EB" w:rsidRDefault="00CC1EF4" w:rsidP="00CC1EF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3118" w:type="dxa"/>
            <w:tcBorders>
              <w:top w:val="nil"/>
            </w:tcBorders>
          </w:tcPr>
          <w:p w14:paraId="33C1C533" w14:textId="77777777" w:rsidR="00CC1EF4" w:rsidRPr="004853EB" w:rsidRDefault="00CC1EF4" w:rsidP="00CC1EF4">
            <w:pPr>
              <w:numPr>
                <w:ilvl w:val="12"/>
                <w:numId w:val="0"/>
              </w:num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Lokalizacja i zgodność granic terenu robót z dokumentacją projektową</w:t>
            </w:r>
          </w:p>
        </w:tc>
        <w:tc>
          <w:tcPr>
            <w:tcW w:w="1559" w:type="dxa"/>
            <w:tcBorders>
              <w:top w:val="nil"/>
            </w:tcBorders>
          </w:tcPr>
          <w:p w14:paraId="2BB713CA" w14:textId="77777777" w:rsidR="00CC1EF4" w:rsidRPr="004853EB" w:rsidRDefault="00CC1EF4" w:rsidP="00CC1EF4">
            <w:pPr>
              <w:numPr>
                <w:ilvl w:val="12"/>
                <w:numId w:val="0"/>
              </w:num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 raz</w:t>
            </w:r>
          </w:p>
        </w:tc>
        <w:tc>
          <w:tcPr>
            <w:tcW w:w="2410" w:type="dxa"/>
            <w:tcBorders>
              <w:top w:val="nil"/>
            </w:tcBorders>
          </w:tcPr>
          <w:p w14:paraId="297EF331" w14:textId="77777777" w:rsidR="00CC1EF4" w:rsidRPr="004853EB" w:rsidRDefault="00CC1EF4" w:rsidP="00CC1EF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pktu 5 i dokumentacji</w:t>
            </w:r>
          </w:p>
          <w:p w14:paraId="06446B3B" w14:textId="77777777" w:rsidR="00CC1EF4" w:rsidRPr="004853EB" w:rsidRDefault="00CC1EF4" w:rsidP="00CC1EF4">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projektowej</w:t>
            </w:r>
          </w:p>
        </w:tc>
      </w:tr>
      <w:tr w:rsidR="00CC1EF4" w:rsidRPr="004853EB" w14:paraId="3839B4B0" w14:textId="77777777" w:rsidTr="00E95D02">
        <w:tc>
          <w:tcPr>
            <w:tcW w:w="496" w:type="dxa"/>
          </w:tcPr>
          <w:p w14:paraId="69C84F35"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3118" w:type="dxa"/>
          </w:tcPr>
          <w:p w14:paraId="4493A282"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Wykonanie wykopów</w:t>
            </w:r>
          </w:p>
        </w:tc>
        <w:tc>
          <w:tcPr>
            <w:tcW w:w="1559" w:type="dxa"/>
          </w:tcPr>
          <w:p w14:paraId="6ECE3189"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Bieżąco</w:t>
            </w:r>
          </w:p>
        </w:tc>
        <w:tc>
          <w:tcPr>
            <w:tcW w:w="2410" w:type="dxa"/>
          </w:tcPr>
          <w:p w14:paraId="774F4C94"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pktu 5</w:t>
            </w:r>
          </w:p>
        </w:tc>
      </w:tr>
      <w:tr w:rsidR="00CC1EF4" w:rsidRPr="004853EB" w14:paraId="4EECAD8A" w14:textId="77777777" w:rsidTr="00E95D02">
        <w:tc>
          <w:tcPr>
            <w:tcW w:w="496" w:type="dxa"/>
          </w:tcPr>
          <w:p w14:paraId="18D5A592"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3118" w:type="dxa"/>
          </w:tcPr>
          <w:p w14:paraId="573D9F84"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Wykonanie fundamentu (ławy) przepustu</w:t>
            </w:r>
          </w:p>
        </w:tc>
        <w:tc>
          <w:tcPr>
            <w:tcW w:w="1559" w:type="dxa"/>
          </w:tcPr>
          <w:p w14:paraId="721D5DBF" w14:textId="77777777" w:rsidR="00CC1EF4" w:rsidRPr="004853EB" w:rsidRDefault="00CC1EF4" w:rsidP="00CC1EF4">
            <w:pPr>
              <w:numPr>
                <w:ilvl w:val="12"/>
                <w:numId w:val="0"/>
              </w:numPr>
              <w:overflowPunct w:val="0"/>
              <w:autoSpaceDE w:val="0"/>
              <w:autoSpaceDN w:val="0"/>
              <w:adjustRightInd w:val="0"/>
              <w:spacing w:before="18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Bieżąco</w:t>
            </w:r>
          </w:p>
        </w:tc>
        <w:tc>
          <w:tcPr>
            <w:tcW w:w="2410" w:type="dxa"/>
          </w:tcPr>
          <w:p w14:paraId="6BA25D92" w14:textId="77777777" w:rsidR="00CC1EF4" w:rsidRPr="004853EB" w:rsidRDefault="00CC1EF4" w:rsidP="00CC1EF4">
            <w:pPr>
              <w:numPr>
                <w:ilvl w:val="12"/>
                <w:numId w:val="0"/>
              </w:numPr>
              <w:overflowPunct w:val="0"/>
              <w:autoSpaceDE w:val="0"/>
              <w:autoSpaceDN w:val="0"/>
              <w:adjustRightInd w:val="0"/>
              <w:spacing w:before="18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pktu 5</w:t>
            </w:r>
          </w:p>
        </w:tc>
      </w:tr>
      <w:tr w:rsidR="00CC1EF4" w:rsidRPr="004853EB" w14:paraId="27D36FA8" w14:textId="77777777" w:rsidTr="00E95D02">
        <w:tc>
          <w:tcPr>
            <w:tcW w:w="496" w:type="dxa"/>
          </w:tcPr>
          <w:p w14:paraId="68CA5894"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3118" w:type="dxa"/>
          </w:tcPr>
          <w:p w14:paraId="35B5109D"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Ułożenie rur przepustu na ławie</w:t>
            </w:r>
          </w:p>
        </w:tc>
        <w:tc>
          <w:tcPr>
            <w:tcW w:w="1559" w:type="dxa"/>
          </w:tcPr>
          <w:p w14:paraId="7E4B319F"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Bieżąco</w:t>
            </w:r>
          </w:p>
        </w:tc>
        <w:tc>
          <w:tcPr>
            <w:tcW w:w="2410" w:type="dxa"/>
          </w:tcPr>
          <w:p w14:paraId="25BB91C1"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pktu 5</w:t>
            </w:r>
          </w:p>
        </w:tc>
      </w:tr>
      <w:tr w:rsidR="00CC1EF4" w:rsidRPr="004853EB" w14:paraId="17137AE8" w14:textId="77777777" w:rsidTr="00E95D02">
        <w:tc>
          <w:tcPr>
            <w:tcW w:w="496" w:type="dxa"/>
          </w:tcPr>
          <w:p w14:paraId="756F5200"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c>
          <w:tcPr>
            <w:tcW w:w="3118" w:type="dxa"/>
          </w:tcPr>
          <w:p w14:paraId="4AA9BF43"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Zasypka przepustu</w:t>
            </w:r>
          </w:p>
        </w:tc>
        <w:tc>
          <w:tcPr>
            <w:tcW w:w="1559" w:type="dxa"/>
          </w:tcPr>
          <w:p w14:paraId="6D1B5184"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Bieżąco</w:t>
            </w:r>
          </w:p>
        </w:tc>
        <w:tc>
          <w:tcPr>
            <w:tcW w:w="2410" w:type="dxa"/>
          </w:tcPr>
          <w:p w14:paraId="4C132F89"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pktu 5</w:t>
            </w:r>
          </w:p>
        </w:tc>
      </w:tr>
      <w:tr w:rsidR="00CC1EF4" w:rsidRPr="004853EB" w14:paraId="23976DA5" w14:textId="77777777" w:rsidTr="00E95D02">
        <w:tc>
          <w:tcPr>
            <w:tcW w:w="496" w:type="dxa"/>
          </w:tcPr>
          <w:p w14:paraId="615ECB7B"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tc>
        <w:tc>
          <w:tcPr>
            <w:tcW w:w="3118" w:type="dxa"/>
          </w:tcPr>
          <w:p w14:paraId="0CB1062D"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Umocnienie skarp przy wlocie i wylocie przepustu</w:t>
            </w:r>
          </w:p>
        </w:tc>
        <w:tc>
          <w:tcPr>
            <w:tcW w:w="1559" w:type="dxa"/>
          </w:tcPr>
          <w:p w14:paraId="7E46B3AD" w14:textId="77777777" w:rsidR="00CC1EF4" w:rsidRPr="004853EB" w:rsidRDefault="00CC1EF4" w:rsidP="00CC1EF4">
            <w:pPr>
              <w:numPr>
                <w:ilvl w:val="12"/>
                <w:numId w:val="0"/>
              </w:numPr>
              <w:overflowPunct w:val="0"/>
              <w:autoSpaceDE w:val="0"/>
              <w:autoSpaceDN w:val="0"/>
              <w:adjustRightInd w:val="0"/>
              <w:spacing w:before="18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Bieżąco</w:t>
            </w:r>
          </w:p>
        </w:tc>
        <w:tc>
          <w:tcPr>
            <w:tcW w:w="2410" w:type="dxa"/>
          </w:tcPr>
          <w:p w14:paraId="7967F10D" w14:textId="77777777" w:rsidR="00CC1EF4" w:rsidRPr="004853EB" w:rsidRDefault="00CC1EF4" w:rsidP="00CC1EF4">
            <w:pPr>
              <w:numPr>
                <w:ilvl w:val="12"/>
                <w:numId w:val="0"/>
              </w:numPr>
              <w:overflowPunct w:val="0"/>
              <w:autoSpaceDE w:val="0"/>
              <w:autoSpaceDN w:val="0"/>
              <w:adjustRightInd w:val="0"/>
              <w:spacing w:before="18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pktu 5</w:t>
            </w:r>
          </w:p>
        </w:tc>
      </w:tr>
      <w:tr w:rsidR="00CC1EF4" w:rsidRPr="004853EB" w14:paraId="37CE819D" w14:textId="77777777" w:rsidTr="00E95D02">
        <w:tc>
          <w:tcPr>
            <w:tcW w:w="496" w:type="dxa"/>
          </w:tcPr>
          <w:p w14:paraId="03561867"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w:t>
            </w:r>
          </w:p>
        </w:tc>
        <w:tc>
          <w:tcPr>
            <w:tcW w:w="3118" w:type="dxa"/>
          </w:tcPr>
          <w:p w14:paraId="18F2E982" w14:textId="77777777" w:rsidR="00CC1EF4" w:rsidRPr="004853EB" w:rsidRDefault="00CC1EF4" w:rsidP="00CC1EF4">
            <w:pPr>
              <w:numPr>
                <w:ilvl w:val="12"/>
                <w:numId w:val="0"/>
              </w:numPr>
              <w:overflowPunct w:val="0"/>
              <w:autoSpaceDE w:val="0"/>
              <w:autoSpaceDN w:val="0"/>
              <w:adjustRightInd w:val="0"/>
              <w:spacing w:before="60" w:after="6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Wykonanie robót wykończeniowych</w:t>
            </w:r>
          </w:p>
        </w:tc>
        <w:tc>
          <w:tcPr>
            <w:tcW w:w="1559" w:type="dxa"/>
          </w:tcPr>
          <w:p w14:paraId="39F4DBA5"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Ocena ciągła</w:t>
            </w:r>
          </w:p>
        </w:tc>
        <w:tc>
          <w:tcPr>
            <w:tcW w:w="2410" w:type="dxa"/>
          </w:tcPr>
          <w:p w14:paraId="019B245C" w14:textId="77777777" w:rsidR="00CC1EF4" w:rsidRPr="004853EB" w:rsidRDefault="00CC1EF4" w:rsidP="00CC1EF4">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pktu 5</w:t>
            </w:r>
          </w:p>
        </w:tc>
      </w:tr>
    </w:tbl>
    <w:p w14:paraId="084F339D"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r w:rsidRPr="004853EB">
        <w:rPr>
          <w:rFonts w:eastAsia="Times New Roman" w:cstheme="minorHAnsi"/>
          <w:b/>
          <w:caps/>
          <w:kern w:val="28"/>
          <w:sz w:val="20"/>
          <w:szCs w:val="20"/>
          <w:lang w:eastAsia="pl-PL"/>
        </w:rPr>
        <w:lastRenderedPageBreak/>
        <w:t xml:space="preserve"> </w:t>
      </w:r>
      <w:bookmarkStart w:id="3683" w:name="_Toc161023548"/>
      <w:bookmarkStart w:id="3684" w:name="_Toc179178836"/>
      <w:bookmarkStart w:id="3685" w:name="_Toc194477083"/>
      <w:bookmarkStart w:id="3686" w:name="_Toc227825565"/>
      <w:r w:rsidRPr="004853EB">
        <w:rPr>
          <w:rFonts w:eastAsia="Times New Roman" w:cstheme="minorHAnsi"/>
          <w:b/>
          <w:caps/>
          <w:kern w:val="28"/>
          <w:sz w:val="20"/>
          <w:szCs w:val="20"/>
          <w:lang w:eastAsia="pl-PL"/>
        </w:rPr>
        <w:t>7. OBMIAR ROBÓT</w:t>
      </w:r>
      <w:bookmarkEnd w:id="3683"/>
      <w:bookmarkEnd w:id="3684"/>
      <w:bookmarkEnd w:id="3685"/>
      <w:bookmarkEnd w:id="3686"/>
    </w:p>
    <w:p w14:paraId="617BC93A"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87" w:name="_Toc194477084"/>
      <w:bookmarkStart w:id="3688" w:name="_Toc227825566"/>
      <w:r w:rsidRPr="004853EB">
        <w:rPr>
          <w:rFonts w:eastAsia="Times New Roman" w:cstheme="minorHAnsi"/>
          <w:b/>
          <w:sz w:val="20"/>
          <w:szCs w:val="20"/>
          <w:lang w:eastAsia="pl-PL"/>
        </w:rPr>
        <w:t>7.1. Ogólne zasady obmiaru robót</w:t>
      </w:r>
      <w:bookmarkEnd w:id="3687"/>
      <w:bookmarkEnd w:id="3688"/>
    </w:p>
    <w:p w14:paraId="64E3A2F0" w14:textId="798DE289" w:rsidR="00CC1EF4" w:rsidRPr="004853EB" w:rsidRDefault="00CC1EF4" w:rsidP="00CC1EF4">
      <w:p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obmiaru robót podano w SST D-00.00.00 „Wymagania ogólne” [1</w:t>
      </w:r>
      <w:r w:rsidR="00C562CD" w:rsidRPr="004853EB">
        <w:rPr>
          <w:rFonts w:eastAsia="Times New Roman" w:cstheme="minorHAnsi"/>
          <w:sz w:val="20"/>
          <w:szCs w:val="20"/>
          <w:lang w:eastAsia="pl-PL"/>
        </w:rPr>
        <w:t>] pkt</w:t>
      </w:r>
      <w:r w:rsidRPr="004853EB">
        <w:rPr>
          <w:rFonts w:eastAsia="Times New Roman" w:cstheme="minorHAnsi"/>
          <w:sz w:val="20"/>
          <w:szCs w:val="20"/>
          <w:lang w:eastAsia="pl-PL"/>
        </w:rPr>
        <w:t xml:space="preserve"> 7.</w:t>
      </w:r>
    </w:p>
    <w:p w14:paraId="0BEECE79"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89" w:name="_Toc194477085"/>
      <w:bookmarkStart w:id="3690" w:name="_Toc227825567"/>
      <w:r w:rsidRPr="004853EB">
        <w:rPr>
          <w:rFonts w:eastAsia="Times New Roman" w:cstheme="minorHAnsi"/>
          <w:b/>
          <w:sz w:val="20"/>
          <w:szCs w:val="20"/>
          <w:lang w:eastAsia="pl-PL"/>
        </w:rPr>
        <w:t>7.2. Jednostka obmiarowa</w:t>
      </w:r>
      <w:bookmarkEnd w:id="3689"/>
      <w:bookmarkEnd w:id="3690"/>
    </w:p>
    <w:p w14:paraId="6373A00B" w14:textId="77777777" w:rsidR="00CC1EF4" w:rsidRPr="004853EB" w:rsidRDefault="00CC1EF4" w:rsidP="00CC1EF4">
      <w:p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Jednostką obmiarową jest m (metr) kompletnego wykonania przepustu.</w:t>
      </w:r>
    </w:p>
    <w:p w14:paraId="65CFA6A7"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691" w:name="_Toc161023549"/>
      <w:bookmarkStart w:id="3692" w:name="_Toc179178837"/>
      <w:bookmarkStart w:id="3693" w:name="_Toc194477086"/>
      <w:bookmarkStart w:id="3694" w:name="_Toc227825568"/>
      <w:r w:rsidRPr="004853EB">
        <w:rPr>
          <w:rFonts w:eastAsia="Times New Roman" w:cstheme="minorHAnsi"/>
          <w:b/>
          <w:caps/>
          <w:kern w:val="28"/>
          <w:sz w:val="20"/>
          <w:szCs w:val="20"/>
          <w:lang w:eastAsia="pl-PL"/>
        </w:rPr>
        <w:t>8. ODBIÓR ROBÓT</w:t>
      </w:r>
      <w:bookmarkEnd w:id="3691"/>
      <w:bookmarkEnd w:id="3692"/>
      <w:bookmarkEnd w:id="3693"/>
      <w:bookmarkEnd w:id="3694"/>
    </w:p>
    <w:p w14:paraId="6A393AA5"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95" w:name="_Toc194477087"/>
      <w:bookmarkStart w:id="3696" w:name="_Toc227825569"/>
      <w:r w:rsidRPr="004853EB">
        <w:rPr>
          <w:rFonts w:eastAsia="Times New Roman" w:cstheme="minorHAnsi"/>
          <w:b/>
          <w:sz w:val="20"/>
          <w:szCs w:val="20"/>
          <w:lang w:eastAsia="pl-PL"/>
        </w:rPr>
        <w:t>8.1. Ogólne zasady odbioru robót</w:t>
      </w:r>
      <w:bookmarkEnd w:id="3695"/>
      <w:bookmarkEnd w:id="3696"/>
    </w:p>
    <w:p w14:paraId="308BADF3" w14:textId="77777777" w:rsidR="00CC1EF4" w:rsidRPr="004853EB" w:rsidRDefault="00CC1EF4" w:rsidP="00CC1EF4">
      <w:p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odbioru robót podano w SST D-00.00.00 „Wymagania ogólne” [1] pkt 8.</w:t>
      </w:r>
    </w:p>
    <w:p w14:paraId="799D0D3A" w14:textId="77777777" w:rsidR="00CC1EF4" w:rsidRPr="004853EB" w:rsidRDefault="00CC1EF4" w:rsidP="00CC1EF4">
      <w:p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Roboty uznaje się za wykonane zgodnie z dokumentacją projektową, ST i wymaganiami Inżyniera, jeżeli wszystkie pomiary i badania z zachowaniem tolerancji wg pkt 6 dały wyniki pozytywne.</w:t>
      </w:r>
    </w:p>
    <w:p w14:paraId="191174FD"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697" w:name="_Toc194477088"/>
      <w:bookmarkStart w:id="3698" w:name="_Toc227825570"/>
      <w:r w:rsidRPr="004853EB">
        <w:rPr>
          <w:rFonts w:eastAsia="Times New Roman" w:cstheme="minorHAnsi"/>
          <w:b/>
          <w:sz w:val="20"/>
          <w:szCs w:val="20"/>
          <w:lang w:eastAsia="pl-PL"/>
        </w:rPr>
        <w:t>8.2. Odbiór robót zanikających i ulegających zakryciu</w:t>
      </w:r>
      <w:bookmarkEnd w:id="3697"/>
      <w:bookmarkEnd w:id="3698"/>
    </w:p>
    <w:p w14:paraId="4DC1DEC2"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Odbiorowi robót zanikających i ulegających zakryciu podlegają:</w:t>
      </w:r>
    </w:p>
    <w:p w14:paraId="218B91F1" w14:textId="77777777" w:rsidR="00CC1EF4" w:rsidRPr="004853EB" w:rsidRDefault="00CC1EF4">
      <w:pPr>
        <w:numPr>
          <w:ilvl w:val="0"/>
          <w:numId w:val="2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wykonanie wykopu,</w:t>
      </w:r>
    </w:p>
    <w:p w14:paraId="026A9FC0" w14:textId="77777777" w:rsidR="00CC1EF4" w:rsidRPr="004853EB" w:rsidRDefault="00CC1EF4">
      <w:pPr>
        <w:numPr>
          <w:ilvl w:val="0"/>
          <w:numId w:val="28"/>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wykonanie ławy fundamentowej.</w:t>
      </w:r>
    </w:p>
    <w:p w14:paraId="4F7F2A04"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Odbiór tych robót powinien być zgodny z wymaganiami pktu 8.2 D-00.00.00 „Wymagania ogólne” [1] oraz niniejszej SST.</w:t>
      </w:r>
    </w:p>
    <w:p w14:paraId="5C7BCE2B"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699" w:name="_Toc161023550"/>
      <w:bookmarkStart w:id="3700" w:name="_Toc179178838"/>
      <w:bookmarkStart w:id="3701" w:name="_Toc194477089"/>
      <w:bookmarkStart w:id="3702" w:name="_Toc227825571"/>
      <w:r w:rsidRPr="004853EB">
        <w:rPr>
          <w:rFonts w:eastAsia="Times New Roman" w:cstheme="minorHAnsi"/>
          <w:b/>
          <w:caps/>
          <w:kern w:val="28"/>
          <w:sz w:val="20"/>
          <w:szCs w:val="20"/>
          <w:lang w:eastAsia="pl-PL"/>
        </w:rPr>
        <w:t>9. PODSTAWA PŁATNOŚCI</w:t>
      </w:r>
      <w:bookmarkEnd w:id="3699"/>
      <w:bookmarkEnd w:id="3700"/>
      <w:bookmarkEnd w:id="3701"/>
      <w:bookmarkEnd w:id="3702"/>
    </w:p>
    <w:p w14:paraId="14A13BFD"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03" w:name="_Toc194477090"/>
      <w:bookmarkStart w:id="3704" w:name="_Toc227825572"/>
      <w:r w:rsidRPr="004853EB">
        <w:rPr>
          <w:rFonts w:eastAsia="Times New Roman" w:cstheme="minorHAnsi"/>
          <w:b/>
          <w:sz w:val="20"/>
          <w:szCs w:val="20"/>
          <w:lang w:eastAsia="pl-PL"/>
        </w:rPr>
        <w:t>9.1. Ogólne ustalenia dotyczące podstawy płatności</w:t>
      </w:r>
      <w:bookmarkEnd w:id="3703"/>
      <w:bookmarkEnd w:id="3704"/>
    </w:p>
    <w:p w14:paraId="08870FC3" w14:textId="6FE7D680" w:rsidR="00CC1EF4" w:rsidRPr="004853EB" w:rsidRDefault="00CC1EF4" w:rsidP="00CC1EF4">
      <w:p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r>
      <w:r w:rsidR="00C562CD" w:rsidRPr="004853EB">
        <w:rPr>
          <w:rFonts w:eastAsia="Times New Roman" w:cstheme="minorHAnsi"/>
          <w:sz w:val="20"/>
          <w:szCs w:val="20"/>
          <w:lang w:eastAsia="pl-PL"/>
        </w:rPr>
        <w:t>Ogólne ustalenia dotyczące podstawy płatności podano</w:t>
      </w:r>
      <w:r w:rsidRPr="004853EB">
        <w:rPr>
          <w:rFonts w:eastAsia="Times New Roman" w:cstheme="minorHAnsi"/>
          <w:sz w:val="20"/>
          <w:szCs w:val="20"/>
          <w:lang w:eastAsia="pl-PL"/>
        </w:rPr>
        <w:t xml:space="preserve"> </w:t>
      </w:r>
      <w:r w:rsidR="00C562CD" w:rsidRPr="004853EB">
        <w:rPr>
          <w:rFonts w:eastAsia="Times New Roman" w:cstheme="minorHAnsi"/>
          <w:sz w:val="20"/>
          <w:szCs w:val="20"/>
          <w:lang w:eastAsia="pl-PL"/>
        </w:rPr>
        <w:t xml:space="preserve">w </w:t>
      </w:r>
      <w:r w:rsidR="00C562CD" w:rsidRPr="004853EB">
        <w:rPr>
          <w:rFonts w:eastAsia="Times New Roman" w:cstheme="minorHAnsi"/>
          <w:b/>
          <w:sz w:val="20"/>
          <w:szCs w:val="20"/>
          <w:lang w:eastAsia="pl-PL"/>
        </w:rPr>
        <w:t>SST</w:t>
      </w:r>
      <w:r w:rsidRPr="004853EB">
        <w:rPr>
          <w:rFonts w:eastAsia="Times New Roman" w:cstheme="minorHAnsi"/>
          <w:sz w:val="20"/>
          <w:szCs w:val="20"/>
          <w:lang w:eastAsia="pl-PL"/>
        </w:rPr>
        <w:t xml:space="preserve"> D-00.00.00 „Wymagania ogólne” [1]  pkt 9.</w:t>
      </w:r>
    </w:p>
    <w:p w14:paraId="40745DD1"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05" w:name="_Toc194477091"/>
      <w:bookmarkStart w:id="3706" w:name="_Toc227825573"/>
      <w:r w:rsidRPr="004853EB">
        <w:rPr>
          <w:rFonts w:eastAsia="Times New Roman" w:cstheme="minorHAnsi"/>
          <w:b/>
          <w:sz w:val="20"/>
          <w:szCs w:val="20"/>
          <w:lang w:eastAsia="pl-PL"/>
        </w:rPr>
        <w:t>9.2. Cena jednostki obmiarowej</w:t>
      </w:r>
      <w:bookmarkEnd w:id="3705"/>
      <w:bookmarkEnd w:id="3706"/>
    </w:p>
    <w:p w14:paraId="4B3FFAAF" w14:textId="77777777" w:rsidR="00CC1EF4" w:rsidRPr="004853EB" w:rsidRDefault="00CC1EF4" w:rsidP="00CC1EF4">
      <w:p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Cena wykonania 1 m kompletnego przepustu obejmuje:</w:t>
      </w:r>
    </w:p>
    <w:p w14:paraId="7080EAA8" w14:textId="77777777" w:rsidR="00CC1EF4" w:rsidRPr="004853EB" w:rsidRDefault="00CC1EF4" w:rsidP="00CC1EF4">
      <w:pPr>
        <w:numPr>
          <w:ilvl w:val="0"/>
          <w:numId w:val="15"/>
        </w:num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prace pomiarowe i roboty przygotowawcze,</w:t>
      </w:r>
    </w:p>
    <w:p w14:paraId="1CB71C21" w14:textId="77777777" w:rsidR="00CC1EF4" w:rsidRPr="004853EB" w:rsidRDefault="00CC1EF4" w:rsidP="00CC1EF4">
      <w:pPr>
        <w:numPr>
          <w:ilvl w:val="0"/>
          <w:numId w:val="15"/>
        </w:num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oznakowanie robót,</w:t>
      </w:r>
    </w:p>
    <w:p w14:paraId="37BEE373" w14:textId="77777777" w:rsidR="00CC1EF4" w:rsidRPr="004853EB" w:rsidRDefault="00CC1EF4" w:rsidP="00CC1EF4">
      <w:pPr>
        <w:numPr>
          <w:ilvl w:val="0"/>
          <w:numId w:val="15"/>
        </w:num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przygotowanie podłoża,</w:t>
      </w:r>
    </w:p>
    <w:p w14:paraId="312874DE" w14:textId="77777777" w:rsidR="00CC1EF4" w:rsidRPr="004853EB" w:rsidRDefault="00CC1EF4" w:rsidP="00CC1EF4">
      <w:pPr>
        <w:numPr>
          <w:ilvl w:val="0"/>
          <w:numId w:val="15"/>
        </w:num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dostarczenie materiałów i sprzętu,</w:t>
      </w:r>
    </w:p>
    <w:p w14:paraId="78182410" w14:textId="77777777" w:rsidR="00CC1EF4" w:rsidRPr="004853EB" w:rsidRDefault="00CC1EF4" w:rsidP="00CC1EF4">
      <w:pPr>
        <w:numPr>
          <w:ilvl w:val="0"/>
          <w:numId w:val="15"/>
        </w:num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wykonanie przepustu z wykopem, ławą, ułożeniem rur, zasypką, umocnieniem skarp według wymagań dokumentacji projektowej, SST,</w:t>
      </w:r>
    </w:p>
    <w:p w14:paraId="512C7B96" w14:textId="77777777" w:rsidR="00CC1EF4" w:rsidRPr="004853EB" w:rsidRDefault="00CC1EF4" w:rsidP="00CC1EF4">
      <w:pPr>
        <w:numPr>
          <w:ilvl w:val="0"/>
          <w:numId w:val="15"/>
        </w:num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przeprowadzenie pomiarów i badań wymaganych w specyfikacji technicznej,</w:t>
      </w:r>
    </w:p>
    <w:p w14:paraId="328E1A69" w14:textId="77777777" w:rsidR="00CC1EF4" w:rsidRPr="004853EB" w:rsidRDefault="00CC1EF4" w:rsidP="00CC1EF4">
      <w:pPr>
        <w:numPr>
          <w:ilvl w:val="0"/>
          <w:numId w:val="15"/>
        </w:num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odwiezienie sprzętu.</w:t>
      </w:r>
    </w:p>
    <w:p w14:paraId="1097FDB9"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07" w:name="_Toc194477092"/>
      <w:bookmarkStart w:id="3708" w:name="_Toc227825574"/>
      <w:r w:rsidRPr="004853EB">
        <w:rPr>
          <w:rFonts w:eastAsia="Times New Roman" w:cstheme="minorHAnsi"/>
          <w:b/>
          <w:sz w:val="20"/>
          <w:szCs w:val="20"/>
          <w:lang w:eastAsia="pl-PL"/>
        </w:rPr>
        <w:t>9.3. Sposób rozliczenia robót tymczasowych i prac towarzyszących</w:t>
      </w:r>
      <w:bookmarkEnd w:id="3707"/>
      <w:bookmarkEnd w:id="3708"/>
    </w:p>
    <w:p w14:paraId="31ED51F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Cena wykonania robót określonych niniejszą SST obejmuje:</w:t>
      </w:r>
    </w:p>
    <w:p w14:paraId="786D32B6" w14:textId="77777777" w:rsidR="00CC1EF4" w:rsidRPr="004853EB" w:rsidRDefault="00CC1EF4" w:rsidP="00CC1EF4">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tymczasowe, które są potrzebne do wykonania robót podstawowych, ale nie są przekazywane Zamawiającemu i są usuwane po wykonaniu robót podstawowych,</w:t>
      </w:r>
    </w:p>
    <w:p w14:paraId="103F57BF" w14:textId="77777777" w:rsidR="00CC1EF4" w:rsidRPr="004853EB" w:rsidRDefault="00CC1EF4" w:rsidP="00CC1EF4">
      <w:pPr>
        <w:numPr>
          <w:ilvl w:val="0"/>
          <w:numId w:val="9"/>
        </w:numPr>
        <w:tabs>
          <w:tab w:val="left" w:pos="-709"/>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prace towarzyszące, które są niezbędne do wykonania robót podstawowych, niezaliczane do robót tymczasowych, jak geodezyjne wytyczenie robót itd.</w:t>
      </w:r>
    </w:p>
    <w:p w14:paraId="6915F5F4" w14:textId="77777777" w:rsidR="00CC1EF4" w:rsidRPr="004853EB" w:rsidRDefault="00CC1EF4" w:rsidP="00CC1EF4">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709" w:name="_Toc161023551"/>
      <w:bookmarkStart w:id="3710" w:name="_Toc179178839"/>
      <w:bookmarkStart w:id="3711" w:name="_Toc194477093"/>
      <w:bookmarkStart w:id="3712" w:name="_Toc227825575"/>
      <w:r w:rsidRPr="004853EB">
        <w:rPr>
          <w:rFonts w:eastAsia="Times New Roman" w:cstheme="minorHAnsi"/>
          <w:b/>
          <w:caps/>
          <w:kern w:val="28"/>
          <w:sz w:val="20"/>
          <w:szCs w:val="20"/>
          <w:lang w:eastAsia="pl-PL"/>
        </w:rPr>
        <w:t>10. PRZEPISY ZWIĄZANE</w:t>
      </w:r>
      <w:bookmarkEnd w:id="3709"/>
      <w:bookmarkEnd w:id="3710"/>
      <w:bookmarkEnd w:id="3711"/>
      <w:bookmarkEnd w:id="3712"/>
    </w:p>
    <w:p w14:paraId="0A897AFE"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13" w:name="_Toc194477094"/>
      <w:bookmarkStart w:id="3714" w:name="_Toc227825576"/>
      <w:r w:rsidRPr="004853EB">
        <w:rPr>
          <w:rFonts w:eastAsia="Times New Roman" w:cstheme="minorHAnsi"/>
          <w:b/>
          <w:sz w:val="20"/>
          <w:szCs w:val="20"/>
          <w:lang w:eastAsia="pl-PL"/>
        </w:rPr>
        <w:t>10.1. Ogólne specyfikacje techniczne (SST)</w:t>
      </w:r>
      <w:bookmarkEnd w:id="3713"/>
      <w:bookmarkEnd w:id="3714"/>
    </w:p>
    <w:tbl>
      <w:tblPr>
        <w:tblW w:w="0" w:type="auto"/>
        <w:tblLayout w:type="fixed"/>
        <w:tblCellMar>
          <w:left w:w="70" w:type="dxa"/>
          <w:right w:w="70" w:type="dxa"/>
        </w:tblCellMar>
        <w:tblLook w:val="0000" w:firstRow="0" w:lastRow="0" w:firstColumn="0" w:lastColumn="0" w:noHBand="0" w:noVBand="0"/>
      </w:tblPr>
      <w:tblGrid>
        <w:gridCol w:w="496"/>
        <w:gridCol w:w="1984"/>
        <w:gridCol w:w="7088"/>
      </w:tblGrid>
      <w:tr w:rsidR="00CC1EF4" w:rsidRPr="004853EB" w14:paraId="15B1B080" w14:textId="77777777" w:rsidTr="00E95D02">
        <w:tc>
          <w:tcPr>
            <w:tcW w:w="496" w:type="dxa"/>
          </w:tcPr>
          <w:p w14:paraId="57402495"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1984" w:type="dxa"/>
          </w:tcPr>
          <w:p w14:paraId="52C85ED1"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D-00.00.00</w:t>
            </w:r>
          </w:p>
        </w:tc>
        <w:tc>
          <w:tcPr>
            <w:tcW w:w="7088" w:type="dxa"/>
          </w:tcPr>
          <w:p w14:paraId="6BEA46F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Wymagania ogólne</w:t>
            </w:r>
          </w:p>
        </w:tc>
      </w:tr>
      <w:tr w:rsidR="00CC1EF4" w:rsidRPr="004853EB" w14:paraId="7DA09555" w14:textId="77777777" w:rsidTr="00E95D02">
        <w:tc>
          <w:tcPr>
            <w:tcW w:w="496" w:type="dxa"/>
          </w:tcPr>
          <w:p w14:paraId="5CCCE3A8"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1984" w:type="dxa"/>
          </w:tcPr>
          <w:p w14:paraId="3B4696F9"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D-01.00.00</w:t>
            </w:r>
          </w:p>
        </w:tc>
        <w:tc>
          <w:tcPr>
            <w:tcW w:w="7088" w:type="dxa"/>
          </w:tcPr>
          <w:p w14:paraId="1E1A9A5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przygotowawcze</w:t>
            </w:r>
          </w:p>
        </w:tc>
      </w:tr>
      <w:tr w:rsidR="00CC1EF4" w:rsidRPr="004853EB" w14:paraId="534360A8" w14:textId="77777777" w:rsidTr="00E95D02">
        <w:tc>
          <w:tcPr>
            <w:tcW w:w="496" w:type="dxa"/>
          </w:tcPr>
          <w:p w14:paraId="148DDCE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1984" w:type="dxa"/>
          </w:tcPr>
          <w:p w14:paraId="215F9F72"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D-02.00.00</w:t>
            </w:r>
          </w:p>
        </w:tc>
        <w:tc>
          <w:tcPr>
            <w:tcW w:w="7088" w:type="dxa"/>
          </w:tcPr>
          <w:p w14:paraId="6C74ADFB"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ziemne</w:t>
            </w:r>
          </w:p>
        </w:tc>
      </w:tr>
      <w:tr w:rsidR="00CC1EF4" w:rsidRPr="004853EB" w14:paraId="060221B8" w14:textId="77777777" w:rsidTr="00E95D02">
        <w:tc>
          <w:tcPr>
            <w:tcW w:w="496" w:type="dxa"/>
          </w:tcPr>
          <w:p w14:paraId="5ADFEB37"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1984" w:type="dxa"/>
          </w:tcPr>
          <w:p w14:paraId="5B4F832E"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D-03.01.03a</w:t>
            </w:r>
          </w:p>
        </w:tc>
        <w:tc>
          <w:tcPr>
            <w:tcW w:w="7088" w:type="dxa"/>
          </w:tcPr>
          <w:p w14:paraId="146872A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Przepust pod koroną drogi z rur polietylenowych HDPE spiralnie karbowanych</w:t>
            </w:r>
          </w:p>
        </w:tc>
      </w:tr>
    </w:tbl>
    <w:p w14:paraId="1AD44F29"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15" w:name="_Toc194477095"/>
      <w:bookmarkStart w:id="3716" w:name="_Toc227825577"/>
      <w:r w:rsidRPr="004853EB">
        <w:rPr>
          <w:rFonts w:eastAsia="Times New Roman" w:cstheme="minorHAnsi"/>
          <w:b/>
          <w:sz w:val="20"/>
          <w:szCs w:val="20"/>
          <w:lang w:eastAsia="pl-PL"/>
        </w:rPr>
        <w:t>10.2. Normy</w:t>
      </w:r>
      <w:bookmarkEnd w:id="3715"/>
      <w:bookmarkEnd w:id="3716"/>
    </w:p>
    <w:tbl>
      <w:tblPr>
        <w:tblW w:w="0" w:type="auto"/>
        <w:tblInd w:w="108" w:type="dxa"/>
        <w:tblLayout w:type="fixed"/>
        <w:tblLook w:val="01E0" w:firstRow="1" w:lastRow="1" w:firstColumn="1" w:lastColumn="1" w:noHBand="0" w:noVBand="0"/>
      </w:tblPr>
      <w:tblGrid>
        <w:gridCol w:w="426"/>
        <w:gridCol w:w="1984"/>
        <w:gridCol w:w="6521"/>
      </w:tblGrid>
      <w:tr w:rsidR="00CC1EF4" w:rsidRPr="004853EB" w14:paraId="493A2F18" w14:textId="77777777" w:rsidTr="00E95D02">
        <w:tc>
          <w:tcPr>
            <w:tcW w:w="426" w:type="dxa"/>
          </w:tcPr>
          <w:p w14:paraId="5DED9E07"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c>
          <w:tcPr>
            <w:tcW w:w="1984" w:type="dxa"/>
          </w:tcPr>
          <w:p w14:paraId="7FD44CFA"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 PN-B-11111:1996</w:t>
            </w:r>
          </w:p>
        </w:tc>
        <w:tc>
          <w:tcPr>
            <w:tcW w:w="6521" w:type="dxa"/>
          </w:tcPr>
          <w:p w14:paraId="0E9A1C3E" w14:textId="2C1CE00A"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Kruszywa mineralne. Kruszywa naturalne do nawierzchni drogowych. Żwir </w:t>
            </w:r>
            <w:r w:rsidR="00C562CD">
              <w:rPr>
                <w:rFonts w:eastAsia="Times New Roman" w:cstheme="minorHAnsi"/>
                <w:sz w:val="20"/>
                <w:szCs w:val="20"/>
                <w:lang w:eastAsia="pl-PL"/>
              </w:rPr>
              <w:br/>
            </w:r>
            <w:r w:rsidRPr="004853EB">
              <w:rPr>
                <w:rFonts w:eastAsia="Times New Roman" w:cstheme="minorHAnsi"/>
                <w:sz w:val="20"/>
                <w:szCs w:val="20"/>
                <w:lang w:eastAsia="pl-PL"/>
              </w:rPr>
              <w:t xml:space="preserve">i mieszanka   </w:t>
            </w:r>
          </w:p>
        </w:tc>
      </w:tr>
    </w:tbl>
    <w:p w14:paraId="26369CA5" w14:textId="77777777" w:rsidR="00CC1EF4" w:rsidRPr="004853EB" w:rsidRDefault="00CC1EF4" w:rsidP="00CC1EF4">
      <w:pPr>
        <w:keepNext/>
        <w:keepLines/>
        <w:suppressAutoHyphens/>
        <w:overflowPunct w:val="0"/>
        <w:autoSpaceDE w:val="0"/>
        <w:autoSpaceDN w:val="0"/>
        <w:adjustRightInd w:val="0"/>
        <w:spacing w:after="0" w:line="240" w:lineRule="auto"/>
        <w:jc w:val="center"/>
        <w:textAlignment w:val="baseline"/>
        <w:outlineLvl w:val="0"/>
        <w:rPr>
          <w:rFonts w:eastAsia="Times New Roman" w:cstheme="minorHAnsi"/>
          <w:b/>
          <w:caps/>
          <w:kern w:val="28"/>
          <w:sz w:val="20"/>
          <w:szCs w:val="20"/>
          <w:lang w:eastAsia="pl-PL"/>
        </w:rPr>
      </w:pPr>
      <w:bookmarkStart w:id="3717" w:name="_Toc179178840"/>
      <w:bookmarkStart w:id="3718" w:name="_Toc194477096"/>
      <w:bookmarkStart w:id="3719" w:name="_Toc227825578"/>
      <w:r w:rsidRPr="004853EB">
        <w:rPr>
          <w:rFonts w:eastAsia="Times New Roman" w:cstheme="minorHAnsi"/>
          <w:b/>
          <w:caps/>
          <w:kern w:val="28"/>
          <w:sz w:val="20"/>
          <w:szCs w:val="20"/>
          <w:lang w:eastAsia="pl-PL"/>
        </w:rPr>
        <w:lastRenderedPageBreak/>
        <w:t>ZAŁĄCZNIKI</w:t>
      </w:r>
      <w:bookmarkEnd w:id="3717"/>
      <w:bookmarkEnd w:id="3718"/>
      <w:bookmarkEnd w:id="3719"/>
    </w:p>
    <w:p w14:paraId="18242CC0"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r w:rsidRPr="004853EB">
        <w:rPr>
          <w:rFonts w:eastAsia="Times New Roman" w:cstheme="minorHAnsi"/>
          <w:b/>
          <w:sz w:val="20"/>
          <w:szCs w:val="20"/>
          <w:lang w:eastAsia="pl-PL"/>
        </w:rPr>
        <w:t>ZAŁĄCZNIK 1</w:t>
      </w:r>
    </w:p>
    <w:p w14:paraId="3ED58E2D" w14:textId="0714F0A3" w:rsidR="00CC1EF4" w:rsidRPr="004853EB" w:rsidRDefault="00C562CD" w:rsidP="00CC1EF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r w:rsidRPr="004853EB">
        <w:rPr>
          <w:rFonts w:eastAsia="Times New Roman" w:cstheme="minorHAnsi"/>
          <w:b/>
          <w:sz w:val="20"/>
          <w:szCs w:val="20"/>
          <w:lang w:eastAsia="pl-PL"/>
        </w:rPr>
        <w:t>ZJAZDY I PRZEPUSTY POD ZJAZDAMI</w:t>
      </w:r>
    </w:p>
    <w:p w14:paraId="21BC38AE" w14:textId="49605470" w:rsidR="00CC1EF4" w:rsidRPr="004853EB" w:rsidRDefault="00CC1EF4" w:rsidP="00C562CD">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(wg rozporządzenia Ministra Transportu i Gospodarki Morskiej z dnia 2 marca 1999 r. w sprawie warunków technicznych, jakim powinny odpowiadać drogi publiczne i ich usytuowanie, Dz.U. nr 43, poz. 430 oraz WPD-2 </w:t>
      </w:r>
      <w:r w:rsidR="00C562CD">
        <w:rPr>
          <w:rFonts w:eastAsia="Times New Roman" w:cstheme="minorHAnsi"/>
          <w:sz w:val="20"/>
          <w:szCs w:val="20"/>
          <w:lang w:eastAsia="pl-PL"/>
        </w:rPr>
        <w:br/>
      </w:r>
      <w:r w:rsidRPr="004853EB">
        <w:rPr>
          <w:rFonts w:eastAsia="Times New Roman" w:cstheme="minorHAnsi"/>
          <w:sz w:val="20"/>
          <w:szCs w:val="20"/>
          <w:lang w:eastAsia="pl-PL"/>
        </w:rPr>
        <w:t>i WPD-3 „Wytyczne projektowania dróg III, IV i V klasy technicznej” i VI-VII klasy technicznej, GDDP, Warszawa 1995)</w:t>
      </w:r>
    </w:p>
    <w:p w14:paraId="4CD72701"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75002940" w14:textId="77777777" w:rsidR="00CC1EF4" w:rsidRPr="004853EB" w:rsidRDefault="00CC1EF4">
      <w:pPr>
        <w:keepNext/>
        <w:numPr>
          <w:ilvl w:val="1"/>
          <w:numId w:val="139"/>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20" w:name="_Toc194477097"/>
      <w:bookmarkStart w:id="3721" w:name="_Toc227825579"/>
      <w:r w:rsidRPr="004853EB">
        <w:rPr>
          <w:rFonts w:eastAsia="Times New Roman" w:cstheme="minorHAnsi"/>
          <w:b/>
          <w:sz w:val="20"/>
          <w:szCs w:val="20"/>
          <w:lang w:eastAsia="pl-PL"/>
        </w:rPr>
        <w:t>Zjazdy</w:t>
      </w:r>
      <w:bookmarkEnd w:id="3720"/>
      <w:bookmarkEnd w:id="3721"/>
    </w:p>
    <w:p w14:paraId="223B7EED"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Zjazdem jest urządzone miejsce dostępu do drogi, uzgodnione z zarządzającym drogą. W zależności od sposobu użytkowania rozróżnia się: a) zjazdy publiczne, b) zjazdy indywidualne.</w:t>
      </w:r>
    </w:p>
    <w:p w14:paraId="5F811B8B" w14:textId="0F942182"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Zjazdem publicznym jest, określony przez zarządcę drogi, zjazd do co najmniej jednego obiektu, </w:t>
      </w:r>
      <w:r w:rsidR="00C562CD">
        <w:rPr>
          <w:rFonts w:eastAsia="Times New Roman" w:cstheme="minorHAnsi"/>
          <w:sz w:val="20"/>
          <w:szCs w:val="20"/>
          <w:lang w:eastAsia="pl-PL"/>
        </w:rPr>
        <w:br/>
      </w:r>
      <w:r w:rsidRPr="004853EB">
        <w:rPr>
          <w:rFonts w:eastAsia="Times New Roman" w:cstheme="minorHAnsi"/>
          <w:sz w:val="20"/>
          <w:szCs w:val="20"/>
          <w:lang w:eastAsia="pl-PL"/>
        </w:rPr>
        <w:t>w którym jest prowadzona działalność gospodarcza, a w szczególności do stacji paliw, obiektu gastronomicznego, hotelowego, przemysłowego, handlowego lub magazynowego.</w:t>
      </w:r>
    </w:p>
    <w:p w14:paraId="770A8E57"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Zjazdem indywidualnym jest, określony przez zarządcę drogi, zjazd do jednego lub kilku obiektów użytkowanych indywidualnie. Zjazd zapewnia dostęp do pojedynczych posesji, zabudowań gospodarczych, na pole lub do innych obiektów.</w:t>
      </w:r>
    </w:p>
    <w:p w14:paraId="6B03A08E"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Szerokość korony zjazdu publicznego powinna wynosić co najmniej 5,0 m, a szerokość jezdni minimum 3,5 m. Szerokość korony zjazdu indywidualnego powinna wynosić co najmniej 4,5 m, a szerokość jezdni minimum 3,0 m. Zjazdy powinny mieć nawierzchnię twardą w granicach pasa drogowego.</w:t>
      </w:r>
    </w:p>
    <w:p w14:paraId="053358A8"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22" w:name="_Toc194477098"/>
      <w:bookmarkStart w:id="3723" w:name="_Toc227825580"/>
      <w:r w:rsidRPr="004853EB">
        <w:rPr>
          <w:rFonts w:eastAsia="Times New Roman" w:cstheme="minorHAnsi"/>
          <w:b/>
          <w:sz w:val="20"/>
          <w:szCs w:val="20"/>
          <w:lang w:eastAsia="pl-PL"/>
        </w:rPr>
        <w:t>1.2. Przepusty pod zjazdami</w:t>
      </w:r>
      <w:bookmarkEnd w:id="3722"/>
      <w:bookmarkEnd w:id="3723"/>
    </w:p>
    <w:p w14:paraId="1DDCDC41" w14:textId="40D64361"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Jeśli zjazd przekracza rów drogowy lub ogranicza spływ wody opadowej musi być wyposażony </w:t>
      </w:r>
      <w:r w:rsidR="00C562CD">
        <w:rPr>
          <w:rFonts w:eastAsia="Times New Roman" w:cstheme="minorHAnsi"/>
          <w:sz w:val="20"/>
          <w:szCs w:val="20"/>
          <w:lang w:eastAsia="pl-PL"/>
        </w:rPr>
        <w:br/>
      </w:r>
      <w:r w:rsidRPr="004853EB">
        <w:rPr>
          <w:rFonts w:eastAsia="Times New Roman" w:cstheme="minorHAnsi"/>
          <w:sz w:val="20"/>
          <w:szCs w:val="20"/>
          <w:lang w:eastAsia="pl-PL"/>
        </w:rPr>
        <w:t>w przepust o średnicy co najmniej 50 cm, a wyjątkowo dopuszcza się 40 cm.</w:t>
      </w:r>
    </w:p>
    <w:p w14:paraId="3CFA7E6F"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Plan sytuacyjny przepustu pod zjazdem przedstawiony jest na rysunku 3.1, a przekrój podłużny przepustu – na rysunku 3.2.</w:t>
      </w:r>
    </w:p>
    <w:p w14:paraId="70D1337A" w14:textId="77777777" w:rsidR="00CC1EF4" w:rsidRPr="004853EB" w:rsidRDefault="00CC1EF4" w:rsidP="00CC1EF4">
      <w:pPr>
        <w:overflowPunct w:val="0"/>
        <w:autoSpaceDE w:val="0"/>
        <w:autoSpaceDN w:val="0"/>
        <w:adjustRightInd w:val="0"/>
        <w:spacing w:after="0" w:line="240" w:lineRule="auto"/>
        <w:jc w:val="right"/>
        <w:textAlignment w:val="baseline"/>
        <w:rPr>
          <w:rFonts w:eastAsia="Times New Roman" w:cstheme="minorHAnsi"/>
          <w:b/>
          <w:sz w:val="20"/>
          <w:szCs w:val="20"/>
          <w:lang w:eastAsia="pl-PL"/>
        </w:rPr>
      </w:pPr>
    </w:p>
    <w:p w14:paraId="002AAE6C"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r w:rsidRPr="004853EB">
        <w:rPr>
          <w:rFonts w:eastAsia="Times New Roman" w:cstheme="minorHAnsi"/>
          <w:b/>
          <w:sz w:val="20"/>
          <w:szCs w:val="20"/>
          <w:lang w:eastAsia="pl-PL"/>
        </w:rPr>
        <w:t>ZAŁĄCZNIK 2</w:t>
      </w:r>
    </w:p>
    <w:p w14:paraId="00722873"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r w:rsidRPr="004853EB">
        <w:rPr>
          <w:rFonts w:eastAsia="Times New Roman" w:cstheme="minorHAnsi"/>
          <w:b/>
          <w:sz w:val="20"/>
          <w:szCs w:val="20"/>
          <w:lang w:eastAsia="pl-PL"/>
        </w:rPr>
        <w:t>RURY   POLIETYLENOWE</w:t>
      </w:r>
    </w:p>
    <w:p w14:paraId="368674A2"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5F353D2F"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24" w:name="_Toc194477099"/>
      <w:bookmarkStart w:id="3725" w:name="_Toc227825581"/>
      <w:r w:rsidRPr="004853EB">
        <w:rPr>
          <w:rFonts w:eastAsia="Times New Roman" w:cstheme="minorHAnsi"/>
          <w:b/>
          <w:sz w:val="20"/>
          <w:szCs w:val="20"/>
          <w:lang w:eastAsia="pl-PL"/>
        </w:rPr>
        <w:t>2.1. Charakterystyka rur polietylenowych HDPE</w:t>
      </w:r>
      <w:bookmarkEnd w:id="3724"/>
      <w:bookmarkEnd w:id="3725"/>
    </w:p>
    <w:p w14:paraId="18791A6E" w14:textId="76E3C131"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Rury do przepustów wykonane są z wysokoudarowej odmiany polietylenu HDPE, wysokiej gęstości, charakteryzującego się dobrą odpornością na działanie roztworu soli i olejów mineralnych i ograniczoną odpornością na benzynę. Materiał jest palny, a zapłon następuje przy bezpośrednim, długotrwałym zetknięciu </w:t>
      </w:r>
      <w:r w:rsidR="00C562CD">
        <w:rPr>
          <w:rFonts w:eastAsia="Times New Roman" w:cstheme="minorHAnsi"/>
          <w:sz w:val="20"/>
          <w:szCs w:val="20"/>
          <w:lang w:eastAsia="pl-PL"/>
        </w:rPr>
        <w:br/>
      </w:r>
      <w:r w:rsidRPr="004853EB">
        <w:rPr>
          <w:rFonts w:eastAsia="Times New Roman" w:cstheme="minorHAnsi"/>
          <w:sz w:val="20"/>
          <w:szCs w:val="20"/>
          <w:lang w:eastAsia="pl-PL"/>
        </w:rPr>
        <w:t>z otwartym ogniem. Skrót HDPE oznacza „high-density polyethylene”, tj. polietylen wysokiej gęstości.</w:t>
      </w:r>
    </w:p>
    <w:p w14:paraId="78F7A614" w14:textId="77777777"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Powierzchnia wewnętrzna rury jest gładka, a powierzchnia zewnętrzna jest wykształcona w formie spiralnego karbu o wielkości i skoku zwoju zależnego od średnicy rury, zwiększającego się ze wzrostem średnicy.</w:t>
      </w:r>
    </w:p>
    <w:p w14:paraId="4FAB4F57" w14:textId="740FB643" w:rsidR="00CC1EF4" w:rsidRPr="004853EB" w:rsidRDefault="00CC1EF4" w:rsidP="00CC1EF4">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Karbowanie rury zaprojektowano w sposób umożliwiający uzyskanie jak największej wytrzymałości rur na ściskanie, w połączeniu z małą masą materiału. Spiralny kształt karbowania pozwala na optymalny rozkład naprężeń w rurze oraz umożliwia dobre wypełnienie cząstkami gruntu przestrzeni między karbami. Wytrzymałość na ściskanie rury, określona na podstawie metody naprężeń pierścieniowych wynosi zwykle </w:t>
      </w:r>
      <w:r w:rsidR="00C562CD" w:rsidRPr="004853EB">
        <w:rPr>
          <w:rFonts w:eastAsia="Times New Roman" w:cstheme="minorHAnsi"/>
          <w:sz w:val="20"/>
          <w:szCs w:val="20"/>
          <w:lang w:eastAsia="pl-PL"/>
        </w:rPr>
        <w:t>minimum 8</w:t>
      </w:r>
      <w:r w:rsidRPr="004853EB">
        <w:rPr>
          <w:rFonts w:eastAsia="Times New Roman" w:cstheme="minorHAnsi"/>
          <w:sz w:val="20"/>
          <w:szCs w:val="20"/>
          <w:lang w:eastAsia="pl-PL"/>
        </w:rPr>
        <w:t xml:space="preserve"> kPa. </w:t>
      </w:r>
    </w:p>
    <w:p w14:paraId="7A0FA307" w14:textId="19AD0DD6" w:rsidR="00CC1EF4" w:rsidRPr="004853EB" w:rsidRDefault="00CC1EF4" w:rsidP="00CC1EF4">
      <w:pPr>
        <w:overflowPunct w:val="0"/>
        <w:autoSpaceDE w:val="0"/>
        <w:autoSpaceDN w:val="0"/>
        <w:adjustRightInd w:val="0"/>
        <w:spacing w:after="0" w:line="240" w:lineRule="auto"/>
        <w:ind w:firstLine="720"/>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Długość wytwarzanych odcinków rur określa producent (zwykle 2÷12 m). Odcinki poszczególnych rur można łączyć za pomocą elementów w formie złączek i opasek zaciskowych lub śrub, z </w:t>
      </w:r>
      <w:r w:rsidR="00C562CD" w:rsidRPr="004853EB">
        <w:rPr>
          <w:rFonts w:eastAsia="Times New Roman" w:cstheme="minorHAnsi"/>
          <w:sz w:val="20"/>
          <w:szCs w:val="20"/>
          <w:lang w:eastAsia="pl-PL"/>
        </w:rPr>
        <w:t>tym,</w:t>
      </w:r>
      <w:r w:rsidRPr="004853EB">
        <w:rPr>
          <w:rFonts w:eastAsia="Times New Roman" w:cstheme="minorHAnsi"/>
          <w:sz w:val="20"/>
          <w:szCs w:val="20"/>
          <w:lang w:eastAsia="pl-PL"/>
        </w:rPr>
        <w:t xml:space="preserve"> że istnieją różne rodzaje złączek: plastikowe z karbami, metalowe jednodzielne lub dwudzielne, w zależności od stosowanej średnicy rury.</w:t>
      </w:r>
    </w:p>
    <w:p w14:paraId="44EE4F5C" w14:textId="1EF89A3E" w:rsidR="00CC1EF4" w:rsidRPr="004853EB" w:rsidRDefault="00CC1EF4" w:rsidP="00CC1EF4">
      <w:pPr>
        <w:overflowPunct w:val="0"/>
        <w:autoSpaceDE w:val="0"/>
        <w:autoSpaceDN w:val="0"/>
        <w:adjustRightInd w:val="0"/>
        <w:spacing w:after="0" w:line="240" w:lineRule="auto"/>
        <w:ind w:firstLine="720"/>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Przykładowy asortyment produkowanych rur polietylenowych spiralnie karbowanych przedstawiono </w:t>
      </w:r>
      <w:r w:rsidR="00C562CD">
        <w:rPr>
          <w:rFonts w:eastAsia="Times New Roman" w:cstheme="minorHAnsi"/>
          <w:sz w:val="20"/>
          <w:szCs w:val="20"/>
          <w:lang w:eastAsia="pl-PL"/>
        </w:rPr>
        <w:br/>
      </w:r>
      <w:r w:rsidRPr="004853EB">
        <w:rPr>
          <w:rFonts w:eastAsia="Times New Roman" w:cstheme="minorHAnsi"/>
          <w:sz w:val="20"/>
          <w:szCs w:val="20"/>
          <w:lang w:eastAsia="pl-PL"/>
        </w:rPr>
        <w:t>w tablicy 2.1, a najmniejsze średnice przepustów pod koroną drogi – w zał. 1, pkt 1.2.</w:t>
      </w:r>
    </w:p>
    <w:p w14:paraId="0567542B" w14:textId="77777777" w:rsidR="00CC1EF4" w:rsidRPr="004853EB" w:rsidRDefault="00CC1EF4" w:rsidP="00CC1EF4">
      <w:pPr>
        <w:tabs>
          <w:tab w:val="left" w:pos="1134"/>
        </w:tabs>
        <w:overflowPunct w:val="0"/>
        <w:autoSpaceDE w:val="0"/>
        <w:autoSpaceDN w:val="0"/>
        <w:adjustRightInd w:val="0"/>
        <w:spacing w:before="120" w:after="120" w:line="240" w:lineRule="auto"/>
        <w:ind w:left="1134" w:hanging="113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2.1.</w:t>
      </w:r>
      <w:r w:rsidRPr="004853EB">
        <w:rPr>
          <w:rFonts w:eastAsia="Times New Roman" w:cstheme="minorHAnsi"/>
          <w:sz w:val="20"/>
          <w:szCs w:val="20"/>
          <w:lang w:eastAsia="pl-PL"/>
        </w:rPr>
        <w:tab/>
        <w:t>Przykładowy asortyment produkowanych rur polietylenowych spiralnie karbowanych (wg danych producenta)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701"/>
        <w:gridCol w:w="1701"/>
        <w:gridCol w:w="1843"/>
        <w:gridCol w:w="1591"/>
      </w:tblGrid>
      <w:tr w:rsidR="00CC1EF4" w:rsidRPr="004853EB" w14:paraId="7ABAB3A6" w14:textId="77777777" w:rsidTr="00E95D02">
        <w:tc>
          <w:tcPr>
            <w:tcW w:w="675" w:type="dxa"/>
            <w:tcBorders>
              <w:bottom w:val="nil"/>
            </w:tcBorders>
          </w:tcPr>
          <w:p w14:paraId="68149DA1"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Lp.</w:t>
            </w:r>
          </w:p>
        </w:tc>
        <w:tc>
          <w:tcPr>
            <w:tcW w:w="3402" w:type="dxa"/>
            <w:gridSpan w:val="2"/>
          </w:tcPr>
          <w:p w14:paraId="79F0298A"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Średnica rury, mm</w:t>
            </w:r>
          </w:p>
        </w:tc>
        <w:tc>
          <w:tcPr>
            <w:tcW w:w="1843" w:type="dxa"/>
            <w:tcBorders>
              <w:bottom w:val="nil"/>
            </w:tcBorders>
          </w:tcPr>
          <w:p w14:paraId="0D767D3C"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Odstęp karbów,</w:t>
            </w:r>
          </w:p>
        </w:tc>
        <w:tc>
          <w:tcPr>
            <w:tcW w:w="1591" w:type="dxa"/>
            <w:tcBorders>
              <w:bottom w:val="nil"/>
            </w:tcBorders>
          </w:tcPr>
          <w:p w14:paraId="15AF2211"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Masa rury,</w:t>
            </w:r>
          </w:p>
        </w:tc>
      </w:tr>
      <w:tr w:rsidR="00CC1EF4" w:rsidRPr="004853EB" w14:paraId="086AE665" w14:textId="77777777" w:rsidTr="00E95D02">
        <w:tc>
          <w:tcPr>
            <w:tcW w:w="675" w:type="dxa"/>
            <w:tcBorders>
              <w:top w:val="nil"/>
              <w:bottom w:val="double" w:sz="4" w:space="0" w:color="auto"/>
            </w:tcBorders>
          </w:tcPr>
          <w:p w14:paraId="678AE076"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tc>
        <w:tc>
          <w:tcPr>
            <w:tcW w:w="1701" w:type="dxa"/>
            <w:tcBorders>
              <w:bottom w:val="double" w:sz="4" w:space="0" w:color="auto"/>
            </w:tcBorders>
          </w:tcPr>
          <w:p w14:paraId="55D20421"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nominalna</w:t>
            </w:r>
          </w:p>
        </w:tc>
        <w:tc>
          <w:tcPr>
            <w:tcW w:w="1701" w:type="dxa"/>
            <w:tcBorders>
              <w:bottom w:val="double" w:sz="4" w:space="0" w:color="auto"/>
            </w:tcBorders>
          </w:tcPr>
          <w:p w14:paraId="74F54A17"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zewnętrzna</w:t>
            </w:r>
          </w:p>
        </w:tc>
        <w:tc>
          <w:tcPr>
            <w:tcW w:w="1843" w:type="dxa"/>
            <w:tcBorders>
              <w:top w:val="nil"/>
              <w:bottom w:val="double" w:sz="4" w:space="0" w:color="auto"/>
            </w:tcBorders>
          </w:tcPr>
          <w:p w14:paraId="012847F9"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mm</w:t>
            </w:r>
          </w:p>
        </w:tc>
        <w:tc>
          <w:tcPr>
            <w:tcW w:w="1591" w:type="dxa"/>
            <w:tcBorders>
              <w:top w:val="nil"/>
              <w:bottom w:val="double" w:sz="4" w:space="0" w:color="auto"/>
            </w:tcBorders>
          </w:tcPr>
          <w:p w14:paraId="015DD96D"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kg/m</w:t>
            </w:r>
          </w:p>
        </w:tc>
      </w:tr>
      <w:tr w:rsidR="00CC1EF4" w:rsidRPr="004853EB" w14:paraId="352DD3CF" w14:textId="77777777" w:rsidTr="00E95D02">
        <w:tc>
          <w:tcPr>
            <w:tcW w:w="675" w:type="dxa"/>
            <w:tcBorders>
              <w:top w:val="double" w:sz="4" w:space="0" w:color="auto"/>
            </w:tcBorders>
          </w:tcPr>
          <w:p w14:paraId="08156DB9"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1701" w:type="dxa"/>
            <w:tcBorders>
              <w:top w:val="double" w:sz="4" w:space="0" w:color="auto"/>
            </w:tcBorders>
          </w:tcPr>
          <w:p w14:paraId="391EFFD0"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300</w:t>
            </w:r>
          </w:p>
        </w:tc>
        <w:tc>
          <w:tcPr>
            <w:tcW w:w="1701" w:type="dxa"/>
            <w:tcBorders>
              <w:top w:val="double" w:sz="4" w:space="0" w:color="auto"/>
            </w:tcBorders>
          </w:tcPr>
          <w:p w14:paraId="75489261"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364,5</w:t>
            </w:r>
          </w:p>
        </w:tc>
        <w:tc>
          <w:tcPr>
            <w:tcW w:w="1843" w:type="dxa"/>
            <w:tcBorders>
              <w:top w:val="double" w:sz="4" w:space="0" w:color="auto"/>
            </w:tcBorders>
          </w:tcPr>
          <w:p w14:paraId="7C248B1F"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52,5</w:t>
            </w:r>
          </w:p>
        </w:tc>
        <w:tc>
          <w:tcPr>
            <w:tcW w:w="1591" w:type="dxa"/>
            <w:tcBorders>
              <w:top w:val="double" w:sz="4" w:space="0" w:color="auto"/>
            </w:tcBorders>
          </w:tcPr>
          <w:p w14:paraId="20FA1614"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5,5</w:t>
            </w:r>
          </w:p>
        </w:tc>
      </w:tr>
      <w:tr w:rsidR="00CC1EF4" w:rsidRPr="004853EB" w14:paraId="3988F316" w14:textId="77777777" w:rsidTr="00E95D02">
        <w:tc>
          <w:tcPr>
            <w:tcW w:w="675" w:type="dxa"/>
          </w:tcPr>
          <w:p w14:paraId="3A237E2C"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1701" w:type="dxa"/>
          </w:tcPr>
          <w:p w14:paraId="7EAC2CE1"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400</w:t>
            </w:r>
          </w:p>
        </w:tc>
        <w:tc>
          <w:tcPr>
            <w:tcW w:w="1701" w:type="dxa"/>
          </w:tcPr>
          <w:p w14:paraId="2E42BE35"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485,8</w:t>
            </w:r>
          </w:p>
        </w:tc>
        <w:tc>
          <w:tcPr>
            <w:tcW w:w="1843" w:type="dxa"/>
          </w:tcPr>
          <w:p w14:paraId="5187C481"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70,0</w:t>
            </w:r>
          </w:p>
        </w:tc>
        <w:tc>
          <w:tcPr>
            <w:tcW w:w="1591" w:type="dxa"/>
          </w:tcPr>
          <w:p w14:paraId="608A6D1E"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9,6</w:t>
            </w:r>
          </w:p>
        </w:tc>
      </w:tr>
      <w:tr w:rsidR="00CC1EF4" w:rsidRPr="004853EB" w14:paraId="45CF8A6A" w14:textId="77777777" w:rsidTr="00E95D02">
        <w:tc>
          <w:tcPr>
            <w:tcW w:w="675" w:type="dxa"/>
          </w:tcPr>
          <w:p w14:paraId="55E26F01"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3</w:t>
            </w:r>
          </w:p>
        </w:tc>
        <w:tc>
          <w:tcPr>
            <w:tcW w:w="1701" w:type="dxa"/>
          </w:tcPr>
          <w:p w14:paraId="6AC9554C"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500</w:t>
            </w:r>
          </w:p>
        </w:tc>
        <w:tc>
          <w:tcPr>
            <w:tcW w:w="1701" w:type="dxa"/>
          </w:tcPr>
          <w:p w14:paraId="48DA3FF1"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621,0</w:t>
            </w:r>
          </w:p>
        </w:tc>
        <w:tc>
          <w:tcPr>
            <w:tcW w:w="1843" w:type="dxa"/>
          </w:tcPr>
          <w:p w14:paraId="77D3D9CA"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87,5</w:t>
            </w:r>
          </w:p>
        </w:tc>
        <w:tc>
          <w:tcPr>
            <w:tcW w:w="1591" w:type="dxa"/>
          </w:tcPr>
          <w:p w14:paraId="1557010A"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15,8</w:t>
            </w:r>
          </w:p>
        </w:tc>
      </w:tr>
      <w:tr w:rsidR="00CC1EF4" w:rsidRPr="004853EB" w14:paraId="4694AF1D" w14:textId="77777777" w:rsidTr="00E95D02">
        <w:tc>
          <w:tcPr>
            <w:tcW w:w="675" w:type="dxa"/>
          </w:tcPr>
          <w:p w14:paraId="45FDDDAC"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1701" w:type="dxa"/>
          </w:tcPr>
          <w:p w14:paraId="372DEF2B"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600</w:t>
            </w:r>
          </w:p>
        </w:tc>
        <w:tc>
          <w:tcPr>
            <w:tcW w:w="1701" w:type="dxa"/>
          </w:tcPr>
          <w:p w14:paraId="783D1CBC"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728,4</w:t>
            </w:r>
          </w:p>
        </w:tc>
        <w:tc>
          <w:tcPr>
            <w:tcW w:w="1843" w:type="dxa"/>
          </w:tcPr>
          <w:p w14:paraId="5B844983"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105,0</w:t>
            </w:r>
          </w:p>
        </w:tc>
        <w:tc>
          <w:tcPr>
            <w:tcW w:w="1591" w:type="dxa"/>
          </w:tcPr>
          <w:p w14:paraId="7D05121C" w14:textId="77777777" w:rsidR="00CC1EF4" w:rsidRPr="004853EB" w:rsidRDefault="00CC1EF4" w:rsidP="00CC1EF4">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21,3</w:t>
            </w:r>
          </w:p>
        </w:tc>
      </w:tr>
    </w:tbl>
    <w:p w14:paraId="510EB796" w14:textId="77777777" w:rsidR="00CC1EF4" w:rsidRPr="004853EB" w:rsidRDefault="00CC1EF4" w:rsidP="00CC1EF4">
      <w:pPr>
        <w:keepNext/>
        <w:overflowPunct w:val="0"/>
        <w:autoSpaceDE w:val="0"/>
        <w:autoSpaceDN w:val="0"/>
        <w:adjustRightInd w:val="0"/>
        <w:spacing w:before="240" w:after="120" w:line="240" w:lineRule="auto"/>
        <w:jc w:val="both"/>
        <w:textAlignment w:val="baseline"/>
        <w:outlineLvl w:val="1"/>
        <w:rPr>
          <w:rFonts w:eastAsia="Times New Roman" w:cstheme="minorHAnsi"/>
          <w:b/>
          <w:sz w:val="20"/>
          <w:szCs w:val="20"/>
          <w:lang w:eastAsia="pl-PL"/>
        </w:rPr>
      </w:pPr>
      <w:bookmarkStart w:id="3726" w:name="_Toc194477100"/>
      <w:bookmarkStart w:id="3727" w:name="_Toc227825582"/>
      <w:r w:rsidRPr="004853EB">
        <w:rPr>
          <w:rFonts w:eastAsia="Times New Roman" w:cstheme="minorHAnsi"/>
          <w:b/>
          <w:sz w:val="20"/>
          <w:szCs w:val="20"/>
          <w:lang w:eastAsia="pl-PL"/>
        </w:rPr>
        <w:t>2.2. Zalety rur polietylenowych</w:t>
      </w:r>
      <w:bookmarkEnd w:id="3726"/>
      <w:bookmarkEnd w:id="3727"/>
    </w:p>
    <w:p w14:paraId="3CA5DD5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Przepusty z rur polietylenowych HDPE mają następujące, pozytywne cechy:</w:t>
      </w:r>
    </w:p>
    <w:p w14:paraId="4229495E" w14:textId="77777777" w:rsidR="00CC1EF4" w:rsidRPr="004853EB" w:rsidRDefault="00CC1EF4">
      <w:pPr>
        <w:numPr>
          <w:ilvl w:val="0"/>
          <w:numId w:val="2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montaż rur przepustu może być dokonany ręcznie, bez użycia cięższego sprzętu mechanicznego,</w:t>
      </w:r>
    </w:p>
    <w:p w14:paraId="44F0712B" w14:textId="77777777" w:rsidR="00CC1EF4" w:rsidRPr="004853EB" w:rsidRDefault="00CC1EF4">
      <w:pPr>
        <w:numPr>
          <w:ilvl w:val="0"/>
          <w:numId w:val="2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sposób montażu rur minimalizuje okres czasu potrzebny do budowy obiektu,</w:t>
      </w:r>
    </w:p>
    <w:p w14:paraId="5732462D" w14:textId="77777777" w:rsidR="00CC1EF4" w:rsidRPr="004853EB" w:rsidRDefault="00CC1EF4">
      <w:pPr>
        <w:numPr>
          <w:ilvl w:val="0"/>
          <w:numId w:val="2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rury polietylenowe nie wymagają ścianek czołowych przepustu, zwykle dostosowuje się je do pochylenia skarp nasypu, przez przycięcie,</w:t>
      </w:r>
    </w:p>
    <w:p w14:paraId="3EBB1818" w14:textId="77777777" w:rsidR="00CC1EF4" w:rsidRPr="004853EB" w:rsidRDefault="00CC1EF4">
      <w:pPr>
        <w:numPr>
          <w:ilvl w:val="0"/>
          <w:numId w:val="2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przepust z rur polietylenowych jest odporny na działanie agresywnych związków chemicznych; nie wymaga robót izolacyjnych,</w:t>
      </w:r>
    </w:p>
    <w:p w14:paraId="2A983234" w14:textId="77777777" w:rsidR="00CC1EF4" w:rsidRPr="004853EB" w:rsidRDefault="00CC1EF4">
      <w:pPr>
        <w:numPr>
          <w:ilvl w:val="0"/>
          <w:numId w:val="2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montaż przepustu można wykonywać w ujemnych temperaturach otoczenia,</w:t>
      </w:r>
    </w:p>
    <w:p w14:paraId="2BCAB46E" w14:textId="77777777" w:rsidR="00CC1EF4" w:rsidRPr="004853EB" w:rsidRDefault="00CC1EF4">
      <w:pPr>
        <w:numPr>
          <w:ilvl w:val="0"/>
          <w:numId w:val="2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istnieje łatwość czyszczenia przepustu: wodą w okresie letnim lub parą wodną 105°C w okresie zimowym.</w:t>
      </w:r>
    </w:p>
    <w:p w14:paraId="1A78BB00" w14:textId="77777777" w:rsidR="00CC1EF4" w:rsidRPr="004853EB" w:rsidRDefault="00CC1EF4" w:rsidP="00CC1EF4">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28" w:name="_Toc194477101"/>
      <w:bookmarkStart w:id="3729" w:name="_Toc227825583"/>
      <w:r w:rsidRPr="004853EB">
        <w:rPr>
          <w:rFonts w:eastAsia="Times New Roman" w:cstheme="minorHAnsi"/>
          <w:b/>
          <w:sz w:val="20"/>
          <w:szCs w:val="20"/>
          <w:lang w:eastAsia="pl-PL"/>
        </w:rPr>
        <w:t>2.3. Przepust z rur polietylenowych pod zjazdem</w:t>
      </w:r>
      <w:bookmarkEnd w:id="3728"/>
      <w:bookmarkEnd w:id="3729"/>
    </w:p>
    <w:p w14:paraId="24AABD14"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Rury polietylenowe mogą być stosowane do wykonania przepustów pod zjazdami.</w:t>
      </w:r>
    </w:p>
    <w:p w14:paraId="45246615" w14:textId="56C511A5"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Pod zjazdami z dróg publicznych można stosować nadsypkę dla rur przepustów od 0,3 do 0,4 m. </w:t>
      </w:r>
      <w:r w:rsidR="00C562CD">
        <w:rPr>
          <w:rFonts w:eastAsia="Times New Roman" w:cstheme="minorHAnsi"/>
          <w:sz w:val="20"/>
          <w:szCs w:val="20"/>
          <w:lang w:eastAsia="pl-PL"/>
        </w:rPr>
        <w:br/>
      </w:r>
      <w:r w:rsidRPr="004853EB">
        <w:rPr>
          <w:rFonts w:eastAsia="Times New Roman" w:cstheme="minorHAnsi"/>
          <w:sz w:val="20"/>
          <w:szCs w:val="20"/>
          <w:lang w:eastAsia="pl-PL"/>
        </w:rPr>
        <w:t xml:space="preserve">W </w:t>
      </w:r>
      <w:r w:rsidR="00C562CD" w:rsidRPr="004853EB">
        <w:rPr>
          <w:rFonts w:eastAsia="Times New Roman" w:cstheme="minorHAnsi"/>
          <w:sz w:val="20"/>
          <w:szCs w:val="20"/>
          <w:lang w:eastAsia="pl-PL"/>
        </w:rPr>
        <w:t>przypadku,</w:t>
      </w:r>
      <w:r w:rsidRPr="004853EB">
        <w:rPr>
          <w:rFonts w:eastAsia="Times New Roman" w:cstheme="minorHAnsi"/>
          <w:sz w:val="20"/>
          <w:szCs w:val="20"/>
          <w:lang w:eastAsia="pl-PL"/>
        </w:rPr>
        <w:t xml:space="preserve"> gdy warstwa nawierzchni jest grubsza niż minimalna zasypka, to grubość zasypki z kruszywa nad rurą powinna wynosić min. 0,10÷0,15 m, mierząc od karbu rury.</w:t>
      </w:r>
    </w:p>
    <w:p w14:paraId="206D07DA" w14:textId="35F68692"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Końce rury mają zwykle ścięcia dostosowujące jej wyloty do kształtu nasypu (pochylenia skarp). Nie zachodzi konieczność wykonania specjalnego zabezpieczenia wlotu i </w:t>
      </w:r>
      <w:r w:rsidR="00C562CD" w:rsidRPr="004853EB">
        <w:rPr>
          <w:rFonts w:eastAsia="Times New Roman" w:cstheme="minorHAnsi"/>
          <w:sz w:val="20"/>
          <w:szCs w:val="20"/>
          <w:lang w:eastAsia="pl-PL"/>
        </w:rPr>
        <w:t>wylotu,</w:t>
      </w:r>
      <w:r w:rsidRPr="004853EB">
        <w:rPr>
          <w:rFonts w:eastAsia="Times New Roman" w:cstheme="minorHAnsi"/>
          <w:sz w:val="20"/>
          <w:szCs w:val="20"/>
          <w:lang w:eastAsia="pl-PL"/>
        </w:rPr>
        <w:t xml:space="preserve"> jeśli przepust ma średnicę mniejszą niż 300 mm, zwłaszcza gdy wykonany jest na cieku suchym przez większą część roku.</w:t>
      </w:r>
    </w:p>
    <w:p w14:paraId="11D2EFF8"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052FAA81" w14:textId="77777777" w:rsidR="003A11E0" w:rsidRPr="004853EB" w:rsidRDefault="003A11E0"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10ACD881" w14:textId="77777777" w:rsidR="003A11E0" w:rsidRPr="004853EB" w:rsidRDefault="003A11E0"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1FA84D5"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r w:rsidRPr="004853EB">
        <w:rPr>
          <w:rFonts w:eastAsia="Times New Roman" w:cstheme="minorHAnsi"/>
          <w:b/>
          <w:sz w:val="20"/>
          <w:szCs w:val="20"/>
          <w:lang w:eastAsia="pl-PL"/>
        </w:rPr>
        <w:t>ZAŁĄCZNIK 3</w:t>
      </w:r>
    </w:p>
    <w:p w14:paraId="12C6D385"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r w:rsidRPr="004853EB">
        <w:rPr>
          <w:rFonts w:eastAsia="Times New Roman" w:cstheme="minorHAnsi"/>
          <w:b/>
          <w:sz w:val="20"/>
          <w:szCs w:val="20"/>
          <w:lang w:eastAsia="pl-PL"/>
        </w:rPr>
        <w:t>RYSUNKI</w:t>
      </w:r>
    </w:p>
    <w:p w14:paraId="70AD5D9F" w14:textId="77777777" w:rsidR="00CC1EF4" w:rsidRPr="004853EB" w:rsidRDefault="00CC1EF4" w:rsidP="00CC1EF4">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45ED8177"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Rys. 3.1. Przykładowe rozwiązanie sytuacyjne zjazdu indywidualnego z przepustem</w:t>
      </w:r>
    </w:p>
    <w:p w14:paraId="438C90DD"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029E57F0"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noProof/>
          <w:sz w:val="20"/>
          <w:szCs w:val="20"/>
          <w:lang w:eastAsia="pl-PL"/>
        </w:rPr>
        <w:drawing>
          <wp:inline distT="0" distB="0" distL="0" distR="0" wp14:anchorId="12E93E82" wp14:editId="03DB38A7">
            <wp:extent cx="4676775" cy="3686175"/>
            <wp:effectExtent l="0" t="0" r="9525" b="9525"/>
            <wp:docPr id="23" name="Obraz 23" descr="r1k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r1ko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676775" cy="3686175"/>
                    </a:xfrm>
                    <a:prstGeom prst="rect">
                      <a:avLst/>
                    </a:prstGeom>
                    <a:noFill/>
                    <a:ln>
                      <a:noFill/>
                    </a:ln>
                  </pic:spPr>
                </pic:pic>
              </a:graphicData>
            </a:graphic>
          </wp:inline>
        </w:drawing>
      </w:r>
    </w:p>
    <w:p w14:paraId="0FA04A03" w14:textId="77777777" w:rsidR="00CC1EF4" w:rsidRPr="004853EB" w:rsidRDefault="00CC1EF4" w:rsidP="00CC1EF4">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134414EF" w14:textId="77777777" w:rsidR="00CC1EF4" w:rsidRPr="004853EB" w:rsidRDefault="00CC1EF4" w:rsidP="00CC1EF4">
      <w:pPr>
        <w:overflowPunct w:val="0"/>
        <w:autoSpaceDE w:val="0"/>
        <w:autoSpaceDN w:val="0"/>
        <w:adjustRightInd w:val="0"/>
        <w:spacing w:after="0" w:line="240" w:lineRule="auto"/>
        <w:ind w:left="851" w:hanging="851"/>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Rys. 3.2. Przekrój podłużny przepustu z rury polietylenowej średnicy 40÷50 cm pod zjazdem</w:t>
      </w:r>
    </w:p>
    <w:p w14:paraId="35E3D603" w14:textId="77777777" w:rsidR="00CC1EF4" w:rsidRPr="004853EB" w:rsidRDefault="00CC1EF4" w:rsidP="00CC1EF4">
      <w:pPr>
        <w:overflowPunct w:val="0"/>
        <w:autoSpaceDE w:val="0"/>
        <w:autoSpaceDN w:val="0"/>
        <w:adjustRightInd w:val="0"/>
        <w:spacing w:after="0" w:line="240" w:lineRule="auto"/>
        <w:ind w:left="851" w:hanging="851"/>
        <w:jc w:val="both"/>
        <w:textAlignment w:val="baseline"/>
        <w:rPr>
          <w:rFonts w:eastAsia="Times New Roman" w:cstheme="minorHAnsi"/>
          <w:sz w:val="20"/>
          <w:szCs w:val="20"/>
          <w:lang w:eastAsia="pl-PL"/>
        </w:rPr>
      </w:pPr>
    </w:p>
    <w:p w14:paraId="00960BFB" w14:textId="77777777" w:rsidR="00CC1EF4" w:rsidRPr="004853EB" w:rsidRDefault="00CC1EF4" w:rsidP="00CC1EF4">
      <w:pPr>
        <w:overflowPunct w:val="0"/>
        <w:autoSpaceDE w:val="0"/>
        <w:autoSpaceDN w:val="0"/>
        <w:adjustRightInd w:val="0"/>
        <w:spacing w:after="0" w:line="240" w:lineRule="auto"/>
        <w:ind w:left="851" w:hanging="851"/>
        <w:jc w:val="center"/>
        <w:textAlignment w:val="baseline"/>
        <w:rPr>
          <w:rFonts w:eastAsia="Times New Roman" w:cstheme="minorHAnsi"/>
          <w:sz w:val="20"/>
          <w:szCs w:val="20"/>
          <w:lang w:eastAsia="pl-PL"/>
        </w:rPr>
      </w:pPr>
      <w:r w:rsidRPr="004853EB">
        <w:rPr>
          <w:rFonts w:eastAsia="Times New Roman" w:cstheme="minorHAnsi"/>
          <w:noProof/>
          <w:sz w:val="20"/>
          <w:szCs w:val="20"/>
          <w:lang w:eastAsia="pl-PL"/>
        </w:rPr>
        <w:drawing>
          <wp:inline distT="0" distB="0" distL="0" distR="0" wp14:anchorId="0AE1CB93" wp14:editId="11C313CC">
            <wp:extent cx="4295775" cy="2266950"/>
            <wp:effectExtent l="0" t="0" r="9525" b="0"/>
            <wp:docPr id="22" name="Obraz 22" descr="r2k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r2ko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295775" cy="2266950"/>
                    </a:xfrm>
                    <a:prstGeom prst="rect">
                      <a:avLst/>
                    </a:prstGeom>
                    <a:noFill/>
                    <a:ln>
                      <a:noFill/>
                    </a:ln>
                  </pic:spPr>
                </pic:pic>
              </a:graphicData>
            </a:graphic>
          </wp:inline>
        </w:drawing>
      </w:r>
    </w:p>
    <w:p w14:paraId="17565C53" w14:textId="77777777" w:rsidR="00CC1EF4" w:rsidRPr="004853EB" w:rsidRDefault="00CC1EF4">
      <w:pPr>
        <w:rPr>
          <w:rFonts w:cstheme="minorHAnsi"/>
        </w:rPr>
      </w:pPr>
    </w:p>
    <w:p w14:paraId="6720A236" w14:textId="77777777" w:rsidR="00CC1EF4" w:rsidRPr="004853EB" w:rsidRDefault="00CC1EF4">
      <w:pPr>
        <w:rPr>
          <w:rFonts w:cstheme="minorHAnsi"/>
        </w:rPr>
      </w:pPr>
    </w:p>
    <w:p w14:paraId="69FBD096" w14:textId="77777777" w:rsidR="00CC1EF4" w:rsidRPr="004853EB" w:rsidRDefault="00CC1EF4">
      <w:pPr>
        <w:rPr>
          <w:rFonts w:cstheme="minorHAnsi"/>
        </w:rPr>
      </w:pPr>
    </w:p>
    <w:p w14:paraId="7C7E0047" w14:textId="77777777" w:rsidR="00CC1EF4" w:rsidRPr="004853EB" w:rsidRDefault="00CC1EF4">
      <w:pPr>
        <w:rPr>
          <w:rFonts w:cstheme="minorHAnsi"/>
        </w:rPr>
      </w:pPr>
    </w:p>
    <w:p w14:paraId="08DD9251" w14:textId="77777777" w:rsidR="00CC1EF4" w:rsidRDefault="00CC1EF4">
      <w:pPr>
        <w:rPr>
          <w:rFonts w:cstheme="minorHAnsi"/>
        </w:rPr>
      </w:pPr>
    </w:p>
    <w:p w14:paraId="2DFA1C3F" w14:textId="77777777" w:rsidR="002A326C" w:rsidRDefault="002A326C">
      <w:pPr>
        <w:rPr>
          <w:rFonts w:cstheme="minorHAnsi"/>
        </w:rPr>
      </w:pPr>
    </w:p>
    <w:p w14:paraId="070FEBA4" w14:textId="77777777" w:rsidR="002A326C" w:rsidRDefault="002A326C">
      <w:pPr>
        <w:rPr>
          <w:rFonts w:cstheme="minorHAnsi"/>
        </w:rPr>
      </w:pPr>
    </w:p>
    <w:p w14:paraId="1EACB515" w14:textId="77777777" w:rsidR="002A326C" w:rsidRDefault="002A326C">
      <w:pPr>
        <w:rPr>
          <w:rFonts w:cstheme="minorHAnsi"/>
        </w:rPr>
      </w:pPr>
    </w:p>
    <w:p w14:paraId="7F93BB74" w14:textId="77777777" w:rsidR="002A326C" w:rsidRDefault="002A326C">
      <w:pPr>
        <w:rPr>
          <w:rFonts w:cstheme="minorHAnsi"/>
        </w:rPr>
      </w:pPr>
    </w:p>
    <w:p w14:paraId="55402A6D" w14:textId="77777777" w:rsidR="002A326C" w:rsidRDefault="002A326C">
      <w:pPr>
        <w:rPr>
          <w:rFonts w:cstheme="minorHAnsi"/>
        </w:rPr>
      </w:pPr>
    </w:p>
    <w:p w14:paraId="6D59DB3A" w14:textId="77777777" w:rsidR="002A326C" w:rsidRDefault="002A326C">
      <w:pPr>
        <w:rPr>
          <w:rFonts w:cstheme="minorHAnsi"/>
        </w:rPr>
      </w:pPr>
    </w:p>
    <w:p w14:paraId="401BDEF4" w14:textId="77777777" w:rsidR="002A326C" w:rsidRDefault="002A326C">
      <w:pPr>
        <w:rPr>
          <w:rFonts w:cstheme="minorHAnsi"/>
        </w:rPr>
      </w:pPr>
    </w:p>
    <w:p w14:paraId="35CE308C" w14:textId="77777777" w:rsidR="002A326C" w:rsidRDefault="002A326C">
      <w:pPr>
        <w:rPr>
          <w:rFonts w:cstheme="minorHAnsi"/>
        </w:rPr>
      </w:pPr>
    </w:p>
    <w:p w14:paraId="40B9A12E" w14:textId="77777777" w:rsidR="002A326C" w:rsidRDefault="002A326C">
      <w:pPr>
        <w:rPr>
          <w:rFonts w:cstheme="minorHAnsi"/>
        </w:rPr>
      </w:pPr>
    </w:p>
    <w:p w14:paraId="59E25BA1" w14:textId="77777777" w:rsidR="002A326C" w:rsidRDefault="002A326C">
      <w:pPr>
        <w:rPr>
          <w:rFonts w:cstheme="minorHAnsi"/>
        </w:rPr>
      </w:pPr>
    </w:p>
    <w:p w14:paraId="0BA63502" w14:textId="77777777" w:rsidR="002A326C" w:rsidRDefault="002A326C">
      <w:pPr>
        <w:rPr>
          <w:rFonts w:cstheme="minorHAnsi"/>
        </w:rPr>
      </w:pPr>
    </w:p>
    <w:p w14:paraId="41DBA029" w14:textId="77777777" w:rsidR="002A326C" w:rsidRDefault="002A326C">
      <w:pPr>
        <w:rPr>
          <w:rFonts w:cstheme="minorHAnsi"/>
        </w:rPr>
      </w:pPr>
    </w:p>
    <w:p w14:paraId="7A433E46" w14:textId="77777777" w:rsidR="002A326C" w:rsidRPr="004853EB" w:rsidRDefault="002A326C">
      <w:pPr>
        <w:rPr>
          <w:rFonts w:cstheme="minorHAnsi"/>
        </w:rPr>
      </w:pPr>
    </w:p>
    <w:p w14:paraId="3742DDE8" w14:textId="77777777" w:rsidR="00CC1EF4" w:rsidRPr="004853EB" w:rsidRDefault="00CC1EF4">
      <w:pPr>
        <w:rPr>
          <w:rFonts w:cstheme="minorHAnsi"/>
        </w:rPr>
      </w:pPr>
    </w:p>
    <w:p w14:paraId="1B47D4C4" w14:textId="0824F0FC" w:rsidR="00E95D02" w:rsidRPr="004853EB" w:rsidRDefault="00E95D02" w:rsidP="003A11E0">
      <w:pPr>
        <w:pStyle w:val="Nagwek1"/>
        <w:rPr>
          <w:rFonts w:asciiTheme="minorHAnsi" w:hAnsiTheme="minorHAnsi" w:cstheme="minorHAnsi"/>
          <w:sz w:val="22"/>
          <w:szCs w:val="22"/>
        </w:rPr>
      </w:pPr>
      <w:bookmarkStart w:id="3730" w:name="_Toc227825584"/>
      <w:r w:rsidRPr="004853EB">
        <w:rPr>
          <w:rFonts w:asciiTheme="minorHAnsi" w:hAnsiTheme="minorHAnsi" w:cstheme="minorHAnsi"/>
          <w:sz w:val="22"/>
          <w:szCs w:val="22"/>
        </w:rPr>
        <w:lastRenderedPageBreak/>
        <w:t xml:space="preserve">D </w:t>
      </w:r>
      <w:r w:rsidR="003A11E0" w:rsidRPr="004853EB">
        <w:rPr>
          <w:rFonts w:asciiTheme="minorHAnsi" w:hAnsiTheme="minorHAnsi" w:cstheme="minorHAnsi"/>
          <w:sz w:val="22"/>
          <w:szCs w:val="22"/>
        </w:rPr>
        <w:t>-</w:t>
      </w:r>
      <w:r w:rsidRPr="004853EB">
        <w:rPr>
          <w:rFonts w:asciiTheme="minorHAnsi" w:hAnsiTheme="minorHAnsi" w:cstheme="minorHAnsi"/>
          <w:sz w:val="22"/>
          <w:szCs w:val="22"/>
        </w:rPr>
        <w:t xml:space="preserve"> 06.03.01a POBOCZE UTWARDZONE KRUSZYWEM ŁAMANYM</w:t>
      </w:r>
      <w:bookmarkEnd w:id="3730"/>
      <w:r w:rsidRPr="004853EB">
        <w:rPr>
          <w:rFonts w:asciiTheme="minorHAnsi" w:hAnsiTheme="minorHAnsi" w:cstheme="minorHAnsi"/>
          <w:b w:val="0"/>
          <w:sz w:val="28"/>
        </w:rPr>
        <w:t xml:space="preserve"> </w:t>
      </w:r>
    </w:p>
    <w:p w14:paraId="2DBA219F"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731" w:name="_Toc211316612"/>
      <w:bookmarkStart w:id="3732" w:name="_Toc194477103"/>
      <w:bookmarkStart w:id="3733" w:name="_Toc227825585"/>
      <w:r w:rsidRPr="004853EB">
        <w:rPr>
          <w:rFonts w:eastAsia="Times New Roman" w:cstheme="minorHAnsi"/>
          <w:b/>
          <w:caps/>
          <w:kern w:val="28"/>
          <w:sz w:val="20"/>
          <w:szCs w:val="20"/>
          <w:lang w:eastAsia="pl-PL"/>
        </w:rPr>
        <w:t>1. WSTĘP</w:t>
      </w:r>
      <w:bookmarkEnd w:id="3731"/>
      <w:bookmarkEnd w:id="3732"/>
      <w:bookmarkEnd w:id="3733"/>
    </w:p>
    <w:p w14:paraId="58A89000"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34" w:name="_Toc194477104"/>
      <w:bookmarkStart w:id="3735" w:name="_Toc227825586"/>
      <w:r w:rsidRPr="004853EB">
        <w:rPr>
          <w:rFonts w:eastAsia="Times New Roman" w:cstheme="minorHAnsi"/>
          <w:b/>
          <w:sz w:val="20"/>
          <w:szCs w:val="20"/>
          <w:lang w:eastAsia="pl-PL"/>
        </w:rPr>
        <w:t>1.1. Przedmiot SST</w:t>
      </w:r>
      <w:bookmarkEnd w:id="3734"/>
      <w:bookmarkEnd w:id="3735"/>
    </w:p>
    <w:p w14:paraId="55A93587"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Przedmiotem niniejszej szczegółowej specyfikacji technicznej (SST) są wymagania dotyczące wykonania i odbioru robót związanych z utwardzeniem pobocza kruszywem.</w:t>
      </w:r>
    </w:p>
    <w:p w14:paraId="57775A9A"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36" w:name="_Toc194477105"/>
      <w:bookmarkStart w:id="3737" w:name="_Toc227825587"/>
      <w:r w:rsidRPr="004853EB">
        <w:rPr>
          <w:rFonts w:eastAsia="Times New Roman" w:cstheme="minorHAnsi"/>
          <w:b/>
          <w:sz w:val="20"/>
          <w:szCs w:val="20"/>
          <w:lang w:eastAsia="pl-PL"/>
        </w:rPr>
        <w:t>1.2. Zakres stosowania SST</w:t>
      </w:r>
      <w:bookmarkEnd w:id="3736"/>
      <w:bookmarkEnd w:id="3737"/>
    </w:p>
    <w:p w14:paraId="18DBA8A1"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Specyfikacja techniczna jest stosowana jako dokument przetargowy i kontraktowy przy zlecaniu i realizacji robót wymienionych w pkt 1.1.</w:t>
      </w:r>
    </w:p>
    <w:p w14:paraId="3DE0E46E"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38" w:name="_Toc194477106"/>
      <w:bookmarkStart w:id="3739" w:name="_Toc227825588"/>
      <w:r w:rsidRPr="004853EB">
        <w:rPr>
          <w:rFonts w:eastAsia="Times New Roman" w:cstheme="minorHAnsi"/>
          <w:b/>
          <w:sz w:val="20"/>
          <w:szCs w:val="20"/>
          <w:lang w:eastAsia="pl-PL"/>
        </w:rPr>
        <w:t>1.3. Zakres robót objętych SST</w:t>
      </w:r>
      <w:bookmarkEnd w:id="3738"/>
      <w:bookmarkEnd w:id="3739"/>
    </w:p>
    <w:p w14:paraId="77A835C9" w14:textId="5AB675A2"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Ustalenia zawarte w niniejszej specyfikacji związanych z</w:t>
      </w:r>
      <w:r w:rsidRPr="004853EB">
        <w:rPr>
          <w:rFonts w:eastAsia="Times New Roman" w:cstheme="minorHAnsi"/>
          <w:b/>
          <w:sz w:val="20"/>
          <w:szCs w:val="20"/>
          <w:lang w:eastAsia="pl-PL"/>
        </w:rPr>
        <w:t xml:space="preserve"> Przebudową </w:t>
      </w:r>
      <w:r w:rsidR="00C562CD" w:rsidRPr="004853EB">
        <w:rPr>
          <w:rFonts w:eastAsia="Times New Roman" w:cstheme="minorHAnsi"/>
          <w:b/>
          <w:bCs/>
          <w:sz w:val="20"/>
          <w:szCs w:val="20"/>
          <w:lang w:eastAsia="pl-PL"/>
        </w:rPr>
        <w:t>drogi powiatowej</w:t>
      </w:r>
      <w:r w:rsidRPr="004853EB">
        <w:rPr>
          <w:rFonts w:eastAsia="Times New Roman" w:cstheme="minorHAnsi"/>
          <w:b/>
          <w:bCs/>
          <w:sz w:val="20"/>
          <w:szCs w:val="20"/>
          <w:lang w:eastAsia="pl-PL"/>
        </w:rPr>
        <w:t xml:space="preserve"> nr </w:t>
      </w:r>
      <w:r w:rsidR="002A326C" w:rsidRPr="002A326C">
        <w:rPr>
          <w:rFonts w:eastAsia="Times New Roman" w:cstheme="minorHAnsi"/>
          <w:b/>
          <w:bCs/>
          <w:sz w:val="20"/>
          <w:szCs w:val="20"/>
          <w:lang w:eastAsia="pl-PL"/>
        </w:rPr>
        <w:t>4506W Zwoleń – Sarnów w miejscowości Łuczynów</w:t>
      </w:r>
      <w:r w:rsidRPr="004853EB">
        <w:rPr>
          <w:rFonts w:eastAsia="Times New Roman" w:cstheme="minorHAnsi"/>
          <w:b/>
          <w:sz w:val="20"/>
          <w:szCs w:val="20"/>
          <w:lang w:eastAsia="pl-PL"/>
        </w:rPr>
        <w:t xml:space="preserve"> </w:t>
      </w:r>
      <w:r w:rsidRPr="004853EB">
        <w:rPr>
          <w:rFonts w:eastAsia="Times New Roman" w:cstheme="minorHAnsi"/>
          <w:sz w:val="20"/>
          <w:szCs w:val="20"/>
          <w:lang w:eastAsia="pl-PL"/>
        </w:rPr>
        <w:t>i dotyczą zasad prowadzenia robót związanych z wykonaniem i odbiorem utwardzonego pobocza za pomocą mieszanki kruszywa łamanego niezwiązanego 0/31,5 grubości 10cm i szerokości 1,00m.</w:t>
      </w:r>
    </w:p>
    <w:p w14:paraId="0B245A75"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Utwardzone pobocze może być wykonane na istniejącym poboczu gruntowym (wymagając wykonania w nim koryta), względnie może być wykonane jednocześnie z nawierzchnią jezdni w czasie budowy nowej drogi (nie wymagając koryta).</w:t>
      </w:r>
    </w:p>
    <w:p w14:paraId="0CAEE67E"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40" w:name="_Toc194477107"/>
      <w:bookmarkStart w:id="3741" w:name="_Toc227825589"/>
      <w:r w:rsidRPr="004853EB">
        <w:rPr>
          <w:rFonts w:eastAsia="Times New Roman" w:cstheme="minorHAnsi"/>
          <w:b/>
          <w:sz w:val="20"/>
          <w:szCs w:val="20"/>
          <w:lang w:eastAsia="pl-PL"/>
        </w:rPr>
        <w:t>1.4. Określenia podstawowe</w:t>
      </w:r>
      <w:bookmarkEnd w:id="3740"/>
      <w:bookmarkEnd w:id="3741"/>
    </w:p>
    <w:p w14:paraId="2CCD14CA"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1.4.1. </w:t>
      </w:r>
      <w:r w:rsidRPr="004853EB">
        <w:rPr>
          <w:rFonts w:eastAsia="Times New Roman" w:cstheme="minorHAnsi"/>
          <w:sz w:val="20"/>
          <w:szCs w:val="20"/>
          <w:lang w:eastAsia="pl-PL"/>
        </w:rPr>
        <w:t>Pobocze – część korony drogi przeznaczona do chwilowego postoju pojazdów, umieszczenia urządzeń organizacji i bezpieczeństwa ruchu oraz do ruchu pieszych, służąca jednocześnie do bocznego oparcia konstrukcji nawierzchni.</w:t>
      </w:r>
    </w:p>
    <w:p w14:paraId="52A358E2"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1.4.2. </w:t>
      </w:r>
      <w:r w:rsidRPr="004853EB">
        <w:rPr>
          <w:rFonts w:eastAsia="Times New Roman" w:cstheme="minorHAnsi"/>
          <w:sz w:val="20"/>
          <w:szCs w:val="20"/>
          <w:lang w:eastAsia="pl-PL"/>
        </w:rPr>
        <w:t>Utwardzone pobocze – część pobocza drogowego, posiadająca w ciągu całego roku nośność wystarczającą do przejęcia obciążenia statycznego od kół samochodów, dopuszczonych do ruchu na drodze (zał. 2, rys. 1 i 2).</w:t>
      </w:r>
    </w:p>
    <w:p w14:paraId="5F95A539"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1.4.3. </w:t>
      </w:r>
      <w:r w:rsidRPr="004853EB">
        <w:rPr>
          <w:rFonts w:eastAsia="Times New Roman" w:cstheme="minorHAnsi"/>
          <w:sz w:val="20"/>
          <w:szCs w:val="20"/>
          <w:lang w:eastAsia="pl-PL"/>
        </w:rPr>
        <w:t>Gruntowe pobocze – część pobocza drogowego, stanowiąca obrzeże utwardzonego pobocza, przeznaczona do ustawiania znaków i urządzeń zabezpieczenia ruchu.</w:t>
      </w:r>
    </w:p>
    <w:p w14:paraId="0AF074B8"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1.4.4. </w:t>
      </w:r>
      <w:r w:rsidRPr="004853EB">
        <w:rPr>
          <w:rFonts w:eastAsia="Times New Roman" w:cstheme="minorHAnsi"/>
          <w:sz w:val="20"/>
          <w:szCs w:val="20"/>
          <w:lang w:eastAsia="pl-PL"/>
        </w:rPr>
        <w:t>Utwardzenie pobocza kruszywem łamanym niezwiązanym – proces technologiczny, polegający na odpowiednim zagęszczeniu w optymalnej wilgotności kruszywa o właściwie dobranym uziarnieniu (proces ten nazywany był dawniej stabilizacją mechaniczną).</w:t>
      </w:r>
    </w:p>
    <w:p w14:paraId="45BA77BB" w14:textId="24CBC06A"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1.4.5. </w:t>
      </w:r>
      <w:r w:rsidRPr="004853EB">
        <w:rPr>
          <w:rFonts w:eastAsia="Times New Roman" w:cstheme="minorHAnsi"/>
          <w:sz w:val="20"/>
          <w:szCs w:val="20"/>
          <w:lang w:eastAsia="pl-PL"/>
        </w:rPr>
        <w:t xml:space="preserve">Pozostałe określenia podstawowe są zgodne z obowiązującymi, odpowiednimi polskimi normami </w:t>
      </w:r>
      <w:r w:rsidR="00C562CD">
        <w:rPr>
          <w:rFonts w:eastAsia="Times New Roman" w:cstheme="minorHAnsi"/>
          <w:sz w:val="20"/>
          <w:szCs w:val="20"/>
          <w:lang w:eastAsia="pl-PL"/>
        </w:rPr>
        <w:br/>
      </w:r>
      <w:r w:rsidRPr="004853EB">
        <w:rPr>
          <w:rFonts w:eastAsia="Times New Roman" w:cstheme="minorHAnsi"/>
          <w:sz w:val="20"/>
          <w:szCs w:val="20"/>
          <w:lang w:eastAsia="pl-PL"/>
        </w:rPr>
        <w:t>i z definicjami podanymi w SST D-00.00.00 „Wymagania ogólne” pkt 1.4.</w:t>
      </w:r>
    </w:p>
    <w:p w14:paraId="1D902650"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42" w:name="_Toc194477108"/>
      <w:bookmarkStart w:id="3743" w:name="_Toc227825590"/>
      <w:r w:rsidRPr="004853EB">
        <w:rPr>
          <w:rFonts w:eastAsia="Times New Roman" w:cstheme="minorHAnsi"/>
          <w:b/>
          <w:sz w:val="20"/>
          <w:szCs w:val="20"/>
          <w:lang w:eastAsia="pl-PL"/>
        </w:rPr>
        <w:t>1.5. Ogólne wymagania dotyczące robót</w:t>
      </w:r>
      <w:bookmarkEnd w:id="3742"/>
      <w:bookmarkEnd w:id="3743"/>
    </w:p>
    <w:p w14:paraId="3E1A9BB0"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Ogólne wymagania dotyczące robót podano w SST D-00.00.00 „Wymagania ogólne” pkt 1.5.</w:t>
      </w:r>
    </w:p>
    <w:p w14:paraId="1DD37380"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744" w:name="_Toc431184075"/>
      <w:bookmarkStart w:id="3745" w:name="_Toc208892382"/>
      <w:bookmarkStart w:id="3746" w:name="_Toc210107778"/>
      <w:bookmarkStart w:id="3747" w:name="_Toc211316613"/>
      <w:bookmarkStart w:id="3748" w:name="_Toc194477109"/>
      <w:bookmarkStart w:id="3749" w:name="_Toc227825591"/>
      <w:r w:rsidRPr="004853EB">
        <w:rPr>
          <w:rFonts w:eastAsia="Times New Roman" w:cstheme="minorHAnsi"/>
          <w:b/>
          <w:caps/>
          <w:kern w:val="28"/>
          <w:sz w:val="20"/>
          <w:szCs w:val="20"/>
          <w:lang w:eastAsia="pl-PL"/>
        </w:rPr>
        <w:t>2. MATERIAŁY</w:t>
      </w:r>
      <w:bookmarkEnd w:id="3744"/>
      <w:bookmarkEnd w:id="3745"/>
      <w:bookmarkEnd w:id="3746"/>
      <w:bookmarkEnd w:id="3747"/>
      <w:bookmarkEnd w:id="3748"/>
      <w:bookmarkEnd w:id="3749"/>
    </w:p>
    <w:p w14:paraId="5402B0B1"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50" w:name="_Toc194477110"/>
      <w:bookmarkStart w:id="3751" w:name="_Toc227825592"/>
      <w:r w:rsidRPr="004853EB">
        <w:rPr>
          <w:rFonts w:eastAsia="Times New Roman" w:cstheme="minorHAnsi"/>
          <w:b/>
          <w:sz w:val="20"/>
          <w:szCs w:val="20"/>
          <w:lang w:eastAsia="pl-PL"/>
        </w:rPr>
        <w:t>2.1. Ogólne wymagania dotyczące materiałów</w:t>
      </w:r>
      <w:bookmarkEnd w:id="3750"/>
      <w:bookmarkEnd w:id="3751"/>
    </w:p>
    <w:p w14:paraId="0641632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Ogólne wymagania dotyczące materiałów, ich pozyskiwania i składowania, podano w SST D-00.00.00 „Wymagania ogólne” pkt 2.</w:t>
      </w:r>
    </w:p>
    <w:p w14:paraId="158665E7"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52" w:name="_Toc194477111"/>
      <w:bookmarkStart w:id="3753" w:name="_Toc227825593"/>
      <w:r w:rsidRPr="004853EB">
        <w:rPr>
          <w:rFonts w:eastAsia="Times New Roman" w:cstheme="minorHAnsi"/>
          <w:b/>
          <w:sz w:val="20"/>
          <w:szCs w:val="20"/>
          <w:lang w:eastAsia="pl-PL"/>
        </w:rPr>
        <w:t>2.2. Materiały do wykonania robót</w:t>
      </w:r>
      <w:bookmarkEnd w:id="3752"/>
      <w:bookmarkEnd w:id="3753"/>
    </w:p>
    <w:p w14:paraId="60001D5E" w14:textId="7D951F30" w:rsidR="00E95D02" w:rsidRPr="004853EB" w:rsidRDefault="00C562CD" w:rsidP="00E95D02">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2.2.1. </w:t>
      </w:r>
      <w:r w:rsidRPr="004853EB">
        <w:rPr>
          <w:rFonts w:eastAsia="Times New Roman" w:cstheme="minorHAnsi"/>
          <w:sz w:val="20"/>
          <w:szCs w:val="20"/>
          <w:lang w:eastAsia="pl-PL"/>
        </w:rPr>
        <w:t>Zgodność</w:t>
      </w:r>
      <w:r w:rsidR="00E95D02" w:rsidRPr="004853EB">
        <w:rPr>
          <w:rFonts w:eastAsia="Times New Roman" w:cstheme="minorHAnsi"/>
          <w:sz w:val="20"/>
          <w:szCs w:val="20"/>
          <w:lang w:eastAsia="pl-PL"/>
        </w:rPr>
        <w:t xml:space="preserve"> materiałów z dokumentacją projektową </w:t>
      </w:r>
    </w:p>
    <w:p w14:paraId="7F737FCD" w14:textId="77777777" w:rsidR="00E95D02" w:rsidRPr="004853EB" w:rsidRDefault="00E95D02" w:rsidP="00E95D02">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Materiały do wykonania robót powinny być zgodne z ustaleniami dokumentacji projektowej lub ST.</w:t>
      </w:r>
    </w:p>
    <w:p w14:paraId="0CFAE7D1" w14:textId="77777777" w:rsidR="00E95D02" w:rsidRPr="004853EB" w:rsidRDefault="00E95D02" w:rsidP="00E95D02">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2.2.2. </w:t>
      </w:r>
      <w:r w:rsidRPr="004853EB">
        <w:rPr>
          <w:rFonts w:eastAsia="Times New Roman" w:cstheme="minorHAnsi"/>
          <w:sz w:val="20"/>
          <w:szCs w:val="20"/>
          <w:lang w:eastAsia="pl-PL"/>
        </w:rPr>
        <w:t>Materiały do wykonania utwardzonego pobocza</w:t>
      </w:r>
    </w:p>
    <w:p w14:paraId="109BF8A6" w14:textId="5CDA747D"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Materiałami stosowanymi przy wykonywaniu utwardzonego pobocza są: piasek, kruszywo łamane </w:t>
      </w:r>
      <w:r w:rsidR="00C562CD">
        <w:rPr>
          <w:rFonts w:eastAsia="Times New Roman" w:cstheme="minorHAnsi"/>
          <w:sz w:val="20"/>
          <w:szCs w:val="20"/>
          <w:lang w:eastAsia="pl-PL"/>
        </w:rPr>
        <w:br/>
      </w:r>
      <w:r w:rsidRPr="004853EB">
        <w:rPr>
          <w:rFonts w:eastAsia="Times New Roman" w:cstheme="minorHAnsi"/>
          <w:sz w:val="20"/>
          <w:szCs w:val="20"/>
          <w:lang w:eastAsia="pl-PL"/>
        </w:rPr>
        <w:t>i woda.</w:t>
      </w:r>
    </w:p>
    <w:p w14:paraId="4A9EA2DD" w14:textId="77777777" w:rsidR="00E95D02" w:rsidRPr="004853EB" w:rsidRDefault="00E95D02" w:rsidP="00E95D02">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2.2.4. </w:t>
      </w:r>
      <w:r w:rsidRPr="004853EB">
        <w:rPr>
          <w:rFonts w:eastAsia="Times New Roman" w:cstheme="minorHAnsi"/>
          <w:sz w:val="20"/>
          <w:szCs w:val="20"/>
          <w:lang w:eastAsia="pl-PL"/>
        </w:rPr>
        <w:t>Kruszywo</w:t>
      </w:r>
    </w:p>
    <w:p w14:paraId="42DAD8B8"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t xml:space="preserve">Do utwardzenia pobocza należy stosować kruszywo łamane o uziarnieniu   0÷31,5 mm, odpowiadające wymaganiom PN-EN 13242:2004 [4] lub PN-EN 13285:2004 </w:t>
      </w:r>
    </w:p>
    <w:p w14:paraId="60B8DBEA"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Kruszywo powinno być jednorodne, bez zanieczyszczeń obcych i bez domieszek gliny. Zaleca się użycie kruszywa o jasnej barwie.</w:t>
      </w:r>
    </w:p>
    <w:p w14:paraId="2ED98E61" w14:textId="77777777" w:rsidR="00E95D02" w:rsidRPr="004853EB" w:rsidRDefault="00E95D02" w:rsidP="00E95D02">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2.2.5. </w:t>
      </w:r>
      <w:r w:rsidRPr="004853EB">
        <w:rPr>
          <w:rFonts w:eastAsia="Times New Roman" w:cstheme="minorHAnsi"/>
          <w:sz w:val="20"/>
          <w:szCs w:val="20"/>
          <w:lang w:eastAsia="pl-PL"/>
        </w:rPr>
        <w:t>Woda</w:t>
      </w:r>
    </w:p>
    <w:p w14:paraId="6B37E811"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Należy stosować przy wałowaniu nawierzchni każdą czystą wodę z rzek, jezior, stawów i innych zbiorników otwartych oraz wodę studzienną i wodociągową. Nie należy stosować wody z widocznymi zanieczyszczeniami, np. śmieciami, roślinnością wodną, odpadami przemysłowymi, kanalizacyjnymi itp.</w:t>
      </w:r>
    </w:p>
    <w:p w14:paraId="5ACEC34B" w14:textId="77777777" w:rsidR="00E95D02" w:rsidRPr="004853EB" w:rsidRDefault="00E95D02" w:rsidP="00E95D02">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2.2.6. </w:t>
      </w:r>
      <w:r w:rsidRPr="004853EB">
        <w:rPr>
          <w:rFonts w:eastAsia="Times New Roman" w:cstheme="minorHAnsi"/>
          <w:sz w:val="20"/>
          <w:szCs w:val="20"/>
          <w:lang w:eastAsia="pl-PL"/>
        </w:rPr>
        <w:t>Składowanie kruszyw</w:t>
      </w:r>
    </w:p>
    <w:p w14:paraId="4926FC79" w14:textId="67F6B789"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Okresowo składowane kruszywa powinny być zabezpieczone przed zanieczyszczeniem i zmieszaniem </w:t>
      </w:r>
      <w:r w:rsidR="00C562CD">
        <w:rPr>
          <w:rFonts w:eastAsia="Times New Roman" w:cstheme="minorHAnsi"/>
          <w:sz w:val="20"/>
          <w:szCs w:val="20"/>
          <w:lang w:eastAsia="pl-PL"/>
        </w:rPr>
        <w:br/>
      </w:r>
      <w:r w:rsidRPr="004853EB">
        <w:rPr>
          <w:rFonts w:eastAsia="Times New Roman" w:cstheme="minorHAnsi"/>
          <w:sz w:val="20"/>
          <w:szCs w:val="20"/>
          <w:lang w:eastAsia="pl-PL"/>
        </w:rPr>
        <w:t>z innymi materiałami kamiennymi.</w:t>
      </w:r>
      <w:r w:rsidR="00C562CD">
        <w:rPr>
          <w:rFonts w:eastAsia="Times New Roman" w:cstheme="minorHAnsi"/>
          <w:sz w:val="20"/>
          <w:szCs w:val="20"/>
          <w:lang w:eastAsia="pl-PL"/>
        </w:rPr>
        <w:t xml:space="preserve"> </w:t>
      </w:r>
      <w:r w:rsidRPr="004853EB">
        <w:rPr>
          <w:rFonts w:eastAsia="Times New Roman" w:cstheme="minorHAnsi"/>
          <w:sz w:val="20"/>
          <w:szCs w:val="20"/>
          <w:lang w:eastAsia="pl-PL"/>
        </w:rPr>
        <w:t xml:space="preserve">Podłoże w miejscu składowania kruszyw powinno być równe, utwardzone </w:t>
      </w:r>
      <w:r w:rsidR="00050DBE">
        <w:rPr>
          <w:rFonts w:eastAsia="Times New Roman" w:cstheme="minorHAnsi"/>
          <w:sz w:val="20"/>
          <w:szCs w:val="20"/>
          <w:lang w:eastAsia="pl-PL"/>
        </w:rPr>
        <w:br/>
      </w:r>
      <w:r w:rsidRPr="004853EB">
        <w:rPr>
          <w:rFonts w:eastAsia="Times New Roman" w:cstheme="minorHAnsi"/>
          <w:sz w:val="20"/>
          <w:szCs w:val="20"/>
          <w:lang w:eastAsia="pl-PL"/>
        </w:rPr>
        <w:t>i odwodnione.</w:t>
      </w:r>
    </w:p>
    <w:p w14:paraId="77B07AD5"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754" w:name="_Toc113935589"/>
      <w:bookmarkStart w:id="3755" w:name="_Toc116360494"/>
      <w:bookmarkStart w:id="3756" w:name="_Toc174333135"/>
      <w:bookmarkStart w:id="3757" w:name="_Toc208892383"/>
      <w:bookmarkStart w:id="3758" w:name="_Toc210107779"/>
      <w:bookmarkStart w:id="3759" w:name="_Toc211316614"/>
      <w:bookmarkStart w:id="3760" w:name="_Toc194477112"/>
      <w:bookmarkStart w:id="3761" w:name="_Toc227825594"/>
      <w:r w:rsidRPr="004853EB">
        <w:rPr>
          <w:rFonts w:eastAsia="Times New Roman" w:cstheme="minorHAnsi"/>
          <w:b/>
          <w:caps/>
          <w:kern w:val="28"/>
          <w:sz w:val="20"/>
          <w:szCs w:val="20"/>
          <w:lang w:eastAsia="pl-PL"/>
        </w:rPr>
        <w:t xml:space="preserve">3. </w:t>
      </w:r>
      <w:bookmarkEnd w:id="3754"/>
      <w:bookmarkEnd w:id="3755"/>
      <w:bookmarkEnd w:id="3756"/>
      <w:bookmarkEnd w:id="3757"/>
      <w:bookmarkEnd w:id="3758"/>
      <w:r w:rsidRPr="004853EB">
        <w:rPr>
          <w:rFonts w:eastAsia="Times New Roman" w:cstheme="minorHAnsi"/>
          <w:b/>
          <w:caps/>
          <w:kern w:val="28"/>
          <w:sz w:val="20"/>
          <w:szCs w:val="20"/>
          <w:lang w:eastAsia="pl-PL"/>
        </w:rPr>
        <w:t>SPRZĘT</w:t>
      </w:r>
      <w:bookmarkEnd w:id="3759"/>
      <w:bookmarkEnd w:id="3760"/>
      <w:bookmarkEnd w:id="3761"/>
    </w:p>
    <w:p w14:paraId="48652528"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62" w:name="_Toc194477113"/>
      <w:bookmarkStart w:id="3763" w:name="_Toc227825595"/>
      <w:r w:rsidRPr="004853EB">
        <w:rPr>
          <w:rFonts w:eastAsia="Times New Roman" w:cstheme="minorHAnsi"/>
          <w:b/>
          <w:sz w:val="20"/>
          <w:szCs w:val="20"/>
          <w:lang w:eastAsia="pl-PL"/>
        </w:rPr>
        <w:t>3.1. Ogólne wymagania dotyczące sprzętu</w:t>
      </w:r>
      <w:bookmarkEnd w:id="3762"/>
      <w:bookmarkEnd w:id="3763"/>
    </w:p>
    <w:p w14:paraId="6B4F3909" w14:textId="6B98ECB2"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Ogólne wymagania dotyczące sprzętu podano w </w:t>
      </w:r>
      <w:r w:rsidR="00C562CD" w:rsidRPr="004853EB">
        <w:rPr>
          <w:rFonts w:eastAsia="Times New Roman" w:cstheme="minorHAnsi"/>
          <w:sz w:val="20"/>
          <w:szCs w:val="20"/>
          <w:lang w:eastAsia="pl-PL"/>
        </w:rPr>
        <w:t>SST D</w:t>
      </w:r>
      <w:r w:rsidRPr="004853EB">
        <w:rPr>
          <w:rFonts w:eastAsia="Times New Roman" w:cstheme="minorHAnsi"/>
          <w:sz w:val="20"/>
          <w:szCs w:val="20"/>
          <w:lang w:eastAsia="pl-PL"/>
        </w:rPr>
        <w:t>-00.00.00 „Wymagania ogólne” pkt 3.</w:t>
      </w:r>
    </w:p>
    <w:p w14:paraId="594BEF60"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64" w:name="_Toc194477114"/>
      <w:bookmarkStart w:id="3765" w:name="_Toc227825596"/>
      <w:r w:rsidRPr="004853EB">
        <w:rPr>
          <w:rFonts w:eastAsia="Times New Roman" w:cstheme="minorHAnsi"/>
          <w:b/>
          <w:sz w:val="20"/>
          <w:szCs w:val="20"/>
          <w:lang w:eastAsia="pl-PL"/>
        </w:rPr>
        <w:t>3.2. Sprzęt stosowany do wykonania robót</w:t>
      </w:r>
      <w:bookmarkEnd w:id="3764"/>
      <w:bookmarkEnd w:id="3765"/>
    </w:p>
    <w:p w14:paraId="512B1F4C"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Przy wykonywaniu robót Wykonawca w zależności od potrzeb, powinien wykazać się możliwością korzystania ze sprzętu dostosowanego do przyjętej metody robót, jak:</w:t>
      </w:r>
    </w:p>
    <w:p w14:paraId="7E5C9640" w14:textId="77777777" w:rsidR="00E95D02" w:rsidRPr="004853EB" w:rsidRDefault="00E95D02">
      <w:pPr>
        <w:numPr>
          <w:ilvl w:val="0"/>
          <w:numId w:val="14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mieszarki stacjonarne do wytwarzania mieszanki kruszyw, wyposażone w urządzenia dozujące wodę (mieszarki powinny zapewnić wytworzenie jednorodnej mieszanki o wilgotności optymalnej, chyba że producent kruszywa zapewnia dostawę jednorodnej mieszanki o wymaganym uziarnieniu i odpowiedniej wilgotności),</w:t>
      </w:r>
    </w:p>
    <w:p w14:paraId="40FD07D1" w14:textId="77777777" w:rsidR="00E95D02" w:rsidRPr="004853EB" w:rsidRDefault="00E95D02">
      <w:pPr>
        <w:numPr>
          <w:ilvl w:val="0"/>
          <w:numId w:val="14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równiarki albo układarki do rozkładania mieszanki kruszywa,</w:t>
      </w:r>
    </w:p>
    <w:p w14:paraId="4621AC6D" w14:textId="77777777" w:rsidR="00E95D02" w:rsidRPr="004853EB" w:rsidRDefault="00E95D02">
      <w:pPr>
        <w:numPr>
          <w:ilvl w:val="0"/>
          <w:numId w:val="14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walce lub płytowe zagęszczarki wibracyjne,</w:t>
      </w:r>
    </w:p>
    <w:p w14:paraId="14E0A0BA" w14:textId="7EEBF987" w:rsidR="00E95D02" w:rsidRPr="004853EB" w:rsidRDefault="00E95D02">
      <w:pPr>
        <w:numPr>
          <w:ilvl w:val="0"/>
          <w:numId w:val="14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przewoźne zbiorniki na wodę do zwilżania mieszanki, wyposażone w urządzenia do równomiernego </w:t>
      </w:r>
      <w:r w:rsidR="00050DBE">
        <w:rPr>
          <w:rFonts w:eastAsia="Times New Roman" w:cstheme="minorHAnsi"/>
          <w:sz w:val="20"/>
          <w:szCs w:val="20"/>
          <w:lang w:eastAsia="pl-PL"/>
        </w:rPr>
        <w:br/>
      </w:r>
      <w:r w:rsidRPr="004853EB">
        <w:rPr>
          <w:rFonts w:eastAsia="Times New Roman" w:cstheme="minorHAnsi"/>
          <w:sz w:val="20"/>
          <w:szCs w:val="20"/>
          <w:lang w:eastAsia="pl-PL"/>
        </w:rPr>
        <w:t>i kontrolowanego dozowania wody,</w:t>
      </w:r>
    </w:p>
    <w:p w14:paraId="0882ABDB" w14:textId="77777777" w:rsidR="00E95D02" w:rsidRPr="004853EB" w:rsidRDefault="00E95D02">
      <w:pPr>
        <w:numPr>
          <w:ilvl w:val="0"/>
          <w:numId w:val="14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koparki do wykonania koryta, w przypadku utwardzania istniejącego pobocza gruntowego.</w:t>
      </w:r>
    </w:p>
    <w:p w14:paraId="1807B173" w14:textId="3DD0AC6D" w:rsidR="00E95D02" w:rsidRPr="004853EB" w:rsidRDefault="00E95D02" w:rsidP="00E95D02">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Należy korzystać ze sprzętu, który powinien być dostosowany swoimi wymiarami do warunków pracy </w:t>
      </w:r>
      <w:r w:rsidR="00050DBE">
        <w:rPr>
          <w:rFonts w:eastAsia="Times New Roman" w:cstheme="minorHAnsi"/>
          <w:sz w:val="20"/>
          <w:szCs w:val="20"/>
          <w:lang w:eastAsia="pl-PL"/>
        </w:rPr>
        <w:br/>
      </w:r>
      <w:r w:rsidRPr="004853EB">
        <w:rPr>
          <w:rFonts w:eastAsia="Times New Roman" w:cstheme="minorHAnsi"/>
          <w:sz w:val="20"/>
          <w:szCs w:val="20"/>
          <w:lang w:eastAsia="pl-PL"/>
        </w:rPr>
        <w:t>w korycie, przygotowanym do ułożenia konstrukcji utwardzonego pobocza.</w:t>
      </w:r>
    </w:p>
    <w:p w14:paraId="7A2F47CA" w14:textId="77777777" w:rsidR="00E95D02" w:rsidRPr="004853EB" w:rsidRDefault="00E95D02" w:rsidP="00E95D02">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Sprzęt powinien odpowiadać wymaganiom określonym w dokumentacji projektowej, ST, instrukcjach producentów lub propozycji Wykonawcy i powinien być zaakceptowany przez Inżyniera.</w:t>
      </w:r>
    </w:p>
    <w:p w14:paraId="02E2075F"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766" w:name="_Toc424534468"/>
      <w:bookmarkStart w:id="3767" w:name="_Toc46643999"/>
      <w:bookmarkStart w:id="3768" w:name="_Toc51995832"/>
      <w:bookmarkStart w:id="3769" w:name="_Toc63568300"/>
      <w:bookmarkStart w:id="3770" w:name="_Toc73770658"/>
      <w:bookmarkStart w:id="3771" w:name="_Toc113935590"/>
      <w:bookmarkStart w:id="3772" w:name="_Toc116360495"/>
      <w:bookmarkStart w:id="3773" w:name="_Toc174333136"/>
      <w:bookmarkStart w:id="3774" w:name="_Toc208892384"/>
      <w:bookmarkStart w:id="3775" w:name="_Toc210107780"/>
      <w:bookmarkStart w:id="3776" w:name="_Toc211316615"/>
      <w:bookmarkStart w:id="3777" w:name="_Toc194477115"/>
      <w:bookmarkStart w:id="3778" w:name="_Toc227825597"/>
      <w:r w:rsidRPr="004853EB">
        <w:rPr>
          <w:rFonts w:eastAsia="Times New Roman" w:cstheme="minorHAnsi"/>
          <w:b/>
          <w:caps/>
          <w:kern w:val="28"/>
          <w:sz w:val="20"/>
          <w:szCs w:val="20"/>
          <w:lang w:eastAsia="pl-PL"/>
        </w:rPr>
        <w:t>4. TRANSPORT</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34418C12"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79" w:name="_Toc194477116"/>
      <w:bookmarkStart w:id="3780" w:name="_Toc227825598"/>
      <w:r w:rsidRPr="004853EB">
        <w:rPr>
          <w:rFonts w:eastAsia="Times New Roman" w:cstheme="minorHAnsi"/>
          <w:b/>
          <w:sz w:val="20"/>
          <w:szCs w:val="20"/>
          <w:lang w:eastAsia="pl-PL"/>
        </w:rPr>
        <w:t>4.1. Ogólne wymagania dotyczące transportu</w:t>
      </w:r>
      <w:bookmarkEnd w:id="3779"/>
      <w:bookmarkEnd w:id="3780"/>
      <w:r w:rsidRPr="004853EB">
        <w:rPr>
          <w:rFonts w:eastAsia="Times New Roman" w:cstheme="minorHAnsi"/>
          <w:b/>
          <w:sz w:val="20"/>
          <w:szCs w:val="20"/>
          <w:lang w:eastAsia="pl-PL"/>
        </w:rPr>
        <w:t xml:space="preserve"> </w:t>
      </w:r>
    </w:p>
    <w:p w14:paraId="51A77019" w14:textId="77777777" w:rsidR="00E95D02" w:rsidRPr="004853EB" w:rsidRDefault="00E95D02" w:rsidP="00E95D02">
      <w:pPr>
        <w:tabs>
          <w:tab w:val="left" w:pos="284"/>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     Ogólne wymagania dotyczące transportu podano w SST D-00.00.00 „Wymagania ogólne” pkt 4.</w:t>
      </w:r>
    </w:p>
    <w:p w14:paraId="1F844C98"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81" w:name="_Toc194477117"/>
      <w:bookmarkStart w:id="3782" w:name="_Toc227825599"/>
      <w:r w:rsidRPr="004853EB">
        <w:rPr>
          <w:rFonts w:eastAsia="Times New Roman" w:cstheme="minorHAnsi"/>
          <w:b/>
          <w:sz w:val="20"/>
          <w:szCs w:val="20"/>
          <w:lang w:eastAsia="pl-PL"/>
        </w:rPr>
        <w:t>4.2. Transport materiałów</w:t>
      </w:r>
      <w:bookmarkEnd w:id="3781"/>
      <w:bookmarkEnd w:id="3782"/>
    </w:p>
    <w:p w14:paraId="317B3112" w14:textId="32C758EA"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Materiały sypkie (kruszywa) można przewozić dowolnymi środkami transportu, w warunkach zabezpieczających je </w:t>
      </w:r>
      <w:r w:rsidR="00050DBE" w:rsidRPr="004853EB">
        <w:rPr>
          <w:rFonts w:eastAsia="Times New Roman" w:cstheme="minorHAnsi"/>
          <w:sz w:val="20"/>
          <w:szCs w:val="20"/>
          <w:lang w:eastAsia="pl-PL"/>
        </w:rPr>
        <w:t>przed zanieczyszczeniem</w:t>
      </w:r>
      <w:r w:rsidRPr="004853EB">
        <w:rPr>
          <w:rFonts w:eastAsia="Times New Roman" w:cstheme="minorHAnsi"/>
          <w:sz w:val="20"/>
          <w:szCs w:val="20"/>
          <w:lang w:eastAsia="pl-PL"/>
        </w:rPr>
        <w:t>, zmieszaniem z innymi materiałami i nadmiernym zawilgoceniem.</w:t>
      </w:r>
    </w:p>
    <w:p w14:paraId="5E164ED0"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783" w:name="_Toc51995833"/>
      <w:bookmarkStart w:id="3784" w:name="_Toc63568301"/>
      <w:bookmarkStart w:id="3785" w:name="_Toc73770659"/>
      <w:bookmarkStart w:id="3786" w:name="_Toc113935591"/>
      <w:bookmarkStart w:id="3787" w:name="_Toc116360496"/>
      <w:bookmarkStart w:id="3788" w:name="_Toc174333137"/>
      <w:bookmarkStart w:id="3789" w:name="_Toc208892385"/>
      <w:bookmarkStart w:id="3790" w:name="_Toc210107781"/>
      <w:bookmarkStart w:id="3791" w:name="_Toc211316616"/>
      <w:bookmarkStart w:id="3792" w:name="_Toc194477118"/>
      <w:bookmarkStart w:id="3793" w:name="_Toc227825600"/>
      <w:r w:rsidRPr="004853EB">
        <w:rPr>
          <w:rFonts w:eastAsia="Times New Roman" w:cstheme="minorHAnsi"/>
          <w:b/>
          <w:caps/>
          <w:kern w:val="28"/>
          <w:sz w:val="20"/>
          <w:szCs w:val="20"/>
          <w:lang w:eastAsia="pl-PL"/>
        </w:rPr>
        <w:t>5. WYKONANIE ROBÓT</w:t>
      </w:r>
      <w:bookmarkEnd w:id="3783"/>
      <w:bookmarkEnd w:id="3784"/>
      <w:bookmarkEnd w:id="3785"/>
      <w:bookmarkEnd w:id="3786"/>
      <w:bookmarkEnd w:id="3787"/>
      <w:bookmarkEnd w:id="3788"/>
      <w:bookmarkEnd w:id="3789"/>
      <w:bookmarkEnd w:id="3790"/>
      <w:bookmarkEnd w:id="3791"/>
      <w:bookmarkEnd w:id="3792"/>
      <w:bookmarkEnd w:id="3793"/>
    </w:p>
    <w:p w14:paraId="18DA6226"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94" w:name="_Toc194477119"/>
      <w:bookmarkStart w:id="3795" w:name="_Toc227825601"/>
      <w:r w:rsidRPr="004853EB">
        <w:rPr>
          <w:rFonts w:eastAsia="Times New Roman" w:cstheme="minorHAnsi"/>
          <w:b/>
          <w:sz w:val="20"/>
          <w:szCs w:val="20"/>
          <w:lang w:eastAsia="pl-PL"/>
        </w:rPr>
        <w:t>5.1. Ogólne zasady wykonania robót</w:t>
      </w:r>
      <w:bookmarkEnd w:id="3794"/>
      <w:bookmarkEnd w:id="3795"/>
    </w:p>
    <w:p w14:paraId="0CF40474" w14:textId="77777777" w:rsidR="00E95D02" w:rsidRPr="004853EB" w:rsidRDefault="00E95D02" w:rsidP="00E95D02">
      <w:pPr>
        <w:tabs>
          <w:tab w:val="left" w:pos="0"/>
          <w:tab w:val="left" w:pos="567"/>
          <w:tab w:val="left" w:pos="851"/>
          <w:tab w:val="right" w:leader="dot" w:pos="8505"/>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     Ogólne zasady wykonania robót podano w SST D-00.00.00 „Wymagania ogólne” pkt 5.</w:t>
      </w:r>
    </w:p>
    <w:p w14:paraId="085B95E9"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96" w:name="_Toc194477120"/>
      <w:bookmarkStart w:id="3797" w:name="_Toc227825602"/>
      <w:r w:rsidRPr="004853EB">
        <w:rPr>
          <w:rFonts w:eastAsia="Times New Roman" w:cstheme="minorHAnsi"/>
          <w:b/>
          <w:sz w:val="20"/>
          <w:szCs w:val="20"/>
          <w:lang w:eastAsia="pl-PL"/>
        </w:rPr>
        <w:t>5.2. Zasady wykonywania robót</w:t>
      </w:r>
      <w:bookmarkEnd w:id="3796"/>
      <w:bookmarkEnd w:id="3797"/>
    </w:p>
    <w:p w14:paraId="3C92AEDD" w14:textId="77777777" w:rsidR="00E95D02" w:rsidRPr="004853EB" w:rsidRDefault="00E95D02" w:rsidP="00E95D02">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Sposób wykonania robót powinny być zgodne z dokumentacją projektową i SST. W przypadku braku wystarczających danych można korzystać z ustaleń podanych w niniejszej specyfikacji oraz z informacji podanych w załącznikach.</w:t>
      </w:r>
    </w:p>
    <w:p w14:paraId="624B15FF"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Podstawowe czynności przy wykonywaniu robót obejmują:</w:t>
      </w:r>
    </w:p>
    <w:p w14:paraId="7597BCF0" w14:textId="77777777" w:rsidR="00E95D02" w:rsidRPr="004853EB" w:rsidRDefault="00E95D02" w:rsidP="00E95D02">
      <w:pPr>
        <w:numPr>
          <w:ilvl w:val="0"/>
          <w:numId w:val="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roboty przygotowawcze, </w:t>
      </w:r>
    </w:p>
    <w:p w14:paraId="59383334" w14:textId="77777777" w:rsidR="00E95D02" w:rsidRPr="004853EB" w:rsidRDefault="00E95D02" w:rsidP="00E95D02">
      <w:pPr>
        <w:numPr>
          <w:ilvl w:val="0"/>
          <w:numId w:val="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wykonanie koryta,</w:t>
      </w:r>
    </w:p>
    <w:p w14:paraId="5C114102" w14:textId="77777777" w:rsidR="00E95D02" w:rsidRPr="004853EB" w:rsidRDefault="00E95D02" w:rsidP="00E95D02">
      <w:pPr>
        <w:numPr>
          <w:ilvl w:val="0"/>
          <w:numId w:val="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ułożenie nawierzchni utwardzonego pobocza (wytworzenie i wbudowanie mieszanki),</w:t>
      </w:r>
    </w:p>
    <w:p w14:paraId="1CF7D1E1" w14:textId="77777777" w:rsidR="00E95D02" w:rsidRPr="004853EB" w:rsidRDefault="00E95D02" w:rsidP="00E95D02">
      <w:pPr>
        <w:numPr>
          <w:ilvl w:val="0"/>
          <w:numId w:val="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wykończeniowe.</w:t>
      </w:r>
    </w:p>
    <w:p w14:paraId="6A3B6AA5"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798" w:name="_Toc194477121"/>
      <w:bookmarkStart w:id="3799" w:name="_Toc227825603"/>
      <w:r w:rsidRPr="004853EB">
        <w:rPr>
          <w:rFonts w:eastAsia="Times New Roman" w:cstheme="minorHAnsi"/>
          <w:b/>
          <w:sz w:val="20"/>
          <w:szCs w:val="20"/>
          <w:lang w:eastAsia="pl-PL"/>
        </w:rPr>
        <w:t>5.3. Roboty przygotowawcze</w:t>
      </w:r>
      <w:bookmarkEnd w:id="3798"/>
      <w:bookmarkEnd w:id="3799"/>
    </w:p>
    <w:p w14:paraId="047727D8" w14:textId="4BF2A350"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Przed przystąpieniem do robót należy, na podstawie dokumentacji </w:t>
      </w:r>
      <w:r w:rsidR="00050DBE" w:rsidRPr="004853EB">
        <w:rPr>
          <w:rFonts w:eastAsia="Times New Roman" w:cstheme="minorHAnsi"/>
          <w:sz w:val="20"/>
          <w:szCs w:val="20"/>
          <w:lang w:eastAsia="pl-PL"/>
        </w:rPr>
        <w:t>projektowej, SST</w:t>
      </w:r>
      <w:r w:rsidRPr="004853EB">
        <w:rPr>
          <w:rFonts w:eastAsia="Times New Roman" w:cstheme="minorHAnsi"/>
          <w:sz w:val="20"/>
          <w:szCs w:val="20"/>
          <w:lang w:eastAsia="pl-PL"/>
        </w:rPr>
        <w:t xml:space="preserve"> lub wskazań Inżyniera:</w:t>
      </w:r>
    </w:p>
    <w:p w14:paraId="6A402C29" w14:textId="77777777" w:rsidR="00E95D02" w:rsidRPr="004853EB" w:rsidRDefault="00E95D02">
      <w:pPr>
        <w:numPr>
          <w:ilvl w:val="0"/>
          <w:numId w:val="56"/>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ustalić lokalizację terenu robót,</w:t>
      </w:r>
    </w:p>
    <w:p w14:paraId="3AEAFE8E" w14:textId="77777777" w:rsidR="00E95D02" w:rsidRPr="004853EB" w:rsidRDefault="00E95D02">
      <w:pPr>
        <w:numPr>
          <w:ilvl w:val="0"/>
          <w:numId w:val="56"/>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przeprowadzić obliczenia i pomiary geodezyjne niezbędne do szczegółowego wytyczenia robót oraz ustalenia danych wysokościowych,</w:t>
      </w:r>
    </w:p>
    <w:p w14:paraId="6434695F" w14:textId="77777777" w:rsidR="00E95D02" w:rsidRPr="004853EB" w:rsidRDefault="00E95D02">
      <w:pPr>
        <w:numPr>
          <w:ilvl w:val="0"/>
          <w:numId w:val="56"/>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usunąć przeszkody, np. elementy dróg, ew. słupki, zatrawienie itd.,</w:t>
      </w:r>
    </w:p>
    <w:p w14:paraId="49BB4EE8" w14:textId="77777777" w:rsidR="00E95D02" w:rsidRPr="004853EB" w:rsidRDefault="00E95D02">
      <w:pPr>
        <w:numPr>
          <w:ilvl w:val="0"/>
          <w:numId w:val="56"/>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ew. splantować pobocze istniejące,</w:t>
      </w:r>
    </w:p>
    <w:p w14:paraId="31CEFB9D" w14:textId="77777777" w:rsidR="00E95D02" w:rsidRPr="004853EB" w:rsidRDefault="00E95D02">
      <w:pPr>
        <w:numPr>
          <w:ilvl w:val="0"/>
          <w:numId w:val="56"/>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zgromadzić wszystkie materiały potrzebne do rozpoczęcia budowy.</w:t>
      </w:r>
    </w:p>
    <w:p w14:paraId="6C978E00" w14:textId="77777777" w:rsidR="00E95D02" w:rsidRPr="004853EB" w:rsidRDefault="00E95D02" w:rsidP="00E95D02">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Zaleca się korzystanie z ustaleń SST D-01.02.02a w zakresie niezbędnym do wykonania robót przygotowawczych oraz z ustaleń SST D-02.01.01 przy występowaniu robót ziemnych.</w:t>
      </w:r>
    </w:p>
    <w:p w14:paraId="0D2F7949"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00" w:name="_Toc194477122"/>
      <w:bookmarkStart w:id="3801" w:name="_Toc227825604"/>
      <w:r w:rsidRPr="004853EB">
        <w:rPr>
          <w:rFonts w:eastAsia="Times New Roman" w:cstheme="minorHAnsi"/>
          <w:b/>
          <w:sz w:val="20"/>
          <w:szCs w:val="20"/>
          <w:lang w:eastAsia="pl-PL"/>
        </w:rPr>
        <w:t>5.4. Wykonanie koryta i przygotowanie podłoża</w:t>
      </w:r>
      <w:bookmarkEnd w:id="3800"/>
      <w:bookmarkEnd w:id="3801"/>
    </w:p>
    <w:p w14:paraId="714C8C8E"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Koryto wykonuje się w przypadku utwardzania pobocza istniejącego gruntowego.</w:t>
      </w:r>
    </w:p>
    <w:p w14:paraId="20B915C7"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Koryto powinno być wykonane bezpośrednio przed rozpoczęciem robót związanych z wykonaniem nawierzchni utwardzonego pobocza. Wcześniejsze wykonanie koryta jest możliwe wyłącznie za zgodą Inżyniera, w korzystnych warunkach atmosferycznych.</w:t>
      </w:r>
    </w:p>
    <w:p w14:paraId="7785463C"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Koryto można wykonywać ręcznie, gdy jego szerokość nie pozwala na zastosowanie posiadanych maszyn. Rodzaj sprzętu, a w szczególności jego moc należy dostosować do rodzaju gruntu, w którym prowadzone są roboty i do trudności jego odspojenia.</w:t>
      </w:r>
    </w:p>
    <w:p w14:paraId="4EE46EEC"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Grunt odspojony w czasie wykonywania koryta powinien być wykorzystany zgodnie z ustaleniami dokumentacji projektowej i SST, tj. wbudowany w nasyp lub odwieziony na odkład w miejsce wskazane lub zaaprobowane przez Inżyniera.</w:t>
      </w:r>
    </w:p>
    <w:p w14:paraId="2C8028C8"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 przystąpieniem do profilowania dna koryta, podłoże powinno być oczyszczone z wszelkich zanieczyszczeń. Po oczyszczeniu powierzchni podłoża należy sprawdzić, czy istniejące rzędne terenu umożliwiają uzyskanie po profilowaniu zaprojektowanych rzędnych podłoża.</w:t>
      </w:r>
    </w:p>
    <w:p w14:paraId="4BA93A5A"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Zaleca się, aby rzędne terenu przed profilowaniem były o co najmniej 5 cm wyższe niż projektowane rzędne podłoża. 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wskaźnika zagęszczenia 1,00.</w:t>
      </w:r>
    </w:p>
    <w:p w14:paraId="3630634A"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Profilowanie można wykonać ręcznie lub sprzętem dostosowanym do szerokości koryta. Ścięty grunt powinien być wykorzystany w robotach ziemnych lub w inny sposób zaakceptowany przez Inżyniera.</w:t>
      </w:r>
    </w:p>
    <w:p w14:paraId="795DEA7E"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Bezpośrednio po profilowaniu podłoża należy przystąpić do jego zagęszczania, które należy kontynuować do osiągnięcia wskaźnika zagęszczenia nie mniejszego od 1,00.</w:t>
      </w:r>
    </w:p>
    <w:p w14:paraId="22F9D119" w14:textId="04A0E573"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Wilgotność gruntu podłoża podczas zagęszczania powinna być równa wilgotności optymalnej, </w:t>
      </w:r>
      <w:r w:rsidR="00050DBE">
        <w:rPr>
          <w:rFonts w:eastAsia="Times New Roman" w:cstheme="minorHAnsi"/>
          <w:sz w:val="20"/>
          <w:szCs w:val="20"/>
          <w:lang w:eastAsia="pl-PL"/>
        </w:rPr>
        <w:br/>
      </w:r>
      <w:r w:rsidRPr="004853EB">
        <w:rPr>
          <w:rFonts w:eastAsia="Times New Roman" w:cstheme="minorHAnsi"/>
          <w:sz w:val="20"/>
          <w:szCs w:val="20"/>
          <w:lang w:eastAsia="pl-PL"/>
        </w:rPr>
        <w:t>z tolerancją od -20% do +10%.</w:t>
      </w:r>
    </w:p>
    <w:p w14:paraId="64D76028"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Koryto po wyprofilowaniu i zagęszczeniu powinno być utrzymane w dobrym stanie.</w:t>
      </w:r>
    </w:p>
    <w:p w14:paraId="3590C196" w14:textId="2B8F169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Jeżeli po wykonaniu robót związanych z profilowaniem i zagęszczeniem podłoża nastąpi przerwa </w:t>
      </w:r>
      <w:r w:rsidR="00050DBE">
        <w:rPr>
          <w:rFonts w:eastAsia="Times New Roman" w:cstheme="minorHAnsi"/>
          <w:sz w:val="20"/>
          <w:szCs w:val="20"/>
          <w:lang w:eastAsia="pl-PL"/>
        </w:rPr>
        <w:br/>
      </w:r>
      <w:r w:rsidRPr="004853EB">
        <w:rPr>
          <w:rFonts w:eastAsia="Times New Roman" w:cstheme="minorHAnsi"/>
          <w:sz w:val="20"/>
          <w:szCs w:val="20"/>
          <w:lang w:eastAsia="pl-PL"/>
        </w:rPr>
        <w:t>w robotach i Wykonawca nie przystąpi natychmiast do układania nawierzchni, to powinien on zabezpieczyć podłoże przed nadmiernym zawilgoceniem, na przykład przez rozłożenie folii lub w inny sposób zaakceptowany przez Inżyniera.</w:t>
      </w:r>
    </w:p>
    <w:p w14:paraId="0D5F7648"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Jeżeli podłoże uległo nadmiernemu zawilgoceniu, to do układania nawierzchni można przystąpić dopiero po jego naturalnym osuszeniu.</w:t>
      </w:r>
    </w:p>
    <w:p w14:paraId="22495304"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02" w:name="_Toc194477123"/>
      <w:bookmarkStart w:id="3803" w:name="_Toc227825605"/>
      <w:r w:rsidRPr="004853EB">
        <w:rPr>
          <w:rFonts w:eastAsia="Times New Roman" w:cstheme="minorHAnsi"/>
          <w:b/>
          <w:sz w:val="20"/>
          <w:szCs w:val="20"/>
          <w:lang w:eastAsia="pl-PL"/>
        </w:rPr>
        <w:t>5.5. Wytwarzanie mieszanki kruszywa</w:t>
      </w:r>
      <w:bookmarkEnd w:id="3802"/>
      <w:bookmarkEnd w:id="3803"/>
    </w:p>
    <w:p w14:paraId="72029665" w14:textId="2B625FF8"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Mieszankę kruszywa o ściśle określonym uziarnieniu i wilgotności optymalnej należy wytwarzać </w:t>
      </w:r>
      <w:r w:rsidR="00050DBE">
        <w:rPr>
          <w:rFonts w:eastAsia="Times New Roman" w:cstheme="minorHAnsi"/>
          <w:sz w:val="20"/>
          <w:szCs w:val="20"/>
          <w:lang w:eastAsia="pl-PL"/>
        </w:rPr>
        <w:br/>
      </w:r>
      <w:r w:rsidRPr="004853EB">
        <w:rPr>
          <w:rFonts w:eastAsia="Times New Roman" w:cstheme="minorHAnsi"/>
          <w:sz w:val="20"/>
          <w:szCs w:val="20"/>
          <w:lang w:eastAsia="pl-PL"/>
        </w:rPr>
        <w:t>w mieszarkach stacjonarnych gwarantujących otrzymanie jednorodnej mieszanki. Ze względu na konieczność zapewnienia jednorodności, tylko w wyjątkowych przypadkach Inżynier może dopuścić do wytwarzania mieszanki przez mieszanie poszczególnych frakcji na drodze. Mieszanka po wyprodukowaniu powinna być od razu transportowana na miejsce wbudowania w sposób przeciwdziałający rozsegregowaniu i wysychaniu.</w:t>
      </w:r>
    </w:p>
    <w:p w14:paraId="685087A4"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04" w:name="_Toc194477124"/>
      <w:bookmarkStart w:id="3805" w:name="_Toc227825606"/>
      <w:r w:rsidRPr="004853EB">
        <w:rPr>
          <w:rFonts w:eastAsia="Times New Roman" w:cstheme="minorHAnsi"/>
          <w:b/>
          <w:sz w:val="20"/>
          <w:szCs w:val="20"/>
          <w:lang w:eastAsia="pl-PL"/>
        </w:rPr>
        <w:lastRenderedPageBreak/>
        <w:t>5.6. Wbudowanie i zagęszczenie mieszanki kruszywa</w:t>
      </w:r>
      <w:bookmarkEnd w:id="3804"/>
      <w:bookmarkEnd w:id="3805"/>
    </w:p>
    <w:p w14:paraId="74708E98" w14:textId="77777777" w:rsidR="00E95D02" w:rsidRPr="004853EB" w:rsidRDefault="00E95D02" w:rsidP="00E95D02">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Mieszanka kruszywa powinna być rozkładana w warstwie o jednakowej grubości, przy pomocy układarki lub równiarki, z zachowaniem wymaganych spadków i rzędnych wysokościowych. Grubość pojedynczo układanej warstwy wynosi 15 cm po zagęszczeniu. W miejscach, gdzie widoczna jest segregacja kruszywa, należy przed zagęszczeniem wymienić kruszywo na materiał o odpowiednich właściwościach.</w:t>
      </w:r>
    </w:p>
    <w:p w14:paraId="1D1B4C44" w14:textId="362861D7" w:rsidR="00E95D02" w:rsidRPr="004853EB" w:rsidRDefault="00E95D02" w:rsidP="00E95D02">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Zagęszczanie należy rozpocząć od dolnej krawędzi i przesuwać pasami podłużnymi, częściowo nakładającymi się, w kierunku górnej krawędzi. Nierówności i zagłębienia powstające w czasie zagęszczania powinny być wyrównywane bieżąco przez spulchnienie warstwy kruszywa i dodanie bądź usunięcie materiału, aż do otrzymania równej powierzchni. Zagęszczenie należy kontynuować do osiągnięcia wskaźnika zagęszczenia nie mniejszego niż 1,0 według normalnej próby Proctora, przeprowadzonej według PN-B-04481:1988. </w:t>
      </w:r>
      <w:r w:rsidR="00050DBE">
        <w:rPr>
          <w:rFonts w:eastAsia="Times New Roman" w:cstheme="minorHAnsi"/>
          <w:sz w:val="20"/>
          <w:szCs w:val="20"/>
          <w:lang w:eastAsia="pl-PL"/>
        </w:rPr>
        <w:br/>
      </w:r>
      <w:r w:rsidRPr="004853EB">
        <w:rPr>
          <w:rFonts w:eastAsia="Times New Roman" w:cstheme="minorHAnsi"/>
          <w:sz w:val="20"/>
          <w:szCs w:val="20"/>
          <w:lang w:eastAsia="pl-PL"/>
        </w:rPr>
        <w:t xml:space="preserve">Do zagęszczenia zaleca się stosowanie maszyn (np. walców, zagęszczarek płytowych) o szerokości nie większej niż szerokość utwardzonego pobocza. </w:t>
      </w:r>
    </w:p>
    <w:p w14:paraId="3B4987AC" w14:textId="463E52C4" w:rsidR="00E95D02" w:rsidRPr="004853EB" w:rsidRDefault="00E95D02" w:rsidP="00E95D02">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Wilgotność mieszanki kruszywa podczas zagęszczania powinna odpowiadać wilgotności optymalnej </w:t>
      </w:r>
      <w:r w:rsidR="00050DBE">
        <w:rPr>
          <w:rFonts w:eastAsia="Times New Roman" w:cstheme="minorHAnsi"/>
          <w:sz w:val="20"/>
          <w:szCs w:val="20"/>
          <w:lang w:eastAsia="pl-PL"/>
        </w:rPr>
        <w:br/>
      </w:r>
      <w:r w:rsidRPr="004853EB">
        <w:rPr>
          <w:rFonts w:eastAsia="Times New Roman" w:cstheme="minorHAnsi"/>
          <w:sz w:val="20"/>
          <w:szCs w:val="20"/>
          <w:lang w:eastAsia="pl-PL"/>
        </w:rPr>
        <w:t xml:space="preserve">z tolerancją ± 2%. Materiał nadmiernie nawilgocony, powinien zostać osuszony przez mieszanie i napowietrzanie. W przypadku, gdy wilgotność mieszanki kruszywa jest niższa od optymalnej, mieszanka powinna być zwilżona określoną ilością wody i równomiernie wymieszana. </w:t>
      </w:r>
    </w:p>
    <w:p w14:paraId="0EE6A974" w14:textId="77777777" w:rsidR="00E95D02" w:rsidRPr="004853EB" w:rsidRDefault="00E95D02" w:rsidP="00E95D02">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Przy wbudowywaniu i zagęszczaniu mieszanki kruszywa na utwardzonym poboczu należy zwrócić szczególną uwagę na właściwe jego wykonanie przy krawędzi jezdni. Styk jezdni i utwardzonego pobocza powinien być równy i szczelny.</w:t>
      </w:r>
    </w:p>
    <w:p w14:paraId="41FF840F"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r w:rsidRPr="004853EB">
        <w:rPr>
          <w:rFonts w:eastAsia="Times New Roman" w:cstheme="minorHAnsi"/>
          <w:b/>
          <w:sz w:val="20"/>
          <w:szCs w:val="20"/>
          <w:lang w:eastAsia="pl-PL"/>
        </w:rPr>
        <w:t xml:space="preserve"> </w:t>
      </w:r>
      <w:bookmarkStart w:id="3806" w:name="_Toc194477125"/>
      <w:bookmarkStart w:id="3807" w:name="_Toc227825607"/>
      <w:r w:rsidRPr="004853EB">
        <w:rPr>
          <w:rFonts w:eastAsia="Times New Roman" w:cstheme="minorHAnsi"/>
          <w:b/>
          <w:sz w:val="20"/>
          <w:szCs w:val="20"/>
          <w:lang w:eastAsia="pl-PL"/>
        </w:rPr>
        <w:t>5.7. Roboty wykończeniowe</w:t>
      </w:r>
      <w:bookmarkEnd w:id="3806"/>
      <w:bookmarkEnd w:id="3807"/>
    </w:p>
    <w:p w14:paraId="027A00C8" w14:textId="77777777" w:rsidR="00E95D02" w:rsidRPr="004853EB" w:rsidRDefault="00E95D02" w:rsidP="00E95D02">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wykończeniowe powinny być zgodne z dokumentacją projektową i SST. Do robót wykończeniowych należą prace związane z dostosowaniem wykonanych robót do istniejących warunków terenowych, takie jak:</w:t>
      </w:r>
    </w:p>
    <w:p w14:paraId="1D7C9728" w14:textId="77777777" w:rsidR="00E95D02" w:rsidRPr="004853EB" w:rsidRDefault="00E95D02">
      <w:pPr>
        <w:numPr>
          <w:ilvl w:val="0"/>
          <w:numId w:val="14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wyrównanie poziomu utwardzonego pobocza i gruntowego pobocza z ewentualnym splantowaniem istniejącego gruntowego pobocza,</w:t>
      </w:r>
    </w:p>
    <w:p w14:paraId="4FBF8A3D"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odtworzenie przeszkód czasowo usuniętych, </w:t>
      </w:r>
    </w:p>
    <w:p w14:paraId="02271331"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niezbędne uzupełnienia zniszczonej w czasie robót roślinności, np. zatrawienia, </w:t>
      </w:r>
    </w:p>
    <w:p w14:paraId="3017E7CA"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porządkujące otoczenie terenu robót.</w:t>
      </w:r>
    </w:p>
    <w:p w14:paraId="2023F193" w14:textId="77777777" w:rsidR="00E95D02" w:rsidRPr="004853EB" w:rsidRDefault="00E95D02" w:rsidP="00E95D02">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808" w:name="_Toc199904824"/>
      <w:bookmarkStart w:id="3809" w:name="_Toc211316617"/>
      <w:bookmarkStart w:id="3810" w:name="_Toc194477126"/>
      <w:bookmarkStart w:id="3811" w:name="_Toc227825608"/>
      <w:r w:rsidRPr="004853EB">
        <w:rPr>
          <w:rFonts w:eastAsia="Times New Roman" w:cstheme="minorHAnsi"/>
          <w:b/>
          <w:caps/>
          <w:kern w:val="28"/>
          <w:sz w:val="20"/>
          <w:szCs w:val="20"/>
          <w:lang w:eastAsia="pl-PL"/>
        </w:rPr>
        <w:t>6. kontrola jakości robót</w:t>
      </w:r>
      <w:bookmarkEnd w:id="3808"/>
      <w:bookmarkEnd w:id="3809"/>
      <w:bookmarkEnd w:id="3810"/>
      <w:bookmarkEnd w:id="3811"/>
    </w:p>
    <w:p w14:paraId="1DF75FEF"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12" w:name="_Toc194477127"/>
      <w:bookmarkStart w:id="3813" w:name="_Toc227825609"/>
      <w:r w:rsidRPr="004853EB">
        <w:rPr>
          <w:rFonts w:eastAsia="Times New Roman" w:cstheme="minorHAnsi"/>
          <w:b/>
          <w:sz w:val="20"/>
          <w:szCs w:val="20"/>
          <w:lang w:eastAsia="pl-PL"/>
        </w:rPr>
        <w:t>6.1. Ogólne zasady kontroli jakości robót</w:t>
      </w:r>
      <w:bookmarkEnd w:id="3812"/>
      <w:bookmarkEnd w:id="3813"/>
    </w:p>
    <w:p w14:paraId="36280AE6"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kontroli jakości robót podano w SST   D-00.00.00 „Wymagania ogólne” pkt 6.</w:t>
      </w:r>
    </w:p>
    <w:p w14:paraId="3936E070"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14" w:name="_Toc194477128"/>
      <w:bookmarkStart w:id="3815" w:name="_Toc227825610"/>
      <w:r w:rsidRPr="004853EB">
        <w:rPr>
          <w:rFonts w:eastAsia="Times New Roman" w:cstheme="minorHAnsi"/>
          <w:b/>
          <w:sz w:val="20"/>
          <w:szCs w:val="20"/>
          <w:lang w:eastAsia="pl-PL"/>
        </w:rPr>
        <w:t>6.2. Badania przed przystąpieniem do robót</w:t>
      </w:r>
      <w:bookmarkEnd w:id="3814"/>
      <w:bookmarkEnd w:id="3815"/>
    </w:p>
    <w:p w14:paraId="094CFC16"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 przystąpieniem do robót Wykonawca powinien:</w:t>
      </w:r>
    </w:p>
    <w:p w14:paraId="696F91D6"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uzyskać wymagane dokumenty, dopuszczające wyroby budowlane do obrotu i powszechnego stosowania (aprobaty techniczne, certyfikaty zgodności, deklaracje zgodności, ew. badania materiałów wykonane przez dostawców itp.),</w:t>
      </w:r>
    </w:p>
    <w:p w14:paraId="783AA145"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ew. wykonać własne badania właściwości materiałów przeznaczonych do wykonania robót, określone przez Inżyniera,</w:t>
      </w:r>
    </w:p>
    <w:p w14:paraId="7C49CECC"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sprawdzić cechy zewnętrzne gotowych materiałów z tworzyw i prefabrykowanych.</w:t>
      </w:r>
    </w:p>
    <w:p w14:paraId="368F5654"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Wszystkie dokumenty oraz wyniki badań Wykonawca przedstawia Inżynierowi do akceptacji.</w:t>
      </w:r>
    </w:p>
    <w:p w14:paraId="33EFB5D9"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16" w:name="_Toc194477129"/>
      <w:bookmarkStart w:id="3817" w:name="_Toc227825611"/>
      <w:r w:rsidRPr="004853EB">
        <w:rPr>
          <w:rFonts w:eastAsia="Times New Roman" w:cstheme="minorHAnsi"/>
          <w:b/>
          <w:sz w:val="20"/>
          <w:szCs w:val="20"/>
          <w:lang w:eastAsia="pl-PL"/>
        </w:rPr>
        <w:t>6.3. Badania w czasie robót</w:t>
      </w:r>
      <w:bookmarkEnd w:id="3816"/>
      <w:bookmarkEnd w:id="3817"/>
    </w:p>
    <w:p w14:paraId="0E201DCD"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Częstotliwość oraz zakres badań i pomiarów, które należy wykonać w czasie robót podaje tablica 1. </w:t>
      </w:r>
    </w:p>
    <w:p w14:paraId="0123FE65" w14:textId="77777777" w:rsidR="00E95D02" w:rsidRPr="004853EB" w:rsidRDefault="00E95D02" w:rsidP="00E95D02">
      <w:pPr>
        <w:numPr>
          <w:ilvl w:val="12"/>
          <w:numId w:val="0"/>
        </w:num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1.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43"/>
        <w:gridCol w:w="1276"/>
        <w:gridCol w:w="2268"/>
      </w:tblGrid>
      <w:tr w:rsidR="00E95D02" w:rsidRPr="004853EB" w14:paraId="0E1C6575" w14:textId="77777777" w:rsidTr="00E95D02">
        <w:tc>
          <w:tcPr>
            <w:tcW w:w="496" w:type="dxa"/>
            <w:tcBorders>
              <w:bottom w:val="single" w:sz="4" w:space="0" w:color="auto"/>
            </w:tcBorders>
          </w:tcPr>
          <w:p w14:paraId="5CE30FA7" w14:textId="77777777" w:rsidR="00E95D02" w:rsidRPr="004853EB" w:rsidRDefault="00E95D02" w:rsidP="00E95D02">
            <w:pPr>
              <w:numPr>
                <w:ilvl w:val="12"/>
                <w:numId w:val="0"/>
              </w:num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Lp.</w:t>
            </w:r>
          </w:p>
        </w:tc>
        <w:tc>
          <w:tcPr>
            <w:tcW w:w="3543" w:type="dxa"/>
            <w:tcBorders>
              <w:bottom w:val="single" w:sz="4" w:space="0" w:color="auto"/>
            </w:tcBorders>
          </w:tcPr>
          <w:p w14:paraId="0DDC64E5" w14:textId="77777777" w:rsidR="00E95D02" w:rsidRPr="004853EB" w:rsidRDefault="00E95D02" w:rsidP="00E95D02">
            <w:pPr>
              <w:numPr>
                <w:ilvl w:val="12"/>
                <w:numId w:val="0"/>
              </w:num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Wyszczególnienie robót</w:t>
            </w:r>
          </w:p>
        </w:tc>
        <w:tc>
          <w:tcPr>
            <w:tcW w:w="1276" w:type="dxa"/>
            <w:tcBorders>
              <w:bottom w:val="single" w:sz="4" w:space="0" w:color="auto"/>
            </w:tcBorders>
          </w:tcPr>
          <w:p w14:paraId="5B17615C"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Częstotliwość badań</w:t>
            </w:r>
          </w:p>
        </w:tc>
        <w:tc>
          <w:tcPr>
            <w:tcW w:w="2268" w:type="dxa"/>
            <w:tcBorders>
              <w:bottom w:val="single" w:sz="4" w:space="0" w:color="auto"/>
            </w:tcBorders>
          </w:tcPr>
          <w:p w14:paraId="2AFEDACB" w14:textId="77777777" w:rsidR="00E95D02" w:rsidRPr="004853EB" w:rsidRDefault="00E95D02" w:rsidP="00E95D02">
            <w:pPr>
              <w:numPr>
                <w:ilvl w:val="12"/>
                <w:numId w:val="0"/>
              </w:num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Wartości dopuszczalne</w:t>
            </w:r>
          </w:p>
        </w:tc>
      </w:tr>
      <w:tr w:rsidR="00E95D02" w:rsidRPr="004853EB" w14:paraId="3117FD68" w14:textId="77777777" w:rsidTr="00E95D02">
        <w:tc>
          <w:tcPr>
            <w:tcW w:w="496" w:type="dxa"/>
            <w:tcBorders>
              <w:top w:val="single" w:sz="4" w:space="0" w:color="auto"/>
            </w:tcBorders>
            <w:vAlign w:val="center"/>
          </w:tcPr>
          <w:p w14:paraId="726CE675"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3543" w:type="dxa"/>
            <w:tcBorders>
              <w:top w:val="single" w:sz="4" w:space="0" w:color="auto"/>
            </w:tcBorders>
            <w:vAlign w:val="center"/>
          </w:tcPr>
          <w:p w14:paraId="56D2161B" w14:textId="77777777" w:rsidR="00E95D02" w:rsidRPr="004853EB" w:rsidRDefault="00E95D02" w:rsidP="00E95D02">
            <w:pPr>
              <w:numPr>
                <w:ilvl w:val="12"/>
                <w:numId w:val="0"/>
              </w:num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Lokalizacja i zgodność granic terenu robót z dokumentacją projektową</w:t>
            </w:r>
          </w:p>
        </w:tc>
        <w:tc>
          <w:tcPr>
            <w:tcW w:w="1276" w:type="dxa"/>
            <w:tcBorders>
              <w:top w:val="single" w:sz="4" w:space="0" w:color="auto"/>
            </w:tcBorders>
            <w:vAlign w:val="center"/>
          </w:tcPr>
          <w:p w14:paraId="54A6F089"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 raz</w:t>
            </w:r>
          </w:p>
        </w:tc>
        <w:tc>
          <w:tcPr>
            <w:tcW w:w="2268" w:type="dxa"/>
            <w:tcBorders>
              <w:top w:val="single" w:sz="4" w:space="0" w:color="auto"/>
            </w:tcBorders>
            <w:vAlign w:val="center"/>
          </w:tcPr>
          <w:p w14:paraId="236692BC"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Wg pktu 5 i dokumentacji projektowej </w:t>
            </w:r>
          </w:p>
        </w:tc>
      </w:tr>
      <w:tr w:rsidR="00E95D02" w:rsidRPr="004853EB" w14:paraId="259129F8" w14:textId="77777777" w:rsidTr="00E95D02">
        <w:tc>
          <w:tcPr>
            <w:tcW w:w="496" w:type="dxa"/>
            <w:vAlign w:val="center"/>
          </w:tcPr>
          <w:p w14:paraId="006140B9"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3543" w:type="dxa"/>
            <w:vAlign w:val="center"/>
          </w:tcPr>
          <w:p w14:paraId="2DFCA6B1" w14:textId="77777777" w:rsidR="00E95D02" w:rsidRPr="004853EB" w:rsidRDefault="00E95D02" w:rsidP="00E95D02">
            <w:pPr>
              <w:numPr>
                <w:ilvl w:val="12"/>
                <w:numId w:val="0"/>
              </w:num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Roboty przygotowawcze</w:t>
            </w:r>
          </w:p>
        </w:tc>
        <w:tc>
          <w:tcPr>
            <w:tcW w:w="1276" w:type="dxa"/>
            <w:vAlign w:val="center"/>
          </w:tcPr>
          <w:p w14:paraId="50939198"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 raz</w:t>
            </w:r>
          </w:p>
        </w:tc>
        <w:tc>
          <w:tcPr>
            <w:tcW w:w="2268" w:type="dxa"/>
            <w:vAlign w:val="center"/>
          </w:tcPr>
          <w:p w14:paraId="48454C69"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pktu 5.3</w:t>
            </w:r>
          </w:p>
        </w:tc>
      </w:tr>
      <w:tr w:rsidR="00E95D02" w:rsidRPr="004853EB" w14:paraId="7806544F" w14:textId="77777777" w:rsidTr="00E95D02">
        <w:tc>
          <w:tcPr>
            <w:tcW w:w="496" w:type="dxa"/>
            <w:vAlign w:val="center"/>
          </w:tcPr>
          <w:p w14:paraId="4D03D00E"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3543" w:type="dxa"/>
            <w:vAlign w:val="center"/>
          </w:tcPr>
          <w:p w14:paraId="2651956F" w14:textId="77777777" w:rsidR="00E95D02" w:rsidRPr="004853EB" w:rsidRDefault="00E95D02" w:rsidP="00E95D02">
            <w:pPr>
              <w:numPr>
                <w:ilvl w:val="12"/>
                <w:numId w:val="0"/>
              </w:num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Wykonanie koryta i przygotowanie podłoża</w:t>
            </w:r>
          </w:p>
        </w:tc>
        <w:tc>
          <w:tcPr>
            <w:tcW w:w="1276" w:type="dxa"/>
            <w:vAlign w:val="center"/>
          </w:tcPr>
          <w:p w14:paraId="22DE8FD4"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Bieżąco</w:t>
            </w:r>
          </w:p>
        </w:tc>
        <w:tc>
          <w:tcPr>
            <w:tcW w:w="2268" w:type="dxa"/>
            <w:vAlign w:val="center"/>
          </w:tcPr>
          <w:p w14:paraId="4F407CF3"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pktu 5.4</w:t>
            </w:r>
          </w:p>
        </w:tc>
      </w:tr>
      <w:tr w:rsidR="00E95D02" w:rsidRPr="004853EB" w14:paraId="0D656BF3" w14:textId="77777777" w:rsidTr="00E95D02">
        <w:tc>
          <w:tcPr>
            <w:tcW w:w="496" w:type="dxa"/>
            <w:vAlign w:val="center"/>
          </w:tcPr>
          <w:p w14:paraId="25DD5954"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4</w:t>
            </w:r>
          </w:p>
        </w:tc>
        <w:tc>
          <w:tcPr>
            <w:tcW w:w="3543" w:type="dxa"/>
            <w:vAlign w:val="center"/>
          </w:tcPr>
          <w:p w14:paraId="37B8C475" w14:textId="77777777" w:rsidR="00E95D02" w:rsidRPr="004853EB" w:rsidRDefault="00E95D02" w:rsidP="00E95D02">
            <w:pPr>
              <w:numPr>
                <w:ilvl w:val="12"/>
                <w:numId w:val="0"/>
              </w:num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Wytwarzanie mieszanki kruszywa</w:t>
            </w:r>
          </w:p>
        </w:tc>
        <w:tc>
          <w:tcPr>
            <w:tcW w:w="1276" w:type="dxa"/>
            <w:vAlign w:val="center"/>
          </w:tcPr>
          <w:p w14:paraId="46558748"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Jw.</w:t>
            </w:r>
          </w:p>
        </w:tc>
        <w:tc>
          <w:tcPr>
            <w:tcW w:w="2268" w:type="dxa"/>
            <w:vAlign w:val="center"/>
          </w:tcPr>
          <w:p w14:paraId="5A33B9A2"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pktu 5.5</w:t>
            </w:r>
          </w:p>
        </w:tc>
      </w:tr>
      <w:tr w:rsidR="00E95D02" w:rsidRPr="004853EB" w14:paraId="5D0EC4F3" w14:textId="77777777" w:rsidTr="00E95D02">
        <w:tc>
          <w:tcPr>
            <w:tcW w:w="496" w:type="dxa"/>
            <w:vAlign w:val="center"/>
          </w:tcPr>
          <w:p w14:paraId="06EAF291"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c>
          <w:tcPr>
            <w:tcW w:w="3543" w:type="dxa"/>
            <w:vAlign w:val="center"/>
          </w:tcPr>
          <w:p w14:paraId="7E685B5F"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Wbudowanie i zagęszczanie mieszanki kruszywa</w:t>
            </w:r>
          </w:p>
        </w:tc>
        <w:tc>
          <w:tcPr>
            <w:tcW w:w="1276" w:type="dxa"/>
            <w:vAlign w:val="center"/>
          </w:tcPr>
          <w:p w14:paraId="04863C48"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Jw.</w:t>
            </w:r>
          </w:p>
        </w:tc>
        <w:tc>
          <w:tcPr>
            <w:tcW w:w="2268" w:type="dxa"/>
            <w:vAlign w:val="center"/>
          </w:tcPr>
          <w:p w14:paraId="2CC357DF"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pktu 5.6</w:t>
            </w:r>
          </w:p>
        </w:tc>
      </w:tr>
      <w:tr w:rsidR="00E95D02" w:rsidRPr="004853EB" w14:paraId="69498D6A" w14:textId="77777777" w:rsidTr="00E95D02">
        <w:tc>
          <w:tcPr>
            <w:tcW w:w="496" w:type="dxa"/>
            <w:vAlign w:val="center"/>
          </w:tcPr>
          <w:p w14:paraId="1AA68E4C"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tc>
        <w:tc>
          <w:tcPr>
            <w:tcW w:w="3543" w:type="dxa"/>
            <w:vAlign w:val="center"/>
          </w:tcPr>
          <w:p w14:paraId="02ADC24B" w14:textId="77777777" w:rsidR="00E95D02" w:rsidRPr="004853EB" w:rsidRDefault="00E95D02" w:rsidP="00E95D02">
            <w:pPr>
              <w:numPr>
                <w:ilvl w:val="12"/>
                <w:numId w:val="0"/>
              </w:num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Wykonanie robót wykończeniowych</w:t>
            </w:r>
          </w:p>
        </w:tc>
        <w:tc>
          <w:tcPr>
            <w:tcW w:w="1276" w:type="dxa"/>
            <w:vAlign w:val="center"/>
          </w:tcPr>
          <w:p w14:paraId="5F037210"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Ocena ciągła</w:t>
            </w:r>
          </w:p>
        </w:tc>
        <w:tc>
          <w:tcPr>
            <w:tcW w:w="2268" w:type="dxa"/>
            <w:vAlign w:val="center"/>
          </w:tcPr>
          <w:p w14:paraId="223BC036"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Wg pktu 5.7</w:t>
            </w:r>
          </w:p>
        </w:tc>
      </w:tr>
    </w:tbl>
    <w:p w14:paraId="45C30562"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18" w:name="_Toc194477130"/>
      <w:bookmarkStart w:id="3819" w:name="_Toc227825612"/>
      <w:bookmarkStart w:id="3820" w:name="_Toc199904825"/>
      <w:r w:rsidRPr="004853EB">
        <w:rPr>
          <w:rFonts w:eastAsia="Times New Roman" w:cstheme="minorHAnsi"/>
          <w:b/>
          <w:sz w:val="20"/>
          <w:szCs w:val="20"/>
          <w:lang w:eastAsia="pl-PL"/>
        </w:rPr>
        <w:t>6.4. Badania po zakończeniu robót\</w:t>
      </w:r>
      <w:bookmarkEnd w:id="3818"/>
      <w:bookmarkEnd w:id="3819"/>
    </w:p>
    <w:p w14:paraId="65B24D5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Wykonane utwardzone pobocze powinno spełniać następujące wymagania:</w:t>
      </w:r>
    </w:p>
    <w:p w14:paraId="044D695C" w14:textId="77777777" w:rsidR="00E95D02" w:rsidRPr="004853EB" w:rsidRDefault="00E95D02">
      <w:pPr>
        <w:numPr>
          <w:ilvl w:val="0"/>
          <w:numId w:val="14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szerokość utwardzonego pobocza może się różnić od szerokości projektowanej nie więcej niż +10 cm i -5 cm,</w:t>
      </w:r>
    </w:p>
    <w:p w14:paraId="28CF99BB" w14:textId="77777777" w:rsidR="00E95D02" w:rsidRPr="004853EB" w:rsidRDefault="00E95D02">
      <w:pPr>
        <w:numPr>
          <w:ilvl w:val="0"/>
          <w:numId w:val="14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nierówności pobocza mierzone 4-metrową łatą nie mogą przekraczać 10 mm,</w:t>
      </w:r>
    </w:p>
    <w:p w14:paraId="3F497453" w14:textId="77777777" w:rsidR="00E95D02" w:rsidRPr="004853EB" w:rsidRDefault="00E95D02">
      <w:pPr>
        <w:numPr>
          <w:ilvl w:val="0"/>
          <w:numId w:val="14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spadki poprzeczne powinny być zgodne z dokumentacją projektową z tolerancją                   ± 0,5%,</w:t>
      </w:r>
    </w:p>
    <w:p w14:paraId="00006262" w14:textId="77777777" w:rsidR="00E95D02" w:rsidRPr="004853EB" w:rsidRDefault="00E95D02">
      <w:pPr>
        <w:numPr>
          <w:ilvl w:val="0"/>
          <w:numId w:val="14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różnice wysokościowe z rzędnymi projektowanymi nie powinny przekraczać +1 cm,           -2 cm,</w:t>
      </w:r>
    </w:p>
    <w:p w14:paraId="29CAEEFE" w14:textId="77777777" w:rsidR="00E95D02" w:rsidRPr="004853EB" w:rsidRDefault="00E95D02">
      <w:pPr>
        <w:numPr>
          <w:ilvl w:val="0"/>
          <w:numId w:val="142"/>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grubość utwardzonego pobocza nie może się różnić od grubości projektowanej o                 ± 10%.</w:t>
      </w:r>
    </w:p>
    <w:p w14:paraId="693F5240" w14:textId="77777777" w:rsidR="00E95D02" w:rsidRPr="004853EB" w:rsidRDefault="00E95D02" w:rsidP="00E95D02">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Zaleca się badać grubość utwardzonego pobocza w 3 punktach, lecz nie rzadziej niż raz na 2000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a pozostałe cechy co 100 m wzdłuż osi drogi.</w:t>
      </w:r>
    </w:p>
    <w:p w14:paraId="3D434FEB" w14:textId="77777777" w:rsidR="00E95D02" w:rsidRPr="004853EB" w:rsidRDefault="00E95D02" w:rsidP="00E95D02">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821" w:name="_Toc211316618"/>
      <w:bookmarkStart w:id="3822" w:name="_Toc194477131"/>
      <w:bookmarkStart w:id="3823" w:name="_Toc227825613"/>
      <w:r w:rsidRPr="004853EB">
        <w:rPr>
          <w:rFonts w:eastAsia="Times New Roman" w:cstheme="minorHAnsi"/>
          <w:b/>
          <w:caps/>
          <w:kern w:val="28"/>
          <w:sz w:val="20"/>
          <w:szCs w:val="20"/>
          <w:lang w:eastAsia="pl-PL"/>
        </w:rPr>
        <w:t xml:space="preserve">7. </w:t>
      </w:r>
      <w:bookmarkEnd w:id="3820"/>
      <w:bookmarkEnd w:id="3821"/>
      <w:r w:rsidRPr="004853EB">
        <w:rPr>
          <w:rFonts w:eastAsia="Times New Roman" w:cstheme="minorHAnsi"/>
          <w:b/>
          <w:caps/>
          <w:kern w:val="28"/>
          <w:sz w:val="20"/>
          <w:szCs w:val="20"/>
          <w:lang w:eastAsia="pl-PL"/>
        </w:rPr>
        <w:t>OBMIAR ROBÓT</w:t>
      </w:r>
      <w:bookmarkEnd w:id="3822"/>
      <w:bookmarkEnd w:id="3823"/>
    </w:p>
    <w:p w14:paraId="5A5DCF13"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24" w:name="_Toc194477132"/>
      <w:bookmarkStart w:id="3825" w:name="_Toc227825614"/>
      <w:r w:rsidRPr="004853EB">
        <w:rPr>
          <w:rFonts w:eastAsia="Times New Roman" w:cstheme="minorHAnsi"/>
          <w:b/>
          <w:sz w:val="20"/>
          <w:szCs w:val="20"/>
          <w:lang w:eastAsia="pl-PL"/>
        </w:rPr>
        <w:t>7.1. Ogólne zasady obmiaru robót</w:t>
      </w:r>
      <w:bookmarkEnd w:id="3824"/>
      <w:bookmarkEnd w:id="3825"/>
    </w:p>
    <w:p w14:paraId="5BDDEA89" w14:textId="159E4B4F"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Ogólne zasady obmiaru robót podano w </w:t>
      </w:r>
      <w:r w:rsidR="00050DBE" w:rsidRPr="004853EB">
        <w:rPr>
          <w:rFonts w:eastAsia="Times New Roman" w:cstheme="minorHAnsi"/>
          <w:sz w:val="20"/>
          <w:szCs w:val="20"/>
          <w:lang w:eastAsia="pl-PL"/>
        </w:rPr>
        <w:t>SST D</w:t>
      </w:r>
      <w:r w:rsidRPr="004853EB">
        <w:rPr>
          <w:rFonts w:eastAsia="Times New Roman" w:cstheme="minorHAnsi"/>
          <w:sz w:val="20"/>
          <w:szCs w:val="20"/>
          <w:lang w:eastAsia="pl-PL"/>
        </w:rPr>
        <w:t>-00.00.00 „Wymagania ogólne” pkt 7.</w:t>
      </w:r>
    </w:p>
    <w:p w14:paraId="6B7B736B"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26" w:name="_Toc194477133"/>
      <w:bookmarkStart w:id="3827" w:name="_Toc227825615"/>
      <w:r w:rsidRPr="004853EB">
        <w:rPr>
          <w:rFonts w:eastAsia="Times New Roman" w:cstheme="minorHAnsi"/>
          <w:b/>
          <w:sz w:val="20"/>
          <w:szCs w:val="20"/>
          <w:lang w:eastAsia="pl-PL"/>
        </w:rPr>
        <w:t>7.2. Jednostka obmiarowa</w:t>
      </w:r>
      <w:bookmarkEnd w:id="3826"/>
      <w:bookmarkEnd w:id="3827"/>
    </w:p>
    <w:p w14:paraId="7A07AE0E"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Jednostką obmiarową jest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(metr kwadratowy) wykonanego utwardzonego pobocza.</w:t>
      </w:r>
    </w:p>
    <w:p w14:paraId="13AD355E" w14:textId="77777777" w:rsidR="00E95D02" w:rsidRPr="004853EB" w:rsidRDefault="00E95D02" w:rsidP="00E95D02">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r w:rsidRPr="004853EB">
        <w:rPr>
          <w:rFonts w:eastAsia="Times New Roman" w:cstheme="minorHAnsi"/>
          <w:b/>
          <w:caps/>
          <w:kern w:val="28"/>
          <w:sz w:val="20"/>
          <w:szCs w:val="20"/>
          <w:lang w:eastAsia="pl-PL"/>
        </w:rPr>
        <w:t xml:space="preserve"> </w:t>
      </w:r>
      <w:bookmarkStart w:id="3828" w:name="_Toc199904826"/>
      <w:bookmarkStart w:id="3829" w:name="_Toc211316619"/>
      <w:bookmarkStart w:id="3830" w:name="_Toc194477134"/>
      <w:bookmarkStart w:id="3831" w:name="_Toc227825616"/>
      <w:r w:rsidRPr="004853EB">
        <w:rPr>
          <w:rFonts w:eastAsia="Times New Roman" w:cstheme="minorHAnsi"/>
          <w:b/>
          <w:caps/>
          <w:kern w:val="28"/>
          <w:sz w:val="20"/>
          <w:szCs w:val="20"/>
          <w:lang w:eastAsia="pl-PL"/>
        </w:rPr>
        <w:t xml:space="preserve">8. </w:t>
      </w:r>
      <w:bookmarkEnd w:id="3828"/>
      <w:bookmarkEnd w:id="3829"/>
      <w:r w:rsidRPr="004853EB">
        <w:rPr>
          <w:rFonts w:eastAsia="Times New Roman" w:cstheme="minorHAnsi"/>
          <w:b/>
          <w:caps/>
          <w:kern w:val="28"/>
          <w:sz w:val="20"/>
          <w:szCs w:val="20"/>
          <w:lang w:eastAsia="pl-PL"/>
        </w:rPr>
        <w:t>ODBIÓR ROBÓT</w:t>
      </w:r>
      <w:bookmarkEnd w:id="3830"/>
      <w:bookmarkEnd w:id="3831"/>
    </w:p>
    <w:p w14:paraId="76E50860"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32" w:name="_Toc194477135"/>
      <w:bookmarkStart w:id="3833" w:name="_Toc227825617"/>
      <w:r w:rsidRPr="004853EB">
        <w:rPr>
          <w:rFonts w:eastAsia="Times New Roman" w:cstheme="minorHAnsi"/>
          <w:b/>
          <w:sz w:val="20"/>
          <w:szCs w:val="20"/>
          <w:lang w:eastAsia="pl-PL"/>
        </w:rPr>
        <w:t>8.1. Ogólne zasady odbioru robót</w:t>
      </w:r>
      <w:bookmarkEnd w:id="3832"/>
      <w:bookmarkEnd w:id="3833"/>
    </w:p>
    <w:p w14:paraId="4B7F31AD" w14:textId="64410816"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Ogólne zasady odbioru robót podano w </w:t>
      </w:r>
      <w:r w:rsidR="00050DBE" w:rsidRPr="004853EB">
        <w:rPr>
          <w:rFonts w:eastAsia="Times New Roman" w:cstheme="minorHAnsi"/>
          <w:sz w:val="20"/>
          <w:szCs w:val="20"/>
          <w:lang w:eastAsia="pl-PL"/>
        </w:rPr>
        <w:t>SST D</w:t>
      </w:r>
      <w:r w:rsidRPr="004853EB">
        <w:rPr>
          <w:rFonts w:eastAsia="Times New Roman" w:cstheme="minorHAnsi"/>
          <w:sz w:val="20"/>
          <w:szCs w:val="20"/>
          <w:lang w:eastAsia="pl-PL"/>
        </w:rPr>
        <w:t>-00.00.00 „Wymagania ogólne” pkt 8.</w:t>
      </w:r>
    </w:p>
    <w:p w14:paraId="69A19BC7"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Roboty uznaje się za wykonane zgodnie z dokumentacją projektową, ST i wymaganiami Inżyniera, jeżeli wszystkie pomiary i badania z zachowaniem tolerancji według pktu 6 dały wyniki pozytywne.</w:t>
      </w:r>
    </w:p>
    <w:p w14:paraId="77E20AA4" w14:textId="08EF6580"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34" w:name="_Toc194477136"/>
      <w:bookmarkStart w:id="3835" w:name="_Toc227825618"/>
      <w:r w:rsidRPr="004853EB">
        <w:rPr>
          <w:rFonts w:eastAsia="Times New Roman" w:cstheme="minorHAnsi"/>
          <w:b/>
          <w:sz w:val="20"/>
          <w:szCs w:val="20"/>
          <w:lang w:eastAsia="pl-PL"/>
        </w:rPr>
        <w:t xml:space="preserve">8.2. Odbiór robót zanikających i </w:t>
      </w:r>
      <w:bookmarkEnd w:id="3834"/>
      <w:r w:rsidR="00050DBE" w:rsidRPr="004853EB">
        <w:rPr>
          <w:rFonts w:eastAsia="Times New Roman" w:cstheme="minorHAnsi"/>
          <w:b/>
          <w:sz w:val="20"/>
          <w:szCs w:val="20"/>
          <w:lang w:eastAsia="pl-PL"/>
        </w:rPr>
        <w:t>ulegających zakryciu</w:t>
      </w:r>
      <w:bookmarkEnd w:id="3835"/>
    </w:p>
    <w:p w14:paraId="35BF1E41"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Odbiorowi robót zanikających i ulegających zakryciu podlegają:</w:t>
      </w:r>
    </w:p>
    <w:p w14:paraId="7FF87402"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wykonanie koryta i przygotowanie podłoża.</w:t>
      </w:r>
    </w:p>
    <w:p w14:paraId="79876D1B" w14:textId="4F1302B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Odbiór tych robót </w:t>
      </w:r>
      <w:r w:rsidR="00050DBE" w:rsidRPr="004853EB">
        <w:rPr>
          <w:rFonts w:eastAsia="Times New Roman" w:cstheme="minorHAnsi"/>
          <w:sz w:val="20"/>
          <w:szCs w:val="20"/>
          <w:lang w:eastAsia="pl-PL"/>
        </w:rPr>
        <w:t>powinien być</w:t>
      </w:r>
      <w:r w:rsidRPr="004853EB">
        <w:rPr>
          <w:rFonts w:eastAsia="Times New Roman" w:cstheme="minorHAnsi"/>
          <w:sz w:val="20"/>
          <w:szCs w:val="20"/>
          <w:lang w:eastAsia="pl-PL"/>
        </w:rPr>
        <w:t xml:space="preserve"> zgodny z wymaganiami pktu 8.2 D-00.00.00 „Wymagania ogólne” oraz niniejszej SST.</w:t>
      </w:r>
    </w:p>
    <w:p w14:paraId="5B7192BA" w14:textId="77777777" w:rsidR="00E95D02" w:rsidRPr="004853EB" w:rsidRDefault="00E95D02" w:rsidP="00E95D02">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836" w:name="_Toc199904827"/>
      <w:bookmarkStart w:id="3837" w:name="_Toc211316620"/>
      <w:bookmarkStart w:id="3838" w:name="_Toc194477137"/>
      <w:bookmarkStart w:id="3839" w:name="_Toc227825619"/>
      <w:r w:rsidRPr="004853EB">
        <w:rPr>
          <w:rFonts w:eastAsia="Times New Roman" w:cstheme="minorHAnsi"/>
          <w:b/>
          <w:caps/>
          <w:kern w:val="28"/>
          <w:sz w:val="20"/>
          <w:szCs w:val="20"/>
          <w:lang w:eastAsia="pl-PL"/>
        </w:rPr>
        <w:t xml:space="preserve">9. </w:t>
      </w:r>
      <w:bookmarkEnd w:id="3836"/>
      <w:bookmarkEnd w:id="3837"/>
      <w:r w:rsidRPr="004853EB">
        <w:rPr>
          <w:rFonts w:eastAsia="Times New Roman" w:cstheme="minorHAnsi"/>
          <w:b/>
          <w:caps/>
          <w:kern w:val="28"/>
          <w:sz w:val="20"/>
          <w:szCs w:val="20"/>
          <w:lang w:eastAsia="pl-PL"/>
        </w:rPr>
        <w:t>PODSTAWA PŁATNOŚCI</w:t>
      </w:r>
      <w:bookmarkEnd w:id="3838"/>
      <w:bookmarkEnd w:id="3839"/>
    </w:p>
    <w:p w14:paraId="2F16D565"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40" w:name="_Toc194477138"/>
      <w:bookmarkStart w:id="3841" w:name="_Toc227825620"/>
      <w:r w:rsidRPr="004853EB">
        <w:rPr>
          <w:rFonts w:eastAsia="Times New Roman" w:cstheme="minorHAnsi"/>
          <w:b/>
          <w:sz w:val="20"/>
          <w:szCs w:val="20"/>
          <w:lang w:eastAsia="pl-PL"/>
        </w:rPr>
        <w:t>9.1. Ogólne ustalenia dotyczące podstawy płatności</w:t>
      </w:r>
      <w:bookmarkEnd w:id="3840"/>
      <w:bookmarkEnd w:id="3841"/>
    </w:p>
    <w:p w14:paraId="1A0545C8"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ustalenia dotyczące podstawy płatności podano w SST D-00.00.00 „Wymagania ogólne” pkt 9.</w:t>
      </w:r>
    </w:p>
    <w:p w14:paraId="5752C513"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42" w:name="_Toc194477139"/>
      <w:bookmarkStart w:id="3843" w:name="_Toc227825621"/>
      <w:r w:rsidRPr="004853EB">
        <w:rPr>
          <w:rFonts w:eastAsia="Times New Roman" w:cstheme="minorHAnsi"/>
          <w:b/>
          <w:sz w:val="20"/>
          <w:szCs w:val="20"/>
          <w:lang w:eastAsia="pl-PL"/>
        </w:rPr>
        <w:t>9.2. Cena jednostki obmiarowej</w:t>
      </w:r>
      <w:bookmarkEnd w:id="3842"/>
      <w:bookmarkEnd w:id="3843"/>
    </w:p>
    <w:p w14:paraId="1D5F4551" w14:textId="0ED8A339"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Cena </w:t>
      </w:r>
      <w:r w:rsidR="00050DBE" w:rsidRPr="004853EB">
        <w:rPr>
          <w:rFonts w:eastAsia="Times New Roman" w:cstheme="minorHAnsi"/>
          <w:sz w:val="20"/>
          <w:szCs w:val="20"/>
          <w:lang w:eastAsia="pl-PL"/>
        </w:rPr>
        <w:t>wykonania 1</w:t>
      </w:r>
      <w:r w:rsidRPr="004853EB">
        <w:rPr>
          <w:rFonts w:eastAsia="Times New Roman" w:cstheme="minorHAnsi"/>
          <w:sz w:val="20"/>
          <w:szCs w:val="20"/>
          <w:lang w:eastAsia="pl-PL"/>
        </w:rPr>
        <w:t xml:space="preserve">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utwardzonego pobocza obejmuje:</w:t>
      </w:r>
    </w:p>
    <w:p w14:paraId="6AF2FEFA"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prace pomiarowe i roboty przygotowawcze,</w:t>
      </w:r>
    </w:p>
    <w:p w14:paraId="072CB2C3"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oznakowanie robót,</w:t>
      </w:r>
    </w:p>
    <w:p w14:paraId="58D292B8" w14:textId="50EC8109" w:rsidR="00E95D02" w:rsidRPr="004853EB" w:rsidRDefault="00050DBE"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przygotowanie podłoża</w:t>
      </w:r>
      <w:r w:rsidR="00E95D02" w:rsidRPr="004853EB">
        <w:rPr>
          <w:rFonts w:eastAsia="Times New Roman" w:cstheme="minorHAnsi"/>
          <w:sz w:val="20"/>
          <w:szCs w:val="20"/>
          <w:lang w:eastAsia="pl-PL"/>
        </w:rPr>
        <w:t>,</w:t>
      </w:r>
    </w:p>
    <w:p w14:paraId="2153794F"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dostarczenie materiałów i sprzętu,</w:t>
      </w:r>
    </w:p>
    <w:p w14:paraId="1A6184B9"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ewentualne ścięcie istniejącego pobocza, ew. spulchnienie, wyprofilowanie i zagęszczenie gruntowego pobocza,</w:t>
      </w:r>
    </w:p>
    <w:p w14:paraId="2A2D6973"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przygotowanie i dostarczenie mieszanki kruszywa łamanego,</w:t>
      </w:r>
    </w:p>
    <w:p w14:paraId="2B333C1E"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wykonanie nawierzchni utwardzonego pobocza według wymagań dokumentacji projektowej, ST i specyfikacji technicznej,</w:t>
      </w:r>
    </w:p>
    <w:p w14:paraId="67960E7B" w14:textId="2BE8FAD3"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przeprowadzenie pomiarów i </w:t>
      </w:r>
      <w:r w:rsidR="00050DBE" w:rsidRPr="004853EB">
        <w:rPr>
          <w:rFonts w:eastAsia="Times New Roman" w:cstheme="minorHAnsi"/>
          <w:sz w:val="20"/>
          <w:szCs w:val="20"/>
          <w:lang w:eastAsia="pl-PL"/>
        </w:rPr>
        <w:t>badań wymaganych</w:t>
      </w:r>
      <w:r w:rsidRPr="004853EB">
        <w:rPr>
          <w:rFonts w:eastAsia="Times New Roman" w:cstheme="minorHAnsi"/>
          <w:sz w:val="20"/>
          <w:szCs w:val="20"/>
          <w:lang w:eastAsia="pl-PL"/>
        </w:rPr>
        <w:t xml:space="preserve"> </w:t>
      </w:r>
      <w:r w:rsidR="00050DBE" w:rsidRPr="004853EB">
        <w:rPr>
          <w:rFonts w:eastAsia="Times New Roman" w:cstheme="minorHAnsi"/>
          <w:sz w:val="20"/>
          <w:szCs w:val="20"/>
          <w:lang w:eastAsia="pl-PL"/>
        </w:rPr>
        <w:t>w specyfikacji</w:t>
      </w:r>
      <w:r w:rsidRPr="004853EB">
        <w:rPr>
          <w:rFonts w:eastAsia="Times New Roman" w:cstheme="minorHAnsi"/>
          <w:sz w:val="20"/>
          <w:szCs w:val="20"/>
          <w:lang w:eastAsia="pl-PL"/>
        </w:rPr>
        <w:t xml:space="preserve"> technicznej,</w:t>
      </w:r>
    </w:p>
    <w:p w14:paraId="02B67EBF"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b/>
          <w:sz w:val="20"/>
          <w:szCs w:val="20"/>
          <w:lang w:eastAsia="pl-PL"/>
        </w:rPr>
      </w:pPr>
      <w:r w:rsidRPr="004853EB">
        <w:rPr>
          <w:rFonts w:eastAsia="Times New Roman" w:cstheme="minorHAnsi"/>
          <w:sz w:val="20"/>
          <w:szCs w:val="20"/>
          <w:lang w:eastAsia="pl-PL"/>
        </w:rPr>
        <w:t>odwiezienie sprzętu.</w:t>
      </w:r>
    </w:p>
    <w:p w14:paraId="2E2914BE"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44" w:name="_Toc194477140"/>
      <w:bookmarkStart w:id="3845" w:name="_Toc227825622"/>
      <w:r w:rsidRPr="004853EB">
        <w:rPr>
          <w:rFonts w:eastAsia="Times New Roman" w:cstheme="minorHAnsi"/>
          <w:b/>
          <w:sz w:val="20"/>
          <w:szCs w:val="20"/>
          <w:lang w:eastAsia="pl-PL"/>
        </w:rPr>
        <w:lastRenderedPageBreak/>
        <w:t>9.3. Sposób rozliczenia robót tymczasowych i prac towarzyszących</w:t>
      </w:r>
      <w:bookmarkEnd w:id="3844"/>
      <w:bookmarkEnd w:id="3845"/>
    </w:p>
    <w:p w14:paraId="790D8F12"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Cena wykonania robót określonych niniejszą SST obejmuje:</w:t>
      </w:r>
    </w:p>
    <w:p w14:paraId="1836926A"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tymczasowe, które są potrzebne do wykonania robót podstawowych, ale nie są przekazywane Zamawiającemu i są usuwane po wykonaniu robót podstawowych,</w:t>
      </w:r>
    </w:p>
    <w:p w14:paraId="009B9D24"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prace towarzyszące, które są niezbędne do wykonania robót podstawowych, niezaliczane do robót tymczasowych, jak geodezyjne wytyczenie robót itd.</w:t>
      </w:r>
    </w:p>
    <w:p w14:paraId="6CE81D21"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846" w:name="_Toc199904828"/>
      <w:bookmarkStart w:id="3847" w:name="_Toc211316621"/>
      <w:bookmarkStart w:id="3848" w:name="_Toc194477141"/>
      <w:bookmarkStart w:id="3849" w:name="_Toc227825623"/>
      <w:r w:rsidRPr="004853EB">
        <w:rPr>
          <w:rFonts w:eastAsia="Times New Roman" w:cstheme="minorHAnsi"/>
          <w:b/>
          <w:caps/>
          <w:kern w:val="28"/>
          <w:sz w:val="20"/>
          <w:szCs w:val="20"/>
          <w:lang w:eastAsia="pl-PL"/>
        </w:rPr>
        <w:t xml:space="preserve">10. </w:t>
      </w:r>
      <w:bookmarkEnd w:id="3846"/>
      <w:bookmarkEnd w:id="3847"/>
      <w:r w:rsidRPr="004853EB">
        <w:rPr>
          <w:rFonts w:eastAsia="Times New Roman" w:cstheme="minorHAnsi"/>
          <w:b/>
          <w:caps/>
          <w:kern w:val="28"/>
          <w:sz w:val="20"/>
          <w:szCs w:val="20"/>
          <w:lang w:eastAsia="pl-PL"/>
        </w:rPr>
        <w:t>PRZEPISY ZWIAZANE</w:t>
      </w:r>
      <w:bookmarkEnd w:id="3848"/>
      <w:bookmarkEnd w:id="3849"/>
    </w:p>
    <w:p w14:paraId="1FB27DE4"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50" w:name="_Toc194477142"/>
      <w:bookmarkStart w:id="3851" w:name="_Toc227825624"/>
      <w:r w:rsidRPr="004853EB">
        <w:rPr>
          <w:rFonts w:eastAsia="Times New Roman" w:cstheme="minorHAnsi"/>
          <w:b/>
          <w:sz w:val="20"/>
          <w:szCs w:val="20"/>
          <w:lang w:eastAsia="pl-PL"/>
        </w:rPr>
        <w:t>10.1. Ogólne specyfikacje techniczne (SST)</w:t>
      </w:r>
      <w:bookmarkEnd w:id="3850"/>
      <w:bookmarkEnd w:id="3851"/>
    </w:p>
    <w:tbl>
      <w:tblPr>
        <w:tblW w:w="0" w:type="auto"/>
        <w:tblLayout w:type="fixed"/>
        <w:tblCellMar>
          <w:left w:w="70" w:type="dxa"/>
          <w:right w:w="70" w:type="dxa"/>
        </w:tblCellMar>
        <w:tblLook w:val="0000" w:firstRow="0" w:lastRow="0" w:firstColumn="0" w:lastColumn="0" w:noHBand="0" w:noVBand="0"/>
      </w:tblPr>
      <w:tblGrid>
        <w:gridCol w:w="496"/>
        <w:gridCol w:w="1984"/>
        <w:gridCol w:w="5030"/>
      </w:tblGrid>
      <w:tr w:rsidR="00E95D02" w:rsidRPr="004853EB" w14:paraId="550E716A" w14:textId="77777777" w:rsidTr="00E95D02">
        <w:tc>
          <w:tcPr>
            <w:tcW w:w="496" w:type="dxa"/>
          </w:tcPr>
          <w:p w14:paraId="1D945F6F"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1984" w:type="dxa"/>
          </w:tcPr>
          <w:p w14:paraId="601DE35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D-00.00.00</w:t>
            </w:r>
          </w:p>
        </w:tc>
        <w:tc>
          <w:tcPr>
            <w:tcW w:w="5030" w:type="dxa"/>
          </w:tcPr>
          <w:p w14:paraId="75A84FE8"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Wymagania ogólne</w:t>
            </w:r>
          </w:p>
        </w:tc>
      </w:tr>
      <w:tr w:rsidR="00E95D02" w:rsidRPr="004853EB" w14:paraId="1E6B3A87" w14:textId="77777777" w:rsidTr="00E95D02">
        <w:tc>
          <w:tcPr>
            <w:tcW w:w="496" w:type="dxa"/>
          </w:tcPr>
          <w:p w14:paraId="2621CC59"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1984" w:type="dxa"/>
          </w:tcPr>
          <w:p w14:paraId="79A927D4"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D-01.00.00</w:t>
            </w:r>
          </w:p>
        </w:tc>
        <w:tc>
          <w:tcPr>
            <w:tcW w:w="5030" w:type="dxa"/>
          </w:tcPr>
          <w:p w14:paraId="6969E461"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przygotowawcze</w:t>
            </w:r>
          </w:p>
        </w:tc>
      </w:tr>
      <w:tr w:rsidR="00E95D02" w:rsidRPr="004853EB" w14:paraId="166C0501" w14:textId="77777777" w:rsidTr="00E95D02">
        <w:tc>
          <w:tcPr>
            <w:tcW w:w="496" w:type="dxa"/>
          </w:tcPr>
          <w:p w14:paraId="12B105FE"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1984" w:type="dxa"/>
          </w:tcPr>
          <w:p w14:paraId="2C3F968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D-02.00.00</w:t>
            </w:r>
          </w:p>
        </w:tc>
        <w:tc>
          <w:tcPr>
            <w:tcW w:w="5030" w:type="dxa"/>
          </w:tcPr>
          <w:p w14:paraId="1E7F5852"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ziemne</w:t>
            </w:r>
          </w:p>
        </w:tc>
      </w:tr>
    </w:tbl>
    <w:p w14:paraId="4908A837"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52" w:name="_Toc194477143"/>
      <w:bookmarkStart w:id="3853" w:name="_Toc227825625"/>
      <w:r w:rsidRPr="004853EB">
        <w:rPr>
          <w:rFonts w:eastAsia="Times New Roman" w:cstheme="minorHAnsi"/>
          <w:b/>
          <w:sz w:val="20"/>
          <w:szCs w:val="20"/>
          <w:lang w:eastAsia="pl-PL"/>
        </w:rPr>
        <w:t>10.2. Normy</w:t>
      </w:r>
      <w:bookmarkEnd w:id="3852"/>
      <w:bookmarkEnd w:id="3853"/>
    </w:p>
    <w:tbl>
      <w:tblPr>
        <w:tblW w:w="9322" w:type="dxa"/>
        <w:tblLook w:val="01E0" w:firstRow="1" w:lastRow="1" w:firstColumn="1" w:lastColumn="1" w:noHBand="0" w:noVBand="0"/>
      </w:tblPr>
      <w:tblGrid>
        <w:gridCol w:w="534"/>
        <w:gridCol w:w="1984"/>
        <w:gridCol w:w="6662"/>
        <w:gridCol w:w="142"/>
      </w:tblGrid>
      <w:tr w:rsidR="00E95D02" w:rsidRPr="004853EB" w14:paraId="438C970D" w14:textId="77777777" w:rsidTr="00E95D02">
        <w:trPr>
          <w:gridAfter w:val="1"/>
          <w:wAfter w:w="142" w:type="dxa"/>
        </w:trPr>
        <w:tc>
          <w:tcPr>
            <w:tcW w:w="534" w:type="dxa"/>
          </w:tcPr>
          <w:p w14:paraId="6C2A304D"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1984" w:type="dxa"/>
          </w:tcPr>
          <w:p w14:paraId="298BF08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13242:2004</w:t>
            </w:r>
          </w:p>
        </w:tc>
        <w:tc>
          <w:tcPr>
            <w:tcW w:w="6662" w:type="dxa"/>
          </w:tcPr>
          <w:p w14:paraId="789692D9"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Kruszywa do niezwiązanych i związanych hydraulicznie materiałów stosowanych w obiektach budowlanych            i budownictwie drogowym (patrz: poz. 7 i 8)</w:t>
            </w:r>
          </w:p>
        </w:tc>
      </w:tr>
      <w:tr w:rsidR="00E95D02" w:rsidRPr="004853EB" w14:paraId="5D1458EF" w14:textId="77777777" w:rsidTr="00E95D02">
        <w:tc>
          <w:tcPr>
            <w:tcW w:w="534" w:type="dxa"/>
          </w:tcPr>
          <w:p w14:paraId="038BB042"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c>
          <w:tcPr>
            <w:tcW w:w="1984" w:type="dxa"/>
          </w:tcPr>
          <w:p w14:paraId="20F581FC"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PN-EN 13285:2004</w:t>
            </w:r>
          </w:p>
        </w:tc>
        <w:tc>
          <w:tcPr>
            <w:tcW w:w="6804" w:type="dxa"/>
            <w:gridSpan w:val="2"/>
          </w:tcPr>
          <w:p w14:paraId="05886842"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Mieszanki niezwiązane. Specyfikacje (patrz: poz. 7 i 8)</w:t>
            </w:r>
          </w:p>
        </w:tc>
      </w:tr>
      <w:tr w:rsidR="00E95D02" w:rsidRPr="004853EB" w14:paraId="183A771E" w14:textId="77777777" w:rsidTr="00E95D02">
        <w:tc>
          <w:tcPr>
            <w:tcW w:w="534" w:type="dxa"/>
          </w:tcPr>
          <w:p w14:paraId="70A4A210"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tc>
        <w:tc>
          <w:tcPr>
            <w:tcW w:w="1984" w:type="dxa"/>
          </w:tcPr>
          <w:p w14:paraId="76EA2676"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PN-B-04481:1988</w:t>
            </w:r>
          </w:p>
        </w:tc>
        <w:tc>
          <w:tcPr>
            <w:tcW w:w="6804" w:type="dxa"/>
            <w:gridSpan w:val="2"/>
          </w:tcPr>
          <w:p w14:paraId="0FD27761"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Grunty budowlane. Badanie próbek gruntu</w:t>
            </w:r>
          </w:p>
        </w:tc>
      </w:tr>
      <w:tr w:rsidR="00E95D02" w:rsidRPr="004853EB" w14:paraId="3393F126" w14:textId="77777777" w:rsidTr="00E95D02">
        <w:tc>
          <w:tcPr>
            <w:tcW w:w="534" w:type="dxa"/>
          </w:tcPr>
          <w:p w14:paraId="15F87A31"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w:t>
            </w:r>
          </w:p>
        </w:tc>
        <w:tc>
          <w:tcPr>
            <w:tcW w:w="1984" w:type="dxa"/>
          </w:tcPr>
          <w:p w14:paraId="7874576E"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PN-B-11112:1996</w:t>
            </w:r>
          </w:p>
        </w:tc>
        <w:tc>
          <w:tcPr>
            <w:tcW w:w="6804" w:type="dxa"/>
            <w:gridSpan w:val="2"/>
          </w:tcPr>
          <w:p w14:paraId="224B088E"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Kruszywa mineralne. Kruszywa łamane do nawierzchni drogowych (W okresie przejściowym norma może być stosowana zamiast poz. 4 i 5)</w:t>
            </w:r>
          </w:p>
        </w:tc>
      </w:tr>
    </w:tbl>
    <w:p w14:paraId="4D97162C"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bl>
      <w:tblPr>
        <w:tblW w:w="0" w:type="auto"/>
        <w:tblLook w:val="01E0" w:firstRow="1" w:lastRow="1" w:firstColumn="1" w:lastColumn="1" w:noHBand="0" w:noVBand="0"/>
      </w:tblPr>
      <w:tblGrid>
        <w:gridCol w:w="525"/>
        <w:gridCol w:w="1936"/>
        <w:gridCol w:w="6612"/>
      </w:tblGrid>
      <w:tr w:rsidR="00E95D02" w:rsidRPr="004853EB" w14:paraId="47FE0D3A" w14:textId="77777777" w:rsidTr="00E95D02">
        <w:tc>
          <w:tcPr>
            <w:tcW w:w="534" w:type="dxa"/>
          </w:tcPr>
          <w:p w14:paraId="383A67E2"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8.</w:t>
            </w:r>
          </w:p>
        </w:tc>
        <w:tc>
          <w:tcPr>
            <w:tcW w:w="1984" w:type="dxa"/>
          </w:tcPr>
          <w:p w14:paraId="33B01109"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PN-B-11113:1996</w:t>
            </w:r>
          </w:p>
        </w:tc>
        <w:tc>
          <w:tcPr>
            <w:tcW w:w="6946" w:type="dxa"/>
          </w:tcPr>
          <w:p w14:paraId="048A482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Kruszywa mineralne. Kruszywa naturalne do nawierzchni drogowych. Piasek (W okresie przejściowym norma może być stosowana zamiast poz. 4 i 5)</w:t>
            </w:r>
          </w:p>
        </w:tc>
      </w:tr>
    </w:tbl>
    <w:p w14:paraId="784E51D8"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54" w:name="_Toc194477144"/>
      <w:bookmarkStart w:id="3855" w:name="_Toc227825626"/>
      <w:r w:rsidRPr="004853EB">
        <w:rPr>
          <w:rFonts w:eastAsia="Times New Roman" w:cstheme="minorHAnsi"/>
          <w:b/>
          <w:sz w:val="20"/>
          <w:szCs w:val="20"/>
          <w:lang w:eastAsia="pl-PL"/>
        </w:rPr>
        <w:t>10.3. Inne dokumenty</w:t>
      </w:r>
      <w:bookmarkEnd w:id="3854"/>
      <w:bookmarkEnd w:id="3855"/>
    </w:p>
    <w:p w14:paraId="6FA6BB42" w14:textId="77777777" w:rsidR="00E95D02" w:rsidRPr="004853EB" w:rsidRDefault="00E95D02">
      <w:pPr>
        <w:numPr>
          <w:ilvl w:val="0"/>
          <w:numId w:val="143"/>
        </w:numPr>
        <w:tabs>
          <w:tab w:val="num" w:pos="426"/>
        </w:tabs>
        <w:overflowPunct w:val="0"/>
        <w:autoSpaceDE w:val="0"/>
        <w:autoSpaceDN w:val="0"/>
        <w:adjustRightInd w:val="0"/>
        <w:spacing w:after="0" w:line="240" w:lineRule="auto"/>
        <w:ind w:left="426"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Rozporządzenie Ministra Transportu i Gospodarki Morskiej z dnia 2 marca 1999 r. w sprawie warunków technicznych, jakim powinny odpowiadać drogi publiczne i ich usytuowanie. Dz. U. nr 43, poz. 430</w:t>
      </w:r>
    </w:p>
    <w:p w14:paraId="6A6AD37A" w14:textId="77777777" w:rsidR="00E95D02" w:rsidRPr="004853EB" w:rsidRDefault="00E95D02">
      <w:pPr>
        <w:numPr>
          <w:ilvl w:val="0"/>
          <w:numId w:val="143"/>
        </w:numPr>
        <w:tabs>
          <w:tab w:val="num" w:pos="426"/>
        </w:tabs>
        <w:overflowPunct w:val="0"/>
        <w:autoSpaceDE w:val="0"/>
        <w:autoSpaceDN w:val="0"/>
        <w:adjustRightInd w:val="0"/>
        <w:spacing w:after="0" w:line="240" w:lineRule="auto"/>
        <w:ind w:left="426" w:hanging="426"/>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Wytyczne utwardzania poboczy. Centralny Zarząd Dróg Publicznych, Warszawa, 1981 r.</w:t>
      </w:r>
    </w:p>
    <w:p w14:paraId="1F3FDCF1"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700BD96C" w14:textId="77777777" w:rsidR="00E95D02" w:rsidRPr="004853EB" w:rsidRDefault="00E95D02" w:rsidP="00E95D02">
      <w:pPr>
        <w:keepNext/>
        <w:keepLines/>
        <w:suppressAutoHyphens/>
        <w:overflowPunct w:val="0"/>
        <w:autoSpaceDE w:val="0"/>
        <w:autoSpaceDN w:val="0"/>
        <w:adjustRightInd w:val="0"/>
        <w:spacing w:before="240" w:after="120" w:line="240" w:lineRule="auto"/>
        <w:jc w:val="center"/>
        <w:textAlignment w:val="baseline"/>
        <w:outlineLvl w:val="0"/>
        <w:rPr>
          <w:rFonts w:eastAsia="Times New Roman" w:cstheme="minorHAnsi"/>
          <w:b/>
          <w:caps/>
          <w:kern w:val="28"/>
          <w:sz w:val="20"/>
          <w:szCs w:val="20"/>
          <w:lang w:eastAsia="pl-PL"/>
        </w:rPr>
      </w:pPr>
      <w:bookmarkStart w:id="3856" w:name="_Toc211316622"/>
      <w:bookmarkStart w:id="3857" w:name="_Toc194477145"/>
      <w:bookmarkStart w:id="3858" w:name="_Toc227825627"/>
      <w:r w:rsidRPr="004853EB">
        <w:rPr>
          <w:rFonts w:eastAsia="Times New Roman" w:cstheme="minorHAnsi"/>
          <w:b/>
          <w:caps/>
          <w:kern w:val="28"/>
          <w:sz w:val="20"/>
          <w:szCs w:val="20"/>
          <w:lang w:eastAsia="pl-PL"/>
        </w:rPr>
        <w:t>11. ZAŁĄCZNIKI</w:t>
      </w:r>
      <w:bookmarkEnd w:id="3856"/>
      <w:bookmarkEnd w:id="3857"/>
      <w:bookmarkEnd w:id="3858"/>
    </w:p>
    <w:p w14:paraId="11A0F634" w14:textId="77777777" w:rsidR="00E95D02" w:rsidRPr="004853EB" w:rsidRDefault="00E95D02" w:rsidP="00E95D02">
      <w:pPr>
        <w:overflowPunct w:val="0"/>
        <w:autoSpaceDE w:val="0"/>
        <w:autoSpaceDN w:val="0"/>
        <w:adjustRightInd w:val="0"/>
        <w:spacing w:after="120" w:line="240" w:lineRule="auto"/>
        <w:jc w:val="center"/>
        <w:textAlignment w:val="baseline"/>
        <w:rPr>
          <w:rFonts w:eastAsia="Times New Roman" w:cstheme="minorHAnsi"/>
          <w:b/>
          <w:sz w:val="20"/>
          <w:szCs w:val="20"/>
          <w:lang w:eastAsia="pl-PL"/>
        </w:rPr>
      </w:pPr>
      <w:r w:rsidRPr="004853EB">
        <w:rPr>
          <w:rFonts w:eastAsia="Times New Roman" w:cstheme="minorHAnsi"/>
          <w:b/>
          <w:sz w:val="20"/>
          <w:szCs w:val="20"/>
          <w:lang w:eastAsia="pl-PL"/>
        </w:rPr>
        <w:t>ZAŁĄCZNIK 1</w:t>
      </w:r>
    </w:p>
    <w:p w14:paraId="6711E701" w14:textId="38A736B9" w:rsidR="00E95D02" w:rsidRPr="004853EB" w:rsidRDefault="00050DBE" w:rsidP="00E95D02">
      <w:p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r w:rsidRPr="004853EB">
        <w:rPr>
          <w:rFonts w:eastAsia="Times New Roman" w:cstheme="minorHAnsi"/>
          <w:b/>
          <w:sz w:val="20"/>
          <w:szCs w:val="20"/>
          <w:lang w:eastAsia="pl-PL"/>
        </w:rPr>
        <w:t>ZASADY PROJEKTOWANIA UTWARDZONYCH POBOCZY</w:t>
      </w:r>
    </w:p>
    <w:p w14:paraId="34D80175"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b/>
          <w:sz w:val="20"/>
          <w:szCs w:val="20"/>
          <w:lang w:eastAsia="pl-PL"/>
        </w:rPr>
      </w:pPr>
    </w:p>
    <w:p w14:paraId="5DBCB527" w14:textId="77777777" w:rsidR="00E95D02" w:rsidRPr="004853EB" w:rsidRDefault="00E95D02">
      <w:pPr>
        <w:keepNext/>
        <w:numPr>
          <w:ilvl w:val="1"/>
          <w:numId w:val="144"/>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59" w:name="_Toc194477146"/>
      <w:bookmarkStart w:id="3860" w:name="_Toc227825628"/>
      <w:r w:rsidRPr="004853EB">
        <w:rPr>
          <w:rFonts w:eastAsia="Times New Roman" w:cstheme="minorHAnsi"/>
          <w:b/>
          <w:sz w:val="20"/>
          <w:szCs w:val="20"/>
          <w:lang w:eastAsia="pl-PL"/>
        </w:rPr>
        <w:t>Szerokość i pochylenia (wg [9])</w:t>
      </w:r>
      <w:bookmarkEnd w:id="3859"/>
      <w:bookmarkEnd w:id="3860"/>
      <w:r w:rsidRPr="004853EB">
        <w:rPr>
          <w:rFonts w:eastAsia="Times New Roman" w:cstheme="minorHAnsi"/>
          <w:b/>
          <w:sz w:val="20"/>
          <w:szCs w:val="20"/>
          <w:lang w:eastAsia="pl-PL"/>
        </w:rPr>
        <w:t xml:space="preserve">  </w:t>
      </w:r>
    </w:p>
    <w:p w14:paraId="2B7E763B" w14:textId="77777777" w:rsidR="00E95D02" w:rsidRPr="004853EB" w:rsidRDefault="00E95D02" w:rsidP="00E95D02">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Pobocza drogi klasy A (autostrady) lub S (drogi ekspresowej) składają się z umieszczonego przy jezdni pasa awaryjnego i gruntowego pobocza.</w:t>
      </w:r>
    </w:p>
    <w:p w14:paraId="2D8A7FD7" w14:textId="77777777" w:rsidR="00E95D02" w:rsidRPr="004853EB" w:rsidRDefault="00E95D02" w:rsidP="00E95D02">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Na drogach klasy GP (głównych ruchu przyspieszonego), G (głównych) i Z (zbiorczych), w zależności od potrzeb, w tym ruchu lokalnego i pieszych, część pobocza przylegająca do jezdni może być utwardzona. Utwardzone pobocze powinno mieć szerokość nie mniejszą niż 2,0 m, a przy przebudowie, remoncie lub etapowaniu budowy dróg, dopuszcza się w trudnych warunkach terenowych utwardzone pobocza o szerokości mniejszej niż 2,0 m. Pochylenie podłużne i poprzeczne utwardzonego pobocza powinno być dostosowane do pochyleń pasa ruchu, przy którym się ono znajduje (zał. 2, rys. 1 i 2).</w:t>
      </w:r>
    </w:p>
    <w:p w14:paraId="35571CBE"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61" w:name="_Toc194477147"/>
      <w:bookmarkStart w:id="3862" w:name="_Toc227825629"/>
      <w:r w:rsidRPr="004853EB">
        <w:rPr>
          <w:rFonts w:eastAsia="Times New Roman" w:cstheme="minorHAnsi"/>
          <w:b/>
          <w:sz w:val="20"/>
          <w:szCs w:val="20"/>
          <w:lang w:eastAsia="pl-PL"/>
        </w:rPr>
        <w:t>1.2. Nawierzchnia (wg [10])</w:t>
      </w:r>
      <w:bookmarkEnd w:id="3861"/>
      <w:bookmarkEnd w:id="3862"/>
    </w:p>
    <w:p w14:paraId="69F6835B"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Nawierzchnia utwardzonego pobocza powinna:</w:t>
      </w:r>
    </w:p>
    <w:p w14:paraId="311A2E33" w14:textId="77777777" w:rsidR="00E95D02" w:rsidRPr="004853EB" w:rsidRDefault="00E95D02">
      <w:pPr>
        <w:numPr>
          <w:ilvl w:val="0"/>
          <w:numId w:val="145"/>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zapewnić, łącznie z nawierzchnią jezdni, szczelność korpusu drogowego,</w:t>
      </w:r>
    </w:p>
    <w:p w14:paraId="546B22D5" w14:textId="77777777" w:rsidR="00E95D02" w:rsidRPr="004853EB" w:rsidRDefault="00E95D02">
      <w:pPr>
        <w:numPr>
          <w:ilvl w:val="0"/>
          <w:numId w:val="145"/>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zachować trwałość, uwzględniając specyfikę jego eksploatacji,</w:t>
      </w:r>
    </w:p>
    <w:p w14:paraId="2D242A16" w14:textId="77777777" w:rsidR="00E95D02" w:rsidRPr="004853EB" w:rsidRDefault="00E95D02">
      <w:pPr>
        <w:numPr>
          <w:ilvl w:val="0"/>
          <w:numId w:val="145"/>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odróżniać się kolorem, w miarę możliwości, od nawierzchni jezdni.</w:t>
      </w:r>
    </w:p>
    <w:p w14:paraId="5F6F4643" w14:textId="77777777" w:rsidR="00E95D02" w:rsidRPr="004853EB" w:rsidRDefault="00E95D02" w:rsidP="00E95D02">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Konstrukcja nawierzchni utwardzonego pobocza obejmuje warstwy jezdne, warstwę górną podbudowy, warstwę dolną podbudowy i ulepszone podłoże, przy występowaniu gorszych warunków gruntowo-wodnych podłoża (zał. 2, rys. 3).</w:t>
      </w:r>
    </w:p>
    <w:p w14:paraId="4AE761FD" w14:textId="77777777" w:rsidR="00E95D02" w:rsidRPr="004853EB" w:rsidRDefault="00E95D02" w:rsidP="00E95D02">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Do wykonywania warstw nośnych utwardzonego pobocza na drogach istniejących zaleca się wykorzystywać, w jak najszerszym zakresie, grunt występujący w poboczu.</w:t>
      </w:r>
    </w:p>
    <w:p w14:paraId="29A70519" w14:textId="77777777" w:rsidR="00E95D02" w:rsidRPr="004853EB" w:rsidRDefault="00E95D02" w:rsidP="00E95D02">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Układ warstw powinien być tak zaprojektowany, aby styk krawędzi nawierzchni utwardzonego pobocza z krawędzią nawierzchni jezdni był równy, szczelny i trwały. W związku z tym, w przypadku „schodkowego” zakończenia nawierzchni jezdni, grubość warstw utwardzonego pobocza powinna w zasadzie odpowiadać wysokości „schodków”, w celu umożliwienia dobrego zagęszczenia warstw.</w:t>
      </w:r>
    </w:p>
    <w:p w14:paraId="077B4FED" w14:textId="77777777" w:rsidR="00E95D02" w:rsidRPr="004853EB" w:rsidRDefault="00E95D02" w:rsidP="00E95D02">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Konstrukcja styku nawierzchni jezdni i utwardzonego pobocza powinna umożliwiać odpowiednie zagęszczenie warstw w obrębie styku, a także zapewniać trwałą ochronę krawędzi nawierzchni jezdni przed uszkodzeniem.</w:t>
      </w:r>
    </w:p>
    <w:p w14:paraId="20B5E149" w14:textId="77777777" w:rsidR="00E95D02" w:rsidRPr="004853EB" w:rsidRDefault="00E95D02" w:rsidP="00E95D02">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Konstrukcja nawierzchni utwardzonego pobocza powinna być zgodna z ustaleniami dokumentacji projektowej, uwzględniającej nośność podłoża i sposób wykonania, np. jednoczesne wykonanie odnowy lub wzmocnienia nawierzchni jezdni (przykłady: zał. 2, rys. 4).</w:t>
      </w:r>
    </w:p>
    <w:p w14:paraId="7C906B1B" w14:textId="77777777" w:rsidR="00E95D02" w:rsidRPr="004853EB" w:rsidRDefault="00E95D02" w:rsidP="00E95D02">
      <w:p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p>
    <w:p w14:paraId="4B69F6D9" w14:textId="77777777" w:rsidR="00E95D02" w:rsidRPr="004853EB" w:rsidRDefault="00E95D02" w:rsidP="00E95D02">
      <w:pPr>
        <w:overflowPunct w:val="0"/>
        <w:autoSpaceDE w:val="0"/>
        <w:autoSpaceDN w:val="0"/>
        <w:adjustRightInd w:val="0"/>
        <w:spacing w:after="0" w:line="240" w:lineRule="auto"/>
        <w:ind w:firstLine="709"/>
        <w:jc w:val="right"/>
        <w:textAlignment w:val="baseline"/>
        <w:rPr>
          <w:rFonts w:eastAsia="Times New Roman" w:cstheme="minorHAnsi"/>
          <w:b/>
          <w:sz w:val="20"/>
          <w:szCs w:val="20"/>
          <w:lang w:eastAsia="pl-PL"/>
        </w:rPr>
      </w:pPr>
    </w:p>
    <w:p w14:paraId="3B2FCF67" w14:textId="77777777" w:rsidR="00E95D02" w:rsidRPr="004853EB" w:rsidRDefault="00E95D02" w:rsidP="00E95D02">
      <w:pPr>
        <w:overflowPunct w:val="0"/>
        <w:autoSpaceDE w:val="0"/>
        <w:autoSpaceDN w:val="0"/>
        <w:adjustRightInd w:val="0"/>
        <w:spacing w:after="0" w:line="240" w:lineRule="auto"/>
        <w:ind w:firstLine="709"/>
        <w:jc w:val="center"/>
        <w:textAlignment w:val="baseline"/>
        <w:rPr>
          <w:rFonts w:eastAsia="Times New Roman" w:cstheme="minorHAnsi"/>
          <w:b/>
          <w:sz w:val="20"/>
          <w:szCs w:val="20"/>
          <w:lang w:eastAsia="pl-PL"/>
        </w:rPr>
      </w:pPr>
      <w:r w:rsidRPr="004853EB">
        <w:rPr>
          <w:rFonts w:eastAsia="Times New Roman" w:cstheme="minorHAnsi"/>
          <w:b/>
          <w:sz w:val="20"/>
          <w:szCs w:val="20"/>
          <w:lang w:eastAsia="pl-PL"/>
        </w:rPr>
        <w:t>ZAŁĄCZNIK 2</w:t>
      </w:r>
    </w:p>
    <w:p w14:paraId="343483D3" w14:textId="6042644D" w:rsidR="00E95D02" w:rsidRPr="004853EB" w:rsidRDefault="00050DBE" w:rsidP="00E95D02">
      <w:pPr>
        <w:overflowPunct w:val="0"/>
        <w:autoSpaceDE w:val="0"/>
        <w:autoSpaceDN w:val="0"/>
        <w:adjustRightInd w:val="0"/>
        <w:spacing w:after="120" w:line="240" w:lineRule="auto"/>
        <w:ind w:firstLine="709"/>
        <w:jc w:val="center"/>
        <w:textAlignment w:val="baseline"/>
        <w:rPr>
          <w:rFonts w:eastAsia="Times New Roman" w:cstheme="minorHAnsi"/>
          <w:b/>
          <w:sz w:val="20"/>
          <w:szCs w:val="20"/>
          <w:lang w:eastAsia="pl-PL"/>
        </w:rPr>
      </w:pPr>
      <w:r w:rsidRPr="004853EB">
        <w:rPr>
          <w:rFonts w:eastAsia="Times New Roman" w:cstheme="minorHAnsi"/>
          <w:b/>
          <w:sz w:val="20"/>
          <w:szCs w:val="20"/>
          <w:lang w:eastAsia="pl-PL"/>
        </w:rPr>
        <w:t>RYSUNKI (</w:t>
      </w:r>
      <w:r w:rsidR="00E95D02" w:rsidRPr="004853EB">
        <w:rPr>
          <w:rFonts w:eastAsia="Times New Roman" w:cstheme="minorHAnsi"/>
          <w:b/>
          <w:sz w:val="20"/>
          <w:szCs w:val="20"/>
          <w:lang w:eastAsia="pl-PL"/>
        </w:rPr>
        <w:t>wg [10]</w:t>
      </w:r>
    </w:p>
    <w:p w14:paraId="5DB21496" w14:textId="77777777" w:rsidR="00E95D02" w:rsidRPr="004853EB" w:rsidRDefault="00E95D02" w:rsidP="00E95D02">
      <w:pPr>
        <w:overflowPunct w:val="0"/>
        <w:autoSpaceDE w:val="0"/>
        <w:autoSpaceDN w:val="0"/>
        <w:adjustRightInd w:val="0"/>
        <w:spacing w:after="0" w:line="240" w:lineRule="auto"/>
        <w:ind w:firstLine="709"/>
        <w:jc w:val="center"/>
        <w:textAlignment w:val="baseline"/>
        <w:rPr>
          <w:rFonts w:eastAsia="Times New Roman" w:cstheme="minorHAnsi"/>
          <w:b/>
          <w:sz w:val="20"/>
          <w:szCs w:val="20"/>
          <w:lang w:eastAsia="pl-PL"/>
        </w:rPr>
      </w:pPr>
    </w:p>
    <w:p w14:paraId="13CC9DA7"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Rys. 1. Przykład utwardzonego pobocza o grubości mniejszej niż grubość jezdni</w:t>
      </w:r>
    </w:p>
    <w:p w14:paraId="2BC8DD5F"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3E146D9"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noProof/>
          <w:sz w:val="20"/>
          <w:szCs w:val="20"/>
          <w:lang w:eastAsia="pl-PL"/>
        </w:rPr>
        <w:drawing>
          <wp:inline distT="0" distB="0" distL="0" distR="0" wp14:anchorId="5210D897" wp14:editId="0E1D3691">
            <wp:extent cx="3876675" cy="1304925"/>
            <wp:effectExtent l="0" t="0" r="9525" b="9525"/>
            <wp:docPr id="27" name="Obraz 27" descr="ry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ys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876675" cy="1304925"/>
                    </a:xfrm>
                    <a:prstGeom prst="rect">
                      <a:avLst/>
                    </a:prstGeom>
                    <a:noFill/>
                    <a:ln>
                      <a:noFill/>
                    </a:ln>
                  </pic:spPr>
                </pic:pic>
              </a:graphicData>
            </a:graphic>
          </wp:inline>
        </w:drawing>
      </w:r>
    </w:p>
    <w:p w14:paraId="0467DBA9"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1F629A4B"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24C5F60E"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97D438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Rys. 2. Przykład utwardzonego pobocza przy etapowaniu rozbudowy szerokości jezdni</w:t>
      </w:r>
    </w:p>
    <w:p w14:paraId="3593DCEB"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048F0588"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noProof/>
          <w:sz w:val="20"/>
          <w:szCs w:val="20"/>
          <w:lang w:eastAsia="pl-PL"/>
        </w:rPr>
        <w:drawing>
          <wp:inline distT="0" distB="0" distL="0" distR="0" wp14:anchorId="42BB7E1F" wp14:editId="33DF0706">
            <wp:extent cx="4676775" cy="1190625"/>
            <wp:effectExtent l="0" t="0" r="9525" b="9525"/>
            <wp:docPr id="26" name="Obraz 26" descr="ry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ys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76775" cy="1190625"/>
                    </a:xfrm>
                    <a:prstGeom prst="rect">
                      <a:avLst/>
                    </a:prstGeom>
                    <a:noFill/>
                    <a:ln>
                      <a:noFill/>
                    </a:ln>
                  </pic:spPr>
                </pic:pic>
              </a:graphicData>
            </a:graphic>
          </wp:inline>
        </w:drawing>
      </w:r>
    </w:p>
    <w:p w14:paraId="7DD3E3EE"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44DC242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4C632429"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126F23BF"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Rys. 3. Konstrukcja nawierzchni utwardzonego pobocza</w:t>
      </w:r>
    </w:p>
    <w:p w14:paraId="4CBB0A9C"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3E92F3AA"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noProof/>
          <w:sz w:val="20"/>
          <w:szCs w:val="20"/>
          <w:lang w:eastAsia="pl-PL"/>
        </w:rPr>
        <w:drawing>
          <wp:inline distT="0" distB="0" distL="0" distR="0" wp14:anchorId="59A7A8F7" wp14:editId="1E9777E3">
            <wp:extent cx="2181225" cy="1209675"/>
            <wp:effectExtent l="0" t="0" r="9525" b="9525"/>
            <wp:docPr id="25" name="Obraz 25" descr="ry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ys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181225" cy="1209675"/>
                    </a:xfrm>
                    <a:prstGeom prst="rect">
                      <a:avLst/>
                    </a:prstGeom>
                    <a:noFill/>
                    <a:ln>
                      <a:noFill/>
                    </a:ln>
                  </pic:spPr>
                </pic:pic>
              </a:graphicData>
            </a:graphic>
          </wp:inline>
        </w:drawing>
      </w:r>
    </w:p>
    <w:p w14:paraId="269A974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13AB36F2"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2A67B0D1"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66F6FFAA"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2CBB1060" w14:textId="77777777" w:rsidR="00E95D02" w:rsidRPr="004853EB" w:rsidRDefault="00E95D02" w:rsidP="00E95D02">
      <w:pPr>
        <w:tabs>
          <w:tab w:val="left" w:pos="709"/>
        </w:tabs>
        <w:overflowPunct w:val="0"/>
        <w:autoSpaceDE w:val="0"/>
        <w:autoSpaceDN w:val="0"/>
        <w:adjustRightInd w:val="0"/>
        <w:spacing w:after="0" w:line="240" w:lineRule="auto"/>
        <w:ind w:left="709" w:hanging="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Rys. 4.</w:t>
      </w:r>
      <w:r w:rsidRPr="004853EB">
        <w:rPr>
          <w:rFonts w:eastAsia="Times New Roman" w:cstheme="minorHAnsi"/>
          <w:sz w:val="20"/>
          <w:szCs w:val="20"/>
          <w:lang w:eastAsia="pl-PL"/>
        </w:rPr>
        <w:tab/>
        <w:t>Przykładowe wybrane konstrukcje nawierzchni utwardzonego pobocza z kruszywa łamanego niezwiązanego</w:t>
      </w:r>
    </w:p>
    <w:p w14:paraId="1F6FF0C5" w14:textId="77777777" w:rsidR="00E95D02" w:rsidRPr="004853EB" w:rsidRDefault="00E95D02" w:rsidP="00E95D02">
      <w:pPr>
        <w:tabs>
          <w:tab w:val="left" w:pos="709"/>
        </w:tabs>
        <w:overflowPunct w:val="0"/>
        <w:autoSpaceDE w:val="0"/>
        <w:autoSpaceDN w:val="0"/>
        <w:adjustRightInd w:val="0"/>
        <w:spacing w:after="0" w:line="240" w:lineRule="auto"/>
        <w:ind w:left="709" w:hanging="709"/>
        <w:jc w:val="both"/>
        <w:textAlignment w:val="baseline"/>
        <w:rPr>
          <w:rFonts w:eastAsia="Times New Roman" w:cstheme="minorHAnsi"/>
          <w:sz w:val="20"/>
          <w:szCs w:val="20"/>
          <w:lang w:eastAsia="pl-PL"/>
        </w:rPr>
      </w:pPr>
    </w:p>
    <w:p w14:paraId="24746A65" w14:textId="77777777" w:rsidR="00E95D02" w:rsidRPr="004853EB" w:rsidRDefault="00E95D02" w:rsidP="00E95D02">
      <w:pPr>
        <w:tabs>
          <w:tab w:val="left" w:pos="709"/>
        </w:tabs>
        <w:overflowPunct w:val="0"/>
        <w:autoSpaceDE w:val="0"/>
        <w:autoSpaceDN w:val="0"/>
        <w:adjustRightInd w:val="0"/>
        <w:spacing w:after="0" w:line="240" w:lineRule="auto"/>
        <w:ind w:left="709" w:hanging="709"/>
        <w:jc w:val="both"/>
        <w:textAlignment w:val="baseline"/>
        <w:rPr>
          <w:rFonts w:eastAsia="Times New Roman" w:cstheme="minorHAnsi"/>
          <w:sz w:val="20"/>
          <w:szCs w:val="20"/>
          <w:lang w:eastAsia="pl-PL"/>
        </w:rPr>
      </w:pPr>
      <w:r w:rsidRPr="004853EB">
        <w:rPr>
          <w:rFonts w:eastAsia="Times New Roman" w:cstheme="minorHAnsi"/>
          <w:noProof/>
          <w:sz w:val="20"/>
          <w:szCs w:val="20"/>
          <w:lang w:eastAsia="pl-PL"/>
        </w:rPr>
        <w:drawing>
          <wp:inline distT="0" distB="0" distL="0" distR="0" wp14:anchorId="684B519A" wp14:editId="4F878F76">
            <wp:extent cx="3971925" cy="2019300"/>
            <wp:effectExtent l="0" t="0" r="9525" b="0"/>
            <wp:docPr id="24" name="Obraz 24" descr="ry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ys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71925" cy="2019300"/>
                    </a:xfrm>
                    <a:prstGeom prst="rect">
                      <a:avLst/>
                    </a:prstGeom>
                    <a:noFill/>
                    <a:ln>
                      <a:noFill/>
                    </a:ln>
                  </pic:spPr>
                </pic:pic>
              </a:graphicData>
            </a:graphic>
          </wp:inline>
        </w:drawing>
      </w:r>
    </w:p>
    <w:p w14:paraId="21225A58"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3DF0978B" w14:textId="77777777" w:rsidR="00CC1EF4" w:rsidRPr="004853EB" w:rsidRDefault="00CC1EF4">
      <w:pPr>
        <w:rPr>
          <w:rFonts w:cstheme="minorHAnsi"/>
        </w:rPr>
      </w:pPr>
    </w:p>
    <w:p w14:paraId="51F28477"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5FD0A252"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61EFFC81"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4EB6BD19"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538158EC"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243D44B5"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5D81879A"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4D3C1375"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14C35AA8"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257988C5"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4280A7B6"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5CAEC928"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3867EDC8"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0619DADD"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28EE1585"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50BC62DC"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66298011"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6122E676"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12F0385A"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24AE955C"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58A4BAE5"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42A2C02D"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78B36825"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15AF3F91"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7F265558"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7CA50F98"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63543985"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312F9489"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096210DB"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122D672C"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72DBACA4"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707B0F7A"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3C0DBDEC"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763BD149" w14:textId="77777777" w:rsidR="003A11E0" w:rsidRPr="004853EB" w:rsidRDefault="003A11E0" w:rsidP="00E95D02">
      <w:pPr>
        <w:autoSpaceDE w:val="0"/>
        <w:autoSpaceDN w:val="0"/>
        <w:adjustRightInd w:val="0"/>
        <w:spacing w:after="0" w:line="240" w:lineRule="auto"/>
        <w:jc w:val="center"/>
        <w:rPr>
          <w:rFonts w:eastAsia="Times New Roman" w:cstheme="minorHAnsi"/>
          <w:b/>
          <w:lang w:val="pl" w:eastAsia="pl-PL"/>
        </w:rPr>
      </w:pPr>
    </w:p>
    <w:p w14:paraId="6FD8D374" w14:textId="77777777" w:rsidR="00E95D02" w:rsidRPr="004853EB" w:rsidRDefault="00E95D02" w:rsidP="003A11E0">
      <w:pPr>
        <w:pStyle w:val="Nagwek1"/>
        <w:rPr>
          <w:rFonts w:asciiTheme="minorHAnsi" w:hAnsiTheme="minorHAnsi" w:cstheme="minorHAnsi"/>
          <w:bCs/>
          <w:sz w:val="22"/>
          <w:szCs w:val="22"/>
          <w:lang w:val="pl"/>
        </w:rPr>
      </w:pPr>
      <w:bookmarkStart w:id="3863" w:name="_Toc227825630"/>
      <w:r w:rsidRPr="004853EB">
        <w:rPr>
          <w:rFonts w:asciiTheme="minorHAnsi" w:hAnsiTheme="minorHAnsi" w:cstheme="minorHAnsi"/>
          <w:bCs/>
          <w:sz w:val="22"/>
          <w:szCs w:val="22"/>
          <w:lang w:val="pl"/>
        </w:rPr>
        <w:lastRenderedPageBreak/>
        <w:t xml:space="preserve">D </w:t>
      </w:r>
      <w:r w:rsidR="003A11E0" w:rsidRPr="004853EB">
        <w:rPr>
          <w:rFonts w:asciiTheme="minorHAnsi" w:hAnsiTheme="minorHAnsi" w:cstheme="minorHAnsi"/>
          <w:bCs/>
          <w:sz w:val="22"/>
          <w:szCs w:val="22"/>
          <w:lang w:val="pl"/>
        </w:rPr>
        <w:t xml:space="preserve">- 07.01.01 OZNAKOWANIE </w:t>
      </w:r>
      <w:r w:rsidRPr="004853EB">
        <w:rPr>
          <w:rFonts w:asciiTheme="minorHAnsi" w:hAnsiTheme="minorHAnsi" w:cstheme="minorHAnsi"/>
          <w:bCs/>
          <w:sz w:val="22"/>
          <w:szCs w:val="22"/>
          <w:lang w:val="pl"/>
        </w:rPr>
        <w:t>POZIOME</w:t>
      </w:r>
      <w:bookmarkEnd w:id="3863"/>
    </w:p>
    <w:p w14:paraId="6C3505BE" w14:textId="77777777" w:rsidR="00E95D02" w:rsidRPr="004853EB" w:rsidRDefault="00E95D02" w:rsidP="00E95D02">
      <w:pPr>
        <w:keepNext/>
        <w:keepLines/>
        <w:suppressAutoHyphens/>
        <w:autoSpaceDE w:val="0"/>
        <w:autoSpaceDN w:val="0"/>
        <w:adjustRightInd w:val="0"/>
        <w:spacing w:before="240" w:after="120" w:line="240" w:lineRule="auto"/>
        <w:jc w:val="both"/>
        <w:rPr>
          <w:rFonts w:eastAsia="Times New Roman" w:cstheme="minorHAnsi"/>
          <w:b/>
          <w:bCs/>
          <w:caps/>
          <w:sz w:val="20"/>
          <w:szCs w:val="20"/>
          <w:lang w:val="pl" w:eastAsia="pl-PL"/>
        </w:rPr>
      </w:pPr>
      <w:r w:rsidRPr="004853EB">
        <w:rPr>
          <w:rFonts w:eastAsia="Times New Roman" w:cstheme="minorHAnsi"/>
          <w:b/>
          <w:bCs/>
          <w:caps/>
          <w:sz w:val="20"/>
          <w:szCs w:val="20"/>
          <w:lang w:val="pl" w:eastAsia="pl-PL"/>
        </w:rPr>
        <w:t>1. Wstęp</w:t>
      </w:r>
    </w:p>
    <w:p w14:paraId="492A4CEC"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val="pl" w:eastAsia="pl-PL"/>
        </w:rPr>
      </w:pPr>
      <w:r w:rsidRPr="004853EB">
        <w:rPr>
          <w:rFonts w:eastAsia="Times New Roman" w:cstheme="minorHAnsi"/>
          <w:b/>
          <w:bCs/>
          <w:sz w:val="20"/>
          <w:szCs w:val="20"/>
          <w:lang w:val="pl" w:eastAsia="pl-PL"/>
        </w:rPr>
        <w:t>1.1. Przedmiot SST</w:t>
      </w:r>
    </w:p>
    <w:p w14:paraId="76D5E02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r>
      <w:r w:rsidRPr="004853EB">
        <w:rPr>
          <w:rFonts w:eastAsia="Times New Roman" w:cstheme="minorHAnsi"/>
          <w:sz w:val="20"/>
          <w:szCs w:val="20"/>
          <w:lang w:eastAsia="pl-PL"/>
        </w:rPr>
        <w:t>Przedmiotem niniejszej szczegółowej specyfikacji technicznej (SST) są wymagania dotyczące wykonania i odbioru oznakowania poziomego dróg.</w:t>
      </w:r>
    </w:p>
    <w:p w14:paraId="06056A5A"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val="pl" w:eastAsia="pl-PL"/>
        </w:rPr>
      </w:pPr>
      <w:r w:rsidRPr="004853EB">
        <w:rPr>
          <w:rFonts w:eastAsia="Times New Roman" w:cstheme="minorHAnsi"/>
          <w:b/>
          <w:bCs/>
          <w:sz w:val="20"/>
          <w:szCs w:val="20"/>
          <w:lang w:val="pl" w:eastAsia="pl-PL"/>
        </w:rPr>
        <w:t>1.2. Zakres stosowania SST</w:t>
      </w:r>
    </w:p>
    <w:p w14:paraId="18CDB013"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r>
      <w:r w:rsidRPr="004853EB">
        <w:rPr>
          <w:rFonts w:eastAsia="Times New Roman" w:cstheme="minorHAnsi"/>
          <w:sz w:val="20"/>
          <w:szCs w:val="20"/>
          <w:lang w:eastAsia="pl-PL"/>
        </w:rPr>
        <w:t>Specyfikacja techniczna jest stosowana jako dokument przetargowy i kontraktowy przy zlecaniu i realizacji robót wymienionych w pkt 1.1.</w:t>
      </w:r>
    </w:p>
    <w:p w14:paraId="25E89747"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val="pl" w:eastAsia="pl-PL"/>
        </w:rPr>
      </w:pPr>
      <w:r w:rsidRPr="004853EB">
        <w:rPr>
          <w:rFonts w:eastAsia="Times New Roman" w:cstheme="minorHAnsi"/>
          <w:b/>
          <w:bCs/>
          <w:sz w:val="20"/>
          <w:szCs w:val="20"/>
          <w:lang w:val="pl" w:eastAsia="pl-PL"/>
        </w:rPr>
        <w:t>1.3. Zakres robót objętych SST</w:t>
      </w:r>
    </w:p>
    <w:p w14:paraId="6700587B" w14:textId="453B7D68"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 xml:space="preserve">Ustalenia zawarte w niniejszej specyfikacji związane są z </w:t>
      </w:r>
      <w:r w:rsidRPr="004853EB">
        <w:rPr>
          <w:rFonts w:eastAsia="Times New Roman" w:cstheme="minorHAnsi"/>
          <w:b/>
          <w:sz w:val="20"/>
          <w:szCs w:val="20"/>
          <w:lang w:eastAsia="pl-PL"/>
        </w:rPr>
        <w:t xml:space="preserve">Przebudową </w:t>
      </w:r>
      <w:r w:rsidR="00050DBE" w:rsidRPr="004853EB">
        <w:rPr>
          <w:rFonts w:eastAsia="Times New Roman" w:cstheme="minorHAnsi"/>
          <w:b/>
          <w:bCs/>
          <w:sz w:val="20"/>
          <w:szCs w:val="20"/>
          <w:lang w:eastAsia="pl-PL"/>
        </w:rPr>
        <w:t>drogi powiatowej</w:t>
      </w:r>
      <w:r w:rsidRPr="004853EB">
        <w:rPr>
          <w:rFonts w:eastAsia="Times New Roman" w:cstheme="minorHAnsi"/>
          <w:b/>
          <w:bCs/>
          <w:sz w:val="20"/>
          <w:szCs w:val="20"/>
          <w:lang w:eastAsia="pl-PL"/>
        </w:rPr>
        <w:t xml:space="preserve"> nr </w:t>
      </w:r>
      <w:r w:rsidR="002A326C" w:rsidRPr="002A326C">
        <w:rPr>
          <w:rFonts w:eastAsia="Times New Roman" w:cstheme="minorHAnsi"/>
          <w:b/>
          <w:bCs/>
          <w:sz w:val="20"/>
          <w:szCs w:val="20"/>
          <w:lang w:eastAsia="pl-PL"/>
        </w:rPr>
        <w:t>4506W Zwoleń – Sarnów w miejscowości Łuczynów</w:t>
      </w:r>
      <w:r w:rsidRPr="004853EB">
        <w:rPr>
          <w:rFonts w:eastAsia="Times New Roman" w:cstheme="minorHAnsi"/>
          <w:b/>
          <w:sz w:val="20"/>
          <w:szCs w:val="24"/>
          <w:lang w:eastAsia="pl-PL"/>
        </w:rPr>
        <w:t xml:space="preserve"> </w:t>
      </w:r>
      <w:r w:rsidRPr="004853EB">
        <w:rPr>
          <w:rFonts w:eastAsia="Times New Roman" w:cstheme="minorHAnsi"/>
          <w:sz w:val="20"/>
          <w:szCs w:val="20"/>
          <w:lang w:eastAsia="pl-PL"/>
        </w:rPr>
        <w:t>i obejmują roboty związane z wykonywaniem i odbiorem oznakowania poziomego stosowanego na drogach o nawierzchni twardej.</w:t>
      </w:r>
    </w:p>
    <w:p w14:paraId="134F50C9"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val="pl" w:eastAsia="pl-PL"/>
        </w:rPr>
      </w:pPr>
      <w:r w:rsidRPr="004853EB">
        <w:rPr>
          <w:rFonts w:eastAsia="Times New Roman" w:cstheme="minorHAnsi"/>
          <w:b/>
          <w:bCs/>
          <w:sz w:val="20"/>
          <w:szCs w:val="20"/>
          <w:lang w:val="pl" w:eastAsia="pl-PL"/>
        </w:rPr>
        <w:t>1.4. Określenia podstawowe</w:t>
      </w:r>
    </w:p>
    <w:p w14:paraId="64DAEA49" w14:textId="1646E3B6" w:rsidR="00E95D02" w:rsidRPr="004853EB" w:rsidRDefault="00E95D02" w:rsidP="00E95D02">
      <w:pPr>
        <w:autoSpaceDE w:val="0"/>
        <w:autoSpaceDN w:val="0"/>
        <w:adjustRightInd w:val="0"/>
        <w:spacing w:after="0" w:line="240" w:lineRule="auto"/>
        <w:jc w:val="both"/>
        <w:rPr>
          <w:rFonts w:eastAsia="Times New Roman" w:cstheme="minorHAnsi"/>
          <w:b/>
          <w:bCs/>
          <w:sz w:val="20"/>
          <w:szCs w:val="20"/>
          <w:lang w:eastAsia="pl-PL"/>
        </w:rPr>
      </w:pPr>
      <w:r w:rsidRPr="004853EB">
        <w:rPr>
          <w:rFonts w:eastAsia="Times New Roman" w:cstheme="minorHAnsi"/>
          <w:sz w:val="20"/>
          <w:szCs w:val="20"/>
          <w:lang w:val="pl" w:eastAsia="pl-PL"/>
        </w:rPr>
        <w:tab/>
        <w:t>Na potrzeby niniejszej specyfikacji sformułowano następujące definicje dotyczące materiał</w:t>
      </w:r>
      <w:r w:rsidRPr="004853EB">
        <w:rPr>
          <w:rFonts w:eastAsia="Times New Roman" w:cstheme="minorHAnsi"/>
          <w:sz w:val="20"/>
          <w:szCs w:val="20"/>
          <w:lang w:eastAsia="pl-PL"/>
        </w:rPr>
        <w:t xml:space="preserve">ów </w:t>
      </w:r>
      <w:r w:rsidR="00050DBE">
        <w:rPr>
          <w:rFonts w:eastAsia="Times New Roman" w:cstheme="minorHAnsi"/>
          <w:sz w:val="20"/>
          <w:szCs w:val="20"/>
          <w:lang w:eastAsia="pl-PL"/>
        </w:rPr>
        <w:br/>
      </w:r>
      <w:r w:rsidRPr="004853EB">
        <w:rPr>
          <w:rFonts w:eastAsia="Times New Roman" w:cstheme="minorHAnsi"/>
          <w:sz w:val="20"/>
          <w:szCs w:val="20"/>
          <w:lang w:eastAsia="pl-PL"/>
        </w:rPr>
        <w:t>i wykonanych nimi poziomych oznakowań dróg.</w:t>
      </w:r>
    </w:p>
    <w:p w14:paraId="3D5AE65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b/>
          <w:bCs/>
          <w:sz w:val="20"/>
          <w:szCs w:val="20"/>
          <w:lang w:val="pl" w:eastAsia="pl-PL"/>
        </w:rPr>
        <w:t xml:space="preserve">1.4.1. </w:t>
      </w:r>
      <w:r w:rsidRPr="004853EB">
        <w:rPr>
          <w:rFonts w:eastAsia="Times New Roman" w:cstheme="minorHAnsi"/>
          <w:sz w:val="20"/>
          <w:szCs w:val="20"/>
          <w:lang w:val="pl" w:eastAsia="pl-PL"/>
        </w:rPr>
        <w:t xml:space="preserve">Poziome oznakowanie dróg </w:t>
      </w:r>
      <w:r w:rsidRPr="004853EB">
        <w:rPr>
          <w:rFonts w:eastAsia="Times New Roman" w:cstheme="minorHAnsi"/>
          <w:b/>
          <w:bCs/>
          <w:sz w:val="20"/>
          <w:szCs w:val="20"/>
          <w:lang w:val="pl" w:eastAsia="pl-PL"/>
        </w:rPr>
        <w:t>-</w:t>
      </w:r>
      <w:r w:rsidRPr="004853EB">
        <w:rPr>
          <w:rFonts w:eastAsia="Times New Roman" w:cstheme="minorHAnsi"/>
          <w:sz w:val="20"/>
          <w:szCs w:val="20"/>
          <w:lang w:val="pl" w:eastAsia="pl-PL"/>
        </w:rPr>
        <w:t xml:space="preserve"> oznakowanie wykonane na nawierzchni dróg kołowych przez malowanie, nakładanie, naklejanie lub za pomocą innej metody aplikacji w postaci znak</w:t>
      </w:r>
      <w:r w:rsidRPr="004853EB">
        <w:rPr>
          <w:rFonts w:eastAsia="Times New Roman" w:cstheme="minorHAnsi"/>
          <w:sz w:val="20"/>
          <w:szCs w:val="20"/>
          <w:lang w:eastAsia="pl-PL"/>
        </w:rPr>
        <w:t>ów podłużnych, poprzecznych, strzałek, znaków uzupełniających, punktowych elementów odblaskowych i separatorów ruchu, a także napisów i symboli na nawierzchni drogi [10]. Poziome oznakowanie dróg jest stosowane do kierowania ruchem albo osobno, albo w połączeniu ze znakami pionowymi i urządzeniami bezpieczeństwa ruchu. Może mieć znaczenie prowadzące, segregujące, informujące, ostrzegawcze, zakazujące lub nakazujące [11].</w:t>
      </w:r>
    </w:p>
    <w:p w14:paraId="63442A3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1.4.1.1. Oznakowanie stałe - oznakowanie przeznaczone do stałego użytku, tylko barwy białej; inne barwy występują na przejściach dla pieszych.</w:t>
      </w:r>
    </w:p>
    <w:p w14:paraId="4914752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1.4.1.2. Oznakowanie akustyczne - oznakowanie różniące się od normalnego, płaskiego, gładkiego poziomego oznakowania dr</w:t>
      </w:r>
      <w:r w:rsidRPr="004853EB">
        <w:rPr>
          <w:rFonts w:eastAsia="Times New Roman" w:cstheme="minorHAnsi"/>
          <w:sz w:val="20"/>
          <w:szCs w:val="20"/>
          <w:lang w:eastAsia="pl-PL"/>
        </w:rPr>
        <w:t>óg. Wykonane masą termoplastyczną, także masą chemoutwardzalną przez nakładanie poprzecznych wałeczków (użebrowania), lub wykonane w inny sposób, które wytwarza dźwięk i/lub drgania podczas przejeżdżania przez pojazdy.</w:t>
      </w:r>
    </w:p>
    <w:p w14:paraId="30DFCFC2" w14:textId="77777777" w:rsidR="00E95D02" w:rsidRPr="004853EB" w:rsidRDefault="00E95D02" w:rsidP="00E95D02">
      <w:pPr>
        <w:autoSpaceDE w:val="0"/>
        <w:autoSpaceDN w:val="0"/>
        <w:adjustRightInd w:val="0"/>
        <w:spacing w:after="0" w:line="240" w:lineRule="auto"/>
        <w:jc w:val="both"/>
        <w:rPr>
          <w:rFonts w:eastAsia="Times New Roman" w:cstheme="minorHAnsi"/>
          <w:b/>
          <w:bCs/>
          <w:sz w:val="20"/>
          <w:szCs w:val="20"/>
          <w:lang w:eastAsia="pl-PL"/>
        </w:rPr>
      </w:pPr>
      <w:r w:rsidRPr="004853EB">
        <w:rPr>
          <w:rFonts w:eastAsia="Times New Roman" w:cstheme="minorHAnsi"/>
          <w:sz w:val="20"/>
          <w:szCs w:val="20"/>
          <w:lang w:val="pl" w:eastAsia="pl-PL"/>
        </w:rPr>
        <w:t>1.4.1.3.</w:t>
      </w:r>
      <w:r w:rsidRPr="004853EB">
        <w:rPr>
          <w:rFonts w:eastAsia="Times New Roman" w:cstheme="minorHAnsi"/>
          <w:b/>
          <w:bCs/>
          <w:sz w:val="20"/>
          <w:szCs w:val="20"/>
          <w:lang w:val="pl" w:eastAsia="pl-PL"/>
        </w:rPr>
        <w:t xml:space="preserve"> </w:t>
      </w:r>
      <w:r w:rsidRPr="004853EB">
        <w:rPr>
          <w:rFonts w:eastAsia="Times New Roman" w:cstheme="minorHAnsi"/>
          <w:sz w:val="20"/>
          <w:szCs w:val="20"/>
          <w:lang w:val="pl" w:eastAsia="pl-PL"/>
        </w:rPr>
        <w:t>Oznakowanie pomocnicze – przedznakowanie (trasowanie) - oznakowanie wykonywane rozcieńczoną farbą, kredą lub w inny spos</w:t>
      </w:r>
      <w:r w:rsidRPr="004853EB">
        <w:rPr>
          <w:rFonts w:eastAsia="Times New Roman" w:cstheme="minorHAnsi"/>
          <w:sz w:val="20"/>
          <w:szCs w:val="20"/>
          <w:lang w:eastAsia="pl-PL"/>
        </w:rPr>
        <w:t>ób, kierujące właściwym, poziomym znakowaniem dróg. Oznakowanie pomocnicze jest nietrwałe i nie jest</w:t>
      </w:r>
      <w:r w:rsidRPr="004853EB">
        <w:rPr>
          <w:rFonts w:eastAsia="Times New Roman" w:cstheme="minorHAnsi"/>
          <w:b/>
          <w:bCs/>
          <w:sz w:val="20"/>
          <w:szCs w:val="20"/>
          <w:lang w:eastAsia="pl-PL"/>
        </w:rPr>
        <w:t xml:space="preserve"> </w:t>
      </w:r>
      <w:r w:rsidRPr="004853EB">
        <w:rPr>
          <w:rFonts w:eastAsia="Times New Roman" w:cstheme="minorHAnsi"/>
          <w:sz w:val="20"/>
          <w:szCs w:val="20"/>
          <w:lang w:eastAsia="pl-PL"/>
        </w:rPr>
        <w:t>przeznaczone do kierowania ruchem.</w:t>
      </w:r>
    </w:p>
    <w:p w14:paraId="153216DA" w14:textId="389A8A4B" w:rsidR="00E95D02" w:rsidRPr="004853EB"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4853EB">
        <w:rPr>
          <w:rFonts w:eastAsia="Times New Roman" w:cstheme="minorHAnsi"/>
          <w:b/>
          <w:bCs/>
          <w:sz w:val="20"/>
          <w:szCs w:val="20"/>
          <w:lang w:val="pl" w:eastAsia="pl-PL"/>
        </w:rPr>
        <w:t xml:space="preserve">1.4.2. </w:t>
      </w:r>
      <w:r w:rsidRPr="004853EB">
        <w:rPr>
          <w:rFonts w:eastAsia="Times New Roman" w:cstheme="minorHAnsi"/>
          <w:sz w:val="20"/>
          <w:szCs w:val="20"/>
          <w:lang w:val="pl" w:eastAsia="pl-PL"/>
        </w:rPr>
        <w:t>Znaki podłużne - linie r</w:t>
      </w:r>
      <w:r w:rsidRPr="004853EB">
        <w:rPr>
          <w:rFonts w:eastAsia="Times New Roman" w:cstheme="minorHAnsi"/>
          <w:sz w:val="20"/>
          <w:szCs w:val="20"/>
          <w:lang w:eastAsia="pl-PL"/>
        </w:rPr>
        <w:t xml:space="preserve">ównoległe do osi jezdni lub odchylone od niej pod niewielkim kątem, występujące jako linie: – pojedyncze: przerywane lub ciągłe, segregacyjne lub krawędziowe, – podwójne: ciągłe </w:t>
      </w:r>
      <w:r w:rsidR="00050DBE">
        <w:rPr>
          <w:rFonts w:eastAsia="Times New Roman" w:cstheme="minorHAnsi"/>
          <w:sz w:val="20"/>
          <w:szCs w:val="20"/>
          <w:lang w:eastAsia="pl-PL"/>
        </w:rPr>
        <w:br/>
      </w:r>
      <w:r w:rsidRPr="004853EB">
        <w:rPr>
          <w:rFonts w:eastAsia="Times New Roman" w:cstheme="minorHAnsi"/>
          <w:sz w:val="20"/>
          <w:szCs w:val="20"/>
          <w:lang w:eastAsia="pl-PL"/>
        </w:rPr>
        <w:t>z przerywanymi, ciągłe lub przerywane.</w:t>
      </w:r>
    </w:p>
    <w:p w14:paraId="3DA366B6" w14:textId="1BB83C89" w:rsidR="00E95D02" w:rsidRPr="004853EB"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4853EB">
        <w:rPr>
          <w:rFonts w:eastAsia="Times New Roman" w:cstheme="minorHAnsi"/>
          <w:b/>
          <w:bCs/>
          <w:sz w:val="20"/>
          <w:szCs w:val="20"/>
          <w:lang w:val="pl" w:eastAsia="pl-PL"/>
        </w:rPr>
        <w:t xml:space="preserve">1.4.3. </w:t>
      </w:r>
      <w:r w:rsidRPr="004853EB">
        <w:rPr>
          <w:rFonts w:eastAsia="Times New Roman" w:cstheme="minorHAnsi"/>
          <w:sz w:val="20"/>
          <w:szCs w:val="20"/>
          <w:lang w:val="pl" w:eastAsia="pl-PL"/>
        </w:rPr>
        <w:t>Znaki poprzeczne - znaki służące do oznaczenia miejsc przeznaczonych do ruchu pieszych i rowerzyst</w:t>
      </w:r>
      <w:r w:rsidRPr="004853EB">
        <w:rPr>
          <w:rFonts w:eastAsia="Times New Roman" w:cstheme="minorHAnsi"/>
          <w:sz w:val="20"/>
          <w:szCs w:val="20"/>
          <w:lang w:eastAsia="pl-PL"/>
        </w:rPr>
        <w:t xml:space="preserve">ów </w:t>
      </w:r>
      <w:r w:rsidR="00050DBE">
        <w:rPr>
          <w:rFonts w:eastAsia="Times New Roman" w:cstheme="minorHAnsi"/>
          <w:sz w:val="20"/>
          <w:szCs w:val="20"/>
          <w:lang w:eastAsia="pl-PL"/>
        </w:rPr>
        <w:br/>
      </w:r>
      <w:r w:rsidRPr="004853EB">
        <w:rPr>
          <w:rFonts w:eastAsia="Times New Roman" w:cstheme="minorHAnsi"/>
          <w:sz w:val="20"/>
          <w:szCs w:val="20"/>
          <w:lang w:eastAsia="pl-PL"/>
        </w:rPr>
        <w:t>w poprzek drogi, miejsc wymagających zatrzymania pojazdów oraz miejsc lokalizacji progów zwalniających.</w:t>
      </w:r>
    </w:p>
    <w:p w14:paraId="40A832D4" w14:textId="77777777" w:rsidR="00E95D02" w:rsidRPr="004853EB"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4853EB">
        <w:rPr>
          <w:rFonts w:eastAsia="Times New Roman" w:cstheme="minorHAnsi"/>
          <w:b/>
          <w:bCs/>
          <w:sz w:val="20"/>
          <w:szCs w:val="20"/>
          <w:lang w:val="pl" w:eastAsia="pl-PL"/>
        </w:rPr>
        <w:t xml:space="preserve">1.4.4. </w:t>
      </w:r>
      <w:r w:rsidRPr="004853EB">
        <w:rPr>
          <w:rFonts w:eastAsia="Times New Roman" w:cstheme="minorHAnsi"/>
          <w:sz w:val="20"/>
          <w:szCs w:val="20"/>
          <w:lang w:val="pl" w:eastAsia="pl-PL"/>
        </w:rPr>
        <w:t>Strzałki - znaki poziome na nawierzchni, występujące jako strzałki kierunkowe służące do wskazania dozwolonego kierunku zjazdu z pasa oraz strzałki naprowadzające, kt</w:t>
      </w:r>
      <w:r w:rsidRPr="004853EB">
        <w:rPr>
          <w:rFonts w:eastAsia="Times New Roman" w:cstheme="minorHAnsi"/>
          <w:sz w:val="20"/>
          <w:szCs w:val="20"/>
          <w:lang w:eastAsia="pl-PL"/>
        </w:rPr>
        <w:t>óre uprzedzają o konieczności opuszczenia pasa, na którym się znajdują.</w:t>
      </w:r>
    </w:p>
    <w:p w14:paraId="0FB2B946" w14:textId="77777777" w:rsidR="00E95D02" w:rsidRPr="004853EB"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4853EB">
        <w:rPr>
          <w:rFonts w:eastAsia="Times New Roman" w:cstheme="minorHAnsi"/>
          <w:b/>
          <w:bCs/>
          <w:sz w:val="20"/>
          <w:szCs w:val="20"/>
          <w:lang w:val="pl" w:eastAsia="pl-PL"/>
        </w:rPr>
        <w:t xml:space="preserve">1.4.5. </w:t>
      </w:r>
      <w:r w:rsidRPr="004853EB">
        <w:rPr>
          <w:rFonts w:eastAsia="Times New Roman" w:cstheme="minorHAnsi"/>
          <w:sz w:val="20"/>
          <w:szCs w:val="20"/>
          <w:lang w:val="pl" w:eastAsia="pl-PL"/>
        </w:rPr>
        <w:t>Znaki uzupełniające - znaki o r</w:t>
      </w:r>
      <w:r w:rsidRPr="004853EB">
        <w:rPr>
          <w:rFonts w:eastAsia="Times New Roman" w:cstheme="minorHAnsi"/>
          <w:sz w:val="20"/>
          <w:szCs w:val="20"/>
          <w:lang w:eastAsia="pl-PL"/>
        </w:rPr>
        <w:t>óżnych kształtach, wymiarach i przeznaczeniu, występujące w postaci symboli, napisów, linii przystankowych, stanowisk i pasów postojowych, powierzchni wyłączonych z ruchu oraz symboli znaków pionowych w oznakowaniu poziomym.</w:t>
      </w:r>
    </w:p>
    <w:p w14:paraId="567A6621" w14:textId="77777777" w:rsidR="00E95D02" w:rsidRPr="004853EB"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4853EB">
        <w:rPr>
          <w:rFonts w:eastAsia="Times New Roman" w:cstheme="minorHAnsi"/>
          <w:b/>
          <w:bCs/>
          <w:sz w:val="20"/>
          <w:szCs w:val="20"/>
          <w:lang w:val="pl" w:eastAsia="pl-PL"/>
        </w:rPr>
        <w:t xml:space="preserve">1.4.6. </w:t>
      </w:r>
      <w:r w:rsidRPr="004853EB">
        <w:rPr>
          <w:rFonts w:eastAsia="Times New Roman" w:cstheme="minorHAnsi"/>
          <w:sz w:val="20"/>
          <w:szCs w:val="20"/>
          <w:lang w:val="pl" w:eastAsia="pl-PL"/>
        </w:rPr>
        <w:t>Materiały do poziomego oznakowania dr</w:t>
      </w:r>
      <w:r w:rsidRPr="004853EB">
        <w:rPr>
          <w:rFonts w:eastAsia="Times New Roman" w:cstheme="minorHAnsi"/>
          <w:sz w:val="20"/>
          <w:szCs w:val="20"/>
          <w:lang w:eastAsia="pl-PL"/>
        </w:rPr>
        <w:t>óg - materiały zawierające rozpuszczalniki, wolne od rozpuszczalników lub punktowe elementy odblaskowe, które mogą zostać naniesione albo wbudowane przez malowanie, natryskiwanie, odlewanie, wytłaczanie, rolowanie, klejenie itp. na nawierzchnie drogowe, stosowane w temperaturze otoczenia lub w temperaturze podwyższonej. Materiały te powinny posiadać właściwości odblaskowe.</w:t>
      </w:r>
    </w:p>
    <w:p w14:paraId="30ACE691" w14:textId="77777777" w:rsidR="00E95D02" w:rsidRPr="004853EB"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1.4.6.1. Masa chemoutwardzalna - ciekła substancja do znakowania, kt</w:t>
      </w:r>
      <w:r w:rsidRPr="004853EB">
        <w:rPr>
          <w:rFonts w:eastAsia="Times New Roman" w:cstheme="minorHAnsi"/>
          <w:sz w:val="20"/>
          <w:szCs w:val="20"/>
          <w:lang w:eastAsia="pl-PL"/>
        </w:rPr>
        <w:t xml:space="preserve">óra jest dostarczana w formie dwu- lub wieloskładnikowej. Zależnie od metody, części składowe masy miesza się w różnych proporcjach, a wyrób nanosi </w:t>
      </w:r>
      <w:r w:rsidRPr="004853EB">
        <w:rPr>
          <w:rFonts w:eastAsia="Times New Roman" w:cstheme="minorHAnsi"/>
          <w:sz w:val="20"/>
          <w:szCs w:val="20"/>
          <w:lang w:eastAsia="pl-PL"/>
        </w:rPr>
        <w:lastRenderedPageBreak/>
        <w:t>się za pomocą odpowiedniej powlekarki lub ręcznie. Ostatecznie oznakowanie powstaje po zajściu reakcji chemicznej.</w:t>
      </w:r>
    </w:p>
    <w:p w14:paraId="741615B3" w14:textId="77777777" w:rsidR="00E95D02" w:rsidRPr="004853EB"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1.4.6.2. Oznakowanie drogowe zestaw - podstawowy materiał do oznakowania poziomego dr</w:t>
      </w:r>
      <w:r w:rsidRPr="004853EB">
        <w:rPr>
          <w:rFonts w:eastAsia="Times New Roman" w:cstheme="minorHAnsi"/>
          <w:sz w:val="20"/>
          <w:szCs w:val="20"/>
          <w:lang w:eastAsia="pl-PL"/>
        </w:rPr>
        <w:t>óg, tj. farba, masa chemoutwardzalna lub termoplastyczna, łącznie z rodzajem i ilością dozowanych materiałów do posypywania potrzebnych do utworzenia oznakowania drogi. Zmiana proporcji lub rodzaju składników tworzy nowy zestaw wyrobu.</w:t>
      </w:r>
    </w:p>
    <w:p w14:paraId="0E4B69BE" w14:textId="77777777" w:rsidR="00E95D02" w:rsidRPr="004853EB" w:rsidRDefault="00E95D02" w:rsidP="00E95D02">
      <w:pPr>
        <w:autoSpaceDE w:val="0"/>
        <w:autoSpaceDN w:val="0"/>
        <w:adjustRightInd w:val="0"/>
        <w:spacing w:before="120" w:after="0" w:line="240" w:lineRule="auto"/>
        <w:jc w:val="both"/>
        <w:rPr>
          <w:rFonts w:eastAsia="Times New Roman" w:cstheme="minorHAnsi"/>
          <w:sz w:val="20"/>
          <w:szCs w:val="20"/>
          <w:lang w:val="pl" w:eastAsia="pl-PL"/>
        </w:rPr>
      </w:pPr>
      <w:r w:rsidRPr="004853EB">
        <w:rPr>
          <w:rFonts w:eastAsia="Times New Roman" w:cstheme="minorHAnsi"/>
          <w:b/>
          <w:bCs/>
          <w:sz w:val="20"/>
          <w:szCs w:val="20"/>
          <w:lang w:val="pl" w:eastAsia="pl-PL"/>
        </w:rPr>
        <w:t>1.4.7.</w:t>
      </w:r>
      <w:r w:rsidRPr="004853EB">
        <w:rPr>
          <w:rFonts w:eastAsia="Times New Roman" w:cstheme="minorHAnsi"/>
          <w:sz w:val="20"/>
          <w:szCs w:val="20"/>
          <w:lang w:val="pl" w:eastAsia="pl-PL"/>
        </w:rPr>
        <w:t xml:space="preserve"> Oznakowanie grubowarstwowe – oznakowanie nakładane warstwą grubości od 0,90 mm do 3,50 mm. Wyjątkowo linie strukturalne i profilowane mogą być nakładane warstwą do 5 mm. Oznakowanie grubowarstwowe jest wykonywane masami termoplastycznymi, masami chemoutwardzalnymi i taśmami.</w:t>
      </w:r>
    </w:p>
    <w:p w14:paraId="7E245F48" w14:textId="05F70CB8" w:rsidR="00E95D02" w:rsidRPr="004853EB"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4853EB">
        <w:rPr>
          <w:rFonts w:eastAsia="Times New Roman" w:cstheme="minorHAnsi"/>
          <w:b/>
          <w:bCs/>
          <w:sz w:val="20"/>
          <w:szCs w:val="20"/>
          <w:lang w:val="pl" w:eastAsia="pl-PL"/>
        </w:rPr>
        <w:t xml:space="preserve">1.4.8. </w:t>
      </w:r>
      <w:r w:rsidRPr="004853EB">
        <w:rPr>
          <w:rFonts w:eastAsia="Times New Roman" w:cstheme="minorHAnsi"/>
          <w:sz w:val="20"/>
          <w:szCs w:val="20"/>
          <w:lang w:val="pl" w:eastAsia="pl-PL"/>
        </w:rPr>
        <w:t xml:space="preserve">Punktowe elementy odblaskowe (odblaski najezdniowe) - naklejana, kotwiczona lub wbudowywana </w:t>
      </w:r>
      <w:r w:rsidR="00050DBE">
        <w:rPr>
          <w:rFonts w:eastAsia="Times New Roman" w:cstheme="minorHAnsi"/>
          <w:sz w:val="20"/>
          <w:szCs w:val="20"/>
          <w:lang w:val="pl" w:eastAsia="pl-PL"/>
        </w:rPr>
        <w:br/>
      </w:r>
      <w:r w:rsidRPr="004853EB">
        <w:rPr>
          <w:rFonts w:eastAsia="Times New Roman" w:cstheme="minorHAnsi"/>
          <w:sz w:val="20"/>
          <w:szCs w:val="20"/>
          <w:lang w:val="pl" w:eastAsia="pl-PL"/>
        </w:rPr>
        <w:t>w nawierzchnię płytka z materiału wytrzymującego przejazdy pojazd</w:t>
      </w:r>
      <w:r w:rsidRPr="004853EB">
        <w:rPr>
          <w:rFonts w:eastAsia="Times New Roman" w:cstheme="minorHAnsi"/>
          <w:sz w:val="20"/>
          <w:szCs w:val="20"/>
          <w:lang w:eastAsia="pl-PL"/>
        </w:rPr>
        <w:t>ów samochodowych, zawierająca element odblaskowy umieszczony w ten sposób, aby zapewniał widzialność w nocy, a także w czasie opadów deszczu. Punktowe elementy odblaskowe służą do prowadzenia poziomego pojazdów, mogą być jednostronne, dwustronne lub wielokierunkowe, trwałe (białe) - typ P i tymczasowe (żółte) - typ T oraz sztywne i uginające się, tj. składające się z kilku części, z których jedna jest elastyczna i powraca do poprzedniego kształtu po przejechaniu przez pojazd [4].</w:t>
      </w:r>
    </w:p>
    <w:p w14:paraId="54685560"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Wyróżnia się punktowe elementy aktywne, z zainstalowanymi pulsującymi diodami LED, wzmacniającymi ostrzeganie, prowadzenie i informowanie użytkownik</w:t>
      </w:r>
      <w:r w:rsidRPr="004853EB">
        <w:rPr>
          <w:rFonts w:eastAsia="Times New Roman" w:cstheme="minorHAnsi"/>
          <w:sz w:val="20"/>
          <w:szCs w:val="20"/>
          <w:lang w:eastAsia="pl-PL"/>
        </w:rPr>
        <w:t>ów drogi.</w:t>
      </w:r>
    </w:p>
    <w:p w14:paraId="41A02668" w14:textId="77777777" w:rsidR="00E95D02" w:rsidRPr="004853EB"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4853EB">
        <w:rPr>
          <w:rFonts w:eastAsia="Times New Roman" w:cstheme="minorHAnsi"/>
          <w:b/>
          <w:bCs/>
          <w:sz w:val="20"/>
          <w:szCs w:val="20"/>
          <w:lang w:val="pl" w:eastAsia="pl-PL"/>
        </w:rPr>
        <w:t xml:space="preserve">1.4.9. </w:t>
      </w:r>
      <w:r w:rsidRPr="004853EB">
        <w:rPr>
          <w:rFonts w:eastAsia="Times New Roman" w:cstheme="minorHAnsi"/>
          <w:sz w:val="20"/>
          <w:szCs w:val="20"/>
          <w:lang w:val="pl" w:eastAsia="pl-PL"/>
        </w:rPr>
        <w:t>Kulki szklane – materiał w postaci przezroczystych, kulistych cząstek szklanych do posypywania lub narzucania pod ciśnieniem na świeżo wykonane farbami lub masami oznakowanie w celu uzyskania widzialności oznakowania w nocy przez odbicie powrotne padającej wiązki świateł pojazdu w kierunku kierowcy. Kulki szklane są także składnikami materiał</w:t>
      </w:r>
      <w:r w:rsidRPr="004853EB">
        <w:rPr>
          <w:rFonts w:eastAsia="Times New Roman" w:cstheme="minorHAnsi"/>
          <w:sz w:val="20"/>
          <w:szCs w:val="20"/>
          <w:lang w:eastAsia="pl-PL"/>
        </w:rPr>
        <w:t>ów grubowarstwowych.</w:t>
      </w:r>
    </w:p>
    <w:p w14:paraId="37EE3827" w14:textId="77777777" w:rsidR="00E95D02" w:rsidRPr="004853EB" w:rsidRDefault="00E95D02" w:rsidP="00E95D02">
      <w:pPr>
        <w:autoSpaceDE w:val="0"/>
        <w:autoSpaceDN w:val="0"/>
        <w:adjustRightInd w:val="0"/>
        <w:spacing w:before="120" w:after="0" w:line="240" w:lineRule="auto"/>
        <w:jc w:val="both"/>
        <w:rPr>
          <w:rFonts w:eastAsia="Times New Roman" w:cstheme="minorHAnsi"/>
          <w:sz w:val="20"/>
          <w:szCs w:val="20"/>
          <w:lang w:val="pl" w:eastAsia="pl-PL"/>
        </w:rPr>
      </w:pPr>
      <w:r w:rsidRPr="004853EB">
        <w:rPr>
          <w:rFonts w:eastAsia="Times New Roman" w:cstheme="minorHAnsi"/>
          <w:b/>
          <w:bCs/>
          <w:sz w:val="20"/>
          <w:szCs w:val="20"/>
          <w:lang w:val="pl" w:eastAsia="pl-PL"/>
        </w:rPr>
        <w:t xml:space="preserve">1.4.10. </w:t>
      </w:r>
      <w:r w:rsidRPr="004853EB">
        <w:rPr>
          <w:rFonts w:eastAsia="Times New Roman" w:cstheme="minorHAnsi"/>
          <w:sz w:val="20"/>
          <w:szCs w:val="20"/>
          <w:lang w:val="pl" w:eastAsia="pl-PL"/>
        </w:rPr>
        <w:t>Materiał uszorstniający</w:t>
      </w:r>
      <w:r w:rsidRPr="004853EB">
        <w:rPr>
          <w:rFonts w:eastAsia="Times New Roman" w:cstheme="minorHAnsi"/>
          <w:b/>
          <w:bCs/>
          <w:sz w:val="20"/>
          <w:szCs w:val="20"/>
          <w:lang w:val="pl" w:eastAsia="pl-PL"/>
        </w:rPr>
        <w:t xml:space="preserve"> </w:t>
      </w:r>
      <w:r w:rsidRPr="004853EB">
        <w:rPr>
          <w:rFonts w:eastAsia="Times New Roman" w:cstheme="minorHAnsi"/>
          <w:sz w:val="20"/>
          <w:szCs w:val="20"/>
          <w:lang w:val="pl" w:eastAsia="pl-PL"/>
        </w:rPr>
        <w:t>(kruszywo przeciwpoślizgowe) – naturalne lub sztuczne twarde kruszywo stosowane w celu zapewnienia oznakowaniu drogi odpowiedniej szorstkości (właściwości antypoślizgowych) stosowane samo lub w mieszaninie z kulkami szklanymi.</w:t>
      </w:r>
    </w:p>
    <w:p w14:paraId="48ECF7E0" w14:textId="71AFA41D" w:rsidR="00E95D02" w:rsidRPr="004853EB"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4853EB">
        <w:rPr>
          <w:rFonts w:eastAsia="Times New Roman" w:cstheme="minorHAnsi"/>
          <w:b/>
          <w:bCs/>
          <w:sz w:val="20"/>
          <w:szCs w:val="20"/>
          <w:lang w:val="pl" w:eastAsia="pl-PL"/>
        </w:rPr>
        <w:t xml:space="preserve">1.4.11. </w:t>
      </w:r>
      <w:r w:rsidRPr="004853EB">
        <w:rPr>
          <w:rFonts w:eastAsia="Times New Roman" w:cstheme="minorHAnsi"/>
          <w:sz w:val="20"/>
          <w:szCs w:val="20"/>
          <w:lang w:val="pl" w:eastAsia="pl-PL"/>
        </w:rPr>
        <w:t xml:space="preserve">Pozostałe określenia podstawowe są zgodne z obowiązującymi, odpowiednimi polskimi normami </w:t>
      </w:r>
      <w:r w:rsidR="00050DBE">
        <w:rPr>
          <w:rFonts w:eastAsia="Times New Roman" w:cstheme="minorHAnsi"/>
          <w:sz w:val="20"/>
          <w:szCs w:val="20"/>
          <w:lang w:val="pl" w:eastAsia="pl-PL"/>
        </w:rPr>
        <w:br/>
      </w:r>
      <w:r w:rsidRPr="004853EB">
        <w:rPr>
          <w:rFonts w:eastAsia="Times New Roman" w:cstheme="minorHAnsi"/>
          <w:sz w:val="20"/>
          <w:szCs w:val="20"/>
          <w:lang w:val="pl" w:eastAsia="pl-PL"/>
        </w:rPr>
        <w:t>i z definicjami podanymi w SST D-00.00.00 „Wymagania og</w:t>
      </w:r>
      <w:r w:rsidRPr="004853EB">
        <w:rPr>
          <w:rFonts w:eastAsia="Times New Roman" w:cstheme="minorHAnsi"/>
          <w:sz w:val="20"/>
          <w:szCs w:val="20"/>
          <w:lang w:eastAsia="pl-PL"/>
        </w:rPr>
        <w:t>ólne” pkt 1.4.</w:t>
      </w:r>
    </w:p>
    <w:p w14:paraId="45EE1FB2"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4853EB">
        <w:rPr>
          <w:rFonts w:eastAsia="Times New Roman" w:cstheme="minorHAnsi"/>
          <w:b/>
          <w:bCs/>
          <w:sz w:val="20"/>
          <w:szCs w:val="20"/>
          <w:lang w:val="pl" w:eastAsia="pl-PL"/>
        </w:rPr>
        <w:t>1.5. Ogólne wymagania dotyczące rob</w:t>
      </w:r>
      <w:r w:rsidRPr="004853EB">
        <w:rPr>
          <w:rFonts w:eastAsia="Times New Roman" w:cstheme="minorHAnsi"/>
          <w:b/>
          <w:bCs/>
          <w:sz w:val="20"/>
          <w:szCs w:val="20"/>
          <w:lang w:eastAsia="pl-PL"/>
        </w:rPr>
        <w:t>ót</w:t>
      </w:r>
    </w:p>
    <w:p w14:paraId="5B42C8E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Ogólne wymagania dotyczące rob</w:t>
      </w:r>
      <w:r w:rsidRPr="004853EB">
        <w:rPr>
          <w:rFonts w:eastAsia="Times New Roman" w:cstheme="minorHAnsi"/>
          <w:sz w:val="20"/>
          <w:szCs w:val="20"/>
          <w:lang w:eastAsia="pl-PL"/>
        </w:rPr>
        <w:t>ót podano w SST D-00.00.00 „Wymagania ogólne” pkt 1.5.</w:t>
      </w:r>
    </w:p>
    <w:p w14:paraId="2C222C92" w14:textId="77777777" w:rsidR="00E95D02" w:rsidRPr="004853EB" w:rsidRDefault="00E95D02" w:rsidP="00E95D02">
      <w:pPr>
        <w:keepNext/>
        <w:keepLines/>
        <w:suppressAutoHyphens/>
        <w:autoSpaceDE w:val="0"/>
        <w:autoSpaceDN w:val="0"/>
        <w:adjustRightInd w:val="0"/>
        <w:spacing w:before="240" w:after="120" w:line="240" w:lineRule="auto"/>
        <w:jc w:val="both"/>
        <w:rPr>
          <w:rFonts w:eastAsia="Times New Roman" w:cstheme="minorHAnsi"/>
          <w:b/>
          <w:bCs/>
          <w:caps/>
          <w:sz w:val="20"/>
          <w:szCs w:val="20"/>
          <w:lang w:val="pl" w:eastAsia="pl-PL"/>
        </w:rPr>
      </w:pPr>
      <w:r w:rsidRPr="004853EB">
        <w:rPr>
          <w:rFonts w:eastAsia="Times New Roman" w:cstheme="minorHAnsi"/>
          <w:b/>
          <w:bCs/>
          <w:caps/>
          <w:sz w:val="20"/>
          <w:szCs w:val="20"/>
          <w:lang w:val="pl" w:eastAsia="pl-PL"/>
        </w:rPr>
        <w:t>2. Materiały</w:t>
      </w:r>
    </w:p>
    <w:p w14:paraId="3614B109"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4853EB">
        <w:rPr>
          <w:rFonts w:eastAsia="Times New Roman" w:cstheme="minorHAnsi"/>
          <w:b/>
          <w:bCs/>
          <w:sz w:val="20"/>
          <w:szCs w:val="20"/>
          <w:lang w:val="pl" w:eastAsia="pl-PL"/>
        </w:rPr>
        <w:t>2.1. Ogólne wymagania dotyczące materiał</w:t>
      </w:r>
      <w:r w:rsidRPr="004853EB">
        <w:rPr>
          <w:rFonts w:eastAsia="Times New Roman" w:cstheme="minorHAnsi"/>
          <w:b/>
          <w:bCs/>
          <w:sz w:val="20"/>
          <w:szCs w:val="20"/>
          <w:lang w:eastAsia="pl-PL"/>
        </w:rPr>
        <w:t>ów</w:t>
      </w:r>
    </w:p>
    <w:p w14:paraId="52D8717F" w14:textId="4F5976C8"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Ogólne wymagania dotyczące materiał</w:t>
      </w:r>
      <w:r w:rsidRPr="004853EB">
        <w:rPr>
          <w:rFonts w:eastAsia="Times New Roman" w:cstheme="minorHAnsi"/>
          <w:sz w:val="20"/>
          <w:szCs w:val="20"/>
          <w:lang w:eastAsia="pl-PL"/>
        </w:rPr>
        <w:t xml:space="preserve">ów, ich pozyskiwania i składowania, podano </w:t>
      </w:r>
      <w:r w:rsidR="00050DBE" w:rsidRPr="004853EB">
        <w:rPr>
          <w:rFonts w:eastAsia="Times New Roman" w:cstheme="minorHAnsi"/>
          <w:sz w:val="20"/>
          <w:szCs w:val="20"/>
          <w:lang w:eastAsia="pl-PL"/>
        </w:rPr>
        <w:t>w SST</w:t>
      </w:r>
      <w:r w:rsidRPr="004853EB">
        <w:rPr>
          <w:rFonts w:eastAsia="Times New Roman" w:cstheme="minorHAnsi"/>
          <w:sz w:val="20"/>
          <w:szCs w:val="20"/>
          <w:lang w:eastAsia="pl-PL"/>
        </w:rPr>
        <w:t xml:space="preserve"> D-00.00.00 „Wymagania ogólne” pkt 2.</w:t>
      </w:r>
    </w:p>
    <w:p w14:paraId="5486FD10"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4853EB">
        <w:rPr>
          <w:rFonts w:eastAsia="Times New Roman" w:cstheme="minorHAnsi"/>
          <w:b/>
          <w:bCs/>
          <w:sz w:val="20"/>
          <w:szCs w:val="20"/>
          <w:lang w:val="pl" w:eastAsia="pl-PL"/>
        </w:rPr>
        <w:t>2.2. Dokument dopuszczający do stosowania materiał</w:t>
      </w:r>
      <w:r w:rsidRPr="004853EB">
        <w:rPr>
          <w:rFonts w:eastAsia="Times New Roman" w:cstheme="minorHAnsi"/>
          <w:b/>
          <w:bCs/>
          <w:sz w:val="20"/>
          <w:szCs w:val="20"/>
          <w:lang w:eastAsia="pl-PL"/>
        </w:rPr>
        <w:t>ów</w:t>
      </w:r>
    </w:p>
    <w:p w14:paraId="59A7262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Jeśli wyr</w:t>
      </w:r>
      <w:r w:rsidRPr="004853EB">
        <w:rPr>
          <w:rFonts w:eastAsia="Times New Roman" w:cstheme="minorHAnsi"/>
          <w:sz w:val="20"/>
          <w:szCs w:val="20"/>
          <w:lang w:eastAsia="pl-PL"/>
        </w:rPr>
        <w:t>ób budowlany, w tym materiał do poziomego oznakowania dróg, objęty jest normą zharmonizowaną lub jest zgodny z wydaną dla niego europejską oceną, producent może sporządzić deklarację właściwości użytkowych, oznakować wyrób znakiem CE i wprowadzić wyrób do obrotu [12]. Dotyczy to taśm do oznakowania poziomego [2], kulek szklanych [3] i punktowych elementów odblaskowych [4].</w:t>
      </w:r>
    </w:p>
    <w:p w14:paraId="7C70849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Materiały, na kt</w:t>
      </w:r>
      <w:r w:rsidRPr="004853EB">
        <w:rPr>
          <w:rFonts w:eastAsia="Times New Roman" w:cstheme="minorHAnsi"/>
          <w:sz w:val="20"/>
          <w:szCs w:val="20"/>
          <w:lang w:eastAsia="pl-PL"/>
        </w:rPr>
        <w:t>óre uzyskano krajową ocenę techniczną (KOT) i krajowy certyfikat stałości właściwości użytkowych, po czym wystawiono krajową deklarację właściwości użytkowych, mogą być oznakowane znakiem budowlanym i wprowadzone do obrotu [13]. Dotyczy to farb, mas chemoutwardzalnych i termoplastycznych [1].</w:t>
      </w:r>
    </w:p>
    <w:p w14:paraId="039C1C9B" w14:textId="7C5AC2F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 xml:space="preserve">Aprobaty techniczne IBDiM, wystawione przed czasem wejścia w życie rozporządzenia [13] nie mogą być </w:t>
      </w:r>
      <w:r w:rsidR="00050DBE" w:rsidRPr="004853EB">
        <w:rPr>
          <w:rFonts w:eastAsia="Times New Roman" w:cstheme="minorHAnsi"/>
          <w:sz w:val="20"/>
          <w:szCs w:val="20"/>
          <w:lang w:val="pl" w:eastAsia="pl-PL"/>
        </w:rPr>
        <w:t>zmieniane,</w:t>
      </w:r>
      <w:r w:rsidRPr="004853EB">
        <w:rPr>
          <w:rFonts w:eastAsia="Times New Roman" w:cstheme="minorHAnsi"/>
          <w:sz w:val="20"/>
          <w:szCs w:val="20"/>
          <w:lang w:val="pl" w:eastAsia="pl-PL"/>
        </w:rPr>
        <w:t xml:space="preserve"> lecz zachowują ważność przez okres, na jaki zostały wydane. W tym przypadku do oznakowania wyrobu znakiem budowlanym B wystarcza krajowa deklaracja zgodności. Zgodnie z art. 4, art. 5 ust. 1 oraz art. 8 ust. 1 ustawy z dnia 16 kwietnia 2004 r. o wyrobach budowlanych (Dz. U. Nr 92, poz. 881, z p</w:t>
      </w:r>
      <w:r w:rsidRPr="004853EB">
        <w:rPr>
          <w:rFonts w:eastAsia="Times New Roman" w:cstheme="minorHAnsi"/>
          <w:sz w:val="20"/>
          <w:szCs w:val="20"/>
          <w:lang w:eastAsia="pl-PL"/>
        </w:rPr>
        <w:t xml:space="preserve">óźn. zmianami) [14] wyrób, którego dotyczy Aprobata Techniczna IBDiM wydana przed 1 stycznia 2017 r., może być wprowadzony do obrotu i stosowania przy wykonywaniu robót budowlanych w zakresie odpowiadającym jego właściwościom użytkowym i przeznaczeniu, jeżeli producent dokonał oceny zgodności, wydał krajową deklarację właściwości użytkowych i oznakował wyrób znakiem budowlanym, zgodnie z obowiązującymi wtedy przepisami. </w:t>
      </w:r>
    </w:p>
    <w:p w14:paraId="1702282C" w14:textId="40F684E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 xml:space="preserve">Wyroby dla których wydano krajową ocenę techniczną (KOT) po 1 stycznia 2017 r., zastępującą aprobatę techniczną, zgodnie z rozporządzeniem Ministra Infrastruktury i Budownictwa z dnia 17 listopada 2016 r. </w:t>
      </w:r>
      <w:r w:rsidR="00050DBE">
        <w:rPr>
          <w:rFonts w:eastAsia="Times New Roman" w:cstheme="minorHAnsi"/>
          <w:sz w:val="20"/>
          <w:szCs w:val="20"/>
          <w:lang w:val="pl" w:eastAsia="pl-PL"/>
        </w:rPr>
        <w:br/>
      </w:r>
      <w:r w:rsidRPr="004853EB">
        <w:rPr>
          <w:rFonts w:eastAsia="Times New Roman" w:cstheme="minorHAnsi"/>
          <w:sz w:val="20"/>
          <w:szCs w:val="20"/>
          <w:lang w:val="pl" w:eastAsia="pl-PL"/>
        </w:rPr>
        <w:t>w sprawie krajowych ocen technicznych [15] i dokonano oceny i weryfikacji stałości właściwości użytkowych, powinny posiadać wystawioną przez producenta krajową deklarację właściwości użytkowych zgodnie z ustawą z 13 kwietnia 2016 r. [16] zawierającą ustalenia wprowadzone Rozporządzeniem Parlamentu Europejskiego i Rady nr 305/2011 z dnia 9 marca 2011 r.[12].</w:t>
      </w:r>
    </w:p>
    <w:p w14:paraId="48CBECDC" w14:textId="4C555F78"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 xml:space="preserve">Powyższe zasady należy stosować także do oznakowań tymczasowych wykonywanych materiałami </w:t>
      </w:r>
      <w:r w:rsidR="00050DBE">
        <w:rPr>
          <w:rFonts w:eastAsia="Times New Roman" w:cstheme="minorHAnsi"/>
          <w:sz w:val="20"/>
          <w:szCs w:val="20"/>
          <w:lang w:val="pl" w:eastAsia="pl-PL"/>
        </w:rPr>
        <w:br/>
      </w:r>
      <w:r w:rsidRPr="004853EB">
        <w:rPr>
          <w:rFonts w:eastAsia="Times New Roman" w:cstheme="minorHAnsi"/>
          <w:sz w:val="20"/>
          <w:szCs w:val="20"/>
          <w:lang w:val="pl" w:eastAsia="pl-PL"/>
        </w:rPr>
        <w:t>o barwie ż</w:t>
      </w:r>
      <w:r w:rsidRPr="004853EB">
        <w:rPr>
          <w:rFonts w:eastAsia="Times New Roman" w:cstheme="minorHAnsi"/>
          <w:sz w:val="20"/>
          <w:szCs w:val="20"/>
          <w:lang w:eastAsia="pl-PL"/>
        </w:rPr>
        <w:t>ółtej.</w:t>
      </w:r>
    </w:p>
    <w:p w14:paraId="524A9BB2"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4853EB">
        <w:rPr>
          <w:rFonts w:eastAsia="Times New Roman" w:cstheme="minorHAnsi"/>
          <w:b/>
          <w:bCs/>
          <w:sz w:val="20"/>
          <w:szCs w:val="20"/>
          <w:lang w:val="pl" w:eastAsia="pl-PL"/>
        </w:rPr>
        <w:t>2.3. Badanie materiał</w:t>
      </w:r>
      <w:r w:rsidRPr="004853EB">
        <w:rPr>
          <w:rFonts w:eastAsia="Times New Roman" w:cstheme="minorHAnsi"/>
          <w:b/>
          <w:bCs/>
          <w:sz w:val="20"/>
          <w:szCs w:val="20"/>
          <w:lang w:eastAsia="pl-PL"/>
        </w:rPr>
        <w:t>ów, których jakość budzi wątpliwość</w:t>
      </w:r>
    </w:p>
    <w:p w14:paraId="1343EB7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Wykonawca powinien przeprowadzić dodatkowe badania tych materiał</w:t>
      </w:r>
      <w:r w:rsidRPr="004853EB">
        <w:rPr>
          <w:rFonts w:eastAsia="Times New Roman" w:cstheme="minorHAnsi"/>
          <w:sz w:val="20"/>
          <w:szCs w:val="20"/>
          <w:lang w:eastAsia="pl-PL"/>
        </w:rPr>
        <w:t>ów, które budzą wątpliwości jego lub Inżyniera, co do jakości, w celu stwierdzenia czy odpowiadają one wymaganiom określonym w aprobacie technicznej, krajowej ocenie technicznej lub zharmonizowanej normie. Badania te Wykonawca zleca akredytowanemu laboratorium drogowemu np. IBDiM lub innemu uznanemu laboratorium. Badania powinny być wykonane zgodnie z aktualnymi normami lub z Vademecum [17].</w:t>
      </w:r>
    </w:p>
    <w:p w14:paraId="2FACC1A5"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val="pl" w:eastAsia="pl-PL"/>
        </w:rPr>
      </w:pPr>
      <w:r w:rsidRPr="004853EB">
        <w:rPr>
          <w:rFonts w:eastAsia="Times New Roman" w:cstheme="minorHAnsi"/>
          <w:b/>
          <w:bCs/>
          <w:sz w:val="20"/>
          <w:szCs w:val="20"/>
          <w:lang w:val="pl" w:eastAsia="pl-PL"/>
        </w:rPr>
        <w:t>2.4. Oznakowanie opakowań</w:t>
      </w:r>
    </w:p>
    <w:p w14:paraId="118D9E20"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Wyrób budowlany, w tym materiały do poziomego oznakowania dr</w:t>
      </w:r>
      <w:r w:rsidRPr="004853EB">
        <w:rPr>
          <w:rFonts w:eastAsia="Times New Roman" w:cstheme="minorHAnsi"/>
          <w:sz w:val="20"/>
          <w:szCs w:val="20"/>
          <w:lang w:eastAsia="pl-PL"/>
        </w:rPr>
        <w:t>óg, należy oznakować znakiem budowlanym zgodnie z rozporządzeniem Ministra Infrastruktury z dnia 11 sierpnia 2004 r. w sprawie sposobów deklarowania zgodności wyrobów budowlanych oraz sposobu znakowania ich znakiem budowlanym (Dz. U. Nr 198, poz. 2041 z późn. zm.). Do wyrobu budowlanego oznakowanego znakiem budowlanym producent powinien dołączyć informację zawierającą: [13].</w:t>
      </w:r>
    </w:p>
    <w:p w14:paraId="00F7FA89" w14:textId="77777777" w:rsidR="00E95D02" w:rsidRPr="004853EB" w:rsidRDefault="00E95D02">
      <w:pPr>
        <w:numPr>
          <w:ilvl w:val="0"/>
          <w:numId w:val="138"/>
        </w:numPr>
        <w:autoSpaceDE w:val="0"/>
        <w:autoSpaceDN w:val="0"/>
        <w:adjustRightInd w:val="0"/>
        <w:spacing w:after="0" w:line="240" w:lineRule="auto"/>
        <w:ind w:left="360" w:hanging="360"/>
        <w:jc w:val="both"/>
        <w:rPr>
          <w:rFonts w:eastAsia="Times New Roman" w:cstheme="minorHAnsi"/>
          <w:sz w:val="20"/>
          <w:szCs w:val="20"/>
          <w:lang w:val="pl" w:eastAsia="pl-PL"/>
        </w:rPr>
      </w:pPr>
      <w:r w:rsidRPr="004853EB">
        <w:rPr>
          <w:rFonts w:eastAsia="Times New Roman" w:cstheme="minorHAnsi"/>
          <w:sz w:val="20"/>
          <w:szCs w:val="20"/>
          <w:lang w:val="pl" w:eastAsia="pl-PL"/>
        </w:rPr>
        <w:t xml:space="preserve">dwie ostatnie cyfry roku, w którym znak budowlany został po raz pierwszy umieszczony na wyrobie budowlanym; </w:t>
      </w:r>
    </w:p>
    <w:p w14:paraId="44530321" w14:textId="77777777" w:rsidR="00E95D02" w:rsidRPr="004853EB" w:rsidRDefault="00E95D02">
      <w:pPr>
        <w:numPr>
          <w:ilvl w:val="0"/>
          <w:numId w:val="138"/>
        </w:numPr>
        <w:autoSpaceDE w:val="0"/>
        <w:autoSpaceDN w:val="0"/>
        <w:adjustRightInd w:val="0"/>
        <w:spacing w:after="0" w:line="240" w:lineRule="auto"/>
        <w:ind w:left="360" w:hanging="360"/>
        <w:jc w:val="both"/>
        <w:rPr>
          <w:rFonts w:eastAsia="Times New Roman" w:cstheme="minorHAnsi"/>
          <w:sz w:val="20"/>
          <w:szCs w:val="20"/>
          <w:lang w:val="pl" w:eastAsia="pl-PL"/>
        </w:rPr>
      </w:pPr>
      <w:r w:rsidRPr="004853EB">
        <w:rPr>
          <w:rFonts w:eastAsia="Times New Roman" w:cstheme="minorHAnsi"/>
          <w:sz w:val="20"/>
          <w:szCs w:val="20"/>
          <w:lang w:val="pl" w:eastAsia="pl-PL"/>
        </w:rPr>
        <w:t xml:space="preserve">nazwa i adres siedziby producenta lub znak identyfikacyjny pozwalający jednoznacznie określić nazwę i adres siedziby producenta; </w:t>
      </w:r>
    </w:p>
    <w:p w14:paraId="3FABED05" w14:textId="77777777" w:rsidR="00E95D02" w:rsidRPr="004853EB" w:rsidRDefault="00E95D02">
      <w:pPr>
        <w:numPr>
          <w:ilvl w:val="0"/>
          <w:numId w:val="138"/>
        </w:numPr>
        <w:autoSpaceDE w:val="0"/>
        <w:autoSpaceDN w:val="0"/>
        <w:adjustRightInd w:val="0"/>
        <w:spacing w:after="0" w:line="240" w:lineRule="auto"/>
        <w:ind w:left="360" w:hanging="360"/>
        <w:jc w:val="both"/>
        <w:rPr>
          <w:rFonts w:eastAsia="Times New Roman" w:cstheme="minorHAnsi"/>
          <w:sz w:val="20"/>
          <w:szCs w:val="20"/>
          <w:lang w:val="pl" w:eastAsia="pl-PL"/>
        </w:rPr>
      </w:pPr>
      <w:r w:rsidRPr="004853EB">
        <w:rPr>
          <w:rFonts w:eastAsia="Times New Roman" w:cstheme="minorHAnsi"/>
          <w:sz w:val="20"/>
          <w:szCs w:val="20"/>
          <w:lang w:val="pl" w:eastAsia="pl-PL"/>
        </w:rPr>
        <w:t xml:space="preserve">nazwa i oznaczenie typu wyrobu budowlanego; </w:t>
      </w:r>
    </w:p>
    <w:p w14:paraId="41B0AA90" w14:textId="77777777" w:rsidR="00E95D02" w:rsidRPr="004853EB" w:rsidRDefault="00E95D02">
      <w:pPr>
        <w:numPr>
          <w:ilvl w:val="0"/>
          <w:numId w:val="138"/>
        </w:numPr>
        <w:autoSpaceDE w:val="0"/>
        <w:autoSpaceDN w:val="0"/>
        <w:adjustRightInd w:val="0"/>
        <w:spacing w:after="0" w:line="240" w:lineRule="auto"/>
        <w:ind w:left="360" w:hanging="360"/>
        <w:jc w:val="both"/>
        <w:rPr>
          <w:rFonts w:eastAsia="Times New Roman" w:cstheme="minorHAnsi"/>
          <w:sz w:val="20"/>
          <w:szCs w:val="20"/>
          <w:lang w:val="pl" w:eastAsia="pl-PL"/>
        </w:rPr>
      </w:pPr>
      <w:r w:rsidRPr="004853EB">
        <w:rPr>
          <w:rFonts w:eastAsia="Times New Roman" w:cstheme="minorHAnsi"/>
          <w:sz w:val="20"/>
          <w:szCs w:val="20"/>
          <w:lang w:val="pl" w:eastAsia="pl-PL"/>
        </w:rPr>
        <w:t xml:space="preserve">numer referencyjny Polskiej Normy lub numer i rok wydania krajowej oceny technicznej lub aprobaty technicznej IBDiM wydanej przed 1.01.2017 r., zgodnie z którą zostały zadeklarowane właściwości użytkowe; </w:t>
      </w:r>
    </w:p>
    <w:p w14:paraId="318C36AC" w14:textId="77777777" w:rsidR="00E95D02" w:rsidRPr="004853EB" w:rsidRDefault="00E95D02">
      <w:pPr>
        <w:numPr>
          <w:ilvl w:val="0"/>
          <w:numId w:val="138"/>
        </w:numPr>
        <w:autoSpaceDE w:val="0"/>
        <w:autoSpaceDN w:val="0"/>
        <w:adjustRightInd w:val="0"/>
        <w:spacing w:after="0" w:line="240" w:lineRule="auto"/>
        <w:ind w:left="360" w:hanging="360"/>
        <w:jc w:val="both"/>
        <w:rPr>
          <w:rFonts w:eastAsia="Times New Roman" w:cstheme="minorHAnsi"/>
          <w:sz w:val="20"/>
          <w:szCs w:val="20"/>
          <w:lang w:val="pl" w:eastAsia="pl-PL"/>
        </w:rPr>
      </w:pPr>
      <w:r w:rsidRPr="004853EB">
        <w:rPr>
          <w:rFonts w:eastAsia="Times New Roman" w:cstheme="minorHAnsi"/>
          <w:sz w:val="20"/>
          <w:szCs w:val="20"/>
          <w:lang w:val="pl" w:eastAsia="pl-PL"/>
        </w:rPr>
        <w:t xml:space="preserve">numer krajowej deklaracji; </w:t>
      </w:r>
    </w:p>
    <w:p w14:paraId="6B1A2E96" w14:textId="77777777" w:rsidR="00E95D02" w:rsidRPr="004853EB" w:rsidRDefault="00E95D02">
      <w:pPr>
        <w:numPr>
          <w:ilvl w:val="0"/>
          <w:numId w:val="138"/>
        </w:numPr>
        <w:autoSpaceDE w:val="0"/>
        <w:autoSpaceDN w:val="0"/>
        <w:adjustRightInd w:val="0"/>
        <w:spacing w:after="0" w:line="240" w:lineRule="auto"/>
        <w:ind w:left="360" w:hanging="360"/>
        <w:jc w:val="both"/>
        <w:rPr>
          <w:rFonts w:eastAsia="Times New Roman" w:cstheme="minorHAnsi"/>
          <w:sz w:val="20"/>
          <w:szCs w:val="20"/>
          <w:lang w:val="pl" w:eastAsia="pl-PL"/>
        </w:rPr>
      </w:pPr>
      <w:r w:rsidRPr="004853EB">
        <w:rPr>
          <w:rFonts w:eastAsia="Times New Roman" w:cstheme="minorHAnsi"/>
          <w:sz w:val="20"/>
          <w:szCs w:val="20"/>
          <w:lang w:val="pl" w:eastAsia="pl-PL"/>
        </w:rPr>
        <w:t xml:space="preserve">poziom lub klasa zadeklarowanych właściwości użytkowych; </w:t>
      </w:r>
    </w:p>
    <w:p w14:paraId="667A22FB" w14:textId="77777777" w:rsidR="00E95D02" w:rsidRPr="004853EB" w:rsidRDefault="00E95D02">
      <w:pPr>
        <w:numPr>
          <w:ilvl w:val="0"/>
          <w:numId w:val="138"/>
        </w:numPr>
        <w:autoSpaceDE w:val="0"/>
        <w:autoSpaceDN w:val="0"/>
        <w:adjustRightInd w:val="0"/>
        <w:spacing w:after="0" w:line="240" w:lineRule="auto"/>
        <w:ind w:left="360" w:hanging="360"/>
        <w:jc w:val="both"/>
        <w:rPr>
          <w:rFonts w:eastAsia="Times New Roman" w:cstheme="minorHAnsi"/>
          <w:sz w:val="20"/>
          <w:szCs w:val="20"/>
          <w:lang w:val="pl" w:eastAsia="pl-PL"/>
        </w:rPr>
      </w:pPr>
      <w:r w:rsidRPr="004853EB">
        <w:rPr>
          <w:rFonts w:eastAsia="Times New Roman" w:cstheme="minorHAnsi"/>
          <w:sz w:val="20"/>
          <w:szCs w:val="20"/>
          <w:lang w:val="pl" w:eastAsia="pl-PL"/>
        </w:rPr>
        <w:t xml:space="preserve">nazwa jednostki certyfikującej, jeżeli taka jednostka uczestniczyła w ocenie i weryfikacji stałości właściwości użytkowych wyrobu budowlanego; </w:t>
      </w:r>
    </w:p>
    <w:p w14:paraId="769CE600" w14:textId="77777777" w:rsidR="00E95D02" w:rsidRPr="004853EB" w:rsidRDefault="00E95D02">
      <w:pPr>
        <w:numPr>
          <w:ilvl w:val="0"/>
          <w:numId w:val="138"/>
        </w:numPr>
        <w:autoSpaceDE w:val="0"/>
        <w:autoSpaceDN w:val="0"/>
        <w:adjustRightInd w:val="0"/>
        <w:spacing w:after="0" w:line="240" w:lineRule="auto"/>
        <w:ind w:left="360" w:hanging="360"/>
        <w:jc w:val="both"/>
        <w:rPr>
          <w:rFonts w:eastAsia="Times New Roman" w:cstheme="minorHAnsi"/>
          <w:b/>
          <w:bCs/>
          <w:sz w:val="20"/>
          <w:szCs w:val="20"/>
          <w:lang w:val="pl" w:eastAsia="pl-PL"/>
        </w:rPr>
      </w:pPr>
      <w:r w:rsidRPr="004853EB">
        <w:rPr>
          <w:rFonts w:eastAsia="Times New Roman" w:cstheme="minorHAnsi"/>
          <w:sz w:val="20"/>
          <w:szCs w:val="20"/>
          <w:lang w:val="pl" w:eastAsia="pl-PL"/>
        </w:rPr>
        <w:t>adres strony internetowej producenta, jeżeli krajowa deklaracja jest na niej udostępniona,</w:t>
      </w:r>
    </w:p>
    <w:p w14:paraId="7C3080A3" w14:textId="77777777" w:rsidR="00E95D02" w:rsidRPr="004853EB" w:rsidRDefault="00E95D02">
      <w:pPr>
        <w:numPr>
          <w:ilvl w:val="0"/>
          <w:numId w:val="138"/>
        </w:numPr>
        <w:autoSpaceDE w:val="0"/>
        <w:autoSpaceDN w:val="0"/>
        <w:adjustRightInd w:val="0"/>
        <w:spacing w:after="0" w:line="240" w:lineRule="auto"/>
        <w:ind w:left="360" w:hanging="360"/>
        <w:jc w:val="both"/>
        <w:rPr>
          <w:rFonts w:eastAsia="Times New Roman" w:cstheme="minorHAnsi"/>
          <w:b/>
          <w:bCs/>
          <w:sz w:val="20"/>
          <w:szCs w:val="20"/>
          <w:lang w:val="pl" w:eastAsia="pl-PL"/>
        </w:rPr>
      </w:pPr>
      <w:r w:rsidRPr="004853EB">
        <w:rPr>
          <w:rFonts w:eastAsia="Times New Roman" w:cstheme="minorHAnsi"/>
          <w:sz w:val="20"/>
          <w:szCs w:val="20"/>
          <w:lang w:val="pl" w:eastAsia="pl-PL"/>
        </w:rPr>
        <w:t>masę netto lub ilość w opakowaniu,</w:t>
      </w:r>
    </w:p>
    <w:p w14:paraId="6BC3EA1E" w14:textId="77777777" w:rsidR="00E95D02" w:rsidRPr="004853EB" w:rsidRDefault="00E95D02">
      <w:pPr>
        <w:numPr>
          <w:ilvl w:val="0"/>
          <w:numId w:val="138"/>
        </w:numPr>
        <w:autoSpaceDE w:val="0"/>
        <w:autoSpaceDN w:val="0"/>
        <w:adjustRightInd w:val="0"/>
        <w:spacing w:after="0" w:line="240" w:lineRule="auto"/>
        <w:ind w:left="360" w:hanging="360"/>
        <w:jc w:val="both"/>
        <w:rPr>
          <w:rFonts w:eastAsia="Times New Roman" w:cstheme="minorHAnsi"/>
          <w:sz w:val="20"/>
          <w:szCs w:val="20"/>
          <w:lang w:val="pl" w:eastAsia="pl-PL"/>
        </w:rPr>
      </w:pPr>
      <w:r w:rsidRPr="004853EB">
        <w:rPr>
          <w:rFonts w:eastAsia="Times New Roman" w:cstheme="minorHAnsi"/>
          <w:sz w:val="20"/>
          <w:szCs w:val="20"/>
          <w:lang w:val="pl" w:eastAsia="pl-PL"/>
        </w:rPr>
        <w:t>datę produkcji i okres przydatności do stosowania,</w:t>
      </w:r>
    </w:p>
    <w:p w14:paraId="55F9794F" w14:textId="77777777" w:rsidR="00E95D02" w:rsidRPr="004853EB" w:rsidRDefault="00E95D02">
      <w:pPr>
        <w:numPr>
          <w:ilvl w:val="0"/>
          <w:numId w:val="138"/>
        </w:numPr>
        <w:autoSpaceDE w:val="0"/>
        <w:autoSpaceDN w:val="0"/>
        <w:adjustRightInd w:val="0"/>
        <w:spacing w:after="0" w:line="240" w:lineRule="auto"/>
        <w:ind w:left="360" w:hanging="360"/>
        <w:jc w:val="both"/>
        <w:rPr>
          <w:rFonts w:eastAsia="Times New Roman" w:cstheme="minorHAnsi"/>
          <w:b/>
          <w:bCs/>
          <w:sz w:val="20"/>
          <w:szCs w:val="20"/>
          <w:lang w:val="pl" w:eastAsia="pl-PL"/>
        </w:rPr>
      </w:pPr>
      <w:r w:rsidRPr="004853EB">
        <w:rPr>
          <w:rFonts w:eastAsia="Times New Roman" w:cstheme="minorHAnsi"/>
          <w:sz w:val="20"/>
          <w:szCs w:val="20"/>
          <w:lang w:val="pl" w:eastAsia="pl-PL"/>
        </w:rPr>
        <w:t>kartę charakterystyki.</w:t>
      </w:r>
    </w:p>
    <w:p w14:paraId="5EAFA1A4"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Informację należy dołączyć do wyrobu budowlanego w spos</w:t>
      </w:r>
      <w:r w:rsidRPr="004853EB">
        <w:rPr>
          <w:rFonts w:eastAsia="Times New Roman" w:cstheme="minorHAnsi"/>
          <w:sz w:val="20"/>
          <w:szCs w:val="20"/>
          <w:lang w:eastAsia="pl-PL"/>
        </w:rPr>
        <w:t>ób umożliwiający zapoznanie się z nią przez stosującego ten wyrób.</w:t>
      </w:r>
    </w:p>
    <w:p w14:paraId="12D8F788"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W przypadku farb rozpuszczalnikowych i wyrobów chemoutwardzalnych oznakowanie opakowania powinno być zgodne z rozporządzeniem Ministra Zdrowia [18].</w:t>
      </w:r>
    </w:p>
    <w:p w14:paraId="289CE5EA"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W przypadku oznakowania wyrobu znakiem CE producent powinien dołączyć dokument zawierający niezbędne informacje określone w odpowiedniej zharmonizowanej normie lub europejskiej ocenie technicznej.</w:t>
      </w:r>
    </w:p>
    <w:p w14:paraId="262CFCC1"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4853EB">
        <w:rPr>
          <w:rFonts w:eastAsia="Times New Roman" w:cstheme="minorHAnsi"/>
          <w:b/>
          <w:bCs/>
          <w:sz w:val="20"/>
          <w:szCs w:val="20"/>
          <w:lang w:val="pl" w:eastAsia="pl-PL"/>
        </w:rPr>
        <w:t>2.5. Przepisy określające wymagania dla materiał</w:t>
      </w:r>
      <w:r w:rsidRPr="004853EB">
        <w:rPr>
          <w:rFonts w:eastAsia="Times New Roman" w:cstheme="minorHAnsi"/>
          <w:b/>
          <w:bCs/>
          <w:sz w:val="20"/>
          <w:szCs w:val="20"/>
          <w:lang w:eastAsia="pl-PL"/>
        </w:rPr>
        <w:t>ów</w:t>
      </w:r>
    </w:p>
    <w:p w14:paraId="26E93B2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Podstawowe wymagania dotyczące materiał</w:t>
      </w:r>
      <w:r w:rsidRPr="004853EB">
        <w:rPr>
          <w:rFonts w:eastAsia="Times New Roman" w:cstheme="minorHAnsi"/>
          <w:sz w:val="20"/>
          <w:szCs w:val="20"/>
          <w:lang w:eastAsia="pl-PL"/>
        </w:rPr>
        <w:t>ów do poziomego oznakowania dróg podano w punkcie 2.6, a szczegółowe wymagania i metody badań zawarte są w Vademecum [17].</w:t>
      </w:r>
    </w:p>
    <w:p w14:paraId="5C8FF6A0" w14:textId="5C0A8523"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Zgodnie z rozporządzeniem Ministra Infrastruktury w sprawie sposobu deklarowania właściwości użytkowych wyrob</w:t>
      </w:r>
      <w:r w:rsidRPr="004853EB">
        <w:rPr>
          <w:rFonts w:eastAsia="Times New Roman" w:cstheme="minorHAnsi"/>
          <w:sz w:val="20"/>
          <w:szCs w:val="20"/>
          <w:lang w:eastAsia="pl-PL"/>
        </w:rPr>
        <w:t xml:space="preserve">ów budowlanych oraz sposobu ich znakowania znakiem budowlanym [13], producent materiału do poziomego oznakowania dróg deklaruje właściwości użytkowe stosując system 1. W przypadku systemu 1 oceny zgodności producent może wystawić krajową deklarację właściwości </w:t>
      </w:r>
      <w:r w:rsidR="00050DBE" w:rsidRPr="004853EB">
        <w:rPr>
          <w:rFonts w:eastAsia="Times New Roman" w:cstheme="minorHAnsi"/>
          <w:sz w:val="20"/>
          <w:szCs w:val="20"/>
          <w:lang w:eastAsia="pl-PL"/>
        </w:rPr>
        <w:t>użytkowych,</w:t>
      </w:r>
      <w:r w:rsidRPr="004853EB">
        <w:rPr>
          <w:rFonts w:eastAsia="Times New Roman" w:cstheme="minorHAnsi"/>
          <w:sz w:val="20"/>
          <w:szCs w:val="20"/>
          <w:lang w:eastAsia="pl-PL"/>
        </w:rPr>
        <w:t xml:space="preserve"> jeżeli akredytowana jednostka certyfikująca wydała krajowy certyfikat stałości właściwości użytkowych na podstawie normy zharmonizowanej lub krajowej oceny technicznej.</w:t>
      </w:r>
    </w:p>
    <w:p w14:paraId="19F54AB1"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val="pl" w:eastAsia="pl-PL"/>
        </w:rPr>
      </w:pPr>
      <w:r w:rsidRPr="004853EB">
        <w:rPr>
          <w:rFonts w:eastAsia="Times New Roman" w:cstheme="minorHAnsi"/>
          <w:b/>
          <w:bCs/>
          <w:sz w:val="20"/>
          <w:szCs w:val="20"/>
          <w:lang w:val="pl" w:eastAsia="pl-PL"/>
        </w:rPr>
        <w:t>2.6. Wymagania pod względem grubości nakładanej warstwy oznakowania</w:t>
      </w:r>
    </w:p>
    <w:p w14:paraId="723F37B9" w14:textId="77777777" w:rsidR="00E95D02" w:rsidRPr="004853EB" w:rsidRDefault="00E95D02" w:rsidP="00E95D02">
      <w:pPr>
        <w:autoSpaceDE w:val="0"/>
        <w:autoSpaceDN w:val="0"/>
        <w:adjustRightInd w:val="0"/>
        <w:spacing w:after="120" w:line="240" w:lineRule="auto"/>
        <w:jc w:val="both"/>
        <w:rPr>
          <w:rFonts w:eastAsia="Times New Roman" w:cstheme="minorHAnsi"/>
          <w:b/>
          <w:bCs/>
          <w:sz w:val="20"/>
          <w:szCs w:val="20"/>
          <w:u w:val="single"/>
          <w:lang w:val="pl" w:eastAsia="pl-PL"/>
        </w:rPr>
      </w:pPr>
      <w:r w:rsidRPr="004853EB">
        <w:rPr>
          <w:rFonts w:eastAsia="Times New Roman" w:cstheme="minorHAnsi"/>
          <w:b/>
          <w:bCs/>
          <w:sz w:val="20"/>
          <w:szCs w:val="20"/>
          <w:u w:val="single"/>
          <w:lang w:val="pl" w:eastAsia="pl-PL"/>
        </w:rPr>
        <w:t>2.6.1. Materiały do oznakowań grubowarstwowych</w:t>
      </w:r>
    </w:p>
    <w:p w14:paraId="7E49A2B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ab/>
        <w:t>Materiałami do wykonywania oznakowania grubowarstwowego powinny być materiały umożliwiające nakładanie ich warstwą grubości od 0,90 mm do 5 mm, takie jak masy chemoutwardzalne stosowane na zimno.</w:t>
      </w:r>
    </w:p>
    <w:p w14:paraId="69F4906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Masy chemoutwardzalne powinny być substancjami jedno-, dwu- lub tr</w:t>
      </w:r>
      <w:r w:rsidRPr="004853EB">
        <w:rPr>
          <w:rFonts w:eastAsia="Times New Roman" w:cstheme="minorHAnsi"/>
          <w:sz w:val="20"/>
          <w:szCs w:val="20"/>
          <w:lang w:eastAsia="pl-PL"/>
        </w:rPr>
        <w:t>ójskładnikowymi, mieszanymi ze sobą w proporcjach ustalonych przez producenta i nakładanymi na nawierzchnię z użyciem odpowiedniego sprzętu. Masy te powinny tworzyć powłokę, której spójność zapewnia jedynie reakcja chemiczna.</w:t>
      </w:r>
    </w:p>
    <w:p w14:paraId="6654FA10"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4853EB">
        <w:rPr>
          <w:rFonts w:eastAsia="Times New Roman" w:cstheme="minorHAnsi"/>
          <w:b/>
          <w:bCs/>
          <w:sz w:val="20"/>
          <w:szCs w:val="20"/>
          <w:lang w:val="pl" w:eastAsia="pl-PL"/>
        </w:rPr>
        <w:t>2.7. Wymagania podstawowe dotyczące materiał</w:t>
      </w:r>
      <w:r w:rsidRPr="004853EB">
        <w:rPr>
          <w:rFonts w:eastAsia="Times New Roman" w:cstheme="minorHAnsi"/>
          <w:b/>
          <w:bCs/>
          <w:sz w:val="20"/>
          <w:szCs w:val="20"/>
          <w:lang w:eastAsia="pl-PL"/>
        </w:rPr>
        <w:t>ów</w:t>
      </w:r>
    </w:p>
    <w:p w14:paraId="650A238F" w14:textId="1AA27492"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Materiałom do poziomego oznakowania dr</w:t>
      </w:r>
      <w:r w:rsidRPr="004853EB">
        <w:rPr>
          <w:rFonts w:eastAsia="Times New Roman" w:cstheme="minorHAnsi"/>
          <w:sz w:val="20"/>
          <w:szCs w:val="20"/>
          <w:lang w:eastAsia="pl-PL"/>
        </w:rPr>
        <w:t xml:space="preserve">óg i tworzonym przez nie powłokom stawiane są wymagania odnośnie właściwości fizycznych i chemicznych, zapewniające prawidłową aplikację na nawierzchni drogi. </w:t>
      </w:r>
      <w:r w:rsidR="00050DBE">
        <w:rPr>
          <w:rFonts w:eastAsia="Times New Roman" w:cstheme="minorHAnsi"/>
          <w:sz w:val="20"/>
          <w:szCs w:val="20"/>
          <w:lang w:eastAsia="pl-PL"/>
        </w:rPr>
        <w:br/>
      </w:r>
      <w:r w:rsidRPr="004853EB">
        <w:rPr>
          <w:rFonts w:eastAsia="Times New Roman" w:cstheme="minorHAnsi"/>
          <w:sz w:val="20"/>
          <w:szCs w:val="20"/>
          <w:lang w:eastAsia="pl-PL"/>
        </w:rPr>
        <w:t>W tablicach 1 i 2 zawarto podstawowe wymagania dotyczące materiałów do poziomego oznakowania dróg. Metody badań są opisane w Vademecum [17].</w:t>
      </w:r>
    </w:p>
    <w:p w14:paraId="5103066E" w14:textId="77777777" w:rsidR="00E95D02" w:rsidRPr="00050DBE" w:rsidRDefault="00E95D02" w:rsidP="00E95D02">
      <w:pPr>
        <w:tabs>
          <w:tab w:val="left" w:pos="993"/>
        </w:tabs>
        <w:autoSpaceDE w:val="0"/>
        <w:autoSpaceDN w:val="0"/>
        <w:adjustRightInd w:val="0"/>
        <w:spacing w:before="120" w:after="12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Tablica 1.</w:t>
      </w:r>
      <w:r w:rsidRPr="004853EB">
        <w:rPr>
          <w:rFonts w:eastAsia="Times New Roman" w:cstheme="minorHAnsi"/>
          <w:sz w:val="20"/>
          <w:szCs w:val="20"/>
          <w:lang w:val="pl" w:eastAsia="pl-PL"/>
        </w:rPr>
        <w:tab/>
        <w:t>Podstawowe wymagania odnośnie materiał</w:t>
      </w:r>
      <w:r w:rsidRPr="004853EB">
        <w:rPr>
          <w:rFonts w:eastAsia="Times New Roman" w:cstheme="minorHAnsi"/>
          <w:sz w:val="20"/>
          <w:szCs w:val="20"/>
          <w:lang w:eastAsia="pl-PL"/>
        </w:rPr>
        <w:t>ów do poziomego oznakowania dróg</w:t>
      </w:r>
      <w:r w:rsidRPr="00050DBE">
        <w:rPr>
          <w:rFonts w:eastAsia="Times New Roman" w:cstheme="minorHAnsi"/>
          <w:sz w:val="20"/>
          <w:szCs w:val="20"/>
          <w:lang w:eastAsia="pl-PL"/>
        </w:rPr>
        <w:t>. Klasy właściwości wg [8]</w:t>
      </w:r>
    </w:p>
    <w:tbl>
      <w:tblPr>
        <w:tblW w:w="0" w:type="auto"/>
        <w:tblInd w:w="140" w:type="dxa"/>
        <w:tblLayout w:type="fixed"/>
        <w:tblCellMar>
          <w:left w:w="70" w:type="dxa"/>
          <w:right w:w="70" w:type="dxa"/>
        </w:tblCellMar>
        <w:tblLook w:val="0000" w:firstRow="0" w:lastRow="0" w:firstColumn="0" w:lastColumn="0" w:noHBand="0" w:noVBand="0"/>
      </w:tblPr>
      <w:tblGrid>
        <w:gridCol w:w="567"/>
        <w:gridCol w:w="4536"/>
        <w:gridCol w:w="1134"/>
        <w:gridCol w:w="2552"/>
      </w:tblGrid>
      <w:tr w:rsidR="00E95D02" w:rsidRPr="004853EB" w14:paraId="4E8F405C" w14:textId="77777777" w:rsidTr="00E95D02">
        <w:trPr>
          <w:trHeight w:val="1"/>
        </w:trPr>
        <w:tc>
          <w:tcPr>
            <w:tcW w:w="567" w:type="dxa"/>
            <w:tcBorders>
              <w:top w:val="single" w:sz="4" w:space="0" w:color="000000"/>
              <w:left w:val="single" w:sz="4" w:space="0" w:color="000000"/>
              <w:bottom w:val="single" w:sz="3" w:space="0" w:color="000000"/>
              <w:right w:val="single" w:sz="4" w:space="0" w:color="000000"/>
            </w:tcBorders>
            <w:shd w:val="clear" w:color="000000" w:fill="FFFFFF"/>
            <w:vAlign w:val="center"/>
          </w:tcPr>
          <w:p w14:paraId="7C1A8FDC"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Lp.</w:t>
            </w:r>
          </w:p>
        </w:tc>
        <w:tc>
          <w:tcPr>
            <w:tcW w:w="4536" w:type="dxa"/>
            <w:tcBorders>
              <w:top w:val="single" w:sz="4" w:space="0" w:color="000000"/>
              <w:left w:val="single" w:sz="4" w:space="0" w:color="000000"/>
              <w:bottom w:val="single" w:sz="3" w:space="0" w:color="000000"/>
              <w:right w:val="single" w:sz="4" w:space="0" w:color="000000"/>
            </w:tcBorders>
            <w:shd w:val="clear" w:color="000000" w:fill="FFFFFF"/>
            <w:vAlign w:val="center"/>
          </w:tcPr>
          <w:p w14:paraId="220DEC53"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Właściwość farby</w:t>
            </w:r>
          </w:p>
        </w:tc>
        <w:tc>
          <w:tcPr>
            <w:tcW w:w="1134" w:type="dxa"/>
            <w:tcBorders>
              <w:top w:val="single" w:sz="4" w:space="0" w:color="000000"/>
              <w:left w:val="single" w:sz="4" w:space="0" w:color="000000"/>
              <w:bottom w:val="single" w:sz="3" w:space="0" w:color="000000"/>
              <w:right w:val="single" w:sz="4" w:space="0" w:color="000000"/>
            </w:tcBorders>
            <w:shd w:val="clear" w:color="000000" w:fill="FFFFFF"/>
            <w:vAlign w:val="center"/>
          </w:tcPr>
          <w:p w14:paraId="0B2FFA4E"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Jednostki</w:t>
            </w:r>
          </w:p>
        </w:tc>
        <w:tc>
          <w:tcPr>
            <w:tcW w:w="2552" w:type="dxa"/>
            <w:tcBorders>
              <w:top w:val="single" w:sz="4" w:space="0" w:color="000000"/>
              <w:left w:val="single" w:sz="4" w:space="0" w:color="000000"/>
              <w:bottom w:val="single" w:sz="3" w:space="0" w:color="000000"/>
              <w:right w:val="single" w:sz="4" w:space="0" w:color="000000"/>
            </w:tcBorders>
            <w:shd w:val="clear" w:color="000000" w:fill="FFFFFF"/>
            <w:vAlign w:val="center"/>
          </w:tcPr>
          <w:p w14:paraId="4AA2471F" w14:textId="77777777" w:rsidR="00E95D02" w:rsidRPr="004853EB" w:rsidRDefault="00E95D02" w:rsidP="00E95D02">
            <w:pPr>
              <w:autoSpaceDE w:val="0"/>
              <w:autoSpaceDN w:val="0"/>
              <w:adjustRightInd w:val="0"/>
              <w:spacing w:before="120" w:after="12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Wymaganie</w:t>
            </w:r>
          </w:p>
        </w:tc>
      </w:tr>
      <w:tr w:rsidR="00E95D02" w:rsidRPr="004853EB" w14:paraId="0ADFE16E" w14:textId="77777777" w:rsidTr="00E95D02">
        <w:trPr>
          <w:trHeight w:val="1"/>
        </w:trPr>
        <w:tc>
          <w:tcPr>
            <w:tcW w:w="567" w:type="dxa"/>
            <w:tcBorders>
              <w:top w:val="single" w:sz="3" w:space="0" w:color="000000"/>
              <w:left w:val="single" w:sz="4" w:space="0" w:color="000000"/>
              <w:bottom w:val="single" w:sz="4" w:space="0" w:color="000000"/>
              <w:right w:val="single" w:sz="4" w:space="0" w:color="000000"/>
            </w:tcBorders>
            <w:shd w:val="clear" w:color="000000" w:fill="FFFFFF"/>
          </w:tcPr>
          <w:p w14:paraId="68A4E9ED"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1</w:t>
            </w:r>
          </w:p>
        </w:tc>
        <w:tc>
          <w:tcPr>
            <w:tcW w:w="4536" w:type="dxa"/>
            <w:tcBorders>
              <w:top w:val="single" w:sz="3" w:space="0" w:color="000000"/>
              <w:left w:val="single" w:sz="4" w:space="0" w:color="000000"/>
              <w:bottom w:val="single" w:sz="4" w:space="0" w:color="000000"/>
              <w:right w:val="single" w:sz="4" w:space="0" w:color="000000"/>
            </w:tcBorders>
            <w:shd w:val="clear" w:color="000000" w:fill="FFFFFF"/>
          </w:tcPr>
          <w:p w14:paraId="19AF2781" w14:textId="77777777" w:rsidR="00E95D02" w:rsidRPr="004853EB" w:rsidRDefault="00E95D02" w:rsidP="00E95D02">
            <w:pPr>
              <w:autoSpaceDE w:val="0"/>
              <w:autoSpaceDN w:val="0"/>
              <w:adjustRightInd w:val="0"/>
              <w:spacing w:before="120" w:after="0" w:line="240" w:lineRule="auto"/>
              <w:rPr>
                <w:rFonts w:eastAsia="Times New Roman" w:cstheme="minorHAnsi"/>
                <w:sz w:val="20"/>
                <w:szCs w:val="20"/>
                <w:lang w:val="pl" w:eastAsia="pl-PL"/>
              </w:rPr>
            </w:pPr>
            <w:r w:rsidRPr="004853EB">
              <w:rPr>
                <w:rFonts w:eastAsia="Times New Roman" w:cstheme="minorHAnsi"/>
                <w:sz w:val="20"/>
                <w:szCs w:val="20"/>
                <w:lang w:val="pl" w:eastAsia="pl-PL"/>
              </w:rPr>
              <w:t>Zawartość rozpuszczalnik</w:t>
            </w:r>
            <w:r w:rsidRPr="004853EB">
              <w:rPr>
                <w:rFonts w:eastAsia="Times New Roman" w:cstheme="minorHAnsi"/>
                <w:sz w:val="20"/>
                <w:szCs w:val="20"/>
                <w:lang w:eastAsia="pl-PL"/>
              </w:rPr>
              <w:t>ów organicznych</w:t>
            </w:r>
            <w:r w:rsidRPr="004853EB">
              <w:rPr>
                <w:rFonts w:eastAsia="Times New Roman" w:cstheme="minorHAnsi"/>
                <w:sz w:val="20"/>
                <w:szCs w:val="20"/>
                <w:vertAlign w:val="superscript"/>
                <w:lang w:eastAsia="pl-PL"/>
              </w:rPr>
              <w:t>*</w:t>
            </w:r>
            <w:r w:rsidRPr="004853EB">
              <w:rPr>
                <w:rFonts w:eastAsia="Times New Roman" w:cstheme="minorHAnsi"/>
                <w:sz w:val="20"/>
                <w:szCs w:val="20"/>
                <w:lang w:eastAsia="pl-PL"/>
              </w:rPr>
              <w:t xml:space="preserve"> i ich skład</w:t>
            </w:r>
          </w:p>
        </w:tc>
        <w:tc>
          <w:tcPr>
            <w:tcW w:w="1134" w:type="dxa"/>
            <w:tcBorders>
              <w:top w:val="single" w:sz="3" w:space="0" w:color="000000"/>
              <w:left w:val="single" w:sz="4" w:space="0" w:color="000000"/>
              <w:bottom w:val="single" w:sz="4" w:space="0" w:color="000000"/>
              <w:right w:val="single" w:sz="4" w:space="0" w:color="000000"/>
            </w:tcBorders>
            <w:shd w:val="clear" w:color="000000" w:fill="FFFFFF"/>
          </w:tcPr>
          <w:p w14:paraId="6F8B43BF"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p>
          <w:p w14:paraId="4CB2E5F4"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(m/m)</w:t>
            </w:r>
          </w:p>
        </w:tc>
        <w:tc>
          <w:tcPr>
            <w:tcW w:w="2552" w:type="dxa"/>
            <w:tcBorders>
              <w:top w:val="single" w:sz="3" w:space="0" w:color="000000"/>
              <w:left w:val="single" w:sz="4" w:space="0" w:color="000000"/>
              <w:bottom w:val="single" w:sz="4" w:space="0" w:color="000000"/>
              <w:right w:val="single" w:sz="4" w:space="0" w:color="000000"/>
            </w:tcBorders>
            <w:shd w:val="clear" w:color="000000" w:fill="FFFFFF"/>
          </w:tcPr>
          <w:p w14:paraId="062CAD51"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p>
          <w:p w14:paraId="7B01B093"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xml:space="preserve"> 25</w:t>
            </w:r>
          </w:p>
        </w:tc>
      </w:tr>
      <w:tr w:rsidR="00E95D02" w:rsidRPr="004853EB" w14:paraId="1EBFDB22" w14:textId="77777777" w:rsidTr="00E95D02">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Pr>
          <w:p w14:paraId="49D7ED56"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14:paraId="7BB8D4CE" w14:textId="77777777" w:rsidR="00E95D02" w:rsidRPr="004853EB" w:rsidRDefault="00E95D02" w:rsidP="00E95D02">
            <w:pPr>
              <w:autoSpaceDE w:val="0"/>
              <w:autoSpaceDN w:val="0"/>
              <w:adjustRightInd w:val="0"/>
              <w:spacing w:before="120" w:after="0" w:line="240" w:lineRule="auto"/>
              <w:rPr>
                <w:rFonts w:eastAsia="Times New Roman" w:cstheme="minorHAnsi"/>
                <w:sz w:val="20"/>
                <w:szCs w:val="20"/>
                <w:lang w:val="pl" w:eastAsia="pl-PL"/>
              </w:rPr>
            </w:pPr>
            <w:r w:rsidRPr="004853EB">
              <w:rPr>
                <w:rFonts w:eastAsia="Times New Roman" w:cstheme="minorHAnsi"/>
                <w:sz w:val="20"/>
                <w:szCs w:val="20"/>
                <w:lang w:val="pl" w:eastAsia="pl-PL"/>
              </w:rPr>
              <w:t>Zawartość węglowodor</w:t>
            </w:r>
            <w:r w:rsidRPr="004853EB">
              <w:rPr>
                <w:rFonts w:eastAsia="Times New Roman" w:cstheme="minorHAnsi"/>
                <w:sz w:val="20"/>
                <w:szCs w:val="20"/>
                <w:lang w:eastAsia="pl-PL"/>
              </w:rPr>
              <w:t>ów aromatycznych w farbach rozpuszczalnikowych</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7CC8D77F"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p>
          <w:p w14:paraId="40001C4C"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(m/m)</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14:paraId="5F4A5E82"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p>
          <w:p w14:paraId="43188555"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xml:space="preserve"> 8</w:t>
            </w:r>
          </w:p>
        </w:tc>
      </w:tr>
      <w:tr w:rsidR="00E95D02" w:rsidRPr="004853EB" w14:paraId="29E67C7F" w14:textId="77777777" w:rsidTr="00E95D02">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Pr>
          <w:p w14:paraId="4146653E"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3</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14:paraId="44A6D6B6" w14:textId="77777777" w:rsidR="00E95D02" w:rsidRPr="004853EB" w:rsidRDefault="00E95D02" w:rsidP="00E95D02">
            <w:pPr>
              <w:autoSpaceDE w:val="0"/>
              <w:autoSpaceDN w:val="0"/>
              <w:adjustRightInd w:val="0"/>
              <w:spacing w:before="120" w:after="0" w:line="240" w:lineRule="auto"/>
              <w:rPr>
                <w:rFonts w:eastAsia="Times New Roman" w:cstheme="minorHAnsi"/>
                <w:sz w:val="20"/>
                <w:szCs w:val="20"/>
                <w:lang w:val="pl" w:eastAsia="pl-PL"/>
              </w:rPr>
            </w:pPr>
            <w:r w:rsidRPr="004853EB">
              <w:rPr>
                <w:rFonts w:eastAsia="Times New Roman" w:cstheme="minorHAnsi"/>
                <w:sz w:val="20"/>
                <w:szCs w:val="20"/>
                <w:lang w:val="pl" w:eastAsia="pl-PL"/>
              </w:rPr>
              <w:t>Czas schnięcia warstwy o grubości 400 </w:t>
            </w:r>
            <w:r w:rsidRPr="004853EB">
              <w:rPr>
                <w:rFonts w:eastAsia="Times New Roman" w:cstheme="minorHAnsi"/>
                <w:sz w:val="20"/>
                <w:szCs w:val="20"/>
                <w:lang w:val="el-GR" w:eastAsia="pl-PL"/>
              </w:rPr>
              <w:t xml:space="preserve">μm (bez </w:t>
            </w:r>
            <w:r w:rsidRPr="004853EB">
              <w:rPr>
                <w:rFonts w:eastAsia="Times New Roman" w:cstheme="minorHAnsi"/>
                <w:sz w:val="20"/>
                <w:szCs w:val="20"/>
                <w:lang w:eastAsia="pl-PL"/>
              </w:rPr>
              <w:t>ś</w:t>
            </w:r>
            <w:r w:rsidRPr="004853EB">
              <w:rPr>
                <w:rFonts w:eastAsia="Times New Roman" w:cstheme="minorHAnsi"/>
                <w:sz w:val="20"/>
                <w:szCs w:val="20"/>
                <w:lang w:val="el-GR" w:eastAsia="pl-PL"/>
              </w:rPr>
              <w:t>lad</w:t>
            </w:r>
            <w:r w:rsidRPr="004853EB">
              <w:rPr>
                <w:rFonts w:eastAsia="Times New Roman" w:cstheme="minorHAnsi"/>
                <w:sz w:val="20"/>
                <w:szCs w:val="20"/>
                <w:lang w:eastAsia="pl-PL"/>
              </w:rPr>
              <w:t>ów na powłoce) w temperaturze 23°C ± 2°C</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4F87E021"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p>
          <w:p w14:paraId="2AAE2DED"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minuta</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14:paraId="7724B210"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p>
          <w:p w14:paraId="55D00F44"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xml:space="preserve"> 30</w:t>
            </w:r>
          </w:p>
        </w:tc>
      </w:tr>
      <w:tr w:rsidR="00E95D02" w:rsidRPr="004853EB" w14:paraId="4B6AB8A8" w14:textId="77777777" w:rsidTr="00E95D02">
        <w:trPr>
          <w:trHeight w:val="564"/>
        </w:trPr>
        <w:tc>
          <w:tcPr>
            <w:tcW w:w="567" w:type="dxa"/>
            <w:tcBorders>
              <w:top w:val="single" w:sz="4" w:space="0" w:color="000000"/>
              <w:left w:val="single" w:sz="4" w:space="0" w:color="000000"/>
              <w:bottom w:val="single" w:sz="4" w:space="0" w:color="000000"/>
              <w:right w:val="single" w:sz="4" w:space="0" w:color="000000"/>
            </w:tcBorders>
            <w:shd w:val="clear" w:color="000000" w:fill="FFFFFF"/>
          </w:tcPr>
          <w:p w14:paraId="0A42D0FB"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4</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14:paraId="4057F38B" w14:textId="77777777" w:rsidR="00E95D02" w:rsidRPr="004853EB" w:rsidRDefault="00E95D02" w:rsidP="00E95D02">
            <w:pPr>
              <w:autoSpaceDE w:val="0"/>
              <w:autoSpaceDN w:val="0"/>
              <w:adjustRightInd w:val="0"/>
              <w:spacing w:before="120" w:after="0" w:line="240" w:lineRule="auto"/>
              <w:rPr>
                <w:rFonts w:eastAsia="Times New Roman" w:cstheme="minorHAnsi"/>
                <w:sz w:val="20"/>
                <w:szCs w:val="20"/>
                <w:lang w:val="pl" w:eastAsia="pl-PL"/>
              </w:rPr>
            </w:pPr>
            <w:r w:rsidRPr="004853EB">
              <w:rPr>
                <w:rFonts w:eastAsia="Times New Roman" w:cstheme="minorHAnsi"/>
                <w:sz w:val="20"/>
                <w:szCs w:val="20"/>
                <w:lang w:val="pl" w:eastAsia="pl-PL"/>
              </w:rPr>
              <w:t>Czas urabialności po zmieszaniu z utwar-dzaczem (tylko masy chemoutwardzalne)</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926E47B"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minuta</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14:paraId="3417F303"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p>
          <w:p w14:paraId="15D29A00"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od 5 do 20</w:t>
            </w:r>
          </w:p>
        </w:tc>
      </w:tr>
      <w:tr w:rsidR="00E95D02" w:rsidRPr="004853EB" w14:paraId="59CBA6FF" w14:textId="77777777" w:rsidTr="00E95D02">
        <w:trPr>
          <w:trHeight w:val="613"/>
        </w:trPr>
        <w:tc>
          <w:tcPr>
            <w:tcW w:w="567" w:type="dxa"/>
            <w:tcBorders>
              <w:top w:val="single" w:sz="4" w:space="0" w:color="000000"/>
              <w:left w:val="single" w:sz="4" w:space="0" w:color="000000"/>
              <w:bottom w:val="single" w:sz="4" w:space="0" w:color="000000"/>
              <w:right w:val="single" w:sz="4" w:space="0" w:color="000000"/>
            </w:tcBorders>
            <w:shd w:val="clear" w:color="000000" w:fill="FFFFFF"/>
          </w:tcPr>
          <w:p w14:paraId="583AE9E2"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5</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14:paraId="672B6FAC" w14:textId="77777777" w:rsidR="00E95D02" w:rsidRPr="004853EB" w:rsidRDefault="00E95D02" w:rsidP="00E95D02">
            <w:pPr>
              <w:autoSpaceDE w:val="0"/>
              <w:autoSpaceDN w:val="0"/>
              <w:adjustRightInd w:val="0"/>
              <w:spacing w:before="120" w:after="0" w:line="240" w:lineRule="auto"/>
              <w:rPr>
                <w:rFonts w:eastAsia="Times New Roman" w:cstheme="minorHAnsi"/>
                <w:sz w:val="20"/>
                <w:szCs w:val="20"/>
                <w:lang w:val="pl" w:eastAsia="pl-PL"/>
              </w:rPr>
            </w:pPr>
            <w:r w:rsidRPr="004853EB">
              <w:rPr>
                <w:rFonts w:eastAsia="Times New Roman" w:cstheme="minorHAnsi"/>
                <w:sz w:val="20"/>
                <w:szCs w:val="20"/>
                <w:lang w:val="pl" w:eastAsia="pl-PL"/>
              </w:rPr>
              <w:t>Wskaźnik szorstkości (pr</w:t>
            </w:r>
            <w:r w:rsidRPr="004853EB">
              <w:rPr>
                <w:rFonts w:eastAsia="Times New Roman" w:cstheme="minorHAnsi"/>
                <w:sz w:val="20"/>
                <w:szCs w:val="20"/>
                <w:lang w:eastAsia="pl-PL"/>
              </w:rPr>
              <w:t>óbka na podłożu gładkim)</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0867FAE5"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SRT</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14:paraId="1810DBC4"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xml:space="preserve"> 30</w:t>
            </w:r>
          </w:p>
        </w:tc>
      </w:tr>
      <w:tr w:rsidR="00E95D02" w:rsidRPr="004853EB" w14:paraId="22355ECD" w14:textId="77777777" w:rsidTr="00E95D02">
        <w:trPr>
          <w:trHeight w:val="964"/>
        </w:trPr>
        <w:tc>
          <w:tcPr>
            <w:tcW w:w="567" w:type="dxa"/>
            <w:tcBorders>
              <w:top w:val="single" w:sz="4" w:space="0" w:color="000000"/>
              <w:left w:val="single" w:sz="4" w:space="0" w:color="000000"/>
              <w:bottom w:val="single" w:sz="4" w:space="0" w:color="000000"/>
              <w:right w:val="single" w:sz="4" w:space="0" w:color="000000"/>
            </w:tcBorders>
            <w:shd w:val="clear" w:color="000000" w:fill="FFFFFF"/>
          </w:tcPr>
          <w:p w14:paraId="74D278B3"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6</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14:paraId="496D52BA" w14:textId="00A8114C" w:rsidR="00E95D02" w:rsidRPr="004853EB" w:rsidRDefault="00E95D02" w:rsidP="00E95D02">
            <w:pPr>
              <w:autoSpaceDE w:val="0"/>
              <w:autoSpaceDN w:val="0"/>
              <w:adjustRightInd w:val="0"/>
              <w:spacing w:before="60" w:after="0" w:line="240" w:lineRule="auto"/>
              <w:rPr>
                <w:rFonts w:eastAsia="Times New Roman" w:cstheme="minorHAnsi"/>
                <w:sz w:val="20"/>
                <w:szCs w:val="20"/>
                <w:lang w:val="pl" w:eastAsia="pl-PL"/>
              </w:rPr>
            </w:pPr>
            <w:r w:rsidRPr="004853EB">
              <w:rPr>
                <w:rFonts w:eastAsia="Times New Roman" w:cstheme="minorHAnsi"/>
                <w:sz w:val="20"/>
                <w:szCs w:val="20"/>
                <w:lang w:val="pl" w:eastAsia="pl-PL"/>
              </w:rPr>
              <w:t xml:space="preserve">Współczynnik </w:t>
            </w:r>
            <w:r w:rsidR="00050DBE" w:rsidRPr="004853EB">
              <w:rPr>
                <w:rFonts w:eastAsia="Times New Roman" w:cstheme="minorHAnsi"/>
                <w:sz w:val="20"/>
                <w:szCs w:val="20"/>
                <w:lang w:val="pl" w:eastAsia="pl-PL"/>
              </w:rPr>
              <w:t>luminancji:</w:t>
            </w:r>
          </w:p>
          <w:p w14:paraId="020B9266" w14:textId="77777777" w:rsidR="00E95D02" w:rsidRPr="004853EB" w:rsidRDefault="00E95D02">
            <w:pPr>
              <w:numPr>
                <w:ilvl w:val="0"/>
                <w:numId w:val="138"/>
              </w:numPr>
              <w:tabs>
                <w:tab w:val="left" w:pos="360"/>
              </w:tabs>
              <w:autoSpaceDE w:val="0"/>
              <w:autoSpaceDN w:val="0"/>
              <w:adjustRightInd w:val="0"/>
              <w:spacing w:after="0" w:line="240" w:lineRule="auto"/>
              <w:ind w:left="357" w:hanging="357"/>
              <w:rPr>
                <w:rFonts w:eastAsia="Times New Roman" w:cstheme="minorHAnsi"/>
                <w:sz w:val="20"/>
                <w:szCs w:val="20"/>
                <w:lang w:val="pl" w:eastAsia="pl-PL"/>
              </w:rPr>
            </w:pPr>
            <w:r w:rsidRPr="004853EB">
              <w:rPr>
                <w:rFonts w:eastAsia="Times New Roman" w:cstheme="minorHAnsi"/>
                <w:sz w:val="20"/>
                <w:szCs w:val="20"/>
                <w:lang w:val="pl" w:eastAsia="pl-PL"/>
              </w:rPr>
              <w:t xml:space="preserve">barwa biała </w:t>
            </w:r>
          </w:p>
          <w:p w14:paraId="10FC0AF4" w14:textId="77777777" w:rsidR="00E95D02" w:rsidRPr="004853EB" w:rsidRDefault="00E95D02">
            <w:pPr>
              <w:numPr>
                <w:ilvl w:val="0"/>
                <w:numId w:val="138"/>
              </w:numPr>
              <w:tabs>
                <w:tab w:val="left" w:pos="360"/>
              </w:tabs>
              <w:autoSpaceDE w:val="0"/>
              <w:autoSpaceDN w:val="0"/>
              <w:adjustRightInd w:val="0"/>
              <w:spacing w:after="0" w:line="240" w:lineRule="auto"/>
              <w:ind w:left="357" w:hanging="357"/>
              <w:rPr>
                <w:rFonts w:eastAsia="Times New Roman" w:cstheme="minorHAnsi"/>
                <w:sz w:val="20"/>
                <w:szCs w:val="20"/>
                <w:lang w:val="en-US" w:eastAsia="pl-PL"/>
              </w:rPr>
            </w:pPr>
            <w:r w:rsidRPr="004853EB">
              <w:rPr>
                <w:rFonts w:eastAsia="Times New Roman" w:cstheme="minorHAnsi"/>
                <w:sz w:val="20"/>
                <w:szCs w:val="20"/>
                <w:lang w:val="pl" w:eastAsia="pl-PL"/>
              </w:rPr>
              <w:t>barwa ż</w:t>
            </w:r>
            <w:r w:rsidRPr="004853EB">
              <w:rPr>
                <w:rFonts w:eastAsia="Times New Roman" w:cstheme="minorHAnsi"/>
                <w:sz w:val="20"/>
                <w:szCs w:val="20"/>
                <w:lang w:val="en-US" w:eastAsia="pl-PL"/>
              </w:rPr>
              <w:t xml:space="preserve">ółta </w:t>
            </w:r>
          </w:p>
          <w:p w14:paraId="303CF974" w14:textId="77777777" w:rsidR="00E95D02" w:rsidRPr="004853EB" w:rsidRDefault="00E95D02">
            <w:pPr>
              <w:numPr>
                <w:ilvl w:val="0"/>
                <w:numId w:val="138"/>
              </w:numPr>
              <w:tabs>
                <w:tab w:val="left" w:pos="360"/>
              </w:tabs>
              <w:autoSpaceDE w:val="0"/>
              <w:autoSpaceDN w:val="0"/>
              <w:adjustRightInd w:val="0"/>
              <w:spacing w:after="0" w:line="240" w:lineRule="auto"/>
              <w:ind w:left="357" w:hanging="357"/>
              <w:rPr>
                <w:rFonts w:eastAsia="Times New Roman" w:cstheme="minorHAnsi"/>
                <w:sz w:val="20"/>
                <w:szCs w:val="20"/>
                <w:lang w:val="pl" w:eastAsia="pl-PL"/>
              </w:rPr>
            </w:pPr>
            <w:r w:rsidRPr="004853EB">
              <w:rPr>
                <w:rFonts w:eastAsia="Times New Roman" w:cstheme="minorHAnsi"/>
                <w:sz w:val="20"/>
                <w:szCs w:val="20"/>
                <w:lang w:val="pl" w:eastAsia="pl-PL"/>
              </w:rPr>
              <w:t>barwa czerwona</w:t>
            </w:r>
          </w:p>
          <w:p w14:paraId="2E3A9435" w14:textId="77777777" w:rsidR="00E95D02" w:rsidRPr="004853EB" w:rsidRDefault="00E95D02">
            <w:pPr>
              <w:numPr>
                <w:ilvl w:val="0"/>
                <w:numId w:val="138"/>
              </w:numPr>
              <w:tabs>
                <w:tab w:val="left" w:pos="360"/>
              </w:tabs>
              <w:autoSpaceDE w:val="0"/>
              <w:autoSpaceDN w:val="0"/>
              <w:adjustRightInd w:val="0"/>
              <w:spacing w:after="0" w:line="240" w:lineRule="auto"/>
              <w:ind w:left="357" w:hanging="357"/>
              <w:rPr>
                <w:rFonts w:eastAsia="Times New Roman" w:cstheme="minorHAnsi"/>
                <w:sz w:val="20"/>
                <w:szCs w:val="20"/>
                <w:lang w:val="pl" w:eastAsia="pl-PL"/>
              </w:rPr>
            </w:pPr>
            <w:r w:rsidRPr="004853EB">
              <w:rPr>
                <w:rFonts w:eastAsia="Times New Roman" w:cstheme="minorHAnsi"/>
                <w:sz w:val="20"/>
                <w:szCs w:val="20"/>
                <w:lang w:val="pl" w:eastAsia="pl-PL"/>
              </w:rPr>
              <w:t>barwa niebieska</w:t>
            </w:r>
          </w:p>
          <w:p w14:paraId="18549085" w14:textId="77777777" w:rsidR="00E95D02" w:rsidRPr="004853EB" w:rsidRDefault="00E95D02">
            <w:pPr>
              <w:numPr>
                <w:ilvl w:val="0"/>
                <w:numId w:val="138"/>
              </w:numPr>
              <w:tabs>
                <w:tab w:val="left" w:pos="360"/>
              </w:tabs>
              <w:autoSpaceDE w:val="0"/>
              <w:autoSpaceDN w:val="0"/>
              <w:adjustRightInd w:val="0"/>
              <w:spacing w:after="0" w:line="240" w:lineRule="auto"/>
              <w:ind w:left="357" w:hanging="357"/>
              <w:rPr>
                <w:rFonts w:eastAsia="Times New Roman" w:cstheme="minorHAnsi"/>
                <w:sz w:val="20"/>
                <w:szCs w:val="20"/>
                <w:lang w:val="pl" w:eastAsia="pl-PL"/>
              </w:rPr>
            </w:pPr>
            <w:r w:rsidRPr="004853EB">
              <w:rPr>
                <w:rFonts w:eastAsia="Times New Roman" w:cstheme="minorHAnsi"/>
                <w:sz w:val="20"/>
                <w:szCs w:val="20"/>
                <w:lang w:val="pl" w:eastAsia="pl-PL"/>
              </w:rPr>
              <w:t>barwa zielona</w:t>
            </w:r>
          </w:p>
          <w:p w14:paraId="7F38FAEE" w14:textId="77777777" w:rsidR="00E95D02" w:rsidRPr="004853EB" w:rsidRDefault="00E95D02">
            <w:pPr>
              <w:numPr>
                <w:ilvl w:val="0"/>
                <w:numId w:val="138"/>
              </w:numPr>
              <w:tabs>
                <w:tab w:val="left" w:pos="360"/>
              </w:tabs>
              <w:autoSpaceDE w:val="0"/>
              <w:autoSpaceDN w:val="0"/>
              <w:adjustRightInd w:val="0"/>
              <w:spacing w:after="0" w:line="240" w:lineRule="auto"/>
              <w:ind w:left="357" w:hanging="357"/>
              <w:rPr>
                <w:rFonts w:eastAsia="Times New Roman" w:cstheme="minorHAnsi"/>
                <w:sz w:val="20"/>
                <w:szCs w:val="20"/>
                <w:lang w:val="pl" w:eastAsia="pl-PL"/>
              </w:rPr>
            </w:pPr>
            <w:r w:rsidRPr="004853EB">
              <w:rPr>
                <w:rFonts w:eastAsia="Times New Roman" w:cstheme="minorHAnsi"/>
                <w:sz w:val="20"/>
                <w:szCs w:val="20"/>
                <w:lang w:val="pl" w:eastAsia="pl-PL"/>
              </w:rPr>
              <w:t>barwa czarna</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47FF7AA4"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14:paraId="2F10BAEC"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p>
          <w:p w14:paraId="2FDFC54E"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xml:space="preserve"> 0,80</w:t>
            </w:r>
          </w:p>
          <w:p w14:paraId="36A10572"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xml:space="preserve"> 0,50</w:t>
            </w:r>
          </w:p>
          <w:p w14:paraId="5A5AC486"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xml:space="preserve"> 0,10</w:t>
            </w:r>
          </w:p>
          <w:p w14:paraId="673227E9"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xml:space="preserve"> 0,05</w:t>
            </w:r>
          </w:p>
          <w:p w14:paraId="0A3210AE"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xml:space="preserve"> 0,05</w:t>
            </w:r>
          </w:p>
          <w:p w14:paraId="3DB6A06E"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xml:space="preserve"> 0,05</w:t>
            </w:r>
          </w:p>
        </w:tc>
      </w:tr>
      <w:tr w:rsidR="00E95D02" w:rsidRPr="004853EB" w14:paraId="739D274A" w14:textId="77777777" w:rsidTr="00E95D02">
        <w:trPr>
          <w:trHeight w:val="435"/>
        </w:trPr>
        <w:tc>
          <w:tcPr>
            <w:tcW w:w="567" w:type="dxa"/>
            <w:tcBorders>
              <w:top w:val="single" w:sz="4" w:space="0" w:color="000000"/>
              <w:left w:val="single" w:sz="4" w:space="0" w:color="000000"/>
              <w:bottom w:val="single" w:sz="4" w:space="0" w:color="000000"/>
              <w:right w:val="single" w:sz="4" w:space="0" w:color="000000"/>
            </w:tcBorders>
            <w:shd w:val="clear" w:color="000000" w:fill="FFFFFF"/>
          </w:tcPr>
          <w:p w14:paraId="748292D8"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7</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14:paraId="50486766" w14:textId="77777777" w:rsidR="00E95D02" w:rsidRPr="004853EB" w:rsidRDefault="00E95D02" w:rsidP="00E95D02">
            <w:pPr>
              <w:autoSpaceDE w:val="0"/>
              <w:autoSpaceDN w:val="0"/>
              <w:adjustRightInd w:val="0"/>
              <w:spacing w:before="120" w:after="0" w:line="240" w:lineRule="auto"/>
              <w:rPr>
                <w:rFonts w:eastAsia="Times New Roman" w:cstheme="minorHAnsi"/>
                <w:sz w:val="20"/>
                <w:szCs w:val="20"/>
                <w:lang w:val="pl" w:eastAsia="pl-PL"/>
              </w:rPr>
            </w:pPr>
            <w:r w:rsidRPr="004853EB">
              <w:rPr>
                <w:rFonts w:eastAsia="Times New Roman" w:cstheme="minorHAnsi"/>
                <w:sz w:val="20"/>
                <w:szCs w:val="20"/>
                <w:lang w:val="pl" w:eastAsia="pl-PL"/>
              </w:rPr>
              <w:t xml:space="preserve">Współrzędne chromatyczności </w:t>
            </w:r>
            <w:r w:rsidRPr="004853EB">
              <w:rPr>
                <w:rFonts w:eastAsia="Times New Roman" w:cstheme="minorHAnsi"/>
                <w:i/>
                <w:iCs/>
                <w:sz w:val="20"/>
                <w:szCs w:val="20"/>
                <w:lang w:val="pl" w:eastAsia="pl-PL"/>
              </w:rPr>
              <w:t>x</w:t>
            </w:r>
            <w:r w:rsidRPr="004853EB">
              <w:rPr>
                <w:rFonts w:eastAsia="Times New Roman" w:cstheme="minorHAnsi"/>
                <w:sz w:val="20"/>
                <w:szCs w:val="20"/>
                <w:lang w:val="pl" w:eastAsia="pl-PL"/>
              </w:rPr>
              <w:t>,</w:t>
            </w:r>
            <w:r w:rsidRPr="004853EB">
              <w:rPr>
                <w:rFonts w:eastAsia="Times New Roman" w:cstheme="minorHAnsi"/>
                <w:i/>
                <w:iCs/>
                <w:sz w:val="20"/>
                <w:szCs w:val="20"/>
                <w:lang w:val="pl" w:eastAsia="pl-PL"/>
              </w:rPr>
              <w:t>y</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04B38282"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14:paraId="75A26F85" w14:textId="77777777" w:rsidR="00E95D02" w:rsidRPr="004853EB" w:rsidRDefault="00E95D02" w:rsidP="00E95D02">
            <w:pPr>
              <w:autoSpaceDE w:val="0"/>
              <w:autoSpaceDN w:val="0"/>
              <w:adjustRightInd w:val="0"/>
              <w:spacing w:before="12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wg rys. 1, 2 i 3</w:t>
            </w:r>
          </w:p>
        </w:tc>
      </w:tr>
      <w:tr w:rsidR="00E95D02" w:rsidRPr="004853EB" w14:paraId="7B9F8B2E" w14:textId="77777777" w:rsidTr="00E95D02">
        <w:trPr>
          <w:trHeight w:val="553"/>
        </w:trPr>
        <w:tc>
          <w:tcPr>
            <w:tcW w:w="567" w:type="dxa"/>
            <w:tcBorders>
              <w:top w:val="single" w:sz="4" w:space="0" w:color="000000"/>
              <w:left w:val="single" w:sz="4" w:space="0" w:color="000000"/>
              <w:bottom w:val="single" w:sz="4" w:space="0" w:color="000000"/>
              <w:right w:val="single" w:sz="4" w:space="0" w:color="000000"/>
            </w:tcBorders>
            <w:shd w:val="clear" w:color="000000" w:fill="FFFFFF"/>
          </w:tcPr>
          <w:p w14:paraId="6EF94A53"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8</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14:paraId="6CA54983" w14:textId="77777777" w:rsidR="00E95D02" w:rsidRPr="004853EB" w:rsidRDefault="00E95D02" w:rsidP="00E95D02">
            <w:pPr>
              <w:autoSpaceDE w:val="0"/>
              <w:autoSpaceDN w:val="0"/>
              <w:adjustRightInd w:val="0"/>
              <w:spacing w:before="60" w:after="0" w:line="240" w:lineRule="auto"/>
              <w:rPr>
                <w:rFonts w:eastAsia="Times New Roman" w:cstheme="minorHAnsi"/>
                <w:sz w:val="20"/>
                <w:szCs w:val="20"/>
                <w:lang w:val="pl" w:eastAsia="pl-PL"/>
              </w:rPr>
            </w:pPr>
            <w:r w:rsidRPr="004853EB">
              <w:rPr>
                <w:rFonts w:eastAsia="Times New Roman" w:cstheme="minorHAnsi"/>
                <w:sz w:val="20"/>
                <w:szCs w:val="20"/>
                <w:lang w:val="pl" w:eastAsia="pl-PL"/>
              </w:rPr>
              <w:t>Siła krycia</w:t>
            </w:r>
          </w:p>
          <w:p w14:paraId="1C020E11" w14:textId="77777777" w:rsidR="00E95D02" w:rsidRPr="004853EB" w:rsidRDefault="00E95D02">
            <w:pPr>
              <w:numPr>
                <w:ilvl w:val="0"/>
                <w:numId w:val="138"/>
              </w:numPr>
              <w:tabs>
                <w:tab w:val="left" w:pos="360"/>
              </w:tabs>
              <w:autoSpaceDE w:val="0"/>
              <w:autoSpaceDN w:val="0"/>
              <w:adjustRightInd w:val="0"/>
              <w:spacing w:after="0" w:line="240" w:lineRule="auto"/>
              <w:ind w:left="360" w:hanging="360"/>
              <w:rPr>
                <w:rFonts w:eastAsia="Times New Roman" w:cstheme="minorHAnsi"/>
                <w:sz w:val="20"/>
                <w:szCs w:val="20"/>
                <w:lang w:val="pl" w:eastAsia="pl-PL"/>
              </w:rPr>
            </w:pPr>
            <w:r w:rsidRPr="004853EB">
              <w:rPr>
                <w:rFonts w:eastAsia="Times New Roman" w:cstheme="minorHAnsi"/>
                <w:sz w:val="20"/>
                <w:szCs w:val="20"/>
                <w:lang w:val="pl" w:eastAsia="pl-PL"/>
              </w:rPr>
              <w:t>barwa biała (klasa HP3)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15E2762C"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p>
          <w:p w14:paraId="2BDC4137"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14:paraId="3BBE9C8B"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p>
          <w:p w14:paraId="1A8857DD"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xml:space="preserve"> 92</w:t>
            </w:r>
          </w:p>
        </w:tc>
      </w:tr>
      <w:tr w:rsidR="00E95D02" w:rsidRPr="004853EB" w14:paraId="2590B54A" w14:textId="77777777" w:rsidTr="00E95D02">
        <w:trPr>
          <w:trHeight w:val="272"/>
        </w:trPr>
        <w:tc>
          <w:tcPr>
            <w:tcW w:w="567" w:type="dxa"/>
            <w:tcBorders>
              <w:top w:val="single" w:sz="4" w:space="0" w:color="000000"/>
              <w:left w:val="single" w:sz="4" w:space="0" w:color="000000"/>
              <w:bottom w:val="single" w:sz="4" w:space="0" w:color="000000"/>
              <w:right w:val="single" w:sz="4" w:space="0" w:color="000000"/>
            </w:tcBorders>
            <w:shd w:val="clear" w:color="000000" w:fill="FFFFFF"/>
          </w:tcPr>
          <w:p w14:paraId="32AB5202"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9</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14:paraId="7175D896" w14:textId="77777777" w:rsidR="00E95D02" w:rsidRPr="004853EB" w:rsidRDefault="00E95D02" w:rsidP="00E95D02">
            <w:pPr>
              <w:autoSpaceDE w:val="0"/>
              <w:autoSpaceDN w:val="0"/>
              <w:adjustRightInd w:val="0"/>
              <w:spacing w:before="60" w:after="0" w:line="240" w:lineRule="auto"/>
              <w:rPr>
                <w:rFonts w:eastAsia="Times New Roman" w:cstheme="minorHAnsi"/>
                <w:sz w:val="20"/>
                <w:szCs w:val="20"/>
                <w:lang w:val="pl" w:eastAsia="pl-PL"/>
              </w:rPr>
            </w:pPr>
            <w:r w:rsidRPr="004853EB">
              <w:rPr>
                <w:rFonts w:eastAsia="Times New Roman" w:cstheme="minorHAnsi"/>
                <w:sz w:val="20"/>
                <w:szCs w:val="20"/>
                <w:lang w:val="pl" w:eastAsia="pl-PL"/>
              </w:rPr>
              <w:t>Stabilność w czasie magazynowania</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5102E5BB"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14:paraId="77341EDB"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4</w:t>
            </w:r>
          </w:p>
        </w:tc>
      </w:tr>
      <w:tr w:rsidR="00E95D02" w:rsidRPr="004853EB" w14:paraId="1B0B98A8" w14:textId="77777777" w:rsidTr="00E95D02">
        <w:trPr>
          <w:trHeight w:val="553"/>
        </w:trPr>
        <w:tc>
          <w:tcPr>
            <w:tcW w:w="567" w:type="dxa"/>
            <w:tcBorders>
              <w:top w:val="single" w:sz="4" w:space="0" w:color="000000"/>
              <w:left w:val="single" w:sz="4" w:space="0" w:color="000000"/>
              <w:bottom w:val="single" w:sz="4" w:space="0" w:color="000000"/>
              <w:right w:val="single" w:sz="4" w:space="0" w:color="000000"/>
            </w:tcBorders>
            <w:shd w:val="clear" w:color="000000" w:fill="FFFFFF"/>
          </w:tcPr>
          <w:p w14:paraId="3B87A9EE"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10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14:paraId="5E8EE554" w14:textId="77777777" w:rsidR="00E95D02" w:rsidRPr="004853EB" w:rsidRDefault="00E95D02" w:rsidP="00E95D02">
            <w:pPr>
              <w:autoSpaceDE w:val="0"/>
              <w:autoSpaceDN w:val="0"/>
              <w:adjustRightInd w:val="0"/>
              <w:spacing w:before="60" w:after="0" w:line="240" w:lineRule="auto"/>
              <w:rPr>
                <w:rFonts w:eastAsia="Times New Roman" w:cstheme="minorHAnsi"/>
                <w:sz w:val="20"/>
                <w:szCs w:val="20"/>
                <w:lang w:val="pl" w:eastAsia="pl-PL"/>
              </w:rPr>
            </w:pPr>
            <w:r w:rsidRPr="004853EB">
              <w:rPr>
                <w:rFonts w:eastAsia="Times New Roman" w:cstheme="minorHAnsi"/>
                <w:sz w:val="20"/>
                <w:szCs w:val="20"/>
                <w:lang w:val="pl" w:eastAsia="pl-PL"/>
              </w:rPr>
              <w:t>Odporność na UV</w:t>
            </w:r>
          </w:p>
          <w:p w14:paraId="2B00A780" w14:textId="77777777" w:rsidR="00E95D02" w:rsidRPr="004853EB" w:rsidRDefault="00E95D02">
            <w:pPr>
              <w:numPr>
                <w:ilvl w:val="0"/>
                <w:numId w:val="138"/>
              </w:numPr>
              <w:tabs>
                <w:tab w:val="left" w:pos="360"/>
              </w:tabs>
              <w:autoSpaceDE w:val="0"/>
              <w:autoSpaceDN w:val="0"/>
              <w:adjustRightInd w:val="0"/>
              <w:spacing w:after="0" w:line="240" w:lineRule="auto"/>
              <w:ind w:left="360" w:hanging="360"/>
              <w:rPr>
                <w:rFonts w:eastAsia="Times New Roman" w:cstheme="minorHAnsi"/>
                <w:sz w:val="20"/>
                <w:szCs w:val="20"/>
                <w:lang w:val="pl" w:eastAsia="pl-PL"/>
              </w:rPr>
            </w:pPr>
            <w:r w:rsidRPr="004853EB">
              <w:rPr>
                <w:rFonts w:eastAsia="Times New Roman" w:cstheme="minorHAnsi"/>
                <w:sz w:val="20"/>
                <w:szCs w:val="20"/>
                <w:lang w:val="pl" w:eastAsia="pl-PL"/>
              </w:rPr>
              <w:t>barwa biała (klasa UV1)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5326A720"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p>
          <w:p w14:paraId="0CE6575C"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4853EB">
              <w:rPr>
                <w:rFonts w:eastAsia="Times New Roman" w:cstheme="minorHAnsi"/>
                <w:sz w:val="20"/>
                <w:szCs w:val="20"/>
                <w:lang w:val="pl" w:eastAsia="pl-PL"/>
              </w:rPr>
              <w:t>∆</w:t>
            </w:r>
            <w:r w:rsidRPr="004853EB">
              <w:rPr>
                <w:rFonts w:eastAsia="Times New Roman" w:cstheme="minorHAnsi"/>
                <w:sz w:val="20"/>
                <w:szCs w:val="20"/>
                <w:lang w:val="el-GR" w:eastAsia="pl-PL"/>
              </w:rPr>
              <w:t>β</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14:paraId="7BB22B00"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p>
          <w:p w14:paraId="7D28A33F"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xml:space="preserve"> 0,05</w:t>
            </w:r>
          </w:p>
        </w:tc>
      </w:tr>
      <w:tr w:rsidR="00E95D02" w:rsidRPr="004853EB" w14:paraId="2F80A576" w14:textId="77777777" w:rsidTr="00E95D02">
        <w:trPr>
          <w:trHeight w:val="553"/>
        </w:trPr>
        <w:tc>
          <w:tcPr>
            <w:tcW w:w="567" w:type="dxa"/>
            <w:tcBorders>
              <w:top w:val="single" w:sz="4" w:space="0" w:color="000000"/>
              <w:left w:val="single" w:sz="4" w:space="0" w:color="000000"/>
              <w:bottom w:val="single" w:sz="4" w:space="0" w:color="000000"/>
              <w:right w:val="single" w:sz="4" w:space="0" w:color="000000"/>
            </w:tcBorders>
            <w:shd w:val="clear" w:color="000000" w:fill="FFFFFF"/>
          </w:tcPr>
          <w:p w14:paraId="26EC26BF"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11</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14:paraId="4C972C53" w14:textId="77777777" w:rsidR="00E95D02" w:rsidRPr="004853EB" w:rsidRDefault="00E95D02" w:rsidP="00E95D02">
            <w:pPr>
              <w:autoSpaceDE w:val="0"/>
              <w:autoSpaceDN w:val="0"/>
              <w:adjustRightInd w:val="0"/>
              <w:spacing w:before="60" w:after="0" w:line="240" w:lineRule="auto"/>
              <w:rPr>
                <w:rFonts w:eastAsia="Times New Roman" w:cstheme="minorHAnsi"/>
                <w:sz w:val="20"/>
                <w:szCs w:val="20"/>
                <w:lang w:val="pl" w:eastAsia="pl-PL"/>
              </w:rPr>
            </w:pPr>
            <w:r w:rsidRPr="004853EB">
              <w:rPr>
                <w:rFonts w:eastAsia="Times New Roman" w:cstheme="minorHAnsi"/>
                <w:sz w:val="20"/>
                <w:szCs w:val="20"/>
                <w:lang w:val="pl" w:eastAsia="pl-PL"/>
              </w:rPr>
              <w:t>Odporność na „przenikanie”</w:t>
            </w:r>
          </w:p>
          <w:p w14:paraId="5E8C5C2B" w14:textId="77777777" w:rsidR="00E95D02" w:rsidRPr="004853EB" w:rsidRDefault="00E95D02">
            <w:pPr>
              <w:numPr>
                <w:ilvl w:val="0"/>
                <w:numId w:val="138"/>
              </w:numPr>
              <w:tabs>
                <w:tab w:val="left" w:pos="360"/>
              </w:tabs>
              <w:autoSpaceDE w:val="0"/>
              <w:autoSpaceDN w:val="0"/>
              <w:adjustRightInd w:val="0"/>
              <w:spacing w:after="0" w:line="240" w:lineRule="auto"/>
              <w:ind w:left="360" w:hanging="360"/>
              <w:rPr>
                <w:rFonts w:eastAsia="Times New Roman" w:cstheme="minorHAnsi"/>
                <w:sz w:val="20"/>
                <w:szCs w:val="20"/>
                <w:lang w:val="pl" w:eastAsia="pl-PL"/>
              </w:rPr>
            </w:pPr>
            <w:r w:rsidRPr="004853EB">
              <w:rPr>
                <w:rFonts w:eastAsia="Times New Roman" w:cstheme="minorHAnsi"/>
                <w:sz w:val="20"/>
                <w:szCs w:val="20"/>
                <w:lang w:val="pl" w:eastAsia="pl-PL"/>
              </w:rPr>
              <w:t>barwa biała (klasa BR2)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49B8CCAA"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p>
          <w:p w14:paraId="519076F0"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4853EB">
              <w:rPr>
                <w:rFonts w:eastAsia="Times New Roman" w:cstheme="minorHAnsi"/>
                <w:sz w:val="20"/>
                <w:szCs w:val="20"/>
                <w:lang w:val="pl" w:eastAsia="pl-PL"/>
              </w:rPr>
              <w:t>∆</w:t>
            </w:r>
            <w:r w:rsidRPr="004853EB">
              <w:rPr>
                <w:rFonts w:eastAsia="Times New Roman" w:cstheme="minorHAnsi"/>
                <w:sz w:val="20"/>
                <w:szCs w:val="20"/>
                <w:lang w:val="el-GR" w:eastAsia="pl-PL"/>
              </w:rPr>
              <w:t>β</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14:paraId="2E2FC595"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p>
          <w:p w14:paraId="79BBAA49"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xml:space="preserve"> 0,05</w:t>
            </w:r>
          </w:p>
        </w:tc>
      </w:tr>
      <w:tr w:rsidR="00E95D02" w:rsidRPr="004853EB" w14:paraId="2899865B" w14:textId="77777777" w:rsidTr="00E95D02">
        <w:trPr>
          <w:trHeight w:val="553"/>
        </w:trPr>
        <w:tc>
          <w:tcPr>
            <w:tcW w:w="567" w:type="dxa"/>
            <w:tcBorders>
              <w:top w:val="single" w:sz="4" w:space="0" w:color="000000"/>
              <w:left w:val="single" w:sz="4" w:space="0" w:color="000000"/>
              <w:bottom w:val="single" w:sz="4" w:space="0" w:color="000000"/>
              <w:right w:val="single" w:sz="4" w:space="0" w:color="000000"/>
            </w:tcBorders>
            <w:shd w:val="clear" w:color="000000" w:fill="FFFFFF"/>
          </w:tcPr>
          <w:p w14:paraId="75586BEB"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12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14:paraId="5C30FE38" w14:textId="77777777" w:rsidR="00E95D02" w:rsidRPr="004853EB" w:rsidRDefault="00E95D02" w:rsidP="00E95D02">
            <w:pPr>
              <w:autoSpaceDE w:val="0"/>
              <w:autoSpaceDN w:val="0"/>
              <w:adjustRightInd w:val="0"/>
              <w:spacing w:before="60" w:after="0" w:line="240" w:lineRule="auto"/>
              <w:rPr>
                <w:rFonts w:eastAsia="Times New Roman" w:cstheme="minorHAnsi"/>
                <w:sz w:val="20"/>
                <w:szCs w:val="20"/>
                <w:lang w:val="pl" w:eastAsia="pl-PL"/>
              </w:rPr>
            </w:pPr>
            <w:r w:rsidRPr="004853EB">
              <w:rPr>
                <w:rFonts w:eastAsia="Times New Roman" w:cstheme="minorHAnsi"/>
                <w:sz w:val="20"/>
                <w:szCs w:val="20"/>
                <w:lang w:val="pl" w:eastAsia="pl-PL"/>
              </w:rPr>
              <w:t>Odporność na alkalia</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5E95A141"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14:paraId="2D581E92"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powłoka po badaniu nie powinna wykazywać oznak częściowego lub całkowitego uszkodze-nia, uszorstnienia lub odbarwienia</w:t>
            </w:r>
          </w:p>
        </w:tc>
      </w:tr>
      <w:tr w:rsidR="00E95D02" w:rsidRPr="004853EB" w14:paraId="23BDD78B" w14:textId="77777777" w:rsidTr="00E95D02">
        <w:trPr>
          <w:trHeight w:val="553"/>
        </w:trPr>
        <w:tc>
          <w:tcPr>
            <w:tcW w:w="567" w:type="dxa"/>
            <w:tcBorders>
              <w:top w:val="single" w:sz="4" w:space="0" w:color="000000"/>
              <w:left w:val="single" w:sz="4" w:space="0" w:color="000000"/>
              <w:bottom w:val="single" w:sz="4" w:space="0" w:color="000000"/>
              <w:right w:val="single" w:sz="4" w:space="0" w:color="000000"/>
            </w:tcBorders>
            <w:shd w:val="clear" w:color="000000" w:fill="FFFFFF"/>
          </w:tcPr>
          <w:p w14:paraId="24C41732"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13</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14:paraId="11BA8D3E" w14:textId="77777777" w:rsidR="00E95D02" w:rsidRPr="004853EB" w:rsidRDefault="00E95D02" w:rsidP="00E95D02">
            <w:pPr>
              <w:autoSpaceDE w:val="0"/>
              <w:autoSpaceDN w:val="0"/>
              <w:adjustRightInd w:val="0"/>
              <w:spacing w:before="60" w:after="0" w:line="240" w:lineRule="auto"/>
              <w:rPr>
                <w:rFonts w:eastAsia="Times New Roman" w:cstheme="minorHAnsi"/>
                <w:sz w:val="20"/>
                <w:szCs w:val="20"/>
                <w:lang w:val="pl" w:eastAsia="pl-PL"/>
              </w:rPr>
            </w:pPr>
            <w:r w:rsidRPr="004853EB">
              <w:rPr>
                <w:rFonts w:eastAsia="Times New Roman" w:cstheme="minorHAnsi"/>
                <w:sz w:val="20"/>
                <w:szCs w:val="20"/>
                <w:lang w:val="pl" w:eastAsia="pl-PL"/>
              </w:rPr>
              <w:t>Temperatura mięknienia (tylko masy termoplastyczne)</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CC94037"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C</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14:paraId="0FB15CC5"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80</w:t>
            </w:r>
          </w:p>
          <w:p w14:paraId="22409C6D"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klasy od SP2 do SP4</w:t>
            </w:r>
          </w:p>
        </w:tc>
      </w:tr>
    </w:tbl>
    <w:p w14:paraId="4502B01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 xml:space="preserve">* nie dotyczy farb wodorozcieńczalnych </w:t>
      </w:r>
    </w:p>
    <w:p w14:paraId="132A0580" w14:textId="77777777" w:rsidR="00E95D02" w:rsidRPr="004853EB" w:rsidRDefault="00E95D02" w:rsidP="00E95D02">
      <w:pPr>
        <w:autoSpaceDE w:val="0"/>
        <w:autoSpaceDN w:val="0"/>
        <w:adjustRightInd w:val="0"/>
        <w:spacing w:before="120" w:after="12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Tablica 2. Klasy wymagań odnośnie czasu schnięcia</w:t>
      </w:r>
    </w:p>
    <w:tbl>
      <w:tblPr>
        <w:tblW w:w="0" w:type="auto"/>
        <w:tblInd w:w="176" w:type="dxa"/>
        <w:tblLayout w:type="fixed"/>
        <w:tblLook w:val="0000" w:firstRow="0" w:lastRow="0" w:firstColumn="0" w:lastColumn="0" w:noHBand="0" w:noVBand="0"/>
      </w:tblPr>
      <w:tblGrid>
        <w:gridCol w:w="2518"/>
        <w:gridCol w:w="3402"/>
        <w:gridCol w:w="2909"/>
      </w:tblGrid>
      <w:tr w:rsidR="00E95D02" w:rsidRPr="004853EB" w14:paraId="2CA16E4D" w14:textId="77777777" w:rsidTr="00E95D02">
        <w:trPr>
          <w:trHeight w:val="1"/>
        </w:trPr>
        <w:tc>
          <w:tcPr>
            <w:tcW w:w="251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E21BA3E"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Klasa przejezdności</w:t>
            </w:r>
          </w:p>
        </w:tc>
        <w:tc>
          <w:tcPr>
            <w:tcW w:w="340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EF2C5F2"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Materiał do poziomego oznakowania dr</w:t>
            </w:r>
            <w:r w:rsidRPr="004853EB">
              <w:rPr>
                <w:rFonts w:eastAsia="Times New Roman" w:cstheme="minorHAnsi"/>
                <w:sz w:val="20"/>
                <w:szCs w:val="20"/>
                <w:lang w:eastAsia="pl-PL"/>
              </w:rPr>
              <w:t>óg</w:t>
            </w:r>
          </w:p>
        </w:tc>
        <w:tc>
          <w:tcPr>
            <w:tcW w:w="290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2A0C48F"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Czas schnięcia, min</w:t>
            </w:r>
          </w:p>
        </w:tc>
      </w:tr>
      <w:tr w:rsidR="00E95D02" w:rsidRPr="004853EB" w14:paraId="2E213632" w14:textId="77777777" w:rsidTr="00E95D02">
        <w:trPr>
          <w:trHeight w:val="1"/>
        </w:trPr>
        <w:tc>
          <w:tcPr>
            <w:tcW w:w="2518" w:type="dxa"/>
            <w:tcBorders>
              <w:top w:val="single" w:sz="3" w:space="0" w:color="000000"/>
              <w:left w:val="single" w:sz="3" w:space="0" w:color="000000"/>
              <w:bottom w:val="single" w:sz="3" w:space="0" w:color="000000"/>
              <w:right w:val="single" w:sz="3" w:space="0" w:color="000000"/>
            </w:tcBorders>
            <w:shd w:val="clear" w:color="000000" w:fill="FFFFFF"/>
          </w:tcPr>
          <w:p w14:paraId="48115D55"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DT1</w:t>
            </w:r>
          </w:p>
        </w:tc>
        <w:tc>
          <w:tcPr>
            <w:tcW w:w="3402" w:type="dxa"/>
            <w:tcBorders>
              <w:top w:val="single" w:sz="3" w:space="0" w:color="000000"/>
              <w:left w:val="single" w:sz="3" w:space="0" w:color="000000"/>
              <w:bottom w:val="single" w:sz="3" w:space="0" w:color="000000"/>
              <w:right w:val="single" w:sz="3" w:space="0" w:color="000000"/>
            </w:tcBorders>
            <w:shd w:val="clear" w:color="000000" w:fill="FFFFFF"/>
          </w:tcPr>
          <w:p w14:paraId="5D366C28" w14:textId="77777777" w:rsidR="00E95D02" w:rsidRPr="004853EB" w:rsidRDefault="00E95D02" w:rsidP="00E95D02">
            <w:pPr>
              <w:autoSpaceDE w:val="0"/>
              <w:autoSpaceDN w:val="0"/>
              <w:adjustRightInd w:val="0"/>
              <w:spacing w:before="60" w:after="6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bardzo szybko schnący</w:t>
            </w:r>
          </w:p>
        </w:tc>
        <w:tc>
          <w:tcPr>
            <w:tcW w:w="2909" w:type="dxa"/>
            <w:tcBorders>
              <w:top w:val="single" w:sz="3" w:space="0" w:color="000000"/>
              <w:left w:val="single" w:sz="3" w:space="0" w:color="000000"/>
              <w:bottom w:val="single" w:sz="3" w:space="0" w:color="000000"/>
              <w:right w:val="single" w:sz="3" w:space="0" w:color="000000"/>
            </w:tcBorders>
            <w:shd w:val="clear" w:color="000000" w:fill="FFFFFF"/>
          </w:tcPr>
          <w:p w14:paraId="0BE0120D"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1</w:t>
            </w:r>
          </w:p>
        </w:tc>
      </w:tr>
      <w:tr w:rsidR="00E95D02" w:rsidRPr="004853EB" w14:paraId="1DF47ADB" w14:textId="77777777" w:rsidTr="00E95D02">
        <w:trPr>
          <w:trHeight w:val="1"/>
        </w:trPr>
        <w:tc>
          <w:tcPr>
            <w:tcW w:w="2518" w:type="dxa"/>
            <w:tcBorders>
              <w:top w:val="single" w:sz="3" w:space="0" w:color="000000"/>
              <w:left w:val="single" w:sz="3" w:space="0" w:color="000000"/>
              <w:bottom w:val="single" w:sz="3" w:space="0" w:color="000000"/>
              <w:right w:val="single" w:sz="3" w:space="0" w:color="000000"/>
            </w:tcBorders>
            <w:shd w:val="clear" w:color="000000" w:fill="FFFFFF"/>
          </w:tcPr>
          <w:p w14:paraId="4B28DBDA"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DT2</w:t>
            </w:r>
          </w:p>
        </w:tc>
        <w:tc>
          <w:tcPr>
            <w:tcW w:w="3402" w:type="dxa"/>
            <w:tcBorders>
              <w:top w:val="single" w:sz="3" w:space="0" w:color="000000"/>
              <w:left w:val="single" w:sz="3" w:space="0" w:color="000000"/>
              <w:bottom w:val="single" w:sz="3" w:space="0" w:color="000000"/>
              <w:right w:val="single" w:sz="3" w:space="0" w:color="000000"/>
            </w:tcBorders>
            <w:shd w:val="clear" w:color="000000" w:fill="FFFFFF"/>
          </w:tcPr>
          <w:p w14:paraId="7987232B" w14:textId="77777777" w:rsidR="00E95D02" w:rsidRPr="004853EB" w:rsidRDefault="00E95D02" w:rsidP="00E95D02">
            <w:pPr>
              <w:autoSpaceDE w:val="0"/>
              <w:autoSpaceDN w:val="0"/>
              <w:adjustRightInd w:val="0"/>
              <w:spacing w:before="60" w:after="6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szybko schnący</w:t>
            </w:r>
          </w:p>
        </w:tc>
        <w:tc>
          <w:tcPr>
            <w:tcW w:w="2909" w:type="dxa"/>
            <w:tcBorders>
              <w:top w:val="single" w:sz="3" w:space="0" w:color="000000"/>
              <w:left w:val="single" w:sz="3" w:space="0" w:color="000000"/>
              <w:bottom w:val="single" w:sz="3" w:space="0" w:color="000000"/>
              <w:right w:val="single" w:sz="3" w:space="0" w:color="000000"/>
            </w:tcBorders>
            <w:shd w:val="clear" w:color="000000" w:fill="FFFFFF"/>
          </w:tcPr>
          <w:p w14:paraId="505D14D1"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10</w:t>
            </w:r>
          </w:p>
        </w:tc>
      </w:tr>
      <w:tr w:rsidR="00E95D02" w:rsidRPr="004853EB" w14:paraId="7D57EC52" w14:textId="77777777" w:rsidTr="00E95D02">
        <w:trPr>
          <w:trHeight w:val="1"/>
        </w:trPr>
        <w:tc>
          <w:tcPr>
            <w:tcW w:w="2518" w:type="dxa"/>
            <w:tcBorders>
              <w:top w:val="single" w:sz="3" w:space="0" w:color="000000"/>
              <w:left w:val="single" w:sz="3" w:space="0" w:color="000000"/>
              <w:bottom w:val="single" w:sz="3" w:space="0" w:color="000000"/>
              <w:right w:val="single" w:sz="3" w:space="0" w:color="000000"/>
            </w:tcBorders>
            <w:shd w:val="clear" w:color="000000" w:fill="FFFFFF"/>
          </w:tcPr>
          <w:p w14:paraId="4719F0BC"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DT3</w:t>
            </w:r>
          </w:p>
        </w:tc>
        <w:tc>
          <w:tcPr>
            <w:tcW w:w="3402" w:type="dxa"/>
            <w:tcBorders>
              <w:top w:val="single" w:sz="3" w:space="0" w:color="000000"/>
              <w:left w:val="single" w:sz="3" w:space="0" w:color="000000"/>
              <w:bottom w:val="single" w:sz="3" w:space="0" w:color="000000"/>
              <w:right w:val="single" w:sz="3" w:space="0" w:color="000000"/>
            </w:tcBorders>
            <w:shd w:val="clear" w:color="000000" w:fill="FFFFFF"/>
          </w:tcPr>
          <w:p w14:paraId="49353995" w14:textId="77777777" w:rsidR="00E95D02" w:rsidRPr="004853EB" w:rsidRDefault="00E95D02" w:rsidP="00E95D02">
            <w:pPr>
              <w:autoSpaceDE w:val="0"/>
              <w:autoSpaceDN w:val="0"/>
              <w:adjustRightInd w:val="0"/>
              <w:spacing w:before="60" w:after="6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normalnie schnący</w:t>
            </w:r>
          </w:p>
        </w:tc>
        <w:tc>
          <w:tcPr>
            <w:tcW w:w="2909" w:type="dxa"/>
            <w:tcBorders>
              <w:top w:val="single" w:sz="3" w:space="0" w:color="000000"/>
              <w:left w:val="single" w:sz="3" w:space="0" w:color="000000"/>
              <w:bottom w:val="single" w:sz="3" w:space="0" w:color="000000"/>
              <w:right w:val="single" w:sz="3" w:space="0" w:color="000000"/>
            </w:tcBorders>
            <w:shd w:val="clear" w:color="000000" w:fill="FFFFFF"/>
          </w:tcPr>
          <w:p w14:paraId="19EEE871"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20</w:t>
            </w:r>
          </w:p>
        </w:tc>
      </w:tr>
      <w:tr w:rsidR="00E95D02" w:rsidRPr="004853EB" w14:paraId="0C781C8E" w14:textId="77777777" w:rsidTr="00E95D02">
        <w:trPr>
          <w:trHeight w:val="1"/>
        </w:trPr>
        <w:tc>
          <w:tcPr>
            <w:tcW w:w="2518" w:type="dxa"/>
            <w:tcBorders>
              <w:top w:val="single" w:sz="3" w:space="0" w:color="000000"/>
              <w:left w:val="single" w:sz="3" w:space="0" w:color="000000"/>
              <w:bottom w:val="single" w:sz="3" w:space="0" w:color="000000"/>
              <w:right w:val="single" w:sz="3" w:space="0" w:color="000000"/>
            </w:tcBorders>
            <w:shd w:val="clear" w:color="000000" w:fill="FFFFFF"/>
          </w:tcPr>
          <w:p w14:paraId="31120B9D"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DT4</w:t>
            </w:r>
          </w:p>
        </w:tc>
        <w:tc>
          <w:tcPr>
            <w:tcW w:w="3402" w:type="dxa"/>
            <w:tcBorders>
              <w:top w:val="single" w:sz="3" w:space="0" w:color="000000"/>
              <w:left w:val="single" w:sz="3" w:space="0" w:color="000000"/>
              <w:bottom w:val="single" w:sz="3" w:space="0" w:color="000000"/>
              <w:right w:val="single" w:sz="3" w:space="0" w:color="000000"/>
            </w:tcBorders>
            <w:shd w:val="clear" w:color="000000" w:fill="FFFFFF"/>
          </w:tcPr>
          <w:p w14:paraId="1C544966" w14:textId="77777777" w:rsidR="00E95D02" w:rsidRPr="004853EB" w:rsidRDefault="00E95D02" w:rsidP="00E95D02">
            <w:pPr>
              <w:autoSpaceDE w:val="0"/>
              <w:autoSpaceDN w:val="0"/>
              <w:adjustRightInd w:val="0"/>
              <w:spacing w:before="60" w:after="6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wolno schnący</w:t>
            </w:r>
          </w:p>
        </w:tc>
        <w:tc>
          <w:tcPr>
            <w:tcW w:w="2909" w:type="dxa"/>
            <w:tcBorders>
              <w:top w:val="single" w:sz="3" w:space="0" w:color="000000"/>
              <w:left w:val="single" w:sz="3" w:space="0" w:color="000000"/>
              <w:bottom w:val="single" w:sz="3" w:space="0" w:color="000000"/>
              <w:right w:val="single" w:sz="3" w:space="0" w:color="000000"/>
            </w:tcBorders>
            <w:shd w:val="clear" w:color="000000" w:fill="FFFFFF"/>
          </w:tcPr>
          <w:p w14:paraId="68908CD8"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30</w:t>
            </w:r>
          </w:p>
        </w:tc>
      </w:tr>
      <w:tr w:rsidR="00E95D02" w:rsidRPr="004853EB" w14:paraId="110816A8" w14:textId="77777777" w:rsidTr="00E95D02">
        <w:trPr>
          <w:trHeight w:val="1"/>
        </w:trPr>
        <w:tc>
          <w:tcPr>
            <w:tcW w:w="2518" w:type="dxa"/>
            <w:tcBorders>
              <w:top w:val="single" w:sz="3" w:space="0" w:color="000000"/>
              <w:left w:val="single" w:sz="3" w:space="0" w:color="000000"/>
              <w:bottom w:val="single" w:sz="3" w:space="0" w:color="000000"/>
              <w:right w:val="single" w:sz="3" w:space="0" w:color="000000"/>
            </w:tcBorders>
            <w:shd w:val="clear" w:color="000000" w:fill="FFFFFF"/>
          </w:tcPr>
          <w:p w14:paraId="76EC1E24"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DT5</w:t>
            </w:r>
          </w:p>
        </w:tc>
        <w:tc>
          <w:tcPr>
            <w:tcW w:w="3402" w:type="dxa"/>
            <w:tcBorders>
              <w:top w:val="single" w:sz="3" w:space="0" w:color="000000"/>
              <w:left w:val="single" w:sz="3" w:space="0" w:color="000000"/>
              <w:bottom w:val="single" w:sz="3" w:space="0" w:color="000000"/>
              <w:right w:val="single" w:sz="3" w:space="0" w:color="000000"/>
            </w:tcBorders>
            <w:shd w:val="clear" w:color="000000" w:fill="FFFFFF"/>
          </w:tcPr>
          <w:p w14:paraId="5B4D51DF" w14:textId="77777777" w:rsidR="00E95D02" w:rsidRPr="004853EB" w:rsidRDefault="00E95D02" w:rsidP="00E95D02">
            <w:pPr>
              <w:autoSpaceDE w:val="0"/>
              <w:autoSpaceDN w:val="0"/>
              <w:adjustRightInd w:val="0"/>
              <w:spacing w:before="60" w:after="6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bardzo wolno schnący</w:t>
            </w:r>
          </w:p>
        </w:tc>
        <w:tc>
          <w:tcPr>
            <w:tcW w:w="2909" w:type="dxa"/>
            <w:tcBorders>
              <w:top w:val="single" w:sz="3" w:space="0" w:color="000000"/>
              <w:left w:val="single" w:sz="3" w:space="0" w:color="000000"/>
              <w:bottom w:val="single" w:sz="3" w:space="0" w:color="000000"/>
              <w:right w:val="single" w:sz="3" w:space="0" w:color="000000"/>
            </w:tcBorders>
            <w:shd w:val="clear" w:color="000000" w:fill="FFFFFF"/>
          </w:tcPr>
          <w:p w14:paraId="404ACF86"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60</w:t>
            </w:r>
          </w:p>
        </w:tc>
      </w:tr>
    </w:tbl>
    <w:p w14:paraId="7E59EFBD"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val="pl" w:eastAsia="pl-PL"/>
        </w:rPr>
      </w:pPr>
      <w:r w:rsidRPr="004853EB">
        <w:rPr>
          <w:rFonts w:eastAsia="Times New Roman" w:cstheme="minorHAnsi"/>
          <w:b/>
          <w:bCs/>
          <w:sz w:val="20"/>
          <w:szCs w:val="20"/>
          <w:lang w:val="pl" w:eastAsia="pl-PL"/>
        </w:rPr>
        <w:t>2.8. Materiały dodatkowe</w:t>
      </w:r>
    </w:p>
    <w:p w14:paraId="5B4F1527" w14:textId="77777777" w:rsidR="00E95D02" w:rsidRPr="004853EB" w:rsidRDefault="00E95D02" w:rsidP="00E95D02">
      <w:pPr>
        <w:autoSpaceDE w:val="0"/>
        <w:autoSpaceDN w:val="0"/>
        <w:adjustRightInd w:val="0"/>
        <w:spacing w:after="120" w:line="240" w:lineRule="auto"/>
        <w:jc w:val="both"/>
        <w:rPr>
          <w:rFonts w:eastAsia="Times New Roman" w:cstheme="minorHAnsi"/>
          <w:sz w:val="20"/>
          <w:szCs w:val="20"/>
          <w:lang w:val="pl" w:eastAsia="pl-PL"/>
        </w:rPr>
      </w:pPr>
      <w:r w:rsidRPr="004853EB">
        <w:rPr>
          <w:rFonts w:eastAsia="Times New Roman" w:cstheme="minorHAnsi"/>
          <w:b/>
          <w:bCs/>
          <w:sz w:val="20"/>
          <w:szCs w:val="20"/>
          <w:lang w:val="pl" w:eastAsia="pl-PL"/>
        </w:rPr>
        <w:t>2.8.1.</w:t>
      </w:r>
      <w:r w:rsidRPr="004853EB">
        <w:rPr>
          <w:rFonts w:eastAsia="Times New Roman" w:cstheme="minorHAnsi"/>
          <w:sz w:val="20"/>
          <w:szCs w:val="20"/>
          <w:lang w:val="pl" w:eastAsia="pl-PL"/>
        </w:rPr>
        <w:t xml:space="preserve"> Kulki szklane</w:t>
      </w:r>
    </w:p>
    <w:p w14:paraId="03EB5DC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ab/>
        <w:t>Kulki szklane refleksyjne służą do zapewnienia widzialności oznakowania w nocy poprzez odbicie powrotne w kierunku pojazdu, wiązki światła wysyłanej przez reflektory pojazdu. Świeżo wykonane oznakowanie jest nimi posypywane pod ciśnieniem lub grawitacyjnie. W tablicy 5 zestawiono wymagania stawiane kulkom szklanym do posypywania.</w:t>
      </w:r>
    </w:p>
    <w:p w14:paraId="777A32C6" w14:textId="77777777" w:rsidR="00E95D02" w:rsidRPr="004853EB" w:rsidRDefault="00E95D02" w:rsidP="00E95D02">
      <w:pPr>
        <w:tabs>
          <w:tab w:val="left" w:pos="993"/>
        </w:tabs>
        <w:autoSpaceDE w:val="0"/>
        <w:autoSpaceDN w:val="0"/>
        <w:adjustRightInd w:val="0"/>
        <w:spacing w:before="120" w:after="12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Tablica 5. Wymagane właściwości kulek szklanych do posypywania. Metody badań według PN-EN 1423:2012 [3].</w:t>
      </w:r>
    </w:p>
    <w:tbl>
      <w:tblPr>
        <w:tblW w:w="0" w:type="auto"/>
        <w:tblInd w:w="183" w:type="dxa"/>
        <w:tblLayout w:type="fixed"/>
        <w:tblCellMar>
          <w:left w:w="70" w:type="dxa"/>
          <w:right w:w="70" w:type="dxa"/>
        </w:tblCellMar>
        <w:tblLook w:val="0000" w:firstRow="0" w:lastRow="0" w:firstColumn="0" w:lastColumn="0" w:noHBand="0" w:noVBand="0"/>
      </w:tblPr>
      <w:tblGrid>
        <w:gridCol w:w="569"/>
        <w:gridCol w:w="4961"/>
        <w:gridCol w:w="1134"/>
        <w:gridCol w:w="1985"/>
      </w:tblGrid>
      <w:tr w:rsidR="00E95D02" w:rsidRPr="004853EB" w14:paraId="384229E3" w14:textId="77777777" w:rsidTr="00E95D02">
        <w:trPr>
          <w:trHeight w:val="1"/>
        </w:trPr>
        <w:tc>
          <w:tcPr>
            <w:tcW w:w="569" w:type="dxa"/>
            <w:tcBorders>
              <w:top w:val="single" w:sz="4" w:space="0" w:color="000000"/>
              <w:left w:val="single" w:sz="4" w:space="0" w:color="000000"/>
              <w:bottom w:val="single" w:sz="3" w:space="0" w:color="000000"/>
              <w:right w:val="single" w:sz="4" w:space="0" w:color="000000"/>
            </w:tcBorders>
            <w:shd w:val="clear" w:color="000000" w:fill="FFFFFF"/>
          </w:tcPr>
          <w:p w14:paraId="25FAC3B4" w14:textId="77777777" w:rsidR="00E95D02" w:rsidRPr="004853EB" w:rsidRDefault="00E95D02" w:rsidP="00E95D02">
            <w:pPr>
              <w:autoSpaceDE w:val="0"/>
              <w:autoSpaceDN w:val="0"/>
              <w:adjustRightInd w:val="0"/>
              <w:spacing w:before="60" w:after="6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Lp.</w:t>
            </w:r>
          </w:p>
        </w:tc>
        <w:tc>
          <w:tcPr>
            <w:tcW w:w="4961" w:type="dxa"/>
            <w:tcBorders>
              <w:top w:val="single" w:sz="4" w:space="0" w:color="000000"/>
              <w:left w:val="single" w:sz="4" w:space="0" w:color="000000"/>
              <w:bottom w:val="single" w:sz="3" w:space="0" w:color="000000"/>
              <w:right w:val="single" w:sz="4" w:space="0" w:color="000000"/>
            </w:tcBorders>
            <w:shd w:val="clear" w:color="000000" w:fill="FFFFFF"/>
          </w:tcPr>
          <w:p w14:paraId="203287EA"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Właściwości</w:t>
            </w:r>
          </w:p>
        </w:tc>
        <w:tc>
          <w:tcPr>
            <w:tcW w:w="1134" w:type="dxa"/>
            <w:tcBorders>
              <w:top w:val="single" w:sz="4" w:space="0" w:color="000000"/>
              <w:left w:val="single" w:sz="4" w:space="0" w:color="000000"/>
              <w:bottom w:val="single" w:sz="3" w:space="0" w:color="000000"/>
              <w:right w:val="single" w:sz="4" w:space="0" w:color="000000"/>
            </w:tcBorders>
            <w:shd w:val="clear" w:color="000000" w:fill="FFFFFF"/>
          </w:tcPr>
          <w:p w14:paraId="4D94E656"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Jednostki</w:t>
            </w:r>
          </w:p>
        </w:tc>
        <w:tc>
          <w:tcPr>
            <w:tcW w:w="1985" w:type="dxa"/>
            <w:tcBorders>
              <w:top w:val="single" w:sz="4" w:space="0" w:color="000000"/>
              <w:left w:val="single" w:sz="4" w:space="0" w:color="000000"/>
              <w:bottom w:val="single" w:sz="3" w:space="0" w:color="000000"/>
              <w:right w:val="single" w:sz="4" w:space="0" w:color="000000"/>
            </w:tcBorders>
            <w:shd w:val="clear" w:color="000000" w:fill="FFFFFF"/>
          </w:tcPr>
          <w:p w14:paraId="64555246"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Wymagania</w:t>
            </w:r>
          </w:p>
        </w:tc>
      </w:tr>
      <w:tr w:rsidR="00E95D02" w:rsidRPr="004853EB" w14:paraId="2AD97C20" w14:textId="77777777" w:rsidTr="00E95D02">
        <w:trPr>
          <w:trHeight w:val="284"/>
        </w:trPr>
        <w:tc>
          <w:tcPr>
            <w:tcW w:w="569" w:type="dxa"/>
            <w:tcBorders>
              <w:top w:val="single" w:sz="3" w:space="0" w:color="000000"/>
              <w:left w:val="single" w:sz="4" w:space="0" w:color="000000"/>
              <w:bottom w:val="single" w:sz="3" w:space="0" w:color="000000"/>
              <w:right w:val="single" w:sz="4" w:space="0" w:color="000000"/>
            </w:tcBorders>
            <w:shd w:val="clear" w:color="000000" w:fill="FFFFFF"/>
          </w:tcPr>
          <w:p w14:paraId="5D4DB6DD"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1</w:t>
            </w:r>
          </w:p>
        </w:tc>
        <w:tc>
          <w:tcPr>
            <w:tcW w:w="4961" w:type="dxa"/>
            <w:tcBorders>
              <w:top w:val="single" w:sz="3" w:space="0" w:color="000000"/>
              <w:left w:val="single" w:sz="4" w:space="0" w:color="000000"/>
              <w:bottom w:val="single" w:sz="3" w:space="0" w:color="000000"/>
              <w:right w:val="single" w:sz="4" w:space="0" w:color="000000"/>
            </w:tcBorders>
            <w:shd w:val="clear" w:color="000000" w:fill="FFFFFF"/>
          </w:tcPr>
          <w:p w14:paraId="096D2E7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Współczynnik załamania światła n (klasa A)</w:t>
            </w:r>
          </w:p>
        </w:tc>
        <w:tc>
          <w:tcPr>
            <w:tcW w:w="1134" w:type="dxa"/>
            <w:tcBorders>
              <w:top w:val="single" w:sz="3" w:space="0" w:color="000000"/>
              <w:left w:val="single" w:sz="4" w:space="0" w:color="000000"/>
              <w:bottom w:val="single" w:sz="4" w:space="0" w:color="000000"/>
              <w:right w:val="single" w:sz="4" w:space="0" w:color="000000"/>
            </w:tcBorders>
            <w:shd w:val="clear" w:color="000000" w:fill="FFFFFF"/>
          </w:tcPr>
          <w:p w14:paraId="3C9CD144"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t>
            </w:r>
          </w:p>
        </w:tc>
        <w:tc>
          <w:tcPr>
            <w:tcW w:w="1985" w:type="dxa"/>
            <w:tcBorders>
              <w:top w:val="single" w:sz="3" w:space="0" w:color="000000"/>
              <w:left w:val="single" w:sz="4" w:space="0" w:color="000000"/>
              <w:bottom w:val="single" w:sz="4" w:space="0" w:color="000000"/>
              <w:right w:val="single" w:sz="4" w:space="0" w:color="000000"/>
            </w:tcBorders>
            <w:shd w:val="clear" w:color="000000" w:fill="FFFFFF"/>
          </w:tcPr>
          <w:p w14:paraId="6714FA76"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1,50</w:t>
            </w:r>
          </w:p>
        </w:tc>
      </w:tr>
      <w:tr w:rsidR="00E95D02" w:rsidRPr="004853EB" w14:paraId="53A6D4E2" w14:textId="77777777" w:rsidTr="00E95D02">
        <w:trPr>
          <w:trHeight w:val="20"/>
        </w:trPr>
        <w:tc>
          <w:tcPr>
            <w:tcW w:w="569" w:type="dxa"/>
            <w:tcBorders>
              <w:top w:val="single" w:sz="3" w:space="0" w:color="000000"/>
              <w:left w:val="single" w:sz="4" w:space="0" w:color="000000"/>
              <w:bottom w:val="single" w:sz="4" w:space="0" w:color="000000"/>
              <w:right w:val="single" w:sz="4" w:space="0" w:color="000000"/>
            </w:tcBorders>
            <w:shd w:val="clear" w:color="000000" w:fill="FFFFFF"/>
          </w:tcPr>
          <w:p w14:paraId="747BA9BE"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2</w:t>
            </w:r>
          </w:p>
        </w:tc>
        <w:tc>
          <w:tcPr>
            <w:tcW w:w="4961" w:type="dxa"/>
            <w:tcBorders>
              <w:top w:val="single" w:sz="3" w:space="0" w:color="000000"/>
              <w:left w:val="single" w:sz="4" w:space="0" w:color="000000"/>
              <w:bottom w:val="single" w:sz="4" w:space="0" w:color="000000"/>
              <w:right w:val="single" w:sz="4" w:space="0" w:color="000000"/>
            </w:tcBorders>
            <w:shd w:val="clear" w:color="000000" w:fill="FFFFFF"/>
          </w:tcPr>
          <w:p w14:paraId="472BE13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Odporność na wodę, kwas solny, chlorek wapnia, siarczek sodowy</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796C23A4"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Pr>
          <w:p w14:paraId="44A045E9"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bez zmian na pow. brak ściemnienia</w:t>
            </w:r>
          </w:p>
        </w:tc>
      </w:tr>
      <w:tr w:rsidR="00E95D02" w:rsidRPr="004853EB" w14:paraId="4A98C93A" w14:textId="77777777" w:rsidTr="00E95D02">
        <w:trPr>
          <w:trHeight w:val="20"/>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241C8C1"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3</w:t>
            </w:r>
          </w:p>
        </w:tc>
        <w:tc>
          <w:tcPr>
            <w:tcW w:w="4961" w:type="dxa"/>
            <w:tcBorders>
              <w:top w:val="single" w:sz="4" w:space="0" w:color="000000"/>
              <w:left w:val="single" w:sz="4" w:space="0" w:color="000000"/>
              <w:bottom w:val="single" w:sz="4" w:space="0" w:color="000000"/>
              <w:right w:val="single" w:sz="4" w:space="0" w:color="000000"/>
            </w:tcBorders>
            <w:shd w:val="clear" w:color="000000" w:fill="FFFFFF"/>
          </w:tcPr>
          <w:p w14:paraId="70BF681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Zawartość kulek zdefektowanych</w:t>
            </w:r>
          </w:p>
          <w:p w14:paraId="7A09C56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Zawartość ziaren i cząstek obcych</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63E6C1FA"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t>
            </w:r>
          </w:p>
          <w:p w14:paraId="26AC91A0"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Pr>
          <w:p w14:paraId="455B7FFD"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20</w:t>
            </w:r>
          </w:p>
          <w:p w14:paraId="6249F715"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3</w:t>
            </w:r>
          </w:p>
        </w:tc>
      </w:tr>
      <w:tr w:rsidR="00E95D02" w:rsidRPr="004853EB" w14:paraId="01F5129E" w14:textId="77777777" w:rsidTr="00E95D02">
        <w:trPr>
          <w:trHeight w:val="20"/>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626CA5C9"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4</w:t>
            </w:r>
          </w:p>
        </w:tc>
        <w:tc>
          <w:tcPr>
            <w:tcW w:w="4961" w:type="dxa"/>
            <w:tcBorders>
              <w:top w:val="single" w:sz="4" w:space="0" w:color="000000"/>
              <w:left w:val="single" w:sz="4" w:space="0" w:color="000000"/>
              <w:bottom w:val="single" w:sz="4" w:space="0" w:color="000000"/>
              <w:right w:val="single" w:sz="4" w:space="0" w:color="000000"/>
            </w:tcBorders>
            <w:shd w:val="clear" w:color="000000" w:fill="FFFFFF"/>
          </w:tcPr>
          <w:p w14:paraId="7D21098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 xml:space="preserve">Obróbka powierzchniowa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777857E3"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Pr>
          <w:p w14:paraId="5ED08E6F"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80</w:t>
            </w:r>
          </w:p>
        </w:tc>
      </w:tr>
      <w:tr w:rsidR="00E95D02" w:rsidRPr="004853EB" w14:paraId="3F8E405C" w14:textId="77777777" w:rsidTr="00E95D02">
        <w:trPr>
          <w:trHeight w:val="20"/>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31D7E628"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5</w:t>
            </w:r>
          </w:p>
        </w:tc>
        <w:tc>
          <w:tcPr>
            <w:tcW w:w="4961" w:type="dxa"/>
            <w:tcBorders>
              <w:top w:val="single" w:sz="4" w:space="0" w:color="000000"/>
              <w:left w:val="single" w:sz="4" w:space="0" w:color="000000"/>
              <w:bottom w:val="single" w:sz="4" w:space="0" w:color="000000"/>
              <w:right w:val="single" w:sz="4" w:space="0" w:color="000000"/>
            </w:tcBorders>
            <w:shd w:val="clear" w:color="000000" w:fill="FFFFFF"/>
          </w:tcPr>
          <w:p w14:paraId="42A54D32"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Uziarnienie: pozostaje na sicie</w:t>
            </w:r>
          </w:p>
          <w:p w14:paraId="5A8F5EA4" w14:textId="77777777" w:rsidR="00E95D02" w:rsidRPr="004853EB" w:rsidRDefault="00E95D02">
            <w:pPr>
              <w:numPr>
                <w:ilvl w:val="0"/>
                <w:numId w:val="138"/>
              </w:numPr>
              <w:autoSpaceDE w:val="0"/>
              <w:autoSpaceDN w:val="0"/>
              <w:adjustRightInd w:val="0"/>
              <w:spacing w:after="0" w:line="240" w:lineRule="auto"/>
              <w:ind w:left="2627" w:hanging="360"/>
              <w:jc w:val="both"/>
              <w:rPr>
                <w:rFonts w:eastAsia="Times New Roman" w:cstheme="minorHAnsi"/>
                <w:sz w:val="20"/>
                <w:szCs w:val="20"/>
                <w:lang w:val="pl" w:eastAsia="pl-PL"/>
              </w:rPr>
            </w:pPr>
            <w:r w:rsidRPr="004853EB">
              <w:rPr>
                <w:rFonts w:eastAsia="Times New Roman" w:cstheme="minorHAnsi"/>
                <w:sz w:val="20"/>
                <w:szCs w:val="20"/>
                <w:lang w:val="pl" w:eastAsia="pl-PL"/>
              </w:rPr>
              <w:t>górnym granicznym,</w:t>
            </w:r>
          </w:p>
          <w:p w14:paraId="492E8D7F" w14:textId="77777777" w:rsidR="00E95D02" w:rsidRPr="004853EB" w:rsidRDefault="00E95D02">
            <w:pPr>
              <w:numPr>
                <w:ilvl w:val="0"/>
                <w:numId w:val="138"/>
              </w:numPr>
              <w:autoSpaceDE w:val="0"/>
              <w:autoSpaceDN w:val="0"/>
              <w:adjustRightInd w:val="0"/>
              <w:spacing w:after="0" w:line="240" w:lineRule="auto"/>
              <w:ind w:left="2627" w:hanging="360"/>
              <w:jc w:val="both"/>
              <w:rPr>
                <w:rFonts w:eastAsia="Times New Roman" w:cstheme="minorHAnsi"/>
                <w:sz w:val="20"/>
                <w:szCs w:val="20"/>
                <w:lang w:val="pl" w:eastAsia="pl-PL"/>
              </w:rPr>
            </w:pPr>
            <w:r w:rsidRPr="004853EB">
              <w:rPr>
                <w:rFonts w:eastAsia="Times New Roman" w:cstheme="minorHAnsi"/>
                <w:sz w:val="20"/>
                <w:szCs w:val="20"/>
                <w:lang w:val="pl" w:eastAsia="pl-PL"/>
              </w:rPr>
              <w:t>górnym nominalnym,</w:t>
            </w:r>
          </w:p>
          <w:p w14:paraId="19F72BC3" w14:textId="77777777" w:rsidR="00E95D02" w:rsidRPr="004853EB" w:rsidRDefault="00E95D02">
            <w:pPr>
              <w:numPr>
                <w:ilvl w:val="0"/>
                <w:numId w:val="138"/>
              </w:numPr>
              <w:autoSpaceDE w:val="0"/>
              <w:autoSpaceDN w:val="0"/>
              <w:adjustRightInd w:val="0"/>
              <w:spacing w:after="0" w:line="240" w:lineRule="auto"/>
              <w:ind w:left="2627" w:hanging="360"/>
              <w:jc w:val="both"/>
              <w:rPr>
                <w:rFonts w:eastAsia="Times New Roman" w:cstheme="minorHAnsi"/>
                <w:sz w:val="20"/>
                <w:szCs w:val="20"/>
                <w:lang w:val="pl" w:eastAsia="pl-PL"/>
              </w:rPr>
            </w:pPr>
            <w:r w:rsidRPr="004853EB">
              <w:rPr>
                <w:rFonts w:eastAsia="Times New Roman" w:cstheme="minorHAnsi"/>
                <w:sz w:val="20"/>
                <w:szCs w:val="20"/>
                <w:lang w:val="pl" w:eastAsia="pl-PL"/>
              </w:rPr>
              <w:t>pośrednim</w:t>
            </w:r>
          </w:p>
          <w:p w14:paraId="3A569D86" w14:textId="77777777" w:rsidR="00E95D02" w:rsidRPr="004853EB" w:rsidRDefault="00E95D02">
            <w:pPr>
              <w:numPr>
                <w:ilvl w:val="0"/>
                <w:numId w:val="138"/>
              </w:numPr>
              <w:autoSpaceDE w:val="0"/>
              <w:autoSpaceDN w:val="0"/>
              <w:adjustRightInd w:val="0"/>
              <w:spacing w:after="0" w:line="240" w:lineRule="auto"/>
              <w:ind w:left="2627" w:hanging="360"/>
              <w:jc w:val="both"/>
              <w:rPr>
                <w:rFonts w:eastAsia="Times New Roman" w:cstheme="minorHAnsi"/>
                <w:sz w:val="20"/>
                <w:szCs w:val="20"/>
                <w:lang w:val="pl" w:eastAsia="pl-PL"/>
              </w:rPr>
            </w:pPr>
            <w:r w:rsidRPr="004853EB">
              <w:rPr>
                <w:rFonts w:eastAsia="Times New Roman" w:cstheme="minorHAnsi"/>
                <w:sz w:val="20"/>
                <w:szCs w:val="20"/>
                <w:lang w:val="pl" w:eastAsia="pl-PL"/>
              </w:rPr>
              <w:t>dolnym nominalnym</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27E5F4AC"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p>
          <w:p w14:paraId="3BE83FE7"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(m/m)</w:t>
            </w:r>
          </w:p>
          <w:p w14:paraId="57E85D74"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p>
          <w:p w14:paraId="0856117F"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p>
          <w:p w14:paraId="68E9ED41"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Pr>
          <w:p w14:paraId="713FD8B0"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p>
          <w:p w14:paraId="3968BE5D"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od 0 do 2</w:t>
            </w:r>
          </w:p>
          <w:p w14:paraId="025BDB51"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od 0 do 10</w:t>
            </w:r>
          </w:p>
          <w:p w14:paraId="18F96AA0"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od N1 do N2*</w:t>
            </w:r>
          </w:p>
          <w:p w14:paraId="337C3872"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od 95 do 100</w:t>
            </w:r>
          </w:p>
        </w:tc>
      </w:tr>
      <w:tr w:rsidR="00E95D02" w:rsidRPr="004853EB" w14:paraId="1AD59CCA" w14:textId="77777777" w:rsidTr="00E95D02">
        <w:trPr>
          <w:trHeight w:val="20"/>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F47E62F"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6</w:t>
            </w:r>
          </w:p>
        </w:tc>
        <w:tc>
          <w:tcPr>
            <w:tcW w:w="4961" w:type="dxa"/>
            <w:tcBorders>
              <w:top w:val="single" w:sz="4" w:space="0" w:color="000000"/>
              <w:left w:val="single" w:sz="4" w:space="0" w:color="000000"/>
              <w:bottom w:val="single" w:sz="4" w:space="0" w:color="000000"/>
              <w:right w:val="single" w:sz="4" w:space="0" w:color="000000"/>
            </w:tcBorders>
            <w:shd w:val="clear" w:color="000000" w:fill="FFFFFF"/>
          </w:tcPr>
          <w:p w14:paraId="14566DF9" w14:textId="77777777" w:rsidR="00E95D02" w:rsidRPr="004853EB" w:rsidRDefault="00E95D02" w:rsidP="00E95D02">
            <w:pPr>
              <w:autoSpaceDE w:val="0"/>
              <w:autoSpaceDN w:val="0"/>
              <w:adjustRightInd w:val="0"/>
              <w:spacing w:before="60"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Zawartość metali ciężkich: arsenu, ołowiu i antymonu (klasa 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52C59537"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ppm</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Pr>
          <w:p w14:paraId="00FA3BD2"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xml:space="preserve"> 200</w:t>
            </w:r>
          </w:p>
        </w:tc>
      </w:tr>
    </w:tbl>
    <w:p w14:paraId="0FECBF63" w14:textId="77777777" w:rsidR="00E95D02" w:rsidRPr="004853EB" w:rsidRDefault="00E95D02" w:rsidP="00E95D02">
      <w:pPr>
        <w:autoSpaceDE w:val="0"/>
        <w:autoSpaceDN w:val="0"/>
        <w:adjustRightInd w:val="0"/>
        <w:spacing w:before="60"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 kolejne sita pośrednie muszą spełniać warunek N2 - N1</w:t>
      </w:r>
      <w:r w:rsidRPr="004853EB">
        <w:rPr>
          <w:rFonts w:eastAsia="Times New Roman" w:cstheme="minorHAnsi"/>
          <w:i/>
          <w:iCs/>
          <w:sz w:val="20"/>
          <w:szCs w:val="20"/>
          <w:lang w:val="pl" w:eastAsia="pl-PL"/>
        </w:rPr>
        <w:t xml:space="preserve"> </w:t>
      </w:r>
      <w:r w:rsidRPr="004853EB">
        <w:rPr>
          <w:rFonts w:eastAsia="Times New Roman" w:cstheme="minorHAnsi"/>
          <w:sz w:val="20"/>
          <w:szCs w:val="20"/>
          <w:lang w:val="pl" w:eastAsia="pl-PL"/>
        </w:rPr>
        <w:t>≤ 40 % (m/m)</w:t>
      </w:r>
    </w:p>
    <w:p w14:paraId="0876FB51" w14:textId="77777777" w:rsidR="00E95D02" w:rsidRPr="004853EB" w:rsidRDefault="00E95D02" w:rsidP="00E95D02">
      <w:pPr>
        <w:autoSpaceDE w:val="0"/>
        <w:autoSpaceDN w:val="0"/>
        <w:adjustRightInd w:val="0"/>
        <w:spacing w:before="120"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ab/>
        <w:t>Kulki szklane łącznie z farbą lub masą stanowią system oznakowania (zestaw) i są nierozłącznym składnikiem oznakowań odblaskowych.</w:t>
      </w:r>
    </w:p>
    <w:p w14:paraId="5794130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ab/>
        <w:t>Właściwości kulek szklanych są określone w krajowej deklaracji właściwości użytkowych i odpowiednich specyfikacjach technicznych [3].</w:t>
      </w:r>
    </w:p>
    <w:p w14:paraId="66ABB9E4" w14:textId="77777777" w:rsidR="00E95D02" w:rsidRPr="004853EB" w:rsidRDefault="00E95D02" w:rsidP="00E95D02">
      <w:pPr>
        <w:autoSpaceDE w:val="0"/>
        <w:autoSpaceDN w:val="0"/>
        <w:adjustRightInd w:val="0"/>
        <w:spacing w:before="120" w:after="120" w:line="240" w:lineRule="auto"/>
        <w:jc w:val="both"/>
        <w:rPr>
          <w:rFonts w:eastAsia="Times New Roman" w:cstheme="minorHAnsi"/>
          <w:sz w:val="20"/>
          <w:szCs w:val="20"/>
          <w:lang w:val="pl" w:eastAsia="pl-PL"/>
        </w:rPr>
      </w:pPr>
      <w:r w:rsidRPr="004853EB">
        <w:rPr>
          <w:rFonts w:eastAsia="Times New Roman" w:cstheme="minorHAnsi"/>
          <w:b/>
          <w:bCs/>
          <w:sz w:val="20"/>
          <w:szCs w:val="20"/>
          <w:lang w:val="pl" w:eastAsia="pl-PL"/>
        </w:rPr>
        <w:t>2.8.2.</w:t>
      </w:r>
      <w:r w:rsidRPr="004853EB">
        <w:rPr>
          <w:rFonts w:eastAsia="Times New Roman" w:cstheme="minorHAnsi"/>
          <w:sz w:val="20"/>
          <w:szCs w:val="20"/>
          <w:lang w:val="pl" w:eastAsia="pl-PL"/>
        </w:rPr>
        <w:t xml:space="preserve"> Materiał uszorstniający</w:t>
      </w:r>
    </w:p>
    <w:p w14:paraId="65075204" w14:textId="2EEB3D06"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ab/>
        <w:t>Materiał uszorstniający</w:t>
      </w:r>
      <w:r w:rsidRPr="004853EB">
        <w:rPr>
          <w:rFonts w:eastAsia="Times New Roman" w:cstheme="minorHAnsi"/>
          <w:i/>
          <w:iCs/>
          <w:sz w:val="20"/>
          <w:szCs w:val="20"/>
          <w:lang w:val="pl" w:eastAsia="pl-PL"/>
        </w:rPr>
        <w:t xml:space="preserve"> </w:t>
      </w:r>
      <w:r w:rsidRPr="004853EB">
        <w:rPr>
          <w:rFonts w:eastAsia="Times New Roman" w:cstheme="minorHAnsi"/>
          <w:sz w:val="20"/>
          <w:szCs w:val="20"/>
          <w:lang w:val="pl" w:eastAsia="pl-PL"/>
        </w:rPr>
        <w:t xml:space="preserve">oznakowanie powinien składać się z naturalnego lub sztucznego twardego kruszywa (np. krystobalitu), stosowanego w celu zapewnienia oznakowaniu odpowiedniej szorstkości (właściwości antypoślizgowych). Materiał uszorstniający nie może zawierać więcej niż 1% cząstek mniejszych niż 90 m. Potrzeba stosowania materiału uszorstniającego powinna być określona w ST. Konieczność jego użycia zachodzi w przypadku potrzeby uzyskania wskaźnika szorstkości </w:t>
      </w:r>
      <w:r w:rsidR="00050DBE" w:rsidRPr="004853EB">
        <w:rPr>
          <w:rFonts w:eastAsia="Times New Roman" w:cstheme="minorHAnsi"/>
          <w:sz w:val="20"/>
          <w:szCs w:val="20"/>
          <w:lang w:val="pl" w:eastAsia="pl-PL"/>
        </w:rPr>
        <w:t>oznakowania SRT 50.</w:t>
      </w:r>
      <w:r w:rsidRPr="004853EB">
        <w:rPr>
          <w:rFonts w:eastAsia="Times New Roman" w:cstheme="minorHAnsi"/>
          <w:sz w:val="20"/>
          <w:szCs w:val="20"/>
          <w:lang w:val="pl" w:eastAsia="pl-PL"/>
        </w:rPr>
        <w:t xml:space="preserve"> Materiał uszorstniający stosowany jest w mieszaninie z kulkami szklanymi zazwyczaj w dodatku 25% (m/m). Materiał uszorstniający (kruszywo przeciwpoślizgowe) oraz mieszanina kulek szklanych z materiałem uszorstniającym powinny odpowiadać wymaganiom określonym w tablicy 6.</w:t>
      </w:r>
    </w:p>
    <w:p w14:paraId="64E25CC3" w14:textId="77777777" w:rsidR="00E95D02" w:rsidRDefault="00E95D02" w:rsidP="00E95D02">
      <w:pPr>
        <w:tabs>
          <w:tab w:val="left" w:pos="993"/>
        </w:tabs>
        <w:autoSpaceDE w:val="0"/>
        <w:autoSpaceDN w:val="0"/>
        <w:adjustRightInd w:val="0"/>
        <w:spacing w:before="120" w:after="12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Tablica 6. Wymagane właściwości kruszyw antypoślizgowych do posypywania. Metody badań według PN-EN 1423:2012 [3].</w:t>
      </w:r>
    </w:p>
    <w:p w14:paraId="7D09505A" w14:textId="77777777" w:rsidR="00050DBE" w:rsidRPr="004853EB" w:rsidRDefault="00050DBE" w:rsidP="00E95D02">
      <w:pPr>
        <w:tabs>
          <w:tab w:val="left" w:pos="993"/>
        </w:tabs>
        <w:autoSpaceDE w:val="0"/>
        <w:autoSpaceDN w:val="0"/>
        <w:adjustRightInd w:val="0"/>
        <w:spacing w:before="120" w:after="120" w:line="240" w:lineRule="auto"/>
        <w:jc w:val="both"/>
        <w:rPr>
          <w:rFonts w:eastAsia="Times New Roman" w:cstheme="minorHAnsi"/>
          <w:sz w:val="20"/>
          <w:szCs w:val="20"/>
          <w:lang w:val="pl" w:eastAsia="pl-PL"/>
        </w:rPr>
      </w:pPr>
    </w:p>
    <w:tbl>
      <w:tblPr>
        <w:tblW w:w="0" w:type="auto"/>
        <w:tblInd w:w="183" w:type="dxa"/>
        <w:tblLayout w:type="fixed"/>
        <w:tblCellMar>
          <w:left w:w="70" w:type="dxa"/>
          <w:right w:w="70" w:type="dxa"/>
        </w:tblCellMar>
        <w:tblLook w:val="0000" w:firstRow="0" w:lastRow="0" w:firstColumn="0" w:lastColumn="0" w:noHBand="0" w:noVBand="0"/>
      </w:tblPr>
      <w:tblGrid>
        <w:gridCol w:w="567"/>
        <w:gridCol w:w="4962"/>
        <w:gridCol w:w="1134"/>
        <w:gridCol w:w="1984"/>
      </w:tblGrid>
      <w:tr w:rsidR="00E95D02" w:rsidRPr="004853EB" w14:paraId="63918C25" w14:textId="77777777" w:rsidTr="00E95D02">
        <w:trPr>
          <w:trHeight w:val="1"/>
        </w:trPr>
        <w:tc>
          <w:tcPr>
            <w:tcW w:w="567" w:type="dxa"/>
            <w:tcBorders>
              <w:top w:val="single" w:sz="4" w:space="0" w:color="000000"/>
              <w:left w:val="single" w:sz="4" w:space="0" w:color="000000"/>
              <w:bottom w:val="single" w:sz="3" w:space="0" w:color="000000"/>
              <w:right w:val="single" w:sz="4" w:space="0" w:color="000000"/>
            </w:tcBorders>
            <w:shd w:val="clear" w:color="000000" w:fill="FFFFFF"/>
          </w:tcPr>
          <w:p w14:paraId="5B0D819A" w14:textId="77777777" w:rsidR="00E95D02" w:rsidRPr="004853EB" w:rsidRDefault="00E95D02" w:rsidP="00E95D02">
            <w:pPr>
              <w:autoSpaceDE w:val="0"/>
              <w:autoSpaceDN w:val="0"/>
              <w:adjustRightInd w:val="0"/>
              <w:spacing w:before="60" w:after="6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Lp.</w:t>
            </w:r>
          </w:p>
        </w:tc>
        <w:tc>
          <w:tcPr>
            <w:tcW w:w="4962" w:type="dxa"/>
            <w:tcBorders>
              <w:top w:val="single" w:sz="4" w:space="0" w:color="000000"/>
              <w:left w:val="single" w:sz="4" w:space="0" w:color="000000"/>
              <w:bottom w:val="single" w:sz="3" w:space="0" w:color="000000"/>
              <w:right w:val="single" w:sz="4" w:space="0" w:color="000000"/>
            </w:tcBorders>
            <w:shd w:val="clear" w:color="000000" w:fill="FFFFFF"/>
          </w:tcPr>
          <w:p w14:paraId="3031C5D7"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Właściwości</w:t>
            </w:r>
          </w:p>
        </w:tc>
        <w:tc>
          <w:tcPr>
            <w:tcW w:w="1134" w:type="dxa"/>
            <w:tcBorders>
              <w:top w:val="single" w:sz="4" w:space="0" w:color="000000"/>
              <w:left w:val="single" w:sz="4" w:space="0" w:color="000000"/>
              <w:bottom w:val="single" w:sz="3" w:space="0" w:color="000000"/>
              <w:right w:val="single" w:sz="4" w:space="0" w:color="000000"/>
            </w:tcBorders>
            <w:shd w:val="clear" w:color="000000" w:fill="FFFFFF"/>
          </w:tcPr>
          <w:p w14:paraId="007F9B3B"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Jednostki</w:t>
            </w:r>
          </w:p>
        </w:tc>
        <w:tc>
          <w:tcPr>
            <w:tcW w:w="1984" w:type="dxa"/>
            <w:tcBorders>
              <w:top w:val="single" w:sz="4" w:space="0" w:color="000000"/>
              <w:left w:val="single" w:sz="4" w:space="0" w:color="000000"/>
              <w:bottom w:val="single" w:sz="3" w:space="0" w:color="000000"/>
              <w:right w:val="single" w:sz="4" w:space="0" w:color="000000"/>
            </w:tcBorders>
            <w:shd w:val="clear" w:color="000000" w:fill="FFFFFF"/>
          </w:tcPr>
          <w:p w14:paraId="3A72DCE8"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Wymagania</w:t>
            </w:r>
          </w:p>
        </w:tc>
      </w:tr>
      <w:tr w:rsidR="00E95D02" w:rsidRPr="004853EB" w14:paraId="45835DA2" w14:textId="77777777" w:rsidTr="00E95D02">
        <w:trPr>
          <w:trHeight w:val="1"/>
        </w:trPr>
        <w:tc>
          <w:tcPr>
            <w:tcW w:w="567" w:type="dxa"/>
            <w:tcBorders>
              <w:top w:val="single" w:sz="3" w:space="0" w:color="000000"/>
              <w:left w:val="single" w:sz="4" w:space="0" w:color="000000"/>
              <w:bottom w:val="single" w:sz="3" w:space="0" w:color="000000"/>
              <w:right w:val="single" w:sz="4" w:space="0" w:color="000000"/>
            </w:tcBorders>
            <w:shd w:val="clear" w:color="000000" w:fill="FFFFFF"/>
          </w:tcPr>
          <w:p w14:paraId="61BA40E7"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1</w:t>
            </w:r>
          </w:p>
        </w:tc>
        <w:tc>
          <w:tcPr>
            <w:tcW w:w="4962" w:type="dxa"/>
            <w:tcBorders>
              <w:top w:val="single" w:sz="3" w:space="0" w:color="000000"/>
              <w:left w:val="single" w:sz="4" w:space="0" w:color="000000"/>
              <w:bottom w:val="single" w:sz="3" w:space="0" w:color="000000"/>
              <w:right w:val="single" w:sz="4" w:space="0" w:color="000000"/>
            </w:tcBorders>
            <w:shd w:val="clear" w:color="000000" w:fill="FFFFFF"/>
          </w:tcPr>
          <w:p w14:paraId="4158D97A" w14:textId="77777777" w:rsidR="00E95D02" w:rsidRPr="004853EB" w:rsidRDefault="00E95D02" w:rsidP="00E95D02">
            <w:pPr>
              <w:autoSpaceDE w:val="0"/>
              <w:autoSpaceDN w:val="0"/>
              <w:adjustRightInd w:val="0"/>
              <w:spacing w:before="60" w:after="6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Wartość pH</w:t>
            </w:r>
          </w:p>
        </w:tc>
        <w:tc>
          <w:tcPr>
            <w:tcW w:w="1134" w:type="dxa"/>
            <w:tcBorders>
              <w:top w:val="single" w:sz="3" w:space="0" w:color="000000"/>
              <w:left w:val="single" w:sz="4" w:space="0" w:color="000000"/>
              <w:bottom w:val="single" w:sz="4" w:space="0" w:color="000000"/>
              <w:right w:val="single" w:sz="4" w:space="0" w:color="000000"/>
            </w:tcBorders>
            <w:shd w:val="clear" w:color="000000" w:fill="FFFFFF"/>
          </w:tcPr>
          <w:p w14:paraId="089BE4F5"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pH</w:t>
            </w:r>
          </w:p>
        </w:tc>
        <w:tc>
          <w:tcPr>
            <w:tcW w:w="1984" w:type="dxa"/>
            <w:tcBorders>
              <w:top w:val="single" w:sz="3" w:space="0" w:color="000000"/>
              <w:left w:val="single" w:sz="4" w:space="0" w:color="000000"/>
              <w:bottom w:val="single" w:sz="4" w:space="0" w:color="000000"/>
              <w:right w:val="single" w:sz="4" w:space="0" w:color="000000"/>
            </w:tcBorders>
            <w:shd w:val="clear" w:color="000000" w:fill="FFFFFF"/>
          </w:tcPr>
          <w:p w14:paraId="5FAB30FE"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od 5 do 11</w:t>
            </w:r>
          </w:p>
        </w:tc>
      </w:tr>
      <w:tr w:rsidR="00E95D02" w:rsidRPr="004853EB" w14:paraId="15A2D654" w14:textId="77777777" w:rsidTr="00E95D02">
        <w:trPr>
          <w:trHeight w:val="20"/>
        </w:trPr>
        <w:tc>
          <w:tcPr>
            <w:tcW w:w="567" w:type="dxa"/>
            <w:tcBorders>
              <w:top w:val="single" w:sz="4" w:space="0" w:color="000000"/>
              <w:left w:val="single" w:sz="4" w:space="0" w:color="000000"/>
              <w:bottom w:val="single" w:sz="4" w:space="0" w:color="000000"/>
              <w:right w:val="single" w:sz="4" w:space="0" w:color="000000"/>
            </w:tcBorders>
            <w:shd w:val="clear" w:color="000000" w:fill="FFFFFF"/>
          </w:tcPr>
          <w:p w14:paraId="5BABF621"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2</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tcPr>
          <w:p w14:paraId="6F0E2781" w14:textId="77777777" w:rsidR="00E95D02" w:rsidRPr="004853EB" w:rsidRDefault="00E95D02" w:rsidP="00E95D02">
            <w:pPr>
              <w:autoSpaceDE w:val="0"/>
              <w:autoSpaceDN w:val="0"/>
              <w:adjustRightInd w:val="0"/>
              <w:spacing w:before="60" w:after="6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Wskaźnik łamliwości</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0D0E5FB3"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14:paraId="7B7A15CA"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9,5</w:t>
            </w:r>
          </w:p>
        </w:tc>
      </w:tr>
      <w:tr w:rsidR="00E95D02" w:rsidRPr="004853EB" w14:paraId="05088DEB" w14:textId="77777777" w:rsidTr="00E95D02">
        <w:trPr>
          <w:trHeight w:val="20"/>
        </w:trPr>
        <w:tc>
          <w:tcPr>
            <w:tcW w:w="567" w:type="dxa"/>
            <w:tcBorders>
              <w:top w:val="single" w:sz="3" w:space="0" w:color="000000"/>
              <w:left w:val="single" w:sz="4" w:space="0" w:color="000000"/>
              <w:bottom w:val="single" w:sz="4" w:space="0" w:color="000000"/>
              <w:right w:val="single" w:sz="4" w:space="0" w:color="000000"/>
            </w:tcBorders>
            <w:shd w:val="clear" w:color="000000" w:fill="FFFFFF"/>
          </w:tcPr>
          <w:p w14:paraId="23051661"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3</w:t>
            </w:r>
          </w:p>
        </w:tc>
        <w:tc>
          <w:tcPr>
            <w:tcW w:w="4962" w:type="dxa"/>
            <w:tcBorders>
              <w:top w:val="single" w:sz="3" w:space="0" w:color="000000"/>
              <w:left w:val="single" w:sz="4" w:space="0" w:color="000000"/>
              <w:bottom w:val="single" w:sz="4" w:space="0" w:color="000000"/>
              <w:right w:val="single" w:sz="4" w:space="0" w:color="000000"/>
            </w:tcBorders>
            <w:shd w:val="clear" w:color="000000" w:fill="FFFFFF"/>
          </w:tcPr>
          <w:p w14:paraId="1538541E" w14:textId="77777777" w:rsidR="00E95D02" w:rsidRPr="004853EB" w:rsidRDefault="00E95D02" w:rsidP="00E95D02">
            <w:pPr>
              <w:autoSpaceDE w:val="0"/>
              <w:autoSpaceDN w:val="0"/>
              <w:adjustRightInd w:val="0"/>
              <w:spacing w:before="60" w:after="6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 xml:space="preserve">Współczynnik luminancji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2CFFC450"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14:paraId="6B1AFA7D"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&gt; 0,70</w:t>
            </w:r>
          </w:p>
        </w:tc>
      </w:tr>
      <w:tr w:rsidR="00E95D02" w:rsidRPr="004853EB" w14:paraId="14363E5A" w14:textId="77777777" w:rsidTr="00E95D02">
        <w:trPr>
          <w:trHeight w:val="20"/>
        </w:trPr>
        <w:tc>
          <w:tcPr>
            <w:tcW w:w="567" w:type="dxa"/>
            <w:tcBorders>
              <w:top w:val="single" w:sz="4" w:space="0" w:color="000000"/>
              <w:left w:val="single" w:sz="4" w:space="0" w:color="000000"/>
              <w:bottom w:val="single" w:sz="4" w:space="0" w:color="000000"/>
              <w:right w:val="single" w:sz="4" w:space="0" w:color="000000"/>
            </w:tcBorders>
            <w:shd w:val="clear" w:color="000000" w:fill="FFFFFF"/>
          </w:tcPr>
          <w:p w14:paraId="34391144"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4</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tcPr>
          <w:p w14:paraId="0C582D95" w14:textId="77777777" w:rsidR="00E95D02" w:rsidRPr="004853EB" w:rsidRDefault="00E95D02" w:rsidP="00E95D02">
            <w:pPr>
              <w:autoSpaceDE w:val="0"/>
              <w:autoSpaceDN w:val="0"/>
              <w:adjustRightInd w:val="0"/>
              <w:spacing w:before="60" w:after="6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 xml:space="preserve">Współrzędne chromatyczności x i y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2DD9525F"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14:paraId="0539C48E" w14:textId="77777777" w:rsidR="00E95D02" w:rsidRPr="004853EB" w:rsidRDefault="00E95D02" w:rsidP="00E95D02">
            <w:pPr>
              <w:autoSpaceDE w:val="0"/>
              <w:autoSpaceDN w:val="0"/>
              <w:adjustRightInd w:val="0"/>
              <w:spacing w:before="60" w:after="6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 tablicy 9</w:t>
            </w:r>
          </w:p>
        </w:tc>
      </w:tr>
      <w:tr w:rsidR="00E95D02" w:rsidRPr="004853EB" w14:paraId="13225225" w14:textId="77777777" w:rsidTr="00E95D02">
        <w:trPr>
          <w:trHeight w:val="1713"/>
        </w:trPr>
        <w:tc>
          <w:tcPr>
            <w:tcW w:w="567" w:type="dxa"/>
            <w:tcBorders>
              <w:top w:val="single" w:sz="4" w:space="0" w:color="000000"/>
              <w:left w:val="single" w:sz="4" w:space="0" w:color="000000"/>
              <w:bottom w:val="single" w:sz="4" w:space="0" w:color="000000"/>
              <w:right w:val="single" w:sz="4" w:space="0" w:color="000000"/>
            </w:tcBorders>
            <w:shd w:val="clear" w:color="000000" w:fill="FFFFFF"/>
          </w:tcPr>
          <w:p w14:paraId="0002B01B"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5</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tcPr>
          <w:p w14:paraId="022AB223" w14:textId="77777777" w:rsidR="00E95D02" w:rsidRPr="004853EB" w:rsidRDefault="00E95D02" w:rsidP="00E95D02">
            <w:pPr>
              <w:autoSpaceDE w:val="0"/>
              <w:autoSpaceDN w:val="0"/>
              <w:adjustRightInd w:val="0"/>
              <w:spacing w:before="60"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Uziarnienie: pozostaje na sicie</w:t>
            </w:r>
          </w:p>
          <w:p w14:paraId="3B009047" w14:textId="77777777" w:rsidR="00E95D02" w:rsidRPr="004853EB" w:rsidRDefault="00E95D02">
            <w:pPr>
              <w:numPr>
                <w:ilvl w:val="0"/>
                <w:numId w:val="138"/>
              </w:numPr>
              <w:autoSpaceDE w:val="0"/>
              <w:autoSpaceDN w:val="0"/>
              <w:adjustRightInd w:val="0"/>
              <w:spacing w:before="60" w:after="0" w:line="240" w:lineRule="auto"/>
              <w:ind w:left="2627" w:hanging="360"/>
              <w:jc w:val="both"/>
              <w:rPr>
                <w:rFonts w:eastAsia="Times New Roman" w:cstheme="minorHAnsi"/>
                <w:sz w:val="20"/>
                <w:szCs w:val="20"/>
                <w:lang w:val="pl" w:eastAsia="pl-PL"/>
              </w:rPr>
            </w:pPr>
            <w:r w:rsidRPr="004853EB">
              <w:rPr>
                <w:rFonts w:eastAsia="Times New Roman" w:cstheme="minorHAnsi"/>
                <w:sz w:val="20"/>
                <w:szCs w:val="20"/>
                <w:lang w:val="pl" w:eastAsia="pl-PL"/>
              </w:rPr>
              <w:t>górnym granicznym,</w:t>
            </w:r>
          </w:p>
          <w:p w14:paraId="1FABD7E0" w14:textId="77777777" w:rsidR="00E95D02" w:rsidRPr="004853EB" w:rsidRDefault="00E95D02">
            <w:pPr>
              <w:numPr>
                <w:ilvl w:val="0"/>
                <w:numId w:val="138"/>
              </w:numPr>
              <w:autoSpaceDE w:val="0"/>
              <w:autoSpaceDN w:val="0"/>
              <w:adjustRightInd w:val="0"/>
              <w:spacing w:before="60" w:after="0" w:line="240" w:lineRule="auto"/>
              <w:ind w:left="2627" w:hanging="360"/>
              <w:jc w:val="both"/>
              <w:rPr>
                <w:rFonts w:eastAsia="Times New Roman" w:cstheme="minorHAnsi"/>
                <w:sz w:val="20"/>
                <w:szCs w:val="20"/>
                <w:lang w:val="pl" w:eastAsia="pl-PL"/>
              </w:rPr>
            </w:pPr>
            <w:r w:rsidRPr="004853EB">
              <w:rPr>
                <w:rFonts w:eastAsia="Times New Roman" w:cstheme="minorHAnsi"/>
                <w:sz w:val="20"/>
                <w:szCs w:val="20"/>
                <w:lang w:val="pl" w:eastAsia="pl-PL"/>
              </w:rPr>
              <w:t>górnym nominalnym,</w:t>
            </w:r>
          </w:p>
          <w:p w14:paraId="1E8562DA" w14:textId="77777777" w:rsidR="00E95D02" w:rsidRPr="004853EB" w:rsidRDefault="00E95D02">
            <w:pPr>
              <w:numPr>
                <w:ilvl w:val="0"/>
                <w:numId w:val="138"/>
              </w:numPr>
              <w:autoSpaceDE w:val="0"/>
              <w:autoSpaceDN w:val="0"/>
              <w:adjustRightInd w:val="0"/>
              <w:spacing w:before="60" w:after="0" w:line="240" w:lineRule="auto"/>
              <w:ind w:left="2627" w:hanging="360"/>
              <w:jc w:val="both"/>
              <w:rPr>
                <w:rFonts w:eastAsia="Times New Roman" w:cstheme="minorHAnsi"/>
                <w:sz w:val="20"/>
                <w:szCs w:val="20"/>
                <w:lang w:val="pl" w:eastAsia="pl-PL"/>
              </w:rPr>
            </w:pPr>
            <w:r w:rsidRPr="004853EB">
              <w:rPr>
                <w:rFonts w:eastAsia="Times New Roman" w:cstheme="minorHAnsi"/>
                <w:sz w:val="20"/>
                <w:szCs w:val="20"/>
                <w:lang w:val="pl" w:eastAsia="pl-PL"/>
              </w:rPr>
              <w:t>pośrednim</w:t>
            </w:r>
          </w:p>
          <w:p w14:paraId="7E2DFAB1" w14:textId="77777777" w:rsidR="00E95D02" w:rsidRPr="004853EB" w:rsidRDefault="00E95D02">
            <w:pPr>
              <w:numPr>
                <w:ilvl w:val="0"/>
                <w:numId w:val="138"/>
              </w:numPr>
              <w:autoSpaceDE w:val="0"/>
              <w:autoSpaceDN w:val="0"/>
              <w:adjustRightInd w:val="0"/>
              <w:spacing w:before="60" w:after="0" w:line="240" w:lineRule="auto"/>
              <w:ind w:left="2627" w:hanging="360"/>
              <w:jc w:val="both"/>
              <w:rPr>
                <w:rFonts w:eastAsia="Times New Roman" w:cstheme="minorHAnsi"/>
                <w:sz w:val="20"/>
                <w:szCs w:val="20"/>
                <w:lang w:val="pl" w:eastAsia="pl-PL"/>
              </w:rPr>
            </w:pPr>
            <w:r w:rsidRPr="004853EB">
              <w:rPr>
                <w:rFonts w:eastAsia="Times New Roman" w:cstheme="minorHAnsi"/>
                <w:sz w:val="20"/>
                <w:szCs w:val="20"/>
                <w:lang w:val="pl" w:eastAsia="pl-PL"/>
              </w:rPr>
              <w:t>dolnym nominalnym</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44F74CAA"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p>
          <w:p w14:paraId="5E44F30B"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 (m/m)</w:t>
            </w:r>
          </w:p>
          <w:p w14:paraId="162CCC4F"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p>
          <w:p w14:paraId="4FA6A7F9"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p>
          <w:p w14:paraId="4786DAEA"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14:paraId="1B892C96"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p>
          <w:p w14:paraId="78802758"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od 0 do 2</w:t>
            </w:r>
          </w:p>
          <w:p w14:paraId="6772454A"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od 0 do 10</w:t>
            </w:r>
          </w:p>
          <w:p w14:paraId="25D91E7F"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od N1 do N2*</w:t>
            </w:r>
          </w:p>
          <w:p w14:paraId="1573B638" w14:textId="77777777" w:rsidR="00E95D02" w:rsidRPr="004853EB" w:rsidRDefault="00E95D02" w:rsidP="00E95D02">
            <w:pPr>
              <w:autoSpaceDE w:val="0"/>
              <w:autoSpaceDN w:val="0"/>
              <w:adjustRightInd w:val="0"/>
              <w:spacing w:before="60"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od 95 do 100</w:t>
            </w:r>
          </w:p>
        </w:tc>
      </w:tr>
    </w:tbl>
    <w:p w14:paraId="26B61A14" w14:textId="77777777" w:rsidR="00E95D02" w:rsidRPr="004853EB" w:rsidRDefault="00E95D02" w:rsidP="00E95D02">
      <w:pPr>
        <w:autoSpaceDE w:val="0"/>
        <w:autoSpaceDN w:val="0"/>
        <w:adjustRightInd w:val="0"/>
        <w:spacing w:before="60"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 xml:space="preserve">* kolejne sita pośrednie muszą spełniać warunek </w:t>
      </w:r>
      <w:r w:rsidRPr="004853EB">
        <w:rPr>
          <w:rFonts w:eastAsia="Times New Roman" w:cstheme="minorHAnsi"/>
          <w:i/>
          <w:iCs/>
          <w:sz w:val="20"/>
          <w:szCs w:val="20"/>
          <w:lang w:val="pl" w:eastAsia="pl-PL"/>
        </w:rPr>
        <w:t xml:space="preserve">N2 - N1 </w:t>
      </w:r>
      <w:r w:rsidRPr="004853EB">
        <w:rPr>
          <w:rFonts w:eastAsia="Times New Roman" w:cstheme="minorHAnsi"/>
          <w:sz w:val="20"/>
          <w:szCs w:val="20"/>
          <w:lang w:val="pl" w:eastAsia="pl-PL"/>
        </w:rPr>
        <w:t>≤ 40% (m/m)</w:t>
      </w:r>
    </w:p>
    <w:p w14:paraId="3313336E"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4853EB">
        <w:rPr>
          <w:rFonts w:eastAsia="Times New Roman" w:cstheme="minorHAnsi"/>
          <w:b/>
          <w:bCs/>
          <w:sz w:val="20"/>
          <w:szCs w:val="20"/>
          <w:lang w:val="pl" w:eastAsia="pl-PL"/>
        </w:rPr>
        <w:t>2.9. Wymagania wobec materiał</w:t>
      </w:r>
      <w:r w:rsidRPr="004853EB">
        <w:rPr>
          <w:rFonts w:eastAsia="Times New Roman" w:cstheme="minorHAnsi"/>
          <w:b/>
          <w:bCs/>
          <w:sz w:val="20"/>
          <w:szCs w:val="20"/>
          <w:lang w:eastAsia="pl-PL"/>
        </w:rPr>
        <w:t>ów ze względu na ochronę warunków pracy i środowiska</w:t>
      </w:r>
    </w:p>
    <w:p w14:paraId="02A8C55A"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Materiały stosowane do znakowania nawierzchni nie powinny zawierać substancji zagrażających zdrowiu ludzi i powodujących skażenie środowiska. Jeśli jednak zawierają, należy stosować się do zapis</w:t>
      </w:r>
      <w:r w:rsidRPr="004853EB">
        <w:rPr>
          <w:rFonts w:eastAsia="Times New Roman" w:cstheme="minorHAnsi"/>
          <w:sz w:val="20"/>
          <w:szCs w:val="20"/>
          <w:lang w:eastAsia="pl-PL"/>
        </w:rPr>
        <w:t>ów zawartych w karcie charakterystyki wyrobu i ogólnych przepisach bhp.</w:t>
      </w:r>
    </w:p>
    <w:p w14:paraId="1FA7BEA0"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4853EB">
        <w:rPr>
          <w:rFonts w:eastAsia="Times New Roman" w:cstheme="minorHAnsi"/>
          <w:b/>
          <w:bCs/>
          <w:sz w:val="20"/>
          <w:szCs w:val="20"/>
          <w:lang w:val="pl" w:eastAsia="pl-PL"/>
        </w:rPr>
        <w:t>2.10. Przechowywanie i składowanie materiał</w:t>
      </w:r>
      <w:r w:rsidRPr="004853EB">
        <w:rPr>
          <w:rFonts w:eastAsia="Times New Roman" w:cstheme="minorHAnsi"/>
          <w:b/>
          <w:bCs/>
          <w:sz w:val="20"/>
          <w:szCs w:val="20"/>
          <w:lang w:eastAsia="pl-PL"/>
        </w:rPr>
        <w:t>ów</w:t>
      </w:r>
    </w:p>
    <w:p w14:paraId="0148CB0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ab/>
        <w:t>Materiały do oznakowania grubowarstwowego nawierzchni powinny zachować stałość swoich właściwości chemicznych i fizykochemicznych przez okres co najmniej 6 miesięcy składowania w warunkach określonych przez producenta.</w:t>
      </w:r>
    </w:p>
    <w:p w14:paraId="60A2BB24" w14:textId="695C78AA"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Materiały do poziomego oznakowania dr</w:t>
      </w:r>
      <w:r w:rsidRPr="004853EB">
        <w:rPr>
          <w:rFonts w:eastAsia="Times New Roman" w:cstheme="minorHAnsi"/>
          <w:sz w:val="20"/>
          <w:szCs w:val="20"/>
          <w:lang w:eastAsia="pl-PL"/>
        </w:rPr>
        <w:t xml:space="preserve">óg należy przechowywać w magazynach odpowiadających zaleceniom producenta, zwłaszcza zabezpieczających je od napromieniowania słonecznego, opadów </w:t>
      </w:r>
      <w:r w:rsidR="00050DBE">
        <w:rPr>
          <w:rFonts w:eastAsia="Times New Roman" w:cstheme="minorHAnsi"/>
          <w:sz w:val="20"/>
          <w:szCs w:val="20"/>
          <w:lang w:eastAsia="pl-PL"/>
        </w:rPr>
        <w:br/>
      </w:r>
      <w:r w:rsidRPr="004853EB">
        <w:rPr>
          <w:rFonts w:eastAsia="Times New Roman" w:cstheme="minorHAnsi"/>
          <w:sz w:val="20"/>
          <w:szCs w:val="20"/>
          <w:lang w:eastAsia="pl-PL"/>
        </w:rPr>
        <w:t>i w temperaturze, dla:</w:t>
      </w:r>
    </w:p>
    <w:p w14:paraId="5DF232DD" w14:textId="77777777" w:rsidR="00E95D02" w:rsidRPr="004853EB" w:rsidRDefault="00E95D02">
      <w:pPr>
        <w:numPr>
          <w:ilvl w:val="0"/>
          <w:numId w:val="146"/>
        </w:numPr>
        <w:autoSpaceDE w:val="0"/>
        <w:autoSpaceDN w:val="0"/>
        <w:adjustRightInd w:val="0"/>
        <w:spacing w:after="0" w:line="240" w:lineRule="auto"/>
        <w:jc w:val="both"/>
        <w:rPr>
          <w:rFonts w:eastAsia="Times New Roman" w:cstheme="minorHAnsi"/>
          <w:sz w:val="20"/>
          <w:szCs w:val="20"/>
          <w:lang w:val="en-US" w:eastAsia="pl-PL"/>
        </w:rPr>
      </w:pPr>
      <w:r w:rsidRPr="004853EB">
        <w:rPr>
          <w:rFonts w:eastAsia="Times New Roman" w:cstheme="minorHAnsi"/>
          <w:sz w:val="20"/>
          <w:szCs w:val="20"/>
          <w:lang w:val="en-US" w:eastAsia="pl-PL"/>
        </w:rPr>
        <w:t>poniżej 35°C.</w:t>
      </w:r>
    </w:p>
    <w:p w14:paraId="2F9624F9" w14:textId="77777777" w:rsidR="00E95D02" w:rsidRPr="004853EB" w:rsidRDefault="00E95D02" w:rsidP="00E95D02">
      <w:pPr>
        <w:keepNext/>
        <w:keepLines/>
        <w:suppressAutoHyphens/>
        <w:autoSpaceDE w:val="0"/>
        <w:autoSpaceDN w:val="0"/>
        <w:adjustRightInd w:val="0"/>
        <w:spacing w:before="240" w:after="120" w:line="240" w:lineRule="auto"/>
        <w:jc w:val="both"/>
        <w:rPr>
          <w:rFonts w:eastAsia="Times New Roman" w:cstheme="minorHAnsi"/>
          <w:b/>
          <w:bCs/>
          <w:caps/>
          <w:sz w:val="20"/>
          <w:szCs w:val="20"/>
          <w:lang w:val="pl" w:eastAsia="pl-PL"/>
        </w:rPr>
      </w:pPr>
      <w:r w:rsidRPr="004853EB">
        <w:rPr>
          <w:rFonts w:eastAsia="Times New Roman" w:cstheme="minorHAnsi"/>
          <w:b/>
          <w:bCs/>
          <w:caps/>
          <w:sz w:val="20"/>
          <w:szCs w:val="20"/>
          <w:lang w:val="pl" w:eastAsia="pl-PL"/>
        </w:rPr>
        <w:t>3. Sprzęt</w:t>
      </w:r>
    </w:p>
    <w:p w14:paraId="2E153262"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val="pl" w:eastAsia="pl-PL"/>
        </w:rPr>
      </w:pPr>
      <w:r w:rsidRPr="004853EB">
        <w:rPr>
          <w:rFonts w:eastAsia="Times New Roman" w:cstheme="minorHAnsi"/>
          <w:b/>
          <w:bCs/>
          <w:sz w:val="20"/>
          <w:szCs w:val="20"/>
          <w:lang w:val="pl" w:eastAsia="pl-PL"/>
        </w:rPr>
        <w:t>3.1. Ogólne wymagania dotyczące sprzętu</w:t>
      </w:r>
    </w:p>
    <w:p w14:paraId="7E3AAFD7" w14:textId="32DE2CDA"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 xml:space="preserve">Ogólne wymagania dotyczące sprzętu podano w </w:t>
      </w:r>
      <w:r w:rsidR="00050DBE" w:rsidRPr="004853EB">
        <w:rPr>
          <w:rFonts w:eastAsia="Times New Roman" w:cstheme="minorHAnsi"/>
          <w:sz w:val="20"/>
          <w:szCs w:val="20"/>
          <w:lang w:val="pl" w:eastAsia="pl-PL"/>
        </w:rPr>
        <w:t>SST D</w:t>
      </w:r>
      <w:r w:rsidRPr="004853EB">
        <w:rPr>
          <w:rFonts w:eastAsia="Times New Roman" w:cstheme="minorHAnsi"/>
          <w:sz w:val="20"/>
          <w:szCs w:val="20"/>
          <w:lang w:val="pl" w:eastAsia="pl-PL"/>
        </w:rPr>
        <w:t>-00.00.00 „Wymagania og</w:t>
      </w:r>
      <w:r w:rsidRPr="004853EB">
        <w:rPr>
          <w:rFonts w:eastAsia="Times New Roman" w:cstheme="minorHAnsi"/>
          <w:sz w:val="20"/>
          <w:szCs w:val="20"/>
          <w:lang w:eastAsia="pl-PL"/>
        </w:rPr>
        <w:t>ólne” pkt. 3.</w:t>
      </w:r>
    </w:p>
    <w:p w14:paraId="2C78CDEF"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val="pl" w:eastAsia="pl-PL"/>
        </w:rPr>
      </w:pPr>
      <w:r w:rsidRPr="004853EB">
        <w:rPr>
          <w:rFonts w:eastAsia="Times New Roman" w:cstheme="minorHAnsi"/>
          <w:b/>
          <w:bCs/>
          <w:sz w:val="20"/>
          <w:szCs w:val="20"/>
          <w:lang w:val="pl" w:eastAsia="pl-PL"/>
        </w:rPr>
        <w:t>3.2. Sprzęt do wykonania oznakowania poziomego</w:t>
      </w:r>
    </w:p>
    <w:p w14:paraId="318102F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Wykonawca przystępujący do wykonania oznakowania poziomego, w zależności od zakresu rob</w:t>
      </w:r>
      <w:r w:rsidRPr="004853EB">
        <w:rPr>
          <w:rFonts w:eastAsia="Times New Roman" w:cstheme="minorHAnsi"/>
          <w:sz w:val="20"/>
          <w:szCs w:val="20"/>
          <w:lang w:eastAsia="pl-PL"/>
        </w:rPr>
        <w:t>ót, powinien wykazać się możliwością korzystania z następującego sprzętu, zaakceptowanego przez Inżyniera:</w:t>
      </w:r>
    </w:p>
    <w:p w14:paraId="3D5CBAD1" w14:textId="77777777" w:rsidR="00E95D02" w:rsidRPr="004853EB" w:rsidRDefault="00E95D02">
      <w:pPr>
        <w:numPr>
          <w:ilvl w:val="0"/>
          <w:numId w:val="138"/>
        </w:num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szczotek mechanicznych (zaleca się stosowanie szczotek wyposażonych w urządzenia odpylające) oraz szczotek ręcznych,</w:t>
      </w:r>
    </w:p>
    <w:p w14:paraId="2977B706" w14:textId="77777777" w:rsidR="00E95D02" w:rsidRPr="004853EB" w:rsidRDefault="00E95D02">
      <w:pPr>
        <w:numPr>
          <w:ilvl w:val="0"/>
          <w:numId w:val="138"/>
        </w:num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frezarek,</w:t>
      </w:r>
    </w:p>
    <w:p w14:paraId="70B52583" w14:textId="77777777" w:rsidR="00E95D02" w:rsidRPr="004853EB" w:rsidRDefault="00E95D02">
      <w:pPr>
        <w:numPr>
          <w:ilvl w:val="0"/>
          <w:numId w:val="138"/>
        </w:num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sprężarek,</w:t>
      </w:r>
    </w:p>
    <w:p w14:paraId="706D059A" w14:textId="77777777" w:rsidR="00E95D02" w:rsidRPr="004853EB" w:rsidRDefault="00E95D02">
      <w:pPr>
        <w:numPr>
          <w:ilvl w:val="0"/>
          <w:numId w:val="138"/>
        </w:num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układarek mas termoplastycznych i chemoutwardzalnych,</w:t>
      </w:r>
    </w:p>
    <w:p w14:paraId="217CDE42" w14:textId="77777777" w:rsidR="00E95D02" w:rsidRPr="004853EB" w:rsidRDefault="00E95D02">
      <w:pPr>
        <w:numPr>
          <w:ilvl w:val="0"/>
          <w:numId w:val="138"/>
        </w:num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sprzętu do badań określonego w ST,</w:t>
      </w:r>
    </w:p>
    <w:p w14:paraId="4E674073" w14:textId="77777777" w:rsidR="00E95D02" w:rsidRPr="004853EB" w:rsidRDefault="00E95D02">
      <w:pPr>
        <w:numPr>
          <w:ilvl w:val="0"/>
          <w:numId w:val="138"/>
        </w:num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urządzeń bezpieczeństwa ruchu do oznakowania i zabezpieczenia rob</w:t>
      </w:r>
      <w:r w:rsidRPr="004853EB">
        <w:rPr>
          <w:rFonts w:eastAsia="Times New Roman" w:cstheme="minorHAnsi"/>
          <w:sz w:val="20"/>
          <w:szCs w:val="20"/>
          <w:lang w:eastAsia="pl-PL"/>
        </w:rPr>
        <w:t>ót,</w:t>
      </w:r>
    </w:p>
    <w:p w14:paraId="6A2057A3" w14:textId="77777777" w:rsidR="00E95D02" w:rsidRPr="004853EB" w:rsidRDefault="00E95D02">
      <w:pPr>
        <w:numPr>
          <w:ilvl w:val="0"/>
          <w:numId w:val="138"/>
        </w:num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wiertnic (dotyczy PEO),</w:t>
      </w:r>
    </w:p>
    <w:p w14:paraId="75CEFC93" w14:textId="77777777" w:rsidR="00E95D02" w:rsidRPr="004853EB" w:rsidRDefault="00E95D02">
      <w:pPr>
        <w:numPr>
          <w:ilvl w:val="0"/>
          <w:numId w:val="138"/>
        </w:num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sprzętu geodezyjnego do przedznakowania,</w:t>
      </w:r>
    </w:p>
    <w:p w14:paraId="20BC96FB" w14:textId="77777777" w:rsidR="00E95D02" w:rsidRPr="004853EB" w:rsidRDefault="00E95D02">
      <w:pPr>
        <w:numPr>
          <w:ilvl w:val="0"/>
          <w:numId w:val="138"/>
        </w:num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szablonów do symboli i napisów,</w:t>
      </w:r>
    </w:p>
    <w:p w14:paraId="7DF8CD28" w14:textId="77777777" w:rsidR="00E95D02" w:rsidRPr="004853EB" w:rsidRDefault="00E95D02">
      <w:pPr>
        <w:numPr>
          <w:ilvl w:val="0"/>
          <w:numId w:val="138"/>
        </w:num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palników do wtapiania oznakowania z prefabrykowanej masy termoplastycznej.</w:t>
      </w:r>
    </w:p>
    <w:p w14:paraId="4CE37DA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Wykonawca powinien zapewnić odpowiednią jakość, ilość i wydajność układarek proporcjonalną do wielkości i czasu wykonania całego zakresu rob</w:t>
      </w:r>
      <w:r w:rsidRPr="004853EB">
        <w:rPr>
          <w:rFonts w:eastAsia="Times New Roman" w:cstheme="minorHAnsi"/>
          <w:sz w:val="20"/>
          <w:szCs w:val="20"/>
          <w:lang w:eastAsia="pl-PL"/>
        </w:rPr>
        <w:t>ót.</w:t>
      </w:r>
    </w:p>
    <w:p w14:paraId="4E584EE7" w14:textId="77777777" w:rsidR="00E95D02" w:rsidRPr="004853EB" w:rsidRDefault="00E95D02" w:rsidP="00E95D02">
      <w:pPr>
        <w:keepNext/>
        <w:keepLines/>
        <w:suppressAutoHyphens/>
        <w:autoSpaceDE w:val="0"/>
        <w:autoSpaceDN w:val="0"/>
        <w:adjustRightInd w:val="0"/>
        <w:spacing w:before="240" w:after="120" w:line="240" w:lineRule="auto"/>
        <w:jc w:val="both"/>
        <w:rPr>
          <w:rFonts w:eastAsia="Times New Roman" w:cstheme="minorHAnsi"/>
          <w:b/>
          <w:bCs/>
          <w:caps/>
          <w:sz w:val="20"/>
          <w:szCs w:val="20"/>
          <w:lang w:val="pl" w:eastAsia="pl-PL"/>
        </w:rPr>
      </w:pPr>
      <w:r w:rsidRPr="004853EB">
        <w:rPr>
          <w:rFonts w:eastAsia="Times New Roman" w:cstheme="minorHAnsi"/>
          <w:b/>
          <w:bCs/>
          <w:caps/>
          <w:sz w:val="20"/>
          <w:szCs w:val="20"/>
          <w:lang w:val="pl" w:eastAsia="pl-PL"/>
        </w:rPr>
        <w:lastRenderedPageBreak/>
        <w:t>4. Transport</w:t>
      </w:r>
    </w:p>
    <w:p w14:paraId="2CD7C897" w14:textId="77777777" w:rsidR="00E95D02" w:rsidRPr="00050DBE"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4853EB">
        <w:rPr>
          <w:rFonts w:eastAsia="Times New Roman" w:cstheme="minorHAnsi"/>
          <w:b/>
          <w:bCs/>
          <w:sz w:val="20"/>
          <w:szCs w:val="20"/>
          <w:lang w:val="pl" w:eastAsia="pl-PL"/>
        </w:rPr>
        <w:t>4.1. Ogólne wymagania dotyczące transportu</w:t>
      </w:r>
    </w:p>
    <w:p w14:paraId="6D370612" w14:textId="77777777" w:rsidR="00E95D02" w:rsidRPr="00050DBE"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050DBE">
        <w:rPr>
          <w:rFonts w:eastAsia="Times New Roman" w:cstheme="minorHAnsi"/>
          <w:sz w:val="20"/>
          <w:szCs w:val="20"/>
          <w:lang w:eastAsia="pl-PL"/>
        </w:rPr>
        <w:tab/>
        <w:t xml:space="preserve">Ogólne wymagania dotyczące transportu podano w SST D-00.00.00 „Wymagania ogólne” pkt 4. </w:t>
      </w:r>
      <w:r w:rsidRPr="00050DBE">
        <w:rPr>
          <w:rFonts w:eastAsia="Times New Roman" w:cstheme="minorHAnsi"/>
          <w:sz w:val="20"/>
          <w:szCs w:val="20"/>
          <w:lang w:eastAsia="pl-PL"/>
        </w:rPr>
        <w:tab/>
        <w:t>Materiały do znakowania drogi, spełniające wymagania podane w punkcie 2, powinny być dostarczone w oryginalnych opakowaniach handlowych i stosowane zgodnie z zaleceniami ST, producenta oraz wymaganiami znajdującymi się w aprobacie technicznej lub krajowej ocenie technicznej.</w:t>
      </w:r>
    </w:p>
    <w:p w14:paraId="72F0C9BC" w14:textId="77777777" w:rsidR="00E95D02" w:rsidRPr="00050DBE"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050DBE">
        <w:rPr>
          <w:rFonts w:eastAsia="Times New Roman" w:cstheme="minorHAnsi"/>
          <w:b/>
          <w:bCs/>
          <w:sz w:val="20"/>
          <w:szCs w:val="20"/>
          <w:lang w:eastAsia="pl-PL"/>
        </w:rPr>
        <w:t>4.2. Przewóz materiałów do poziomego znakowania dróg</w:t>
      </w:r>
    </w:p>
    <w:p w14:paraId="1A783267" w14:textId="278F1531"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050DBE">
        <w:rPr>
          <w:rFonts w:eastAsia="Times New Roman" w:cstheme="minorHAnsi"/>
          <w:sz w:val="20"/>
          <w:szCs w:val="20"/>
          <w:lang w:eastAsia="pl-PL"/>
        </w:rPr>
        <w:tab/>
        <w:t>Materiały do poziomego znakowania dróg należy przewozić w opakowaniach zapewniających szczelność, bezpieczny transport i zachowanie wymaganych właściwości materiałów. Pojemniki</w:t>
      </w:r>
      <w:r w:rsidRPr="004853EB">
        <w:rPr>
          <w:rFonts w:eastAsia="Times New Roman" w:cstheme="minorHAnsi"/>
          <w:sz w:val="20"/>
          <w:szCs w:val="20"/>
          <w:lang w:eastAsia="pl-PL"/>
        </w:rPr>
        <w:t xml:space="preserve"> powinny być oznakowane zgodnie z normą PN-O-79252 [6]. W </w:t>
      </w:r>
      <w:r w:rsidR="00050DBE" w:rsidRPr="004853EB">
        <w:rPr>
          <w:rFonts w:eastAsia="Times New Roman" w:cstheme="minorHAnsi"/>
          <w:sz w:val="20"/>
          <w:szCs w:val="20"/>
          <w:lang w:eastAsia="pl-PL"/>
        </w:rPr>
        <w:t>przypadku materiałów</w:t>
      </w:r>
      <w:r w:rsidRPr="004853EB">
        <w:rPr>
          <w:rFonts w:eastAsia="Times New Roman" w:cstheme="minorHAnsi"/>
          <w:sz w:val="20"/>
          <w:szCs w:val="20"/>
          <w:lang w:eastAsia="pl-PL"/>
        </w:rPr>
        <w:t xml:space="preserve"> niebezpiecznych opakowania powinny być oznakowane zgodnie z rozporządzeniem Ministra Zdrowia w sprawie oznakowania opakowań substancji </w:t>
      </w:r>
      <w:r w:rsidR="00050DBE" w:rsidRPr="004853EB">
        <w:rPr>
          <w:rFonts w:eastAsia="Times New Roman" w:cstheme="minorHAnsi"/>
          <w:sz w:val="20"/>
          <w:szCs w:val="20"/>
          <w:lang w:eastAsia="pl-PL"/>
        </w:rPr>
        <w:t>niebezpiecznych [</w:t>
      </w:r>
      <w:r w:rsidRPr="004853EB">
        <w:rPr>
          <w:rFonts w:eastAsia="Times New Roman" w:cstheme="minorHAnsi"/>
          <w:sz w:val="20"/>
          <w:szCs w:val="20"/>
          <w:lang w:eastAsia="pl-PL"/>
        </w:rPr>
        <w:t xml:space="preserve">18]. </w:t>
      </w:r>
    </w:p>
    <w:p w14:paraId="10324BB3"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Materiały do znakowania poziomego należy przewozić krytymi środkami transportowymi, chroniąc opakowania przed uszkodzeniem mechanicznym, zgodnie z PN-C-81400:1989 [7] oraz zgodnie z prawem przewozowym [21].</w:t>
      </w:r>
    </w:p>
    <w:p w14:paraId="748EC0EE" w14:textId="77777777" w:rsidR="00E95D02" w:rsidRPr="004853EB" w:rsidRDefault="00E95D02" w:rsidP="00E95D02">
      <w:pPr>
        <w:keepNext/>
        <w:keepLines/>
        <w:suppressAutoHyphens/>
        <w:autoSpaceDE w:val="0"/>
        <w:autoSpaceDN w:val="0"/>
        <w:adjustRightInd w:val="0"/>
        <w:spacing w:before="240" w:after="120" w:line="240" w:lineRule="auto"/>
        <w:jc w:val="both"/>
        <w:rPr>
          <w:rFonts w:eastAsia="Times New Roman" w:cstheme="minorHAnsi"/>
          <w:b/>
          <w:bCs/>
          <w:caps/>
          <w:sz w:val="20"/>
          <w:szCs w:val="20"/>
          <w:lang w:val="pl" w:eastAsia="pl-PL"/>
        </w:rPr>
      </w:pPr>
      <w:r w:rsidRPr="004853EB">
        <w:rPr>
          <w:rFonts w:eastAsia="Times New Roman" w:cstheme="minorHAnsi"/>
          <w:b/>
          <w:bCs/>
          <w:caps/>
          <w:sz w:val="20"/>
          <w:szCs w:val="20"/>
          <w:lang w:val="pl" w:eastAsia="pl-PL"/>
        </w:rPr>
        <w:t>5. Wykonanie robót</w:t>
      </w:r>
    </w:p>
    <w:p w14:paraId="238C5F6D"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val="pl" w:eastAsia="pl-PL"/>
        </w:rPr>
      </w:pPr>
      <w:r w:rsidRPr="004853EB">
        <w:rPr>
          <w:rFonts w:eastAsia="Times New Roman" w:cstheme="minorHAnsi"/>
          <w:b/>
          <w:bCs/>
          <w:sz w:val="20"/>
          <w:szCs w:val="20"/>
          <w:lang w:val="pl" w:eastAsia="pl-PL"/>
        </w:rPr>
        <w:t>5.1. Ogólne zasady wykonania robót</w:t>
      </w:r>
    </w:p>
    <w:p w14:paraId="5B35A0E7" w14:textId="77777777" w:rsidR="00E95D02" w:rsidRPr="00050DBE"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 xml:space="preserve">Ogólne zasady wykonania robót podano w SST D-00.00.00 „Wymagania </w:t>
      </w:r>
      <w:r w:rsidRPr="00050DBE">
        <w:rPr>
          <w:rFonts w:eastAsia="Times New Roman" w:cstheme="minorHAnsi"/>
          <w:sz w:val="20"/>
          <w:szCs w:val="20"/>
          <w:lang w:eastAsia="pl-PL"/>
        </w:rPr>
        <w:t xml:space="preserve">ogólne” pkt 5. Nowe i odnowione nawierzchnie dróg przed otwarciem do ruchu musza być oznakowane zgodnie z dokumentacją projektowa lub SST. </w:t>
      </w:r>
    </w:p>
    <w:p w14:paraId="336AA29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050DBE">
        <w:rPr>
          <w:rFonts w:eastAsia="Times New Roman" w:cstheme="minorHAnsi"/>
          <w:sz w:val="20"/>
          <w:szCs w:val="20"/>
          <w:lang w:eastAsia="pl-PL"/>
        </w:rPr>
        <w:t>Wykonanie oznakowania poziomego grubowarstwowego, zależy od warunków stosowa</w:t>
      </w:r>
      <w:r w:rsidRPr="004853EB">
        <w:rPr>
          <w:rFonts w:eastAsia="Times New Roman" w:cstheme="minorHAnsi"/>
          <w:sz w:val="20"/>
          <w:szCs w:val="20"/>
          <w:lang w:eastAsia="pl-PL"/>
        </w:rPr>
        <w:t>nia. W ich zakres wchodzą rodzaj i stan nawierzchni drogi, temperatura nawierzchni i powietrza, wilgotność względna powietrza, zalecana grubość powłoki i sprzęt do wykonania aplikacji. Przy wykonywaniu nowego oznakowania poziomego, spowodowanego zmianami organizacji ruchu, należy dokładnie usunąć zbędne stare oznakowanie.</w:t>
      </w:r>
    </w:p>
    <w:p w14:paraId="1CED8C66"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val="pl" w:eastAsia="pl-PL"/>
        </w:rPr>
      </w:pPr>
      <w:r w:rsidRPr="004853EB">
        <w:rPr>
          <w:rFonts w:eastAsia="Times New Roman" w:cstheme="minorHAnsi"/>
          <w:b/>
          <w:bCs/>
          <w:sz w:val="20"/>
          <w:szCs w:val="20"/>
          <w:lang w:val="pl" w:eastAsia="pl-PL"/>
        </w:rPr>
        <w:t>5.2. Warunki atmosferyczne</w:t>
      </w:r>
    </w:p>
    <w:p w14:paraId="602FE85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W czasie wykonywania oznakowania temperatura nawierzchni i powietrza powinna wynosić co najmniej 5</w:t>
      </w:r>
      <w:r w:rsidRPr="004853EB">
        <w:rPr>
          <w:rFonts w:eastAsia="Times New Roman" w:cstheme="minorHAnsi"/>
          <w:sz w:val="20"/>
          <w:szCs w:val="20"/>
          <w:lang w:eastAsia="pl-PL"/>
        </w:rPr>
        <w:t xml:space="preserve">°C, a wilgotność względna powietrza powinna być zgodna z zaleceniami producenta lub wynosić co najwyżej 85%. Szczególnie podczas prac wykonywanych w nocy należy zwrócić uwagę, czy nie został przekroczony punkt rosy. Wartość punktu rosy odczytuje się z tablicy 7. Przekroczenie punktu rosy obliguje Wykonawcę do zastosowania osuszania nawierzchni malowanej lub przerwania robót. </w:t>
      </w:r>
    </w:p>
    <w:p w14:paraId="28F12FC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p>
    <w:p w14:paraId="47C33E96" w14:textId="77777777" w:rsidR="00E95D02" w:rsidRPr="004853EB" w:rsidRDefault="00E95D02" w:rsidP="00E95D02">
      <w:pPr>
        <w:autoSpaceDE w:val="0"/>
        <w:autoSpaceDN w:val="0"/>
        <w:adjustRightInd w:val="0"/>
        <w:spacing w:before="120" w:after="12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Tablica 7. Oznaczenie punktu rosy</w:t>
      </w:r>
    </w:p>
    <w:tbl>
      <w:tblPr>
        <w:tblW w:w="0" w:type="auto"/>
        <w:tblInd w:w="257" w:type="dxa"/>
        <w:tblLayout w:type="fixed"/>
        <w:tblCellMar>
          <w:left w:w="128" w:type="dxa"/>
          <w:right w:w="128" w:type="dxa"/>
        </w:tblCellMar>
        <w:tblLook w:val="0000" w:firstRow="0" w:lastRow="0" w:firstColumn="0" w:lastColumn="0" w:noHBand="0" w:noVBand="0"/>
      </w:tblPr>
      <w:tblGrid>
        <w:gridCol w:w="1026"/>
        <w:gridCol w:w="797"/>
        <w:gridCol w:w="906"/>
        <w:gridCol w:w="906"/>
        <w:gridCol w:w="906"/>
        <w:gridCol w:w="906"/>
        <w:gridCol w:w="906"/>
        <w:gridCol w:w="735"/>
        <w:gridCol w:w="850"/>
        <w:gridCol w:w="851"/>
      </w:tblGrid>
      <w:tr w:rsidR="00E95D02" w:rsidRPr="004853EB" w14:paraId="41300E31" w14:textId="77777777" w:rsidTr="00E95D02">
        <w:trPr>
          <w:trHeight w:val="1"/>
        </w:trPr>
        <w:tc>
          <w:tcPr>
            <w:tcW w:w="102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844D10B"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Temp.</w:t>
            </w:r>
          </w:p>
          <w:p w14:paraId="73145096"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powie-trza, °C</w:t>
            </w:r>
          </w:p>
        </w:tc>
        <w:tc>
          <w:tcPr>
            <w:tcW w:w="7763" w:type="dxa"/>
            <w:gridSpan w:val="9"/>
            <w:tcBorders>
              <w:top w:val="single" w:sz="3" w:space="0" w:color="000000"/>
              <w:left w:val="single" w:sz="3" w:space="0" w:color="000000"/>
              <w:bottom w:val="single" w:sz="3" w:space="0" w:color="000000"/>
              <w:right w:val="single" w:sz="3" w:space="0" w:color="000000"/>
            </w:tcBorders>
            <w:shd w:val="clear" w:color="000000" w:fill="FFFFFF"/>
            <w:vAlign w:val="center"/>
          </w:tcPr>
          <w:p w14:paraId="6D64702B"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Względna wilgotność powietrza, %</w:t>
            </w:r>
          </w:p>
        </w:tc>
      </w:tr>
      <w:tr w:rsidR="00E95D02" w:rsidRPr="004853EB" w14:paraId="0B88A383" w14:textId="77777777" w:rsidTr="00E95D02">
        <w:trPr>
          <w:trHeight w:val="1"/>
        </w:trPr>
        <w:tc>
          <w:tcPr>
            <w:tcW w:w="1026" w:type="dxa"/>
            <w:tcBorders>
              <w:top w:val="single" w:sz="3" w:space="0" w:color="000000"/>
              <w:left w:val="single" w:sz="3" w:space="0" w:color="000000"/>
              <w:bottom w:val="single" w:sz="3" w:space="0" w:color="000000"/>
              <w:right w:val="single" w:sz="3" w:space="0" w:color="000000"/>
            </w:tcBorders>
            <w:shd w:val="clear" w:color="000000" w:fill="FFFFFF"/>
          </w:tcPr>
          <w:p w14:paraId="6B9D4F48"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p>
        </w:tc>
        <w:tc>
          <w:tcPr>
            <w:tcW w:w="797" w:type="dxa"/>
            <w:tcBorders>
              <w:top w:val="single" w:sz="3" w:space="0" w:color="000000"/>
              <w:left w:val="single" w:sz="3" w:space="0" w:color="000000"/>
              <w:bottom w:val="single" w:sz="3" w:space="0" w:color="000000"/>
              <w:right w:val="single" w:sz="3" w:space="0" w:color="000000"/>
            </w:tcBorders>
            <w:shd w:val="clear" w:color="000000" w:fill="FFFFFF"/>
          </w:tcPr>
          <w:p w14:paraId="0CF76310"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50%</w:t>
            </w:r>
          </w:p>
        </w:tc>
        <w:tc>
          <w:tcPr>
            <w:tcW w:w="906" w:type="dxa"/>
            <w:tcBorders>
              <w:top w:val="single" w:sz="3" w:space="0" w:color="000000"/>
              <w:left w:val="single" w:sz="3" w:space="0" w:color="000000"/>
              <w:bottom w:val="single" w:sz="3" w:space="0" w:color="000000"/>
              <w:right w:val="single" w:sz="3" w:space="0" w:color="000000"/>
            </w:tcBorders>
            <w:shd w:val="clear" w:color="000000" w:fill="FFFFFF"/>
          </w:tcPr>
          <w:p w14:paraId="09A0117E"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55%</w:t>
            </w:r>
          </w:p>
        </w:tc>
        <w:tc>
          <w:tcPr>
            <w:tcW w:w="906" w:type="dxa"/>
            <w:tcBorders>
              <w:top w:val="single" w:sz="3" w:space="0" w:color="000000"/>
              <w:left w:val="single" w:sz="3" w:space="0" w:color="000000"/>
              <w:bottom w:val="single" w:sz="3" w:space="0" w:color="000000"/>
              <w:right w:val="single" w:sz="3" w:space="0" w:color="000000"/>
            </w:tcBorders>
            <w:shd w:val="clear" w:color="000000" w:fill="FFFFFF"/>
          </w:tcPr>
          <w:p w14:paraId="5CCBB67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60%</w:t>
            </w:r>
          </w:p>
        </w:tc>
        <w:tc>
          <w:tcPr>
            <w:tcW w:w="906" w:type="dxa"/>
            <w:tcBorders>
              <w:top w:val="single" w:sz="3" w:space="0" w:color="000000"/>
              <w:left w:val="single" w:sz="3" w:space="0" w:color="000000"/>
              <w:bottom w:val="single" w:sz="3" w:space="0" w:color="000000"/>
              <w:right w:val="single" w:sz="3" w:space="0" w:color="000000"/>
            </w:tcBorders>
            <w:shd w:val="clear" w:color="000000" w:fill="FFFFFF"/>
          </w:tcPr>
          <w:p w14:paraId="0E24973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65%</w:t>
            </w:r>
          </w:p>
        </w:tc>
        <w:tc>
          <w:tcPr>
            <w:tcW w:w="906" w:type="dxa"/>
            <w:tcBorders>
              <w:top w:val="single" w:sz="3" w:space="0" w:color="000000"/>
              <w:left w:val="single" w:sz="3" w:space="0" w:color="000000"/>
              <w:bottom w:val="single" w:sz="3" w:space="0" w:color="000000"/>
              <w:right w:val="single" w:sz="3" w:space="0" w:color="000000"/>
            </w:tcBorders>
            <w:shd w:val="clear" w:color="000000" w:fill="FFFFFF"/>
          </w:tcPr>
          <w:p w14:paraId="2CCA604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70%</w:t>
            </w:r>
          </w:p>
        </w:tc>
        <w:tc>
          <w:tcPr>
            <w:tcW w:w="906" w:type="dxa"/>
            <w:tcBorders>
              <w:top w:val="single" w:sz="3" w:space="0" w:color="000000"/>
              <w:left w:val="single" w:sz="3" w:space="0" w:color="000000"/>
              <w:bottom w:val="single" w:sz="3" w:space="0" w:color="000000"/>
              <w:right w:val="single" w:sz="3" w:space="0" w:color="000000"/>
            </w:tcBorders>
            <w:shd w:val="clear" w:color="000000" w:fill="FFFFFF"/>
          </w:tcPr>
          <w:p w14:paraId="6ADCD703"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75%</w:t>
            </w:r>
          </w:p>
        </w:tc>
        <w:tc>
          <w:tcPr>
            <w:tcW w:w="735" w:type="dxa"/>
            <w:tcBorders>
              <w:top w:val="single" w:sz="3" w:space="0" w:color="000000"/>
              <w:left w:val="single" w:sz="3" w:space="0" w:color="000000"/>
              <w:bottom w:val="single" w:sz="3" w:space="0" w:color="000000"/>
              <w:right w:val="single" w:sz="3" w:space="0" w:color="000000"/>
            </w:tcBorders>
            <w:shd w:val="clear" w:color="000000" w:fill="FFFFFF"/>
          </w:tcPr>
          <w:p w14:paraId="35319004"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80%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14:paraId="496EC218"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85%</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14:paraId="3918E7F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90%</w:t>
            </w:r>
          </w:p>
        </w:tc>
      </w:tr>
      <w:tr w:rsidR="00E95D02" w:rsidRPr="004853EB" w14:paraId="463D5849" w14:textId="77777777" w:rsidTr="00E95D02">
        <w:trPr>
          <w:trHeight w:val="1"/>
        </w:trPr>
        <w:tc>
          <w:tcPr>
            <w:tcW w:w="1026" w:type="dxa"/>
            <w:tcBorders>
              <w:top w:val="single" w:sz="3" w:space="0" w:color="000000"/>
              <w:left w:val="single" w:sz="3" w:space="0" w:color="000000"/>
              <w:bottom w:val="single" w:sz="3" w:space="0" w:color="000000"/>
              <w:right w:val="single" w:sz="3" w:space="0" w:color="000000"/>
            </w:tcBorders>
            <w:shd w:val="clear" w:color="000000" w:fill="FFFFFF"/>
          </w:tcPr>
          <w:p w14:paraId="13F5A0D3"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5</w:t>
            </w:r>
          </w:p>
          <w:p w14:paraId="51277606"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6</w:t>
            </w:r>
          </w:p>
          <w:p w14:paraId="71E7A6EF"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7</w:t>
            </w:r>
          </w:p>
          <w:p w14:paraId="5EFC0819"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8</w:t>
            </w:r>
          </w:p>
          <w:p w14:paraId="05CF88DE"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9</w:t>
            </w:r>
          </w:p>
          <w:p w14:paraId="05C261B4"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10</w:t>
            </w:r>
          </w:p>
          <w:p w14:paraId="0D2ADA96"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11</w:t>
            </w:r>
          </w:p>
          <w:p w14:paraId="401055B4"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12</w:t>
            </w:r>
          </w:p>
          <w:p w14:paraId="4DB4B07C"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13</w:t>
            </w:r>
          </w:p>
          <w:p w14:paraId="27E35393"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14</w:t>
            </w:r>
          </w:p>
          <w:p w14:paraId="5709EFAA"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15</w:t>
            </w:r>
          </w:p>
          <w:p w14:paraId="333C2E9E"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16</w:t>
            </w:r>
          </w:p>
          <w:p w14:paraId="26D51F6B"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17</w:t>
            </w:r>
          </w:p>
          <w:p w14:paraId="5923124D"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18</w:t>
            </w:r>
          </w:p>
          <w:p w14:paraId="31820A49"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19</w:t>
            </w:r>
          </w:p>
          <w:p w14:paraId="64D16517"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20</w:t>
            </w:r>
          </w:p>
          <w:p w14:paraId="502003A3"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lastRenderedPageBreak/>
              <w:t>21</w:t>
            </w:r>
          </w:p>
          <w:p w14:paraId="77386DB6"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22</w:t>
            </w:r>
          </w:p>
          <w:p w14:paraId="4AD5D5BA"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23</w:t>
            </w:r>
          </w:p>
          <w:p w14:paraId="08752F18"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24</w:t>
            </w:r>
          </w:p>
          <w:p w14:paraId="129C5C20"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25</w:t>
            </w:r>
          </w:p>
          <w:p w14:paraId="1386F824"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26</w:t>
            </w:r>
          </w:p>
          <w:p w14:paraId="3BEA3F9D"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27</w:t>
            </w:r>
          </w:p>
          <w:p w14:paraId="24974F44"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28</w:t>
            </w:r>
          </w:p>
          <w:p w14:paraId="5BC8A663"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29</w:t>
            </w:r>
          </w:p>
          <w:p w14:paraId="3BA41721"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30</w:t>
            </w:r>
          </w:p>
        </w:tc>
        <w:tc>
          <w:tcPr>
            <w:tcW w:w="797" w:type="dxa"/>
            <w:tcBorders>
              <w:top w:val="single" w:sz="3" w:space="0" w:color="000000"/>
              <w:left w:val="single" w:sz="3" w:space="0" w:color="000000"/>
              <w:bottom w:val="single" w:sz="3" w:space="0" w:color="000000"/>
              <w:right w:val="single" w:sz="3" w:space="0" w:color="000000"/>
            </w:tcBorders>
            <w:shd w:val="clear" w:color="000000" w:fill="FFFFFF"/>
          </w:tcPr>
          <w:p w14:paraId="21182DC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-4,1</w:t>
            </w:r>
          </w:p>
          <w:p w14:paraId="37A1B8A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-3,2</w:t>
            </w:r>
          </w:p>
          <w:p w14:paraId="52360528"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-2,4</w:t>
            </w:r>
          </w:p>
          <w:p w14:paraId="7D70C098"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-1,6</w:t>
            </w:r>
          </w:p>
          <w:p w14:paraId="69998B1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-0,8</w:t>
            </w:r>
          </w:p>
          <w:p w14:paraId="4279E592"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0,1</w:t>
            </w:r>
          </w:p>
          <w:p w14:paraId="5968E150"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1,0</w:t>
            </w:r>
          </w:p>
          <w:p w14:paraId="27989AA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1,9</w:t>
            </w:r>
          </w:p>
          <w:p w14:paraId="24718AF4"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2,8</w:t>
            </w:r>
          </w:p>
          <w:p w14:paraId="32EC7268"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3,7</w:t>
            </w:r>
          </w:p>
          <w:p w14:paraId="33EDC95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4,7</w:t>
            </w:r>
          </w:p>
          <w:p w14:paraId="4452B67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5,6</w:t>
            </w:r>
          </w:p>
          <w:p w14:paraId="34300B71"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6,5</w:t>
            </w:r>
          </w:p>
          <w:p w14:paraId="3233B7B5"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7,4</w:t>
            </w:r>
          </w:p>
          <w:p w14:paraId="051B6370"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8,3</w:t>
            </w:r>
          </w:p>
          <w:p w14:paraId="06C27A83"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9,3</w:t>
            </w:r>
          </w:p>
          <w:p w14:paraId="6DE29741"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10,2</w:t>
            </w:r>
          </w:p>
          <w:p w14:paraId="28D18423"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11,1</w:t>
            </w:r>
          </w:p>
          <w:p w14:paraId="08C6FF5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12,0</w:t>
            </w:r>
          </w:p>
          <w:p w14:paraId="553F8C05"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12,9</w:t>
            </w:r>
          </w:p>
          <w:p w14:paraId="01EB719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13,8</w:t>
            </w:r>
          </w:p>
          <w:p w14:paraId="407246B0"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14,8</w:t>
            </w:r>
          </w:p>
          <w:p w14:paraId="7B0E9FA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15,7</w:t>
            </w:r>
          </w:p>
          <w:p w14:paraId="7B10F3E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16,6</w:t>
            </w:r>
          </w:p>
          <w:p w14:paraId="546AFF4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17,5</w:t>
            </w:r>
          </w:p>
          <w:p w14:paraId="27D100F8"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18,4</w:t>
            </w:r>
          </w:p>
        </w:tc>
        <w:tc>
          <w:tcPr>
            <w:tcW w:w="906" w:type="dxa"/>
            <w:tcBorders>
              <w:top w:val="single" w:sz="3" w:space="0" w:color="000000"/>
              <w:left w:val="single" w:sz="3" w:space="0" w:color="000000"/>
              <w:bottom w:val="single" w:sz="3" w:space="0" w:color="000000"/>
              <w:right w:val="single" w:sz="3" w:space="0" w:color="000000"/>
            </w:tcBorders>
            <w:shd w:val="clear" w:color="000000" w:fill="FFFFFF"/>
          </w:tcPr>
          <w:p w14:paraId="181EF553"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-2,9</w:t>
            </w:r>
          </w:p>
          <w:p w14:paraId="76B632B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-2,1</w:t>
            </w:r>
          </w:p>
          <w:p w14:paraId="46C46DD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-1,3</w:t>
            </w:r>
          </w:p>
          <w:p w14:paraId="78B6EFE0"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-0,4</w:t>
            </w:r>
          </w:p>
          <w:p w14:paraId="1D1D609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0,4</w:t>
            </w:r>
          </w:p>
          <w:p w14:paraId="0B0FFA72"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1,3</w:t>
            </w:r>
          </w:p>
          <w:p w14:paraId="7F079C9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2,3</w:t>
            </w:r>
          </w:p>
          <w:p w14:paraId="62100B8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3,2</w:t>
            </w:r>
          </w:p>
          <w:p w14:paraId="1C970174"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4,2</w:t>
            </w:r>
          </w:p>
          <w:p w14:paraId="681F769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5,1</w:t>
            </w:r>
          </w:p>
          <w:p w14:paraId="1A154238"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6,1</w:t>
            </w:r>
          </w:p>
          <w:p w14:paraId="3C9A1D22"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7,0</w:t>
            </w:r>
          </w:p>
          <w:p w14:paraId="7F5C836E"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7,9</w:t>
            </w:r>
          </w:p>
          <w:p w14:paraId="1B2B0A40"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8,8</w:t>
            </w:r>
          </w:p>
          <w:p w14:paraId="5D34F351"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9,7</w:t>
            </w:r>
          </w:p>
          <w:p w14:paraId="536761D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10,7</w:t>
            </w:r>
          </w:p>
          <w:p w14:paraId="4022234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11,6</w:t>
            </w:r>
          </w:p>
          <w:p w14:paraId="78B0BD13"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12,5</w:t>
            </w:r>
          </w:p>
          <w:p w14:paraId="2F52710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13,5</w:t>
            </w:r>
          </w:p>
          <w:p w14:paraId="08C6B50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14,4</w:t>
            </w:r>
          </w:p>
          <w:p w14:paraId="4A1C33D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15,3</w:t>
            </w:r>
          </w:p>
          <w:p w14:paraId="36FED9CA"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16,2</w:t>
            </w:r>
          </w:p>
          <w:p w14:paraId="69F5E3C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17,2</w:t>
            </w:r>
          </w:p>
          <w:p w14:paraId="19317CB4"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18,1</w:t>
            </w:r>
          </w:p>
          <w:p w14:paraId="1A89CC93"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19,1</w:t>
            </w:r>
          </w:p>
          <w:p w14:paraId="3379EC4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20,0</w:t>
            </w:r>
          </w:p>
        </w:tc>
        <w:tc>
          <w:tcPr>
            <w:tcW w:w="906" w:type="dxa"/>
            <w:tcBorders>
              <w:top w:val="single" w:sz="3" w:space="0" w:color="000000"/>
              <w:left w:val="single" w:sz="3" w:space="0" w:color="000000"/>
              <w:bottom w:val="single" w:sz="3" w:space="0" w:color="000000"/>
              <w:right w:val="single" w:sz="3" w:space="0" w:color="000000"/>
            </w:tcBorders>
            <w:shd w:val="clear" w:color="000000" w:fill="FFFFFF"/>
          </w:tcPr>
          <w:p w14:paraId="676B626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-1,8</w:t>
            </w:r>
          </w:p>
          <w:p w14:paraId="1DABAD44"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-1,0</w:t>
            </w:r>
          </w:p>
          <w:p w14:paraId="5E22CFF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-0,2</w:t>
            </w:r>
          </w:p>
          <w:p w14:paraId="7891DEE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0,8</w:t>
            </w:r>
          </w:p>
          <w:p w14:paraId="0F21DE8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1,7</w:t>
            </w:r>
          </w:p>
          <w:p w14:paraId="21638065"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2,6</w:t>
            </w:r>
          </w:p>
          <w:p w14:paraId="01416CE0"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3,5</w:t>
            </w:r>
          </w:p>
          <w:p w14:paraId="45FA7A1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4,5</w:t>
            </w:r>
          </w:p>
          <w:p w14:paraId="352B4882"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5,4</w:t>
            </w:r>
          </w:p>
          <w:p w14:paraId="58897B5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6,4</w:t>
            </w:r>
          </w:p>
          <w:p w14:paraId="2D4DA9D3"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7,3</w:t>
            </w:r>
          </w:p>
          <w:p w14:paraId="1778C8B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8,3</w:t>
            </w:r>
          </w:p>
          <w:p w14:paraId="0FB9C04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9,2</w:t>
            </w:r>
          </w:p>
          <w:p w14:paraId="6411E71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10,2</w:t>
            </w:r>
          </w:p>
          <w:p w14:paraId="1DDB36E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11,1</w:t>
            </w:r>
          </w:p>
          <w:p w14:paraId="7DD5CB5A"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12,0</w:t>
            </w:r>
          </w:p>
          <w:p w14:paraId="0DE72593"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12,9</w:t>
            </w:r>
          </w:p>
          <w:p w14:paraId="77991ED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13,8</w:t>
            </w:r>
          </w:p>
          <w:p w14:paraId="4840FEEA"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14,8</w:t>
            </w:r>
          </w:p>
          <w:p w14:paraId="00802490"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15,7</w:t>
            </w:r>
          </w:p>
          <w:p w14:paraId="4F075BB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16,7</w:t>
            </w:r>
          </w:p>
          <w:p w14:paraId="6856462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17,6</w:t>
            </w:r>
          </w:p>
          <w:p w14:paraId="50CF620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18,6</w:t>
            </w:r>
          </w:p>
          <w:p w14:paraId="3EF1528E"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19,5</w:t>
            </w:r>
          </w:p>
          <w:p w14:paraId="4AF8F684"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20,5</w:t>
            </w:r>
          </w:p>
          <w:p w14:paraId="4C15F321"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21,4</w:t>
            </w:r>
          </w:p>
        </w:tc>
        <w:tc>
          <w:tcPr>
            <w:tcW w:w="906" w:type="dxa"/>
            <w:tcBorders>
              <w:top w:val="single" w:sz="3" w:space="0" w:color="000000"/>
              <w:left w:val="single" w:sz="3" w:space="0" w:color="000000"/>
              <w:bottom w:val="single" w:sz="3" w:space="0" w:color="000000"/>
              <w:right w:val="single" w:sz="3" w:space="0" w:color="000000"/>
            </w:tcBorders>
            <w:shd w:val="clear" w:color="000000" w:fill="FFFFFF"/>
          </w:tcPr>
          <w:p w14:paraId="011D164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-0,9</w:t>
            </w:r>
          </w:p>
          <w:p w14:paraId="53EC5AB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-0,1</w:t>
            </w:r>
          </w:p>
          <w:p w14:paraId="2D61E04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0,8</w:t>
            </w:r>
          </w:p>
          <w:p w14:paraId="1EE6AE8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1,8</w:t>
            </w:r>
          </w:p>
          <w:p w14:paraId="12C278F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2,7</w:t>
            </w:r>
          </w:p>
          <w:p w14:paraId="49A7623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3,7</w:t>
            </w:r>
          </w:p>
          <w:p w14:paraId="35709514"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4,6</w:t>
            </w:r>
          </w:p>
          <w:p w14:paraId="3B13EEB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5,6</w:t>
            </w:r>
          </w:p>
          <w:p w14:paraId="06B9C324"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6,6</w:t>
            </w:r>
          </w:p>
          <w:p w14:paraId="1F7FFBB2"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7,5</w:t>
            </w:r>
          </w:p>
          <w:p w14:paraId="0BE7974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8,5</w:t>
            </w:r>
          </w:p>
          <w:p w14:paraId="4EA47BA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9,5</w:t>
            </w:r>
          </w:p>
          <w:p w14:paraId="17289A3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10,4</w:t>
            </w:r>
          </w:p>
          <w:p w14:paraId="0BB14D6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11,4</w:t>
            </w:r>
          </w:p>
          <w:p w14:paraId="2BF35A4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12,3</w:t>
            </w:r>
          </w:p>
          <w:p w14:paraId="31DC6623"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13,3</w:t>
            </w:r>
          </w:p>
          <w:p w14:paraId="6F471398"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14,2</w:t>
            </w:r>
          </w:p>
          <w:p w14:paraId="14C7A7F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15,2</w:t>
            </w:r>
          </w:p>
          <w:p w14:paraId="4A84021A"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16,1</w:t>
            </w:r>
          </w:p>
          <w:p w14:paraId="455188F2"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17,0</w:t>
            </w:r>
          </w:p>
          <w:p w14:paraId="63FF7C2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17,9</w:t>
            </w:r>
          </w:p>
          <w:p w14:paraId="5B4B1F5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18,8</w:t>
            </w:r>
          </w:p>
          <w:p w14:paraId="6BFE1C6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19,8</w:t>
            </w:r>
          </w:p>
          <w:p w14:paraId="0E94866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20,8</w:t>
            </w:r>
          </w:p>
          <w:p w14:paraId="72F57908"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21,7</w:t>
            </w:r>
          </w:p>
          <w:p w14:paraId="4E3110A8"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22,7</w:t>
            </w:r>
          </w:p>
        </w:tc>
        <w:tc>
          <w:tcPr>
            <w:tcW w:w="906" w:type="dxa"/>
            <w:tcBorders>
              <w:top w:val="single" w:sz="3" w:space="0" w:color="000000"/>
              <w:left w:val="single" w:sz="3" w:space="0" w:color="000000"/>
              <w:bottom w:val="single" w:sz="3" w:space="0" w:color="000000"/>
              <w:right w:val="single" w:sz="3" w:space="0" w:color="000000"/>
            </w:tcBorders>
            <w:shd w:val="clear" w:color="000000" w:fill="FFFFFF"/>
          </w:tcPr>
          <w:p w14:paraId="4B58D47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0,0</w:t>
            </w:r>
          </w:p>
          <w:p w14:paraId="29DBFED3"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0,9</w:t>
            </w:r>
          </w:p>
          <w:p w14:paraId="77CBA87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1,8</w:t>
            </w:r>
          </w:p>
          <w:p w14:paraId="5B0A9F7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2,8</w:t>
            </w:r>
          </w:p>
          <w:p w14:paraId="419487F3"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3,8</w:t>
            </w:r>
          </w:p>
          <w:p w14:paraId="7A304872"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4,7</w:t>
            </w:r>
          </w:p>
          <w:p w14:paraId="29582F15"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5,6</w:t>
            </w:r>
          </w:p>
          <w:p w14:paraId="3713013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6,6</w:t>
            </w:r>
          </w:p>
          <w:p w14:paraId="6F233502"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7,6</w:t>
            </w:r>
          </w:p>
          <w:p w14:paraId="34B5823E"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8,6</w:t>
            </w:r>
          </w:p>
          <w:p w14:paraId="32524962"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9,5</w:t>
            </w:r>
          </w:p>
          <w:p w14:paraId="19D60BA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10,5</w:t>
            </w:r>
          </w:p>
          <w:p w14:paraId="438A7B82"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11,5</w:t>
            </w:r>
          </w:p>
          <w:p w14:paraId="32B102A5"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12,4</w:t>
            </w:r>
          </w:p>
          <w:p w14:paraId="4BBF344E"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13,4</w:t>
            </w:r>
          </w:p>
          <w:p w14:paraId="01466F4E"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14,4</w:t>
            </w:r>
          </w:p>
          <w:p w14:paraId="0628A415"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15,3</w:t>
            </w:r>
          </w:p>
          <w:p w14:paraId="602B7B91"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16,3</w:t>
            </w:r>
          </w:p>
          <w:p w14:paraId="7F304904"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17,2</w:t>
            </w:r>
          </w:p>
          <w:p w14:paraId="7A6E092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18,2</w:t>
            </w:r>
          </w:p>
          <w:p w14:paraId="6A61E9D1"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19,1</w:t>
            </w:r>
          </w:p>
          <w:p w14:paraId="4953F03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20,1</w:t>
            </w:r>
          </w:p>
          <w:p w14:paraId="34340A8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21,1</w:t>
            </w:r>
          </w:p>
          <w:p w14:paraId="4B85E4D8"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22,0</w:t>
            </w:r>
          </w:p>
          <w:p w14:paraId="6AA9049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22,9</w:t>
            </w:r>
          </w:p>
          <w:p w14:paraId="7121F1B0"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23,9</w:t>
            </w:r>
          </w:p>
        </w:tc>
        <w:tc>
          <w:tcPr>
            <w:tcW w:w="906" w:type="dxa"/>
            <w:tcBorders>
              <w:top w:val="single" w:sz="3" w:space="0" w:color="000000"/>
              <w:left w:val="single" w:sz="3" w:space="0" w:color="000000"/>
              <w:bottom w:val="single" w:sz="3" w:space="0" w:color="000000"/>
              <w:right w:val="single" w:sz="3" w:space="0" w:color="000000"/>
            </w:tcBorders>
            <w:shd w:val="clear" w:color="000000" w:fill="FFFFFF"/>
          </w:tcPr>
          <w:p w14:paraId="3E41EF2A"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0,9</w:t>
            </w:r>
          </w:p>
          <w:p w14:paraId="0280EC6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1,8</w:t>
            </w:r>
          </w:p>
          <w:p w14:paraId="26FA3CEE"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2,8</w:t>
            </w:r>
          </w:p>
          <w:p w14:paraId="6900468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3,8</w:t>
            </w:r>
          </w:p>
          <w:p w14:paraId="4A9FD37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4,7</w:t>
            </w:r>
          </w:p>
          <w:p w14:paraId="708024D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5,7</w:t>
            </w:r>
          </w:p>
          <w:p w14:paraId="7F12372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6,7</w:t>
            </w:r>
          </w:p>
          <w:p w14:paraId="78DBA8EA"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7,7</w:t>
            </w:r>
          </w:p>
          <w:p w14:paraId="1DEC04A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8,6</w:t>
            </w:r>
          </w:p>
          <w:p w14:paraId="027C61CE"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9,6</w:t>
            </w:r>
          </w:p>
          <w:p w14:paraId="78C0C01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10,6</w:t>
            </w:r>
          </w:p>
          <w:p w14:paraId="15967BFE"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11,6</w:t>
            </w:r>
          </w:p>
          <w:p w14:paraId="491F81E2"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12,5</w:t>
            </w:r>
          </w:p>
          <w:p w14:paraId="58C6A74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13,5</w:t>
            </w:r>
          </w:p>
          <w:p w14:paraId="580CF38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14,5</w:t>
            </w:r>
          </w:p>
          <w:p w14:paraId="03E7C250"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15,4</w:t>
            </w:r>
          </w:p>
          <w:p w14:paraId="6D162DF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16,4</w:t>
            </w:r>
          </w:p>
          <w:p w14:paraId="06EEFBD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17,4</w:t>
            </w:r>
          </w:p>
          <w:p w14:paraId="1940DC33"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18,4</w:t>
            </w:r>
          </w:p>
          <w:p w14:paraId="684C499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19,3</w:t>
            </w:r>
          </w:p>
          <w:p w14:paraId="51B1425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20,3</w:t>
            </w:r>
          </w:p>
          <w:p w14:paraId="184AB47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21,2</w:t>
            </w:r>
          </w:p>
          <w:p w14:paraId="04F9D6D5"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22,2</w:t>
            </w:r>
          </w:p>
          <w:p w14:paraId="7FB3532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23,2</w:t>
            </w:r>
          </w:p>
          <w:p w14:paraId="1D8B3FEA"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24,1</w:t>
            </w:r>
          </w:p>
          <w:p w14:paraId="021FC802"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25,1</w:t>
            </w:r>
          </w:p>
        </w:tc>
        <w:tc>
          <w:tcPr>
            <w:tcW w:w="735" w:type="dxa"/>
            <w:tcBorders>
              <w:top w:val="single" w:sz="3" w:space="0" w:color="000000"/>
              <w:left w:val="single" w:sz="3" w:space="0" w:color="000000"/>
              <w:bottom w:val="single" w:sz="3" w:space="0" w:color="000000"/>
              <w:right w:val="single" w:sz="3" w:space="0" w:color="000000"/>
            </w:tcBorders>
            <w:shd w:val="clear" w:color="000000" w:fill="FFFFFF"/>
          </w:tcPr>
          <w:p w14:paraId="18489998"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1,8</w:t>
            </w:r>
          </w:p>
          <w:p w14:paraId="34391DC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2,8</w:t>
            </w:r>
          </w:p>
          <w:p w14:paraId="0E38700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3,7</w:t>
            </w:r>
          </w:p>
          <w:p w14:paraId="262E8560"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4,7</w:t>
            </w:r>
          </w:p>
          <w:p w14:paraId="61BF7CA1"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5,7</w:t>
            </w:r>
          </w:p>
          <w:p w14:paraId="0A1D14A4"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6,7</w:t>
            </w:r>
          </w:p>
          <w:p w14:paraId="18AD9D7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7,6</w:t>
            </w:r>
          </w:p>
          <w:p w14:paraId="577F89F1"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8,6</w:t>
            </w:r>
          </w:p>
          <w:p w14:paraId="52DBD1F8"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9,6</w:t>
            </w:r>
          </w:p>
          <w:p w14:paraId="5612F4C1"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10,6</w:t>
            </w:r>
          </w:p>
          <w:p w14:paraId="30446BE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11,5</w:t>
            </w:r>
          </w:p>
          <w:p w14:paraId="4BEC43F3"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12,5</w:t>
            </w:r>
          </w:p>
          <w:p w14:paraId="41F7A29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13,5</w:t>
            </w:r>
          </w:p>
          <w:p w14:paraId="542612A3"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14,5</w:t>
            </w:r>
          </w:p>
          <w:p w14:paraId="53A5DA7E"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15,5</w:t>
            </w:r>
          </w:p>
          <w:p w14:paraId="1CBC077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16,4</w:t>
            </w:r>
          </w:p>
          <w:p w14:paraId="7477251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17,4</w:t>
            </w:r>
          </w:p>
          <w:p w14:paraId="19D6BA6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18,4</w:t>
            </w:r>
          </w:p>
          <w:p w14:paraId="5DBA9DC5"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19,4</w:t>
            </w:r>
          </w:p>
          <w:p w14:paraId="5B4374E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20,3</w:t>
            </w:r>
          </w:p>
          <w:p w14:paraId="45E939D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21,3</w:t>
            </w:r>
          </w:p>
          <w:p w14:paraId="1F5D624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22,3</w:t>
            </w:r>
          </w:p>
          <w:p w14:paraId="5C8FD77E"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23,2</w:t>
            </w:r>
          </w:p>
          <w:p w14:paraId="154AE23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24,2</w:t>
            </w:r>
          </w:p>
          <w:p w14:paraId="74D5A2A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25,2</w:t>
            </w:r>
          </w:p>
          <w:p w14:paraId="42CE1432"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26,2</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14:paraId="76E9A418"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2,7</w:t>
            </w:r>
          </w:p>
          <w:p w14:paraId="7C491611"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3,7</w:t>
            </w:r>
          </w:p>
          <w:p w14:paraId="1AE07301"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4,6</w:t>
            </w:r>
          </w:p>
          <w:p w14:paraId="2FA8A55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5,6</w:t>
            </w:r>
          </w:p>
          <w:p w14:paraId="73DBA204"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6,6</w:t>
            </w:r>
          </w:p>
          <w:p w14:paraId="4BE3621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7,6</w:t>
            </w:r>
          </w:p>
          <w:p w14:paraId="6D38240A"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8,6</w:t>
            </w:r>
          </w:p>
          <w:p w14:paraId="1DCB793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9,6</w:t>
            </w:r>
          </w:p>
          <w:p w14:paraId="21F6D854"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10,6</w:t>
            </w:r>
          </w:p>
          <w:p w14:paraId="15D5C6B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11,5</w:t>
            </w:r>
          </w:p>
          <w:p w14:paraId="453516C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12,5</w:t>
            </w:r>
          </w:p>
          <w:p w14:paraId="20B8726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13,5</w:t>
            </w:r>
          </w:p>
          <w:p w14:paraId="5F0A3255"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14,5</w:t>
            </w:r>
          </w:p>
          <w:p w14:paraId="2539E150"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15,4</w:t>
            </w:r>
          </w:p>
          <w:p w14:paraId="38858C42"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16,4</w:t>
            </w:r>
          </w:p>
          <w:p w14:paraId="7662A3C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17,4</w:t>
            </w:r>
          </w:p>
          <w:p w14:paraId="4132076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18,4</w:t>
            </w:r>
          </w:p>
          <w:p w14:paraId="3752A281"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19,4</w:t>
            </w:r>
          </w:p>
          <w:p w14:paraId="78310F85"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20,3</w:t>
            </w:r>
          </w:p>
          <w:p w14:paraId="0D2D474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21,3</w:t>
            </w:r>
          </w:p>
          <w:p w14:paraId="1D14EA54"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22,3</w:t>
            </w:r>
          </w:p>
          <w:p w14:paraId="466E6970"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23,3</w:t>
            </w:r>
          </w:p>
          <w:p w14:paraId="14CFCE20"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24,3</w:t>
            </w:r>
          </w:p>
          <w:p w14:paraId="03234C5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25,2</w:t>
            </w:r>
          </w:p>
          <w:p w14:paraId="7C34473F"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26,2</w:t>
            </w:r>
          </w:p>
          <w:p w14:paraId="7C9E2B14"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27,2</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14:paraId="5AE7A47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3,6</w:t>
            </w:r>
          </w:p>
          <w:p w14:paraId="039D2900"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4,5</w:t>
            </w:r>
          </w:p>
          <w:p w14:paraId="3F3A883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5,5</w:t>
            </w:r>
          </w:p>
          <w:p w14:paraId="43888E0E"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6,5</w:t>
            </w:r>
          </w:p>
          <w:p w14:paraId="68BE9463"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7,5</w:t>
            </w:r>
          </w:p>
          <w:p w14:paraId="724F89F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8,4</w:t>
            </w:r>
          </w:p>
          <w:p w14:paraId="706D513A"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9,4</w:t>
            </w:r>
          </w:p>
          <w:p w14:paraId="2CD1FF6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10,4</w:t>
            </w:r>
          </w:p>
          <w:p w14:paraId="0F3FEA7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11,4</w:t>
            </w:r>
          </w:p>
          <w:p w14:paraId="221274C1"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12,4</w:t>
            </w:r>
          </w:p>
          <w:p w14:paraId="3915D952"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13,4</w:t>
            </w:r>
          </w:p>
          <w:p w14:paraId="163EE40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14,4</w:t>
            </w:r>
          </w:p>
          <w:p w14:paraId="05BE8DB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15,3</w:t>
            </w:r>
          </w:p>
          <w:p w14:paraId="7A4FE05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16,3</w:t>
            </w:r>
          </w:p>
          <w:p w14:paraId="655EB6F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17,3</w:t>
            </w:r>
          </w:p>
          <w:p w14:paraId="7D9EB6B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18,3</w:t>
            </w:r>
          </w:p>
          <w:p w14:paraId="4CD55EA8"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19,3</w:t>
            </w:r>
          </w:p>
          <w:p w14:paraId="309D1F62"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20,3</w:t>
            </w:r>
          </w:p>
          <w:p w14:paraId="16C9CFF7"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21,3</w:t>
            </w:r>
          </w:p>
          <w:p w14:paraId="573BF6A5"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22,3</w:t>
            </w:r>
          </w:p>
          <w:p w14:paraId="3271EF75"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23,2</w:t>
            </w:r>
          </w:p>
          <w:p w14:paraId="57FC3B56"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24,2</w:t>
            </w:r>
          </w:p>
          <w:p w14:paraId="027D384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25,2</w:t>
            </w:r>
          </w:p>
          <w:p w14:paraId="18E57E3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26,2</w:t>
            </w:r>
          </w:p>
          <w:p w14:paraId="3728168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27,2</w:t>
            </w:r>
          </w:p>
          <w:p w14:paraId="17F5A811"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28,2</w:t>
            </w:r>
          </w:p>
        </w:tc>
      </w:tr>
    </w:tbl>
    <w:p w14:paraId="3A70C6A1"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p>
    <w:p w14:paraId="1380EDBA"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Przykład: W temperaturze 20</w:t>
      </w:r>
      <w:r w:rsidRPr="004853EB">
        <w:rPr>
          <w:rFonts w:eastAsia="Times New Roman" w:cstheme="minorHAnsi"/>
          <w:sz w:val="20"/>
          <w:szCs w:val="20"/>
          <w:lang w:eastAsia="pl-PL"/>
        </w:rPr>
        <w:t>°C i względnej wilgotności powietrza 60%, punkt rosy odczytany z tablicy 7 wynosi 12°C.</w:t>
      </w:r>
    </w:p>
    <w:p w14:paraId="542CA6E0"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val="pl" w:eastAsia="pl-PL"/>
        </w:rPr>
      </w:pPr>
      <w:r w:rsidRPr="004853EB">
        <w:rPr>
          <w:rFonts w:eastAsia="Times New Roman" w:cstheme="minorHAnsi"/>
          <w:b/>
          <w:bCs/>
          <w:sz w:val="20"/>
          <w:szCs w:val="20"/>
          <w:lang w:val="pl" w:eastAsia="pl-PL"/>
        </w:rPr>
        <w:t>5.3. Przygotowanie podłoża do wykonania znakowania</w:t>
      </w:r>
    </w:p>
    <w:p w14:paraId="500AC2F4" w14:textId="4AE4EE6B" w:rsidR="00E95D02" w:rsidRPr="00050DBE"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r>
      <w:r w:rsidRPr="00050DBE">
        <w:rPr>
          <w:rFonts w:eastAsia="Times New Roman" w:cstheme="minorHAnsi"/>
          <w:sz w:val="20"/>
          <w:szCs w:val="20"/>
          <w:lang w:eastAsia="pl-PL"/>
        </w:rPr>
        <w:t xml:space="preserve">Przed wykonaniem oznakowania poziomego należy oczyścić powierzchnię nawierzchni malowanej </w:t>
      </w:r>
      <w:r w:rsidR="00050DBE">
        <w:rPr>
          <w:rFonts w:eastAsia="Times New Roman" w:cstheme="minorHAnsi"/>
          <w:sz w:val="20"/>
          <w:szCs w:val="20"/>
          <w:lang w:eastAsia="pl-PL"/>
        </w:rPr>
        <w:br/>
      </w:r>
      <w:r w:rsidRPr="00050DBE">
        <w:rPr>
          <w:rFonts w:eastAsia="Times New Roman" w:cstheme="minorHAnsi"/>
          <w:sz w:val="20"/>
          <w:szCs w:val="20"/>
          <w:lang w:eastAsia="pl-PL"/>
        </w:rPr>
        <w:t xml:space="preserve">z pyłu, kurzu, piasku, smarów, olejów i innych zanieczyszczeń, przy użyciu sprzętu wymienionego w SST </w:t>
      </w:r>
      <w:r w:rsidR="00050DBE">
        <w:rPr>
          <w:rFonts w:eastAsia="Times New Roman" w:cstheme="minorHAnsi"/>
          <w:sz w:val="20"/>
          <w:szCs w:val="20"/>
          <w:lang w:eastAsia="pl-PL"/>
        </w:rPr>
        <w:br/>
      </w:r>
      <w:r w:rsidRPr="00050DBE">
        <w:rPr>
          <w:rFonts w:eastAsia="Times New Roman" w:cstheme="minorHAnsi"/>
          <w:sz w:val="20"/>
          <w:szCs w:val="20"/>
          <w:lang w:eastAsia="pl-PL"/>
        </w:rPr>
        <w:t>i zaakceptowanego przez Inżyniera.</w:t>
      </w:r>
    </w:p>
    <w:p w14:paraId="47E5F3D7" w14:textId="4B9B53FD" w:rsidR="00E95D02" w:rsidRPr="00050DBE"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050DBE">
        <w:rPr>
          <w:rFonts w:eastAsia="Times New Roman" w:cstheme="minorHAnsi"/>
          <w:sz w:val="20"/>
          <w:szCs w:val="20"/>
          <w:lang w:eastAsia="pl-PL"/>
        </w:rPr>
        <w:tab/>
        <w:t xml:space="preserve">Powierzchnia nawierzchni przygotowana do wykonania oznakowania poziomego musi być czysta </w:t>
      </w:r>
      <w:r w:rsidR="00050DBE">
        <w:rPr>
          <w:rFonts w:eastAsia="Times New Roman" w:cstheme="minorHAnsi"/>
          <w:sz w:val="20"/>
          <w:szCs w:val="20"/>
          <w:lang w:eastAsia="pl-PL"/>
        </w:rPr>
        <w:br/>
      </w:r>
      <w:r w:rsidRPr="00050DBE">
        <w:rPr>
          <w:rFonts w:eastAsia="Times New Roman" w:cstheme="minorHAnsi"/>
          <w:sz w:val="20"/>
          <w:szCs w:val="20"/>
          <w:lang w:eastAsia="pl-PL"/>
        </w:rPr>
        <w:t>i sucha. Nie wolno prowadzić prac na nawierzchni mokrej czy w czasie deszczu.</w:t>
      </w:r>
    </w:p>
    <w:p w14:paraId="5BC859D8" w14:textId="77777777" w:rsidR="00E95D02" w:rsidRPr="00050DBE"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050DBE">
        <w:rPr>
          <w:rFonts w:eastAsia="Times New Roman" w:cstheme="minorHAnsi"/>
          <w:b/>
          <w:bCs/>
          <w:sz w:val="20"/>
          <w:szCs w:val="20"/>
          <w:lang w:eastAsia="pl-PL"/>
        </w:rPr>
        <w:t>5.5. Oznakowanie pomocnicze - przedznakowanie (trasowanie)</w:t>
      </w:r>
    </w:p>
    <w:p w14:paraId="302B8C09" w14:textId="7DC182A8" w:rsidR="00E95D02" w:rsidRPr="00050DBE"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050DBE">
        <w:rPr>
          <w:rFonts w:eastAsia="Times New Roman" w:cstheme="minorHAnsi"/>
          <w:sz w:val="20"/>
          <w:szCs w:val="20"/>
          <w:lang w:eastAsia="pl-PL"/>
        </w:rPr>
        <w:tab/>
        <w:t xml:space="preserve">W celu dokładnego wykonania poziomego oznakowania drogi, wyeliminowania odchyleń i błędów </w:t>
      </w:r>
      <w:r w:rsidR="00050DBE">
        <w:rPr>
          <w:rFonts w:eastAsia="Times New Roman" w:cstheme="minorHAnsi"/>
          <w:sz w:val="20"/>
          <w:szCs w:val="20"/>
          <w:lang w:eastAsia="pl-PL"/>
        </w:rPr>
        <w:br/>
      </w:r>
      <w:r w:rsidRPr="00050DBE">
        <w:rPr>
          <w:rFonts w:eastAsia="Times New Roman" w:cstheme="minorHAnsi"/>
          <w:sz w:val="20"/>
          <w:szCs w:val="20"/>
          <w:lang w:eastAsia="pl-PL"/>
        </w:rPr>
        <w:t xml:space="preserve">w istniejącym lub nowym oznakowaniu, można wykonać przedznakowanie, stosując się do ustaleń zawartych </w:t>
      </w:r>
      <w:r w:rsidR="00050DBE">
        <w:rPr>
          <w:rFonts w:eastAsia="Times New Roman" w:cstheme="minorHAnsi"/>
          <w:sz w:val="20"/>
          <w:szCs w:val="20"/>
          <w:lang w:eastAsia="pl-PL"/>
        </w:rPr>
        <w:br/>
      </w:r>
      <w:r w:rsidRPr="00050DBE">
        <w:rPr>
          <w:rFonts w:eastAsia="Times New Roman" w:cstheme="minorHAnsi"/>
          <w:sz w:val="20"/>
          <w:szCs w:val="20"/>
          <w:lang w:eastAsia="pl-PL"/>
        </w:rPr>
        <w:t>w dokumentacji projektowej, w </w:t>
      </w:r>
      <w:r w:rsidRPr="00050DBE">
        <w:rPr>
          <w:rFonts w:eastAsia="Times New Roman" w:cstheme="minorHAnsi"/>
          <w:sz w:val="20"/>
          <w:szCs w:val="20"/>
          <w:highlight w:val="white"/>
          <w:lang w:eastAsia="pl-PL"/>
        </w:rPr>
        <w:t>załączniku nr 2 do rozporządzenia Ministra Infrastruktury [11], ST i wskazaniach Inżyniera.</w:t>
      </w:r>
    </w:p>
    <w:p w14:paraId="11A80393" w14:textId="03BE6A62" w:rsidR="00E95D02" w:rsidRPr="00050DBE"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050DBE">
        <w:rPr>
          <w:rFonts w:eastAsia="Times New Roman" w:cstheme="minorHAnsi"/>
          <w:sz w:val="20"/>
          <w:szCs w:val="20"/>
          <w:lang w:eastAsia="pl-PL"/>
        </w:rPr>
        <w:tab/>
        <w:t xml:space="preserve">Do wykonania przedznakowania można stosować nietrwałą farbę, np. farbę silnie rozcieńczoną rozpuszczalnikiem. Zaleca się wykonywanie przedznakowania w postaci cienkich linii lub kropek. Początek </w:t>
      </w:r>
      <w:r w:rsidR="00050DBE">
        <w:rPr>
          <w:rFonts w:eastAsia="Times New Roman" w:cstheme="minorHAnsi"/>
          <w:sz w:val="20"/>
          <w:szCs w:val="20"/>
          <w:lang w:eastAsia="pl-PL"/>
        </w:rPr>
        <w:br/>
      </w:r>
      <w:r w:rsidRPr="00050DBE">
        <w:rPr>
          <w:rFonts w:eastAsia="Times New Roman" w:cstheme="minorHAnsi"/>
          <w:sz w:val="20"/>
          <w:szCs w:val="20"/>
          <w:lang w:eastAsia="pl-PL"/>
        </w:rPr>
        <w:t>i koniec znakowania należy zaznaczyć małą kreską poprzeczną. Do trasowania strzałek, symboli, napisów praktyczne jest zastosowanie kredy.</w:t>
      </w:r>
    </w:p>
    <w:p w14:paraId="759DCAC2" w14:textId="3B03F51D" w:rsidR="00E95D02" w:rsidRPr="00050DBE"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050DBE">
        <w:rPr>
          <w:rFonts w:eastAsia="Times New Roman" w:cstheme="minorHAnsi"/>
          <w:sz w:val="20"/>
          <w:szCs w:val="20"/>
          <w:lang w:eastAsia="pl-PL"/>
        </w:rPr>
        <w:tab/>
        <w:t xml:space="preserve">W przypadku odnawiania oznakowania drogi, gdy stare oznakowanie jest wystarczająco czytelne </w:t>
      </w:r>
      <w:r w:rsidR="00050DBE">
        <w:rPr>
          <w:rFonts w:eastAsia="Times New Roman" w:cstheme="minorHAnsi"/>
          <w:sz w:val="20"/>
          <w:szCs w:val="20"/>
          <w:lang w:eastAsia="pl-PL"/>
        </w:rPr>
        <w:br/>
      </w:r>
      <w:r w:rsidRPr="00050DBE">
        <w:rPr>
          <w:rFonts w:eastAsia="Times New Roman" w:cstheme="minorHAnsi"/>
          <w:sz w:val="20"/>
          <w:szCs w:val="20"/>
          <w:lang w:eastAsia="pl-PL"/>
        </w:rPr>
        <w:t>i zgodne z dokumentacją projektową, można przedznakowania nie wykonywać.</w:t>
      </w:r>
    </w:p>
    <w:p w14:paraId="417862B2" w14:textId="77777777" w:rsidR="00E95D02" w:rsidRPr="00050DBE"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050DBE">
        <w:rPr>
          <w:rFonts w:eastAsia="Times New Roman" w:cstheme="minorHAnsi"/>
          <w:sz w:val="20"/>
          <w:szCs w:val="20"/>
          <w:lang w:eastAsia="pl-PL"/>
        </w:rPr>
        <w:tab/>
        <w:t>Wykonane przedznakowanie należy sprawdzić po wykonaniu pod względem zgodności z projektem, prostoliniowości linii i płynności na łukach.</w:t>
      </w:r>
    </w:p>
    <w:p w14:paraId="426F27FF" w14:textId="77777777" w:rsidR="00E95D02" w:rsidRPr="00050DBE"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050DBE">
        <w:rPr>
          <w:rFonts w:eastAsia="Times New Roman" w:cstheme="minorHAnsi"/>
          <w:b/>
          <w:bCs/>
          <w:sz w:val="20"/>
          <w:szCs w:val="20"/>
          <w:lang w:eastAsia="pl-PL"/>
        </w:rPr>
        <w:t>5.6. Wykonanie oznakowania nawierzchni drogi</w:t>
      </w:r>
    </w:p>
    <w:p w14:paraId="3D5E399A" w14:textId="77777777" w:rsidR="00E95D02" w:rsidRPr="00050DBE"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050DBE">
        <w:rPr>
          <w:rFonts w:eastAsia="Times New Roman" w:cstheme="minorHAnsi"/>
          <w:b/>
          <w:bCs/>
          <w:sz w:val="20"/>
          <w:szCs w:val="20"/>
          <w:lang w:eastAsia="pl-PL"/>
        </w:rPr>
        <w:t xml:space="preserve">5.6.2. </w:t>
      </w:r>
      <w:r w:rsidRPr="00050DBE">
        <w:rPr>
          <w:rFonts w:eastAsia="Times New Roman" w:cstheme="minorHAnsi"/>
          <w:sz w:val="20"/>
          <w:szCs w:val="20"/>
          <w:lang w:eastAsia="pl-PL"/>
        </w:rPr>
        <w:t>Wykonanie oznakowania drogi materiałami grubowarstwowymi</w:t>
      </w:r>
    </w:p>
    <w:p w14:paraId="62D4AC39" w14:textId="77777777" w:rsidR="00E95D02" w:rsidRPr="00050DBE"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050DBE">
        <w:rPr>
          <w:rFonts w:eastAsia="Times New Roman" w:cstheme="minorHAnsi"/>
          <w:sz w:val="20"/>
          <w:szCs w:val="20"/>
          <w:lang w:eastAsia="pl-PL"/>
        </w:rPr>
        <w:tab/>
        <w:t>Wykonanie oznakowania powinno być zgodne z zaleceniami producenta materiałów, a w przypadku ich braku lub niepełnych danych - zgodne z poniższymi wskazaniami. Materiały grubowarstwowe zaleca się stosować na nawierzchniach nowych lub odnowionych.</w:t>
      </w:r>
    </w:p>
    <w:p w14:paraId="13DFFA66" w14:textId="77777777" w:rsidR="00E95D02" w:rsidRPr="00050DBE"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050DBE">
        <w:rPr>
          <w:rFonts w:eastAsia="Times New Roman" w:cstheme="minorHAnsi"/>
          <w:sz w:val="20"/>
          <w:szCs w:val="20"/>
          <w:lang w:eastAsia="pl-PL"/>
        </w:rPr>
        <w:tab/>
        <w:t>Materiał znakujący należy nakładać równomierną warstwą o grubości (lub w ilości) ustalonej w ST, zachowując wymiary i ostrość krawędzi. Grubość nanoszonej warstwy zaleca się kontrolować przy pomocy grzebienia pomiarowego na płytce metalowej, podkładanej na drodze malowarki. Ilość materiału zużyta w czasie prac, określona przez średnie zużycie na metr kwadratowy, nie może się różnić od ilości ustalonej, więcej niż o 20%.</w:t>
      </w:r>
    </w:p>
    <w:p w14:paraId="1295DFEB"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050DBE">
        <w:rPr>
          <w:rFonts w:eastAsia="Times New Roman" w:cstheme="minorHAnsi"/>
          <w:sz w:val="20"/>
          <w:szCs w:val="20"/>
          <w:lang w:eastAsia="pl-PL"/>
        </w:rPr>
        <w:tab/>
        <w:t>W przypadku mas chemoutwardzalnych wszystkie większe prace (linie krawędziowe, segregacyjne na długich odcinkach dróg) powinny być wykonywane przy użyciu urządzeń samojezdnych</w:t>
      </w:r>
      <w:r w:rsidRPr="004853EB">
        <w:rPr>
          <w:rFonts w:eastAsia="Times New Roman" w:cstheme="minorHAnsi"/>
          <w:sz w:val="20"/>
          <w:szCs w:val="20"/>
          <w:lang w:eastAsia="pl-PL"/>
        </w:rPr>
        <w:t xml:space="preserve"> z automatycznym podziałem linii i posypywaniem kulkami szklanymi pod ciśnieniem z ew. materiałem uszorstniającym. W przypadku mniejszych prac, wielkość, wydajność i jakość sprzętu należy dostosować do ich zakresu i rozmiaru. Inżynier na wniosek Wykonawcy zatwierdza decyzję dotyczącą rodzaju sprzętu i sposobu wykonania oznakowania. </w:t>
      </w:r>
    </w:p>
    <w:p w14:paraId="1ABBEB14" w14:textId="77777777" w:rsidR="00E95D02" w:rsidRPr="004853EB" w:rsidRDefault="00E95D02" w:rsidP="00E95D02">
      <w:pPr>
        <w:keepNext/>
        <w:keepLines/>
        <w:suppressAutoHyphens/>
        <w:autoSpaceDE w:val="0"/>
        <w:autoSpaceDN w:val="0"/>
        <w:adjustRightInd w:val="0"/>
        <w:spacing w:before="240" w:after="120" w:line="240" w:lineRule="auto"/>
        <w:jc w:val="both"/>
        <w:rPr>
          <w:rFonts w:eastAsia="Times New Roman" w:cstheme="minorHAnsi"/>
          <w:b/>
          <w:bCs/>
          <w:caps/>
          <w:sz w:val="20"/>
          <w:szCs w:val="20"/>
          <w:lang w:eastAsia="pl-PL"/>
        </w:rPr>
      </w:pPr>
      <w:r w:rsidRPr="004853EB">
        <w:rPr>
          <w:rFonts w:eastAsia="Times New Roman" w:cstheme="minorHAnsi"/>
          <w:b/>
          <w:bCs/>
          <w:caps/>
          <w:sz w:val="20"/>
          <w:szCs w:val="20"/>
          <w:lang w:val="pl" w:eastAsia="pl-PL"/>
        </w:rPr>
        <w:t>6. Kontrola jakości rob</w:t>
      </w:r>
      <w:r w:rsidRPr="004853EB">
        <w:rPr>
          <w:rFonts w:eastAsia="Times New Roman" w:cstheme="minorHAnsi"/>
          <w:b/>
          <w:bCs/>
          <w:caps/>
          <w:sz w:val="20"/>
          <w:szCs w:val="20"/>
          <w:lang w:eastAsia="pl-PL"/>
        </w:rPr>
        <w:t>ót</w:t>
      </w:r>
    </w:p>
    <w:p w14:paraId="3636144A"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4853EB">
        <w:rPr>
          <w:rFonts w:eastAsia="Times New Roman" w:cstheme="minorHAnsi"/>
          <w:b/>
          <w:bCs/>
          <w:sz w:val="20"/>
          <w:szCs w:val="20"/>
          <w:lang w:val="pl" w:eastAsia="pl-PL"/>
        </w:rPr>
        <w:t>6.1. Ogólne zasady kontroli jakości rob</w:t>
      </w:r>
      <w:r w:rsidRPr="004853EB">
        <w:rPr>
          <w:rFonts w:eastAsia="Times New Roman" w:cstheme="minorHAnsi"/>
          <w:b/>
          <w:bCs/>
          <w:sz w:val="20"/>
          <w:szCs w:val="20"/>
          <w:lang w:eastAsia="pl-PL"/>
        </w:rPr>
        <w:t>ót</w:t>
      </w:r>
    </w:p>
    <w:p w14:paraId="53B5334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Ogólne zasady kontroli jakości rob</w:t>
      </w:r>
      <w:r w:rsidRPr="004853EB">
        <w:rPr>
          <w:rFonts w:eastAsia="Times New Roman" w:cstheme="minorHAnsi"/>
          <w:sz w:val="20"/>
          <w:szCs w:val="20"/>
          <w:lang w:eastAsia="pl-PL"/>
        </w:rPr>
        <w:t>ót podano w SST   D-00.00.00 „Wymagania ogólne” pkt 6.</w:t>
      </w:r>
    </w:p>
    <w:p w14:paraId="697DD155"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4853EB">
        <w:rPr>
          <w:rFonts w:eastAsia="Times New Roman" w:cstheme="minorHAnsi"/>
          <w:b/>
          <w:bCs/>
          <w:sz w:val="20"/>
          <w:szCs w:val="20"/>
          <w:lang w:val="pl" w:eastAsia="pl-PL"/>
        </w:rPr>
        <w:lastRenderedPageBreak/>
        <w:t>6.2. Badania przed przystąpieniem do rob</w:t>
      </w:r>
      <w:r w:rsidRPr="004853EB">
        <w:rPr>
          <w:rFonts w:eastAsia="Times New Roman" w:cstheme="minorHAnsi"/>
          <w:b/>
          <w:bCs/>
          <w:sz w:val="20"/>
          <w:szCs w:val="20"/>
          <w:lang w:eastAsia="pl-PL"/>
        </w:rPr>
        <w:t>ót</w:t>
      </w:r>
    </w:p>
    <w:p w14:paraId="1AD4AB35"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Przed przystąpieniem do rob</w:t>
      </w:r>
      <w:r w:rsidRPr="004853EB">
        <w:rPr>
          <w:rFonts w:eastAsia="Times New Roman" w:cstheme="minorHAnsi"/>
          <w:sz w:val="20"/>
          <w:szCs w:val="20"/>
          <w:lang w:eastAsia="pl-PL"/>
        </w:rPr>
        <w:t>ót Wykonawca powinien:</w:t>
      </w:r>
    </w:p>
    <w:p w14:paraId="6BB8D75C" w14:textId="77777777" w:rsidR="00E95D02" w:rsidRPr="004853EB" w:rsidRDefault="00E95D02">
      <w:pPr>
        <w:numPr>
          <w:ilvl w:val="0"/>
          <w:numId w:val="138"/>
        </w:num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uzyskać wymagane dokumenty, dopuszczające wyroby budowlane do obrotu i powszechnego stosowania (np. stwierdzenie o oznakowaniu materiału znakiem CE lub znakiem budowlanym, deklarację właściwości użytkowych, krajową deklarację właściwości użytkowych, ocenę techniczną, aprobatę techniczną, ew. badania materiał</w:t>
      </w:r>
      <w:r w:rsidRPr="004853EB">
        <w:rPr>
          <w:rFonts w:eastAsia="Times New Roman" w:cstheme="minorHAnsi"/>
          <w:sz w:val="20"/>
          <w:szCs w:val="20"/>
          <w:lang w:eastAsia="pl-PL"/>
        </w:rPr>
        <w:t>ów wykonane przez dostawców itp.),</w:t>
      </w:r>
    </w:p>
    <w:p w14:paraId="2D2ACCB9" w14:textId="77777777" w:rsidR="00E95D02" w:rsidRPr="004853EB" w:rsidRDefault="00E95D02">
      <w:pPr>
        <w:numPr>
          <w:ilvl w:val="0"/>
          <w:numId w:val="138"/>
        </w:num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ew. wykonać własne badania właściwości materiał</w:t>
      </w:r>
      <w:r w:rsidRPr="004853EB">
        <w:rPr>
          <w:rFonts w:eastAsia="Times New Roman" w:cstheme="minorHAnsi"/>
          <w:sz w:val="20"/>
          <w:szCs w:val="20"/>
          <w:lang w:eastAsia="pl-PL"/>
        </w:rPr>
        <w:t>ów przeznaczonych do wykonania robót, określone przez Inżyniera.</w:t>
      </w:r>
    </w:p>
    <w:p w14:paraId="5DFCA90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t>Wszystkie dokumenty oraz wyniki badań Wykonawca przedstawia Inżynierowi do akceptacji pod względem spełnienia wymog</w:t>
      </w:r>
      <w:r w:rsidRPr="004853EB">
        <w:rPr>
          <w:rFonts w:eastAsia="Times New Roman" w:cstheme="minorHAnsi"/>
          <w:sz w:val="20"/>
          <w:szCs w:val="20"/>
          <w:lang w:eastAsia="pl-PL"/>
        </w:rPr>
        <w:t>ów formalnych oraz technicznych wynikających z dokumentacji projektowej i ST.</w:t>
      </w:r>
    </w:p>
    <w:p w14:paraId="40EE3B61"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val="pl" w:eastAsia="pl-PL"/>
        </w:rPr>
      </w:pPr>
      <w:r w:rsidRPr="004853EB">
        <w:rPr>
          <w:rFonts w:eastAsia="Times New Roman" w:cstheme="minorHAnsi"/>
          <w:b/>
          <w:bCs/>
          <w:sz w:val="20"/>
          <w:szCs w:val="20"/>
          <w:lang w:val="pl" w:eastAsia="pl-PL"/>
        </w:rPr>
        <w:t>6.3. Badanie przygotowania podłoża i przedznakowania (trasowania)</w:t>
      </w:r>
    </w:p>
    <w:p w14:paraId="0E68C20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ab/>
        <w:t>Powierzchnia jezdni przed wykonaniem oznakowania poziomego musi być całkowicie czysta i sucha.</w:t>
      </w:r>
    </w:p>
    <w:p w14:paraId="63E8F69D"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ab/>
        <w:t>Przedznakowanie powinno być wykonane zgodnie z wymaganiami punktu 5.5.</w:t>
      </w:r>
    </w:p>
    <w:p w14:paraId="7B49BDF9" w14:textId="77777777" w:rsidR="00E95D02" w:rsidRPr="004853EB" w:rsidRDefault="00E95D02" w:rsidP="00E95D02">
      <w:pPr>
        <w:keepNext/>
        <w:autoSpaceDE w:val="0"/>
        <w:autoSpaceDN w:val="0"/>
        <w:adjustRightInd w:val="0"/>
        <w:spacing w:before="120" w:after="120" w:line="240" w:lineRule="auto"/>
        <w:jc w:val="both"/>
        <w:rPr>
          <w:rFonts w:eastAsia="Times New Roman" w:cstheme="minorHAnsi"/>
          <w:b/>
          <w:bCs/>
          <w:sz w:val="20"/>
          <w:szCs w:val="20"/>
          <w:lang w:val="pl" w:eastAsia="pl-PL"/>
        </w:rPr>
      </w:pPr>
      <w:r w:rsidRPr="004853EB">
        <w:rPr>
          <w:rFonts w:eastAsia="Times New Roman" w:cstheme="minorHAnsi"/>
          <w:b/>
          <w:bCs/>
          <w:sz w:val="20"/>
          <w:szCs w:val="20"/>
          <w:lang w:val="pl" w:eastAsia="pl-PL"/>
        </w:rPr>
        <w:t>6.4. Badania wykonania oznakowania poziomego</w:t>
      </w:r>
    </w:p>
    <w:p w14:paraId="5709EA99" w14:textId="77777777" w:rsidR="00E95D02" w:rsidRPr="004853EB" w:rsidRDefault="00E95D02" w:rsidP="00E95D02">
      <w:pPr>
        <w:keepNext/>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b/>
          <w:bCs/>
          <w:sz w:val="20"/>
          <w:szCs w:val="20"/>
          <w:lang w:val="pl" w:eastAsia="pl-PL"/>
        </w:rPr>
        <w:t xml:space="preserve">6.4.1. </w:t>
      </w:r>
      <w:r w:rsidRPr="004853EB">
        <w:rPr>
          <w:rFonts w:eastAsia="Times New Roman" w:cstheme="minorHAnsi"/>
          <w:sz w:val="20"/>
          <w:szCs w:val="20"/>
          <w:lang w:val="pl" w:eastAsia="pl-PL"/>
        </w:rPr>
        <w:t>Wymagania wobec oznakowania poziomego</w:t>
      </w:r>
    </w:p>
    <w:p w14:paraId="3279D436" w14:textId="77777777" w:rsidR="00E95D02" w:rsidRPr="004853EB" w:rsidRDefault="00E95D02" w:rsidP="00E95D02">
      <w:pPr>
        <w:tabs>
          <w:tab w:val="left" w:pos="4536"/>
          <w:tab w:val="left" w:pos="9072"/>
        </w:tabs>
        <w:autoSpaceDE w:val="0"/>
        <w:autoSpaceDN w:val="0"/>
        <w:adjustRightInd w:val="0"/>
        <w:spacing w:before="60" w:after="60" w:line="240" w:lineRule="auto"/>
        <w:jc w:val="both"/>
        <w:rPr>
          <w:rFonts w:eastAsia="Times New Roman" w:cstheme="minorHAnsi"/>
          <w:b/>
          <w:bCs/>
          <w:sz w:val="20"/>
          <w:szCs w:val="20"/>
          <w:lang w:val="pl" w:eastAsia="pl-PL"/>
        </w:rPr>
      </w:pPr>
      <w:r w:rsidRPr="004853EB">
        <w:rPr>
          <w:rFonts w:eastAsia="Times New Roman" w:cstheme="minorHAnsi"/>
          <w:sz w:val="20"/>
          <w:szCs w:val="20"/>
          <w:lang w:val="pl" w:eastAsia="pl-PL"/>
        </w:rPr>
        <w:t>6.4.1.1. Zasady</w:t>
      </w:r>
    </w:p>
    <w:p w14:paraId="06CEF349" w14:textId="77777777" w:rsidR="00E95D02" w:rsidRPr="00602EF6" w:rsidRDefault="00E95D02" w:rsidP="00E95D02">
      <w:pPr>
        <w:autoSpaceDE w:val="0"/>
        <w:autoSpaceDN w:val="0"/>
        <w:adjustRightInd w:val="0"/>
        <w:spacing w:after="0" w:line="240" w:lineRule="auto"/>
        <w:jc w:val="both"/>
        <w:rPr>
          <w:rFonts w:eastAsia="Times New Roman" w:cstheme="minorHAnsi"/>
          <w:spacing w:val="-3"/>
          <w:sz w:val="20"/>
          <w:szCs w:val="20"/>
          <w:lang w:eastAsia="pl-PL"/>
        </w:rPr>
      </w:pPr>
      <w:r w:rsidRPr="00602EF6">
        <w:rPr>
          <w:rFonts w:eastAsia="Times New Roman" w:cstheme="minorHAnsi"/>
          <w:spacing w:val="-3"/>
          <w:sz w:val="20"/>
          <w:szCs w:val="20"/>
          <w:lang w:eastAsia="pl-PL"/>
        </w:rPr>
        <w:t>Wymagania sprecyzowano przede wszystkim w celu określenia właściwości oznakowania dróg w czasie ich użytkowania. Wymagania określa się kilkoma parametrami reprezentującymi różne aspekty właściwości oznakowania dróg według PN-EN 1436 [1].</w:t>
      </w:r>
    </w:p>
    <w:p w14:paraId="4C57FEED" w14:textId="77777777" w:rsidR="00E95D02" w:rsidRPr="00602EF6" w:rsidRDefault="00E95D02" w:rsidP="00E95D02">
      <w:pPr>
        <w:autoSpaceDE w:val="0"/>
        <w:autoSpaceDN w:val="0"/>
        <w:adjustRightInd w:val="0"/>
        <w:spacing w:after="0" w:line="240" w:lineRule="auto"/>
        <w:jc w:val="both"/>
        <w:rPr>
          <w:rFonts w:eastAsia="Times New Roman" w:cstheme="minorHAnsi"/>
          <w:spacing w:val="-3"/>
          <w:sz w:val="20"/>
          <w:szCs w:val="20"/>
          <w:lang w:eastAsia="pl-PL"/>
        </w:rPr>
      </w:pPr>
      <w:r w:rsidRPr="00602EF6">
        <w:rPr>
          <w:rFonts w:eastAsia="Times New Roman" w:cstheme="minorHAnsi"/>
          <w:spacing w:val="-3"/>
          <w:sz w:val="20"/>
          <w:szCs w:val="20"/>
          <w:lang w:eastAsia="pl-PL"/>
        </w:rPr>
        <w:t>Wzięto pod uwagę następujące parametry:</w:t>
      </w:r>
    </w:p>
    <w:p w14:paraId="66DBA7E8" w14:textId="56C33AC4" w:rsidR="00E95D02" w:rsidRPr="00602EF6" w:rsidRDefault="00E95D02">
      <w:pPr>
        <w:numPr>
          <w:ilvl w:val="0"/>
          <w:numId w:val="138"/>
        </w:numPr>
        <w:autoSpaceDE w:val="0"/>
        <w:autoSpaceDN w:val="0"/>
        <w:adjustRightInd w:val="0"/>
        <w:spacing w:after="0" w:line="240" w:lineRule="auto"/>
        <w:ind w:left="360" w:hanging="360"/>
        <w:jc w:val="both"/>
        <w:rPr>
          <w:rFonts w:eastAsia="Times New Roman" w:cstheme="minorHAnsi"/>
          <w:spacing w:val="-3"/>
          <w:sz w:val="20"/>
          <w:szCs w:val="20"/>
          <w:lang w:eastAsia="pl-PL"/>
        </w:rPr>
      </w:pPr>
      <w:r w:rsidRPr="00602EF6">
        <w:rPr>
          <w:rFonts w:eastAsia="Times New Roman" w:cstheme="minorHAnsi"/>
          <w:spacing w:val="-3"/>
          <w:sz w:val="20"/>
          <w:szCs w:val="20"/>
          <w:lang w:eastAsia="pl-PL"/>
        </w:rPr>
        <w:t xml:space="preserve">widoczność w dzień określaną alternatywnie przez współczynnik luminancji β lub współczynnik luminancji </w:t>
      </w:r>
      <w:r w:rsidR="00602EF6">
        <w:rPr>
          <w:rFonts w:eastAsia="Times New Roman" w:cstheme="minorHAnsi"/>
          <w:spacing w:val="-3"/>
          <w:sz w:val="20"/>
          <w:szCs w:val="20"/>
          <w:lang w:eastAsia="pl-PL"/>
        </w:rPr>
        <w:br/>
      </w:r>
      <w:r w:rsidRPr="00602EF6">
        <w:rPr>
          <w:rFonts w:eastAsia="Times New Roman" w:cstheme="minorHAnsi"/>
          <w:spacing w:val="-3"/>
          <w:sz w:val="20"/>
          <w:szCs w:val="20"/>
          <w:lang w:eastAsia="pl-PL"/>
        </w:rPr>
        <w:t>w świetle rozproszonym Qd oraz dodatkowo przez współrzędne chromatyczności,</w:t>
      </w:r>
    </w:p>
    <w:p w14:paraId="13C55902" w14:textId="77777777" w:rsidR="00E95D02" w:rsidRPr="00602EF6" w:rsidRDefault="00E95D02">
      <w:pPr>
        <w:numPr>
          <w:ilvl w:val="0"/>
          <w:numId w:val="138"/>
        </w:numPr>
        <w:autoSpaceDE w:val="0"/>
        <w:autoSpaceDN w:val="0"/>
        <w:adjustRightInd w:val="0"/>
        <w:spacing w:after="0" w:line="240" w:lineRule="auto"/>
        <w:ind w:left="360" w:hanging="360"/>
        <w:jc w:val="both"/>
        <w:rPr>
          <w:rFonts w:eastAsia="Times New Roman" w:cstheme="minorHAnsi"/>
          <w:spacing w:val="-3"/>
          <w:sz w:val="20"/>
          <w:szCs w:val="20"/>
          <w:lang w:eastAsia="pl-PL"/>
        </w:rPr>
      </w:pPr>
      <w:r w:rsidRPr="00602EF6">
        <w:rPr>
          <w:rFonts w:eastAsia="Times New Roman" w:cstheme="minorHAnsi"/>
          <w:spacing w:val="-3"/>
          <w:sz w:val="20"/>
          <w:szCs w:val="20"/>
          <w:lang w:eastAsia="pl-PL"/>
        </w:rPr>
        <w:t>widoczność w nocy określana przez współczynnik odblasku R</w:t>
      </w:r>
      <w:r w:rsidRPr="00602EF6">
        <w:rPr>
          <w:rFonts w:eastAsia="Times New Roman" w:cstheme="minorHAnsi"/>
          <w:spacing w:val="-3"/>
          <w:sz w:val="20"/>
          <w:szCs w:val="20"/>
          <w:vertAlign w:val="subscript"/>
          <w:lang w:eastAsia="pl-PL"/>
        </w:rPr>
        <w:t>L</w:t>
      </w:r>
      <w:r w:rsidRPr="00602EF6">
        <w:rPr>
          <w:rFonts w:eastAsia="Times New Roman" w:cstheme="minorHAnsi"/>
          <w:spacing w:val="-3"/>
          <w:sz w:val="20"/>
          <w:szCs w:val="20"/>
          <w:lang w:eastAsia="pl-PL"/>
        </w:rPr>
        <w:t xml:space="preserve">, </w:t>
      </w:r>
    </w:p>
    <w:p w14:paraId="14F46085" w14:textId="77777777" w:rsidR="00E95D02" w:rsidRPr="00602EF6" w:rsidRDefault="00E95D02">
      <w:pPr>
        <w:numPr>
          <w:ilvl w:val="0"/>
          <w:numId w:val="138"/>
        </w:numPr>
        <w:autoSpaceDE w:val="0"/>
        <w:autoSpaceDN w:val="0"/>
        <w:adjustRightInd w:val="0"/>
        <w:spacing w:after="0" w:line="240" w:lineRule="auto"/>
        <w:ind w:left="360" w:hanging="360"/>
        <w:jc w:val="both"/>
        <w:rPr>
          <w:rFonts w:eastAsia="Times New Roman" w:cstheme="minorHAnsi"/>
          <w:spacing w:val="-3"/>
          <w:sz w:val="20"/>
          <w:szCs w:val="20"/>
          <w:lang w:eastAsia="pl-PL"/>
        </w:rPr>
      </w:pPr>
      <w:r w:rsidRPr="00602EF6">
        <w:rPr>
          <w:rFonts w:eastAsia="Times New Roman" w:cstheme="minorHAnsi"/>
          <w:spacing w:val="-3"/>
          <w:sz w:val="20"/>
          <w:szCs w:val="20"/>
          <w:lang w:eastAsia="pl-PL"/>
        </w:rPr>
        <w:t>szorstkość (własności antypoślizgowe) określaną przez wskaźnik szorstkości SRT.</w:t>
      </w:r>
    </w:p>
    <w:p w14:paraId="7E278A08" w14:textId="77777777" w:rsidR="00E95D02" w:rsidRPr="00602EF6" w:rsidRDefault="00E95D02">
      <w:pPr>
        <w:numPr>
          <w:ilvl w:val="0"/>
          <w:numId w:val="138"/>
        </w:numPr>
        <w:autoSpaceDE w:val="0"/>
        <w:autoSpaceDN w:val="0"/>
        <w:adjustRightInd w:val="0"/>
        <w:spacing w:after="0" w:line="240" w:lineRule="auto"/>
        <w:ind w:left="360" w:hanging="360"/>
        <w:jc w:val="both"/>
        <w:rPr>
          <w:rFonts w:eastAsia="Times New Roman" w:cstheme="minorHAnsi"/>
          <w:spacing w:val="-3"/>
          <w:sz w:val="20"/>
          <w:szCs w:val="20"/>
          <w:lang w:eastAsia="pl-PL"/>
        </w:rPr>
      </w:pPr>
      <w:r w:rsidRPr="00602EF6">
        <w:rPr>
          <w:rFonts w:eastAsia="Times New Roman" w:cstheme="minorHAnsi"/>
          <w:spacing w:val="-3"/>
          <w:sz w:val="20"/>
          <w:szCs w:val="20"/>
          <w:lang w:eastAsia="pl-PL"/>
        </w:rPr>
        <w:t>trwałość określaną w badaniach na odcinku drogowym.</w:t>
      </w:r>
    </w:p>
    <w:p w14:paraId="4DE74C31" w14:textId="77777777" w:rsidR="00E95D02" w:rsidRPr="00602EF6" w:rsidRDefault="00E95D02" w:rsidP="00E95D02">
      <w:pPr>
        <w:autoSpaceDE w:val="0"/>
        <w:autoSpaceDN w:val="0"/>
        <w:adjustRightInd w:val="0"/>
        <w:spacing w:after="0" w:line="240" w:lineRule="auto"/>
        <w:jc w:val="both"/>
        <w:rPr>
          <w:rFonts w:eastAsia="Times New Roman" w:cstheme="minorHAnsi"/>
          <w:spacing w:val="-3"/>
          <w:sz w:val="20"/>
          <w:szCs w:val="20"/>
          <w:lang w:eastAsia="pl-PL"/>
        </w:rPr>
      </w:pPr>
      <w:r w:rsidRPr="00602EF6">
        <w:rPr>
          <w:rFonts w:eastAsia="Times New Roman" w:cstheme="minorHAnsi"/>
          <w:spacing w:val="-3"/>
          <w:sz w:val="20"/>
          <w:szCs w:val="20"/>
          <w:lang w:eastAsia="pl-PL"/>
        </w:rPr>
        <w:tab/>
        <w:t xml:space="preserve">Parametry te zostały podzielone na kilka klas wymagań, które można przywołać w zależności od potrzeb [1]. W niniejszej specyfikacji drogi podzielono na dwie klasy: </w:t>
      </w:r>
    </w:p>
    <w:p w14:paraId="3D62D43C" w14:textId="48906D27" w:rsidR="00E95D02" w:rsidRPr="00602EF6" w:rsidRDefault="00E95D02">
      <w:pPr>
        <w:numPr>
          <w:ilvl w:val="0"/>
          <w:numId w:val="138"/>
        </w:numPr>
        <w:autoSpaceDE w:val="0"/>
        <w:autoSpaceDN w:val="0"/>
        <w:adjustRightInd w:val="0"/>
        <w:spacing w:after="0" w:line="240" w:lineRule="auto"/>
        <w:ind w:left="360" w:hanging="360"/>
        <w:jc w:val="both"/>
        <w:rPr>
          <w:rFonts w:eastAsia="Times New Roman" w:cstheme="minorHAnsi"/>
          <w:spacing w:val="-3"/>
          <w:sz w:val="20"/>
          <w:szCs w:val="20"/>
          <w:lang w:eastAsia="pl-PL"/>
        </w:rPr>
      </w:pPr>
      <w:r w:rsidRPr="00602EF6">
        <w:rPr>
          <w:rFonts w:eastAsia="Times New Roman" w:cstheme="minorHAnsi"/>
          <w:spacing w:val="-3"/>
          <w:sz w:val="20"/>
          <w:szCs w:val="20"/>
          <w:lang w:eastAsia="pl-PL"/>
        </w:rPr>
        <w:t xml:space="preserve">klasa pierwsza obejmuje drogi o prędkości </w:t>
      </w:r>
      <w:r w:rsidR="00602EF6" w:rsidRPr="00602EF6">
        <w:rPr>
          <w:rFonts w:eastAsia="Times New Roman" w:cstheme="minorHAnsi"/>
          <w:spacing w:val="-3"/>
          <w:sz w:val="20"/>
          <w:szCs w:val="20"/>
          <w:lang w:eastAsia="pl-PL"/>
        </w:rPr>
        <w:t>dopuszczalnej 100</w:t>
      </w:r>
      <w:r w:rsidRPr="00602EF6">
        <w:rPr>
          <w:rFonts w:eastAsia="Times New Roman" w:cstheme="minorHAnsi"/>
          <w:spacing w:val="-3"/>
          <w:sz w:val="20"/>
          <w:szCs w:val="20"/>
          <w:lang w:eastAsia="pl-PL"/>
        </w:rPr>
        <w:t xml:space="preserve"> km/h lub o natężeniu ruchu &gt; 2500 pojazdów rzeczywistych/dobę/pas, </w:t>
      </w:r>
    </w:p>
    <w:p w14:paraId="1374D2DF" w14:textId="270ADBE8" w:rsidR="00E95D02" w:rsidRPr="00602EF6" w:rsidRDefault="00E95D02" w:rsidP="00E95D02">
      <w:pPr>
        <w:autoSpaceDE w:val="0"/>
        <w:autoSpaceDN w:val="0"/>
        <w:adjustRightInd w:val="0"/>
        <w:spacing w:after="0" w:line="240" w:lineRule="auto"/>
        <w:jc w:val="both"/>
        <w:rPr>
          <w:rFonts w:eastAsia="Times New Roman" w:cstheme="minorHAnsi"/>
          <w:spacing w:val="-3"/>
          <w:sz w:val="20"/>
          <w:szCs w:val="20"/>
          <w:lang w:eastAsia="pl-PL"/>
        </w:rPr>
      </w:pPr>
      <w:r w:rsidRPr="00602EF6">
        <w:rPr>
          <w:rFonts w:eastAsia="Times New Roman" w:cstheme="minorHAnsi"/>
          <w:spacing w:val="-3"/>
          <w:sz w:val="20"/>
          <w:szCs w:val="20"/>
          <w:lang w:eastAsia="pl-PL"/>
        </w:rPr>
        <w:t xml:space="preserve">Przyjęto następujące minimalne wymagania dla dróg o prędkości </w:t>
      </w:r>
      <w:r w:rsidR="00602EF6" w:rsidRPr="00602EF6">
        <w:rPr>
          <w:rFonts w:eastAsia="Times New Roman" w:cstheme="minorHAnsi"/>
          <w:spacing w:val="-3"/>
          <w:sz w:val="20"/>
          <w:szCs w:val="20"/>
          <w:lang w:eastAsia="pl-PL"/>
        </w:rPr>
        <w:t>dopuszczalnej 100</w:t>
      </w:r>
      <w:r w:rsidRPr="00602EF6">
        <w:rPr>
          <w:rFonts w:eastAsia="Times New Roman" w:cstheme="minorHAnsi"/>
          <w:spacing w:val="-3"/>
          <w:sz w:val="20"/>
          <w:szCs w:val="20"/>
          <w:lang w:eastAsia="pl-PL"/>
        </w:rPr>
        <w:t xml:space="preserve"> km/h lub o natężeniu &gt; 2500 pojazdów rzeczywistych/dobę/pas: R3, RW3, B2, Q3 i S1.</w:t>
      </w:r>
    </w:p>
    <w:p w14:paraId="03CA7D06" w14:textId="77777777" w:rsidR="00E95D02" w:rsidRPr="00602EF6" w:rsidRDefault="00E95D02" w:rsidP="00E95D02">
      <w:pPr>
        <w:autoSpaceDE w:val="0"/>
        <w:autoSpaceDN w:val="0"/>
        <w:adjustRightInd w:val="0"/>
        <w:spacing w:after="0" w:line="240" w:lineRule="auto"/>
        <w:jc w:val="both"/>
        <w:rPr>
          <w:rFonts w:eastAsia="Times New Roman" w:cstheme="minorHAnsi"/>
          <w:spacing w:val="-3"/>
          <w:sz w:val="20"/>
          <w:szCs w:val="20"/>
          <w:lang w:eastAsia="pl-PL"/>
        </w:rPr>
      </w:pPr>
      <w:r w:rsidRPr="00602EF6">
        <w:rPr>
          <w:rFonts w:eastAsia="Times New Roman" w:cstheme="minorHAnsi"/>
          <w:spacing w:val="-3"/>
          <w:sz w:val="20"/>
          <w:szCs w:val="20"/>
          <w:lang w:eastAsia="pl-PL"/>
        </w:rPr>
        <w:t xml:space="preserve">Badania wstępne, dla których określono pierwsze wymaganie, są wykonywane w celu kontroli przed odbiorem. Powinny być wykonane w terminie od 14 do 30 dnia po wykonaniu. Kolejne badania kontrolne należy wykonywać po okresie, od 3 do 6 miesięcy po wykonaniu i przed upływem 1 roku, oraz po 2, 3 i 4 latach dla materiałów o trwałości dłuższej niż 1 rok. </w:t>
      </w:r>
    </w:p>
    <w:p w14:paraId="0A2AF1A6" w14:textId="77777777" w:rsidR="00E95D02" w:rsidRPr="00602EF6" w:rsidRDefault="00E95D02" w:rsidP="00E95D02">
      <w:pPr>
        <w:autoSpaceDE w:val="0"/>
        <w:autoSpaceDN w:val="0"/>
        <w:adjustRightInd w:val="0"/>
        <w:spacing w:before="120" w:after="120" w:line="240" w:lineRule="auto"/>
        <w:jc w:val="both"/>
        <w:rPr>
          <w:rFonts w:eastAsia="Times New Roman" w:cstheme="minorHAnsi"/>
          <w:sz w:val="20"/>
          <w:szCs w:val="20"/>
          <w:lang w:eastAsia="pl-PL"/>
        </w:rPr>
      </w:pPr>
      <w:r w:rsidRPr="00602EF6">
        <w:rPr>
          <w:rFonts w:eastAsia="Times New Roman" w:cstheme="minorHAnsi"/>
          <w:sz w:val="20"/>
          <w:szCs w:val="20"/>
          <w:lang w:eastAsia="pl-PL"/>
        </w:rPr>
        <w:t>6.4.1.2. Widzialność w dzień i barwa oznakowania</w:t>
      </w:r>
    </w:p>
    <w:p w14:paraId="2C853610"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Do określenia odbicia światła dziennego lub odbicia oświetlenia drogi od oznakowania (tzw. widzialność w dzień) [4] stosuje się: albo współczynnik luminancji w świetle rozproszonym Qd, który jest wyrażany w mcd m</w:t>
      </w:r>
      <w:r w:rsidRPr="00602EF6">
        <w:rPr>
          <w:rFonts w:eastAsia="Times New Roman" w:cstheme="minorHAnsi"/>
          <w:sz w:val="20"/>
          <w:szCs w:val="20"/>
          <w:vertAlign w:val="superscript"/>
          <w:lang w:eastAsia="pl-PL"/>
        </w:rPr>
        <w:t>-2</w:t>
      </w:r>
      <w:r w:rsidRPr="00602EF6">
        <w:rPr>
          <w:rFonts w:eastAsia="Times New Roman" w:cstheme="minorHAnsi"/>
          <w:sz w:val="20"/>
          <w:szCs w:val="20"/>
          <w:lang w:eastAsia="pl-PL"/>
        </w:rPr>
        <w:t xml:space="preserve"> lx</w:t>
      </w:r>
      <w:r w:rsidRPr="00602EF6">
        <w:rPr>
          <w:rFonts w:eastAsia="Times New Roman" w:cstheme="minorHAnsi"/>
          <w:sz w:val="20"/>
          <w:szCs w:val="20"/>
          <w:vertAlign w:val="superscript"/>
          <w:lang w:eastAsia="pl-PL"/>
        </w:rPr>
        <w:t xml:space="preserve">-1 </w:t>
      </w:r>
      <w:r w:rsidRPr="00602EF6">
        <w:rPr>
          <w:rFonts w:eastAsia="Times New Roman" w:cstheme="minorHAnsi"/>
          <w:sz w:val="20"/>
          <w:szCs w:val="20"/>
          <w:lang w:eastAsia="pl-PL"/>
        </w:rPr>
        <w:t>albo współczynnik luminancji ß</w:t>
      </w:r>
      <w:r w:rsidRPr="00602EF6">
        <w:rPr>
          <w:rFonts w:eastAsia="Times New Roman" w:cstheme="minorHAnsi"/>
          <w:i/>
          <w:iCs/>
          <w:sz w:val="20"/>
          <w:szCs w:val="20"/>
          <w:lang w:eastAsia="pl-PL"/>
        </w:rPr>
        <w:t xml:space="preserve"> </w:t>
      </w:r>
      <w:r w:rsidRPr="00602EF6">
        <w:rPr>
          <w:rFonts w:eastAsia="Times New Roman" w:cstheme="minorHAnsi"/>
          <w:sz w:val="20"/>
          <w:szCs w:val="20"/>
          <w:lang w:eastAsia="pl-PL"/>
        </w:rPr>
        <w:t>bezwymiarowy. Pomiary ß wykonuje się kolorymetrem przy oświetleniu wzorcowym źródłem światła D65 i geometrii strumienia światła 45</w:t>
      </w:r>
      <w:r w:rsidRPr="00602EF6">
        <w:rPr>
          <w:rFonts w:eastAsia="Times New Roman" w:cstheme="minorHAnsi"/>
          <w:sz w:val="20"/>
          <w:szCs w:val="20"/>
          <w:vertAlign w:val="superscript"/>
          <w:lang w:eastAsia="pl-PL"/>
        </w:rPr>
        <w:t>o</w:t>
      </w:r>
      <w:r w:rsidRPr="00602EF6">
        <w:rPr>
          <w:rFonts w:eastAsia="Times New Roman" w:cstheme="minorHAnsi"/>
          <w:sz w:val="20"/>
          <w:szCs w:val="20"/>
          <w:lang w:eastAsia="pl-PL"/>
        </w:rPr>
        <w:t>/0</w:t>
      </w:r>
      <w:r w:rsidRPr="00602EF6">
        <w:rPr>
          <w:rFonts w:eastAsia="Times New Roman" w:cstheme="minorHAnsi"/>
          <w:sz w:val="20"/>
          <w:szCs w:val="20"/>
          <w:vertAlign w:val="superscript"/>
          <w:lang w:eastAsia="pl-PL"/>
        </w:rPr>
        <w:t>o</w:t>
      </w:r>
      <w:r w:rsidRPr="00602EF6">
        <w:rPr>
          <w:rFonts w:eastAsia="Times New Roman" w:cstheme="minorHAnsi"/>
          <w:sz w:val="20"/>
          <w:szCs w:val="20"/>
          <w:lang w:eastAsia="pl-PL"/>
        </w:rPr>
        <w:t>.Dopuszczalny rozsył padającej wiązki światła wynosi ±5°, zaś odbitej ±10°. Mierzona powierzchnia oznakowania nie powinna być mniejsza niż 5 cm</w:t>
      </w:r>
      <w:r w:rsidRPr="00602EF6">
        <w:rPr>
          <w:rFonts w:eastAsia="Times New Roman" w:cstheme="minorHAnsi"/>
          <w:sz w:val="20"/>
          <w:szCs w:val="20"/>
          <w:vertAlign w:val="superscript"/>
          <w:lang w:eastAsia="pl-PL"/>
        </w:rPr>
        <w:t>3</w:t>
      </w:r>
      <w:r w:rsidRPr="00602EF6">
        <w:rPr>
          <w:rFonts w:eastAsia="Times New Roman" w:cstheme="minorHAnsi"/>
          <w:sz w:val="20"/>
          <w:szCs w:val="20"/>
          <w:lang w:eastAsia="pl-PL"/>
        </w:rPr>
        <w:t>. W przypadku bardzo chropowatych powierzchni, należy zwiększyć pole pomiarowe np. do 25 cm</w:t>
      </w:r>
      <w:r w:rsidRPr="00602EF6">
        <w:rPr>
          <w:rFonts w:eastAsia="Times New Roman" w:cstheme="minorHAnsi"/>
          <w:sz w:val="20"/>
          <w:szCs w:val="20"/>
          <w:vertAlign w:val="superscript"/>
          <w:lang w:eastAsia="pl-PL"/>
        </w:rPr>
        <w:t>3</w:t>
      </w:r>
      <w:r w:rsidRPr="00602EF6">
        <w:rPr>
          <w:rFonts w:eastAsia="Times New Roman" w:cstheme="minorHAnsi"/>
          <w:sz w:val="20"/>
          <w:szCs w:val="20"/>
          <w:lang w:eastAsia="pl-PL"/>
        </w:rPr>
        <w:t xml:space="preserve">, a w przypadku oznakowań profilowanych (tzw. strukturalnych) zmierzona wartość współczynnika luminancji </w:t>
      </w:r>
      <w:r w:rsidRPr="00602EF6">
        <w:rPr>
          <w:rFonts w:eastAsia="Times New Roman" w:cstheme="minorHAnsi"/>
          <w:i/>
          <w:iCs/>
          <w:sz w:val="20"/>
          <w:szCs w:val="20"/>
          <w:lang w:eastAsia="pl-PL"/>
        </w:rPr>
        <w:t>ß</w:t>
      </w:r>
      <w:r w:rsidRPr="00602EF6">
        <w:rPr>
          <w:rFonts w:eastAsia="Times New Roman" w:cstheme="minorHAnsi"/>
          <w:sz w:val="20"/>
          <w:szCs w:val="20"/>
          <w:lang w:eastAsia="pl-PL"/>
        </w:rPr>
        <w:t xml:space="preserve"> może być fałszywa. Należy wtedy widzialność oznakowania ocenić za pomocą współczynnika luminancji w świetle rozproszonym Qd, mierzonego reflektometrem</w:t>
      </w:r>
      <w:r w:rsidRPr="00602EF6">
        <w:rPr>
          <w:rFonts w:eastAsia="Times New Roman" w:cstheme="minorHAnsi"/>
          <w:i/>
          <w:iCs/>
          <w:sz w:val="20"/>
          <w:szCs w:val="20"/>
          <w:vertAlign w:val="subscript"/>
          <w:lang w:eastAsia="pl-PL"/>
        </w:rPr>
        <w:t xml:space="preserve"> </w:t>
      </w:r>
    </w:p>
    <w:p w14:paraId="0D77C59A"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Ze względu na wartość współczynnika luminancji w świetle rozproszonym Qd poziome oznakowania drogowe dzielimy na klasy podane w tablicy 8 [1].</w:t>
      </w:r>
    </w:p>
    <w:p w14:paraId="46E46ADA" w14:textId="77777777" w:rsidR="00E95D02" w:rsidRPr="00602EF6" w:rsidRDefault="00E95D02" w:rsidP="00E95D02">
      <w:pPr>
        <w:autoSpaceDE w:val="0"/>
        <w:autoSpaceDN w:val="0"/>
        <w:adjustRightInd w:val="0"/>
        <w:spacing w:before="120" w:after="120" w:line="240" w:lineRule="auto"/>
        <w:jc w:val="both"/>
        <w:rPr>
          <w:rFonts w:eastAsia="Times New Roman" w:cstheme="minorHAnsi"/>
          <w:sz w:val="20"/>
          <w:szCs w:val="20"/>
          <w:lang w:eastAsia="pl-PL"/>
        </w:rPr>
      </w:pPr>
      <w:r w:rsidRPr="00602EF6">
        <w:rPr>
          <w:rFonts w:eastAsia="Times New Roman" w:cstheme="minorHAnsi"/>
          <w:sz w:val="20"/>
          <w:szCs w:val="20"/>
          <w:lang w:eastAsia="pl-PL"/>
        </w:rPr>
        <w:t>Tablica 8. Klasy poziomych oznakowań dróg (w stanie suchym) ze względu na Qd</w:t>
      </w:r>
      <w:r w:rsidRPr="00602EF6">
        <w:rPr>
          <w:rFonts w:eastAsia="Times New Roman" w:cstheme="minorHAnsi"/>
          <w:sz w:val="20"/>
          <w:szCs w:val="20"/>
          <w:vertAlign w:val="subscript"/>
          <w:lang w:eastAsia="pl-PL"/>
        </w:rPr>
        <w:t xml:space="preserve"> </w:t>
      </w:r>
    </w:p>
    <w:tbl>
      <w:tblPr>
        <w:tblW w:w="0" w:type="auto"/>
        <w:tblInd w:w="313" w:type="dxa"/>
        <w:tblLayout w:type="fixed"/>
        <w:tblCellMar>
          <w:left w:w="156" w:type="dxa"/>
          <w:right w:w="156" w:type="dxa"/>
        </w:tblCellMar>
        <w:tblLook w:val="0000" w:firstRow="0" w:lastRow="0" w:firstColumn="0" w:lastColumn="0" w:noHBand="0" w:noVBand="0"/>
      </w:tblPr>
      <w:tblGrid>
        <w:gridCol w:w="2835"/>
        <w:gridCol w:w="993"/>
        <w:gridCol w:w="4961"/>
      </w:tblGrid>
      <w:tr w:rsidR="00E95D02" w:rsidRPr="00602EF6" w14:paraId="2262E7A5" w14:textId="77777777" w:rsidTr="00E95D02">
        <w:trPr>
          <w:trHeight w:val="1"/>
        </w:trPr>
        <w:tc>
          <w:tcPr>
            <w:tcW w:w="2835" w:type="dxa"/>
            <w:tcBorders>
              <w:top w:val="single" w:sz="4" w:space="0" w:color="000000"/>
              <w:left w:val="single" w:sz="4" w:space="0" w:color="000000"/>
              <w:bottom w:val="single" w:sz="3" w:space="0" w:color="000000"/>
              <w:right w:val="nil"/>
            </w:tcBorders>
            <w:shd w:val="clear" w:color="000000" w:fill="FFFFFF"/>
            <w:vAlign w:val="center"/>
          </w:tcPr>
          <w:p w14:paraId="43E41918" w14:textId="77777777" w:rsidR="00E95D02" w:rsidRPr="00602EF6" w:rsidRDefault="00E95D02" w:rsidP="00E95D02">
            <w:pPr>
              <w:autoSpaceDE w:val="0"/>
              <w:autoSpaceDN w:val="0"/>
              <w:adjustRightInd w:val="0"/>
              <w:spacing w:before="120" w:after="1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Typ nawierzchni drogi/barwa oznakowania</w:t>
            </w:r>
          </w:p>
        </w:tc>
        <w:tc>
          <w:tcPr>
            <w:tcW w:w="993" w:type="dxa"/>
            <w:tcBorders>
              <w:top w:val="single" w:sz="4" w:space="0" w:color="000000"/>
              <w:left w:val="single" w:sz="4" w:space="0" w:color="000000"/>
              <w:bottom w:val="single" w:sz="3" w:space="0" w:color="000000"/>
              <w:right w:val="nil"/>
            </w:tcBorders>
            <w:shd w:val="clear" w:color="000000" w:fill="FFFFFF"/>
            <w:vAlign w:val="center"/>
          </w:tcPr>
          <w:p w14:paraId="20A376C7" w14:textId="77777777" w:rsidR="00E95D02" w:rsidRPr="00602EF6" w:rsidRDefault="00E95D02" w:rsidP="00E95D02">
            <w:pPr>
              <w:autoSpaceDE w:val="0"/>
              <w:autoSpaceDN w:val="0"/>
              <w:adjustRightInd w:val="0"/>
              <w:spacing w:before="120" w:after="1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Klasa</w:t>
            </w:r>
          </w:p>
        </w:tc>
        <w:tc>
          <w:tcPr>
            <w:tcW w:w="4961" w:type="dxa"/>
            <w:tcBorders>
              <w:top w:val="single" w:sz="4" w:space="0" w:color="000000"/>
              <w:left w:val="single" w:sz="4" w:space="0" w:color="000000"/>
              <w:bottom w:val="single" w:sz="3" w:space="0" w:color="000000"/>
              <w:right w:val="single" w:sz="4" w:space="0" w:color="000000"/>
            </w:tcBorders>
            <w:shd w:val="clear" w:color="000000" w:fill="FFFFFF"/>
            <w:vAlign w:val="center"/>
          </w:tcPr>
          <w:p w14:paraId="3A106797" w14:textId="77777777" w:rsidR="00E95D02" w:rsidRPr="00602EF6" w:rsidRDefault="00E95D02" w:rsidP="00E95D02">
            <w:pPr>
              <w:autoSpaceDE w:val="0"/>
              <w:autoSpaceDN w:val="0"/>
              <w:adjustRightInd w:val="0"/>
              <w:spacing w:before="120" w:after="1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Minimalna wartość współczynnika luminancji w świetle rozproszonym,Qd</w:t>
            </w:r>
            <w:r w:rsidRPr="00602EF6">
              <w:rPr>
                <w:rFonts w:eastAsia="Times New Roman" w:cstheme="minorHAnsi"/>
                <w:i/>
                <w:iCs/>
                <w:sz w:val="20"/>
                <w:szCs w:val="20"/>
                <w:vertAlign w:val="subscript"/>
                <w:lang w:eastAsia="pl-PL"/>
              </w:rPr>
              <w:t xml:space="preserve">  </w:t>
            </w:r>
            <w:r w:rsidRPr="00602EF6">
              <w:rPr>
                <w:rFonts w:eastAsia="Times New Roman" w:cstheme="minorHAnsi"/>
                <w:sz w:val="20"/>
                <w:szCs w:val="20"/>
                <w:lang w:eastAsia="pl-PL"/>
              </w:rPr>
              <w:t>mcd m</w:t>
            </w:r>
            <w:r w:rsidRPr="00602EF6">
              <w:rPr>
                <w:rFonts w:eastAsia="Times New Roman" w:cstheme="minorHAnsi"/>
                <w:sz w:val="20"/>
                <w:szCs w:val="20"/>
                <w:vertAlign w:val="superscript"/>
                <w:lang w:eastAsia="pl-PL"/>
              </w:rPr>
              <w:t>-2</w:t>
            </w:r>
            <w:r w:rsidRPr="00602EF6">
              <w:rPr>
                <w:rFonts w:eastAsia="Times New Roman" w:cstheme="minorHAnsi"/>
                <w:sz w:val="20"/>
                <w:szCs w:val="20"/>
                <w:lang w:eastAsia="pl-PL"/>
              </w:rPr>
              <w:t xml:space="preserve"> lx</w:t>
            </w:r>
            <w:r w:rsidRPr="00602EF6">
              <w:rPr>
                <w:rFonts w:eastAsia="Times New Roman" w:cstheme="minorHAnsi"/>
                <w:sz w:val="20"/>
                <w:szCs w:val="20"/>
                <w:vertAlign w:val="superscript"/>
                <w:lang w:eastAsia="pl-PL"/>
              </w:rPr>
              <w:t>-1</w:t>
            </w:r>
          </w:p>
        </w:tc>
      </w:tr>
      <w:tr w:rsidR="00E95D02" w:rsidRPr="004853EB" w14:paraId="2B868316" w14:textId="77777777" w:rsidTr="00E95D02">
        <w:trPr>
          <w:trHeight w:val="1"/>
        </w:trPr>
        <w:tc>
          <w:tcPr>
            <w:tcW w:w="2835" w:type="dxa"/>
            <w:tcBorders>
              <w:top w:val="single" w:sz="3" w:space="0" w:color="000000"/>
              <w:left w:val="single" w:sz="4" w:space="0" w:color="000000"/>
              <w:bottom w:val="single" w:sz="4" w:space="0" w:color="000000"/>
              <w:right w:val="nil"/>
            </w:tcBorders>
            <w:shd w:val="clear" w:color="000000" w:fill="FFFFFF"/>
          </w:tcPr>
          <w:p w14:paraId="475D6BF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nawierzchnia asfaltowa/</w:t>
            </w:r>
          </w:p>
          <w:p w14:paraId="660410C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barwa biała oznakowania</w:t>
            </w:r>
          </w:p>
        </w:tc>
        <w:tc>
          <w:tcPr>
            <w:tcW w:w="993" w:type="dxa"/>
            <w:tcBorders>
              <w:top w:val="single" w:sz="3" w:space="0" w:color="000000"/>
              <w:left w:val="single" w:sz="4" w:space="0" w:color="000000"/>
              <w:bottom w:val="single" w:sz="4" w:space="0" w:color="000000"/>
              <w:right w:val="nil"/>
            </w:tcBorders>
            <w:shd w:val="clear" w:color="000000" w:fill="FFFFFF"/>
          </w:tcPr>
          <w:p w14:paraId="4504ED5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lastRenderedPageBreak/>
              <w:t>Q3</w:t>
            </w:r>
          </w:p>
          <w:p w14:paraId="6912529C"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p>
        </w:tc>
        <w:tc>
          <w:tcPr>
            <w:tcW w:w="4961" w:type="dxa"/>
            <w:tcBorders>
              <w:top w:val="single" w:sz="3" w:space="0" w:color="000000"/>
              <w:left w:val="single" w:sz="4" w:space="0" w:color="000000"/>
              <w:bottom w:val="single" w:sz="4" w:space="0" w:color="000000"/>
              <w:right w:val="single" w:sz="4" w:space="0" w:color="000000"/>
            </w:tcBorders>
            <w:shd w:val="clear" w:color="000000" w:fill="FFFFFF"/>
          </w:tcPr>
          <w:p w14:paraId="7EF81E5C"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lastRenderedPageBreak/>
              <w:t>130</w:t>
            </w:r>
          </w:p>
          <w:p w14:paraId="0FB19AA6" w14:textId="77777777" w:rsidR="00E95D02" w:rsidRPr="004853EB" w:rsidRDefault="00E95D02" w:rsidP="00E95D02">
            <w:pPr>
              <w:autoSpaceDE w:val="0"/>
              <w:autoSpaceDN w:val="0"/>
              <w:adjustRightInd w:val="0"/>
              <w:spacing w:after="0" w:line="240" w:lineRule="auto"/>
              <w:rPr>
                <w:rFonts w:eastAsia="Times New Roman" w:cstheme="minorHAnsi"/>
                <w:sz w:val="20"/>
                <w:szCs w:val="20"/>
                <w:lang w:val="pl" w:eastAsia="pl-PL"/>
              </w:rPr>
            </w:pPr>
          </w:p>
        </w:tc>
      </w:tr>
    </w:tbl>
    <w:p w14:paraId="625F9FFB" w14:textId="77777777" w:rsidR="00E95D02" w:rsidRPr="00602EF6" w:rsidRDefault="00E95D02" w:rsidP="00E95D02">
      <w:pPr>
        <w:autoSpaceDE w:val="0"/>
        <w:autoSpaceDN w:val="0"/>
        <w:adjustRightInd w:val="0"/>
        <w:spacing w:before="6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lastRenderedPageBreak/>
        <w:t xml:space="preserve">* klasa Q0 jest stosowana, gdy widzialność w dzień jest oceniana za pomocą współczynnika luminancji </w:t>
      </w:r>
    </w:p>
    <w:p w14:paraId="09895AD8" w14:textId="77777777" w:rsidR="00E95D02" w:rsidRPr="00602EF6"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Ze względu na wartość współczynnika luminancji ß</w:t>
      </w:r>
      <w:r w:rsidRPr="00602EF6">
        <w:rPr>
          <w:rFonts w:eastAsia="Times New Roman" w:cstheme="minorHAnsi"/>
          <w:i/>
          <w:iCs/>
          <w:sz w:val="20"/>
          <w:szCs w:val="20"/>
          <w:lang w:eastAsia="pl-PL"/>
        </w:rPr>
        <w:t xml:space="preserve"> </w:t>
      </w:r>
      <w:r w:rsidRPr="00602EF6">
        <w:rPr>
          <w:rFonts w:eastAsia="Times New Roman" w:cstheme="minorHAnsi"/>
          <w:sz w:val="20"/>
          <w:szCs w:val="20"/>
          <w:lang w:eastAsia="pl-PL"/>
        </w:rPr>
        <w:t>poziome oznakowania drogowe dzieli się na klasy podane w tablicy 9 [1].</w:t>
      </w:r>
    </w:p>
    <w:p w14:paraId="756ED134" w14:textId="77777777" w:rsidR="00E95D02" w:rsidRPr="00602EF6" w:rsidRDefault="00E95D02" w:rsidP="00E95D02">
      <w:pPr>
        <w:tabs>
          <w:tab w:val="left" w:pos="1134"/>
        </w:tabs>
        <w:autoSpaceDE w:val="0"/>
        <w:autoSpaceDN w:val="0"/>
        <w:adjustRightInd w:val="0"/>
        <w:spacing w:before="240" w:after="120" w:line="240" w:lineRule="auto"/>
        <w:jc w:val="both"/>
        <w:rPr>
          <w:rFonts w:eastAsia="Times New Roman" w:cstheme="minorHAnsi"/>
          <w:sz w:val="20"/>
          <w:szCs w:val="20"/>
          <w:lang w:eastAsia="pl-PL"/>
        </w:rPr>
      </w:pPr>
      <w:r w:rsidRPr="00602EF6">
        <w:rPr>
          <w:rFonts w:eastAsia="Times New Roman" w:cstheme="minorHAnsi"/>
          <w:sz w:val="20"/>
          <w:szCs w:val="20"/>
          <w:lang w:eastAsia="pl-PL"/>
        </w:rPr>
        <w:t>Tablica 9.</w:t>
      </w:r>
      <w:r w:rsidRPr="00602EF6">
        <w:rPr>
          <w:rFonts w:eastAsia="Times New Roman" w:cstheme="minorHAnsi"/>
          <w:sz w:val="20"/>
          <w:szCs w:val="20"/>
          <w:lang w:eastAsia="pl-PL"/>
        </w:rPr>
        <w:tab/>
        <w:t>Podział na klasy poziomego oznakowania drogowego ze względu na wartość współczynnika luminancji ß</w:t>
      </w:r>
    </w:p>
    <w:tbl>
      <w:tblPr>
        <w:tblW w:w="0" w:type="auto"/>
        <w:tblInd w:w="276" w:type="dxa"/>
        <w:tblLayout w:type="fixed"/>
        <w:tblCellMar>
          <w:left w:w="138" w:type="dxa"/>
          <w:right w:w="138" w:type="dxa"/>
        </w:tblCellMar>
        <w:tblLook w:val="0000" w:firstRow="0" w:lastRow="0" w:firstColumn="0" w:lastColumn="0" w:noHBand="0" w:noVBand="0"/>
      </w:tblPr>
      <w:tblGrid>
        <w:gridCol w:w="3261"/>
        <w:gridCol w:w="1842"/>
        <w:gridCol w:w="3686"/>
      </w:tblGrid>
      <w:tr w:rsidR="00E95D02" w:rsidRPr="00602EF6" w14:paraId="3B53F79F" w14:textId="77777777" w:rsidTr="00E95D02">
        <w:trPr>
          <w:trHeight w:val="1"/>
        </w:trPr>
        <w:tc>
          <w:tcPr>
            <w:tcW w:w="3261" w:type="dxa"/>
            <w:tcBorders>
              <w:top w:val="single" w:sz="4" w:space="0" w:color="000000"/>
              <w:left w:val="single" w:sz="4" w:space="0" w:color="000000"/>
              <w:bottom w:val="single" w:sz="3" w:space="0" w:color="000000"/>
              <w:right w:val="single" w:sz="4" w:space="0" w:color="000000"/>
            </w:tcBorders>
            <w:shd w:val="clear" w:color="000000" w:fill="FFFFFF"/>
            <w:vAlign w:val="center"/>
          </w:tcPr>
          <w:p w14:paraId="375CB5B2" w14:textId="77777777" w:rsidR="00E95D02" w:rsidRPr="00602EF6" w:rsidRDefault="00E95D02" w:rsidP="00E95D02">
            <w:pPr>
              <w:autoSpaceDE w:val="0"/>
              <w:autoSpaceDN w:val="0"/>
              <w:adjustRightInd w:val="0"/>
              <w:spacing w:before="120" w:after="1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Typ nawierzchni drogi /barwa oznakowania</w:t>
            </w:r>
          </w:p>
        </w:tc>
        <w:tc>
          <w:tcPr>
            <w:tcW w:w="1842" w:type="dxa"/>
            <w:tcBorders>
              <w:top w:val="single" w:sz="4" w:space="0" w:color="000000"/>
              <w:left w:val="single" w:sz="4" w:space="0" w:color="000000"/>
              <w:bottom w:val="single" w:sz="3" w:space="0" w:color="000000"/>
              <w:right w:val="nil"/>
            </w:tcBorders>
            <w:shd w:val="clear" w:color="000000" w:fill="FFFFFF"/>
            <w:vAlign w:val="center"/>
          </w:tcPr>
          <w:p w14:paraId="7AB3469A" w14:textId="77777777" w:rsidR="00E95D02" w:rsidRPr="00602EF6" w:rsidRDefault="00E95D02" w:rsidP="00E95D02">
            <w:pPr>
              <w:autoSpaceDE w:val="0"/>
              <w:autoSpaceDN w:val="0"/>
              <w:adjustRightInd w:val="0"/>
              <w:spacing w:before="120" w:after="1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Klasa</w:t>
            </w:r>
          </w:p>
        </w:tc>
        <w:tc>
          <w:tcPr>
            <w:tcW w:w="3686" w:type="dxa"/>
            <w:tcBorders>
              <w:top w:val="single" w:sz="4" w:space="0" w:color="000000"/>
              <w:left w:val="single" w:sz="4" w:space="0" w:color="000000"/>
              <w:bottom w:val="single" w:sz="3" w:space="0" w:color="000000"/>
              <w:right w:val="single" w:sz="4" w:space="0" w:color="000000"/>
            </w:tcBorders>
            <w:shd w:val="clear" w:color="000000" w:fill="FFFFFF"/>
            <w:vAlign w:val="center"/>
          </w:tcPr>
          <w:p w14:paraId="4AA87316" w14:textId="77777777" w:rsidR="00E95D02" w:rsidRPr="00602EF6" w:rsidRDefault="00E95D02" w:rsidP="00E95D02">
            <w:pPr>
              <w:autoSpaceDE w:val="0"/>
              <w:autoSpaceDN w:val="0"/>
              <w:adjustRightInd w:val="0"/>
              <w:spacing w:before="120" w:after="1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Wartość współczynnika ß</w:t>
            </w:r>
          </w:p>
        </w:tc>
      </w:tr>
      <w:tr w:rsidR="00E95D02" w:rsidRPr="00602EF6" w14:paraId="29C74F4A" w14:textId="77777777" w:rsidTr="00E95D02">
        <w:trPr>
          <w:trHeight w:val="498"/>
        </w:trPr>
        <w:tc>
          <w:tcPr>
            <w:tcW w:w="3261" w:type="dxa"/>
            <w:tcBorders>
              <w:top w:val="single" w:sz="3" w:space="0" w:color="000000"/>
              <w:left w:val="single" w:sz="4" w:space="0" w:color="000000"/>
              <w:bottom w:val="single" w:sz="3" w:space="0" w:color="000000"/>
              <w:right w:val="single" w:sz="4" w:space="0" w:color="000000"/>
            </w:tcBorders>
            <w:shd w:val="clear" w:color="000000" w:fill="FFFFFF"/>
          </w:tcPr>
          <w:p w14:paraId="1F4F666E"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nawierzchnia asfaltowa/</w:t>
            </w:r>
          </w:p>
          <w:p w14:paraId="4419515E"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barwa biała oznakowania</w:t>
            </w:r>
          </w:p>
        </w:tc>
        <w:tc>
          <w:tcPr>
            <w:tcW w:w="1842" w:type="dxa"/>
            <w:tcBorders>
              <w:top w:val="single" w:sz="3" w:space="0" w:color="000000"/>
              <w:left w:val="single" w:sz="4" w:space="0" w:color="000000"/>
              <w:bottom w:val="single" w:sz="3" w:space="0" w:color="000000"/>
              <w:right w:val="nil"/>
            </w:tcBorders>
            <w:shd w:val="clear" w:color="000000" w:fill="FFFFFF"/>
          </w:tcPr>
          <w:p w14:paraId="1A5360F6"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B2</w:t>
            </w:r>
          </w:p>
        </w:tc>
        <w:tc>
          <w:tcPr>
            <w:tcW w:w="3686" w:type="dxa"/>
            <w:tcBorders>
              <w:top w:val="single" w:sz="3" w:space="0" w:color="000000"/>
              <w:left w:val="single" w:sz="4" w:space="0" w:color="000000"/>
              <w:bottom w:val="single" w:sz="3" w:space="0" w:color="000000"/>
              <w:right w:val="single" w:sz="4" w:space="0" w:color="000000"/>
            </w:tcBorders>
            <w:shd w:val="clear" w:color="000000" w:fill="FFFFFF"/>
          </w:tcPr>
          <w:p w14:paraId="0BBB80BB"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0,30</w:t>
            </w:r>
          </w:p>
          <w:p w14:paraId="334644B9" w14:textId="77777777" w:rsidR="00E95D02" w:rsidRPr="00602EF6" w:rsidRDefault="00E95D02" w:rsidP="00E95D02">
            <w:pPr>
              <w:autoSpaceDE w:val="0"/>
              <w:autoSpaceDN w:val="0"/>
              <w:adjustRightInd w:val="0"/>
              <w:spacing w:after="0" w:line="240" w:lineRule="auto"/>
              <w:rPr>
                <w:rFonts w:eastAsia="Times New Roman" w:cstheme="minorHAnsi"/>
                <w:sz w:val="20"/>
                <w:szCs w:val="20"/>
                <w:lang w:eastAsia="pl-PL"/>
              </w:rPr>
            </w:pPr>
          </w:p>
        </w:tc>
      </w:tr>
    </w:tbl>
    <w:p w14:paraId="5E399ACE" w14:textId="77777777" w:rsidR="00E95D02" w:rsidRPr="00602EF6" w:rsidRDefault="00E95D02" w:rsidP="00E95D02">
      <w:pPr>
        <w:autoSpaceDE w:val="0"/>
        <w:autoSpaceDN w:val="0"/>
        <w:adjustRightInd w:val="0"/>
        <w:spacing w:before="6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klasa B0 jest stosowana, gdy widoczność w dzień jest oceniana za pomocą współczynnika luminancji w świetle rozproszonym Qd</w:t>
      </w:r>
    </w:p>
    <w:p w14:paraId="62F4B144" w14:textId="2144251E" w:rsidR="00E95D02" w:rsidRPr="00602EF6"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 xml:space="preserve">W tablicy 10 podano wymagania względem współczynnika luminancji ß i współczynnika luminancji </w:t>
      </w:r>
      <w:r w:rsidR="00602EF6">
        <w:rPr>
          <w:rFonts w:eastAsia="Times New Roman" w:cstheme="minorHAnsi"/>
          <w:sz w:val="20"/>
          <w:szCs w:val="20"/>
          <w:lang w:eastAsia="pl-PL"/>
        </w:rPr>
        <w:br/>
      </w:r>
      <w:r w:rsidRPr="00602EF6">
        <w:rPr>
          <w:rFonts w:eastAsia="Times New Roman" w:cstheme="minorHAnsi"/>
          <w:sz w:val="20"/>
          <w:szCs w:val="20"/>
          <w:lang w:eastAsia="pl-PL"/>
        </w:rPr>
        <w:t>w świetle rozproszonym Qd, jakie powinny spełniać oznakowania dróg w okresie eksploatacji.</w:t>
      </w:r>
    </w:p>
    <w:p w14:paraId="60417523" w14:textId="77777777" w:rsidR="00E95D02" w:rsidRPr="00602EF6" w:rsidRDefault="00E95D02" w:rsidP="00E95D02">
      <w:pPr>
        <w:autoSpaceDE w:val="0"/>
        <w:autoSpaceDN w:val="0"/>
        <w:adjustRightInd w:val="0"/>
        <w:spacing w:before="120" w:after="120" w:line="240" w:lineRule="auto"/>
        <w:jc w:val="both"/>
        <w:rPr>
          <w:rFonts w:eastAsia="Times New Roman" w:cstheme="minorHAnsi"/>
          <w:sz w:val="20"/>
          <w:szCs w:val="20"/>
          <w:lang w:eastAsia="pl-PL"/>
        </w:rPr>
      </w:pPr>
      <w:r w:rsidRPr="00602EF6">
        <w:rPr>
          <w:rFonts w:eastAsia="Times New Roman" w:cstheme="minorHAnsi"/>
          <w:sz w:val="20"/>
          <w:szCs w:val="20"/>
          <w:lang w:eastAsia="pl-PL"/>
        </w:rPr>
        <w:t>Tablica 10. Wymagania eksploatacyjne odnośnie współczynnika luminancji ß i współczynnika luminancji w świetle rozproszonym Qd oznakowań dróg. Metody badań według PN-EN 1436:2012 [1]</w:t>
      </w:r>
    </w:p>
    <w:tbl>
      <w:tblPr>
        <w:tblW w:w="0" w:type="auto"/>
        <w:tblInd w:w="70" w:type="dxa"/>
        <w:tblLayout w:type="fixed"/>
        <w:tblCellMar>
          <w:left w:w="70" w:type="dxa"/>
          <w:right w:w="70" w:type="dxa"/>
        </w:tblCellMar>
        <w:tblLook w:val="0000" w:firstRow="0" w:lastRow="0" w:firstColumn="0" w:lastColumn="0" w:noHBand="0" w:noVBand="0"/>
      </w:tblPr>
      <w:tblGrid>
        <w:gridCol w:w="637"/>
        <w:gridCol w:w="5529"/>
        <w:gridCol w:w="1134"/>
        <w:gridCol w:w="1559"/>
      </w:tblGrid>
      <w:tr w:rsidR="00E95D02" w:rsidRPr="00602EF6" w14:paraId="776750BB" w14:textId="77777777" w:rsidTr="00E95D02">
        <w:trPr>
          <w:trHeight w:val="1"/>
        </w:trPr>
        <w:tc>
          <w:tcPr>
            <w:tcW w:w="637" w:type="dxa"/>
            <w:tcBorders>
              <w:top w:val="single" w:sz="4" w:space="0" w:color="000000"/>
              <w:left w:val="single" w:sz="4" w:space="0" w:color="000000"/>
              <w:bottom w:val="single" w:sz="3" w:space="0" w:color="000000"/>
              <w:right w:val="single" w:sz="4" w:space="0" w:color="000000"/>
            </w:tcBorders>
            <w:shd w:val="clear" w:color="000000" w:fill="FFFFFF"/>
          </w:tcPr>
          <w:p w14:paraId="4A37AE15" w14:textId="77777777" w:rsidR="00E95D02" w:rsidRPr="00602EF6" w:rsidRDefault="00E95D02" w:rsidP="00E95D02">
            <w:pPr>
              <w:autoSpaceDE w:val="0"/>
              <w:autoSpaceDN w:val="0"/>
              <w:adjustRightInd w:val="0"/>
              <w:spacing w:before="120" w:after="120" w:line="240" w:lineRule="auto"/>
              <w:jc w:val="both"/>
              <w:rPr>
                <w:rFonts w:eastAsia="Times New Roman" w:cstheme="minorHAnsi"/>
                <w:sz w:val="20"/>
                <w:szCs w:val="20"/>
                <w:lang w:eastAsia="pl-PL"/>
              </w:rPr>
            </w:pPr>
            <w:r w:rsidRPr="00602EF6">
              <w:rPr>
                <w:rFonts w:eastAsia="Times New Roman" w:cstheme="minorHAnsi"/>
                <w:sz w:val="20"/>
                <w:szCs w:val="20"/>
                <w:lang w:eastAsia="pl-PL"/>
              </w:rPr>
              <w:t>Lp.</w:t>
            </w:r>
          </w:p>
        </w:tc>
        <w:tc>
          <w:tcPr>
            <w:tcW w:w="5529" w:type="dxa"/>
            <w:tcBorders>
              <w:top w:val="single" w:sz="4" w:space="0" w:color="000000"/>
              <w:left w:val="single" w:sz="4" w:space="0" w:color="000000"/>
              <w:bottom w:val="single" w:sz="3" w:space="0" w:color="000000"/>
              <w:right w:val="single" w:sz="4" w:space="0" w:color="000000"/>
            </w:tcBorders>
            <w:shd w:val="clear" w:color="000000" w:fill="FFFFFF"/>
          </w:tcPr>
          <w:p w14:paraId="551E4AD2" w14:textId="77777777" w:rsidR="00E95D02" w:rsidRPr="00602EF6" w:rsidRDefault="00E95D02" w:rsidP="00E95D02">
            <w:pPr>
              <w:autoSpaceDE w:val="0"/>
              <w:autoSpaceDN w:val="0"/>
              <w:adjustRightInd w:val="0"/>
              <w:spacing w:before="120" w:after="1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Właściwości</w:t>
            </w:r>
          </w:p>
        </w:tc>
        <w:tc>
          <w:tcPr>
            <w:tcW w:w="1134" w:type="dxa"/>
            <w:tcBorders>
              <w:top w:val="single" w:sz="4" w:space="0" w:color="000000"/>
              <w:left w:val="single" w:sz="4" w:space="0" w:color="000000"/>
              <w:bottom w:val="single" w:sz="3" w:space="0" w:color="000000"/>
              <w:right w:val="single" w:sz="4" w:space="0" w:color="000000"/>
            </w:tcBorders>
            <w:shd w:val="clear" w:color="000000" w:fill="FFFFFF"/>
          </w:tcPr>
          <w:p w14:paraId="06294969" w14:textId="77777777" w:rsidR="00E95D02" w:rsidRPr="00602EF6" w:rsidRDefault="00E95D02" w:rsidP="00E95D02">
            <w:pPr>
              <w:autoSpaceDE w:val="0"/>
              <w:autoSpaceDN w:val="0"/>
              <w:adjustRightInd w:val="0"/>
              <w:spacing w:before="120" w:after="120" w:line="240" w:lineRule="auto"/>
              <w:jc w:val="both"/>
              <w:rPr>
                <w:rFonts w:eastAsia="Times New Roman" w:cstheme="minorHAnsi"/>
                <w:sz w:val="20"/>
                <w:szCs w:val="20"/>
                <w:lang w:eastAsia="pl-PL"/>
              </w:rPr>
            </w:pPr>
            <w:r w:rsidRPr="00602EF6">
              <w:rPr>
                <w:rFonts w:eastAsia="Times New Roman" w:cstheme="minorHAnsi"/>
                <w:sz w:val="20"/>
                <w:szCs w:val="20"/>
                <w:lang w:eastAsia="pl-PL"/>
              </w:rPr>
              <w:t>Jednostki</w:t>
            </w:r>
          </w:p>
        </w:tc>
        <w:tc>
          <w:tcPr>
            <w:tcW w:w="1559" w:type="dxa"/>
            <w:tcBorders>
              <w:top w:val="single" w:sz="4" w:space="0" w:color="000000"/>
              <w:left w:val="single" w:sz="4" w:space="0" w:color="000000"/>
              <w:bottom w:val="single" w:sz="3" w:space="0" w:color="000000"/>
              <w:right w:val="single" w:sz="4" w:space="0" w:color="000000"/>
            </w:tcBorders>
            <w:shd w:val="clear" w:color="000000" w:fill="FFFFFF"/>
          </w:tcPr>
          <w:p w14:paraId="78F202EE" w14:textId="77777777" w:rsidR="00E95D02" w:rsidRPr="00602EF6" w:rsidRDefault="00E95D02" w:rsidP="00E95D02">
            <w:pPr>
              <w:autoSpaceDE w:val="0"/>
              <w:autoSpaceDN w:val="0"/>
              <w:adjustRightInd w:val="0"/>
              <w:spacing w:before="120" w:after="1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Wymagania</w:t>
            </w:r>
          </w:p>
        </w:tc>
      </w:tr>
      <w:tr w:rsidR="00E95D02" w:rsidRPr="00602EF6" w14:paraId="46672934" w14:textId="77777777" w:rsidTr="00E95D02">
        <w:trPr>
          <w:trHeight w:val="528"/>
        </w:trPr>
        <w:tc>
          <w:tcPr>
            <w:tcW w:w="637" w:type="dxa"/>
            <w:tcBorders>
              <w:top w:val="single" w:sz="3" w:space="0" w:color="000000"/>
              <w:left w:val="single" w:sz="4" w:space="0" w:color="000000"/>
              <w:bottom w:val="single" w:sz="4" w:space="0" w:color="000000"/>
              <w:right w:val="single" w:sz="4" w:space="0" w:color="000000"/>
            </w:tcBorders>
            <w:shd w:val="clear" w:color="000000" w:fill="FFFFFF"/>
          </w:tcPr>
          <w:p w14:paraId="519101E8"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1</w:t>
            </w:r>
          </w:p>
        </w:tc>
        <w:tc>
          <w:tcPr>
            <w:tcW w:w="5529" w:type="dxa"/>
            <w:tcBorders>
              <w:top w:val="single" w:sz="3" w:space="0" w:color="000000"/>
              <w:left w:val="single" w:sz="4" w:space="0" w:color="000000"/>
              <w:bottom w:val="single" w:sz="4" w:space="0" w:color="000000"/>
              <w:right w:val="single" w:sz="4" w:space="0" w:color="000000"/>
            </w:tcBorders>
            <w:shd w:val="clear" w:color="000000" w:fill="FFFFFF"/>
          </w:tcPr>
          <w:p w14:paraId="4302F161" w14:textId="09E2A5A8"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xml:space="preserve">Współczynnik </w:t>
            </w:r>
            <w:r w:rsidR="00602EF6" w:rsidRPr="00602EF6">
              <w:rPr>
                <w:rFonts w:eastAsia="Times New Roman" w:cstheme="minorHAnsi"/>
                <w:sz w:val="20"/>
                <w:szCs w:val="20"/>
                <w:lang w:eastAsia="pl-PL"/>
              </w:rPr>
              <w:t>luminacji dla</w:t>
            </w:r>
            <w:r w:rsidRPr="00602EF6">
              <w:rPr>
                <w:rFonts w:eastAsia="Times New Roman" w:cstheme="minorHAnsi"/>
                <w:sz w:val="20"/>
                <w:szCs w:val="20"/>
                <w:lang w:eastAsia="pl-PL"/>
              </w:rPr>
              <w:t xml:space="preserve"> oznakowania nowego (od 7 do 30 dnia):</w:t>
            </w:r>
            <w:r w:rsidRPr="00602EF6">
              <w:rPr>
                <w:rFonts w:eastAsia="Times New Roman" w:cstheme="minorHAnsi"/>
                <w:sz w:val="20"/>
                <w:szCs w:val="20"/>
                <w:vertAlign w:val="superscript"/>
                <w:lang w:eastAsia="pl-PL"/>
              </w:rPr>
              <w:t>*</w:t>
            </w:r>
          </w:p>
          <w:p w14:paraId="62F2F6BE"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barwa biała na nawierzchni asfaltowej (klasa B3)</w:t>
            </w:r>
          </w:p>
        </w:tc>
        <w:tc>
          <w:tcPr>
            <w:tcW w:w="1134" w:type="dxa"/>
            <w:tcBorders>
              <w:top w:val="single" w:sz="3" w:space="0" w:color="000000"/>
              <w:left w:val="single" w:sz="4" w:space="0" w:color="000000"/>
              <w:bottom w:val="single" w:sz="4" w:space="0" w:color="000000"/>
              <w:right w:val="single" w:sz="4" w:space="0" w:color="000000"/>
            </w:tcBorders>
            <w:shd w:val="clear" w:color="000000" w:fill="FFFFFF"/>
          </w:tcPr>
          <w:p w14:paraId="1DF0D56E"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p>
          <w:p w14:paraId="3B38A0D9"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p>
          <w:p w14:paraId="067F6E0A"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w:t>
            </w:r>
          </w:p>
        </w:tc>
        <w:tc>
          <w:tcPr>
            <w:tcW w:w="1559" w:type="dxa"/>
            <w:tcBorders>
              <w:top w:val="single" w:sz="3" w:space="0" w:color="000000"/>
              <w:left w:val="single" w:sz="4" w:space="0" w:color="000000"/>
              <w:bottom w:val="single" w:sz="4" w:space="0" w:color="000000"/>
              <w:right w:val="single" w:sz="4" w:space="0" w:color="000000"/>
            </w:tcBorders>
            <w:shd w:val="clear" w:color="000000" w:fill="FFFFFF"/>
          </w:tcPr>
          <w:p w14:paraId="61AD3ADD"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p>
          <w:p w14:paraId="4DB82A31"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p>
          <w:p w14:paraId="2D3787F2"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 xml:space="preserve"> 0,40</w:t>
            </w:r>
          </w:p>
        </w:tc>
      </w:tr>
      <w:tr w:rsidR="00E95D02" w:rsidRPr="00602EF6" w14:paraId="6AF65DEB" w14:textId="77777777" w:rsidTr="00E95D02">
        <w:trPr>
          <w:trHeight w:val="695"/>
        </w:trPr>
        <w:tc>
          <w:tcPr>
            <w:tcW w:w="637" w:type="dxa"/>
            <w:tcBorders>
              <w:top w:val="single" w:sz="4" w:space="0" w:color="000000"/>
              <w:left w:val="single" w:sz="4" w:space="0" w:color="000000"/>
              <w:bottom w:val="single" w:sz="4" w:space="0" w:color="000000"/>
              <w:right w:val="single" w:sz="4" w:space="0" w:color="000000"/>
            </w:tcBorders>
            <w:shd w:val="clear" w:color="000000" w:fill="FFFFFF"/>
          </w:tcPr>
          <w:p w14:paraId="7EA48501"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2</w:t>
            </w:r>
          </w:p>
        </w:tc>
        <w:tc>
          <w:tcPr>
            <w:tcW w:w="5529" w:type="dxa"/>
            <w:tcBorders>
              <w:top w:val="single" w:sz="4" w:space="0" w:color="000000"/>
              <w:left w:val="single" w:sz="4" w:space="0" w:color="000000"/>
              <w:bottom w:val="single" w:sz="4" w:space="0" w:color="000000"/>
              <w:right w:val="single" w:sz="4" w:space="0" w:color="000000"/>
            </w:tcBorders>
            <w:shd w:val="clear" w:color="000000" w:fill="FFFFFF"/>
          </w:tcPr>
          <w:p w14:paraId="088F84C2" w14:textId="21E91EC1"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xml:space="preserve">Współczynnik </w:t>
            </w:r>
            <w:r w:rsidR="00602EF6" w:rsidRPr="00602EF6">
              <w:rPr>
                <w:rFonts w:eastAsia="Times New Roman" w:cstheme="minorHAnsi"/>
                <w:sz w:val="20"/>
                <w:szCs w:val="20"/>
                <w:lang w:eastAsia="pl-PL"/>
              </w:rPr>
              <w:t>luminacji dla</w:t>
            </w:r>
            <w:r w:rsidRPr="00602EF6">
              <w:rPr>
                <w:rFonts w:eastAsia="Times New Roman" w:cstheme="minorHAnsi"/>
                <w:sz w:val="20"/>
                <w:szCs w:val="20"/>
                <w:lang w:eastAsia="pl-PL"/>
              </w:rPr>
              <w:t xml:space="preserve"> oznakowania eksploatowanego po 30 dniu od </w:t>
            </w:r>
            <w:r w:rsidR="00602EF6" w:rsidRPr="00602EF6">
              <w:rPr>
                <w:rFonts w:eastAsia="Times New Roman" w:cstheme="minorHAnsi"/>
                <w:sz w:val="20"/>
                <w:szCs w:val="20"/>
                <w:lang w:eastAsia="pl-PL"/>
              </w:rPr>
              <w:t>wykonania:</w:t>
            </w:r>
            <w:r w:rsidR="00602EF6" w:rsidRPr="00602EF6">
              <w:rPr>
                <w:rFonts w:eastAsia="Times New Roman" w:cstheme="minorHAnsi"/>
                <w:sz w:val="20"/>
                <w:szCs w:val="20"/>
                <w:vertAlign w:val="superscript"/>
                <w:lang w:eastAsia="pl-PL"/>
              </w:rPr>
              <w:t xml:space="preserve"> *</w:t>
            </w:r>
          </w:p>
          <w:p w14:paraId="04E4B0AA"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barwa biała na nawierzchni asfaltowej (klasa B2)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545A2759"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p>
          <w:p w14:paraId="21A46703"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3B10A439"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p>
          <w:p w14:paraId="0878F926"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p>
          <w:p w14:paraId="23FAE380"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 xml:space="preserve"> 0,30</w:t>
            </w:r>
          </w:p>
        </w:tc>
      </w:tr>
      <w:tr w:rsidR="00E95D02" w:rsidRPr="00602EF6" w14:paraId="126E37E3" w14:textId="77777777" w:rsidTr="00E95D02">
        <w:trPr>
          <w:trHeight w:val="549"/>
        </w:trPr>
        <w:tc>
          <w:tcPr>
            <w:tcW w:w="637" w:type="dxa"/>
            <w:tcBorders>
              <w:top w:val="single" w:sz="4" w:space="0" w:color="000000"/>
              <w:left w:val="single" w:sz="4" w:space="0" w:color="000000"/>
              <w:bottom w:val="single" w:sz="4" w:space="0" w:color="000000"/>
              <w:right w:val="single" w:sz="4" w:space="0" w:color="000000"/>
            </w:tcBorders>
            <w:shd w:val="clear" w:color="000000" w:fill="FFFFFF"/>
          </w:tcPr>
          <w:p w14:paraId="087DF7F6"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3</w:t>
            </w:r>
          </w:p>
        </w:tc>
        <w:tc>
          <w:tcPr>
            <w:tcW w:w="5529" w:type="dxa"/>
            <w:tcBorders>
              <w:top w:val="single" w:sz="4" w:space="0" w:color="000000"/>
              <w:left w:val="single" w:sz="4" w:space="0" w:color="000000"/>
              <w:bottom w:val="single" w:sz="4" w:space="0" w:color="000000"/>
              <w:right w:val="single" w:sz="4" w:space="0" w:color="000000"/>
            </w:tcBorders>
            <w:shd w:val="clear" w:color="000000" w:fill="FFFFFF"/>
          </w:tcPr>
          <w:p w14:paraId="639E47F2" w14:textId="6563E22F"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Współczynnik luminacji w świetle rozproszonym Q</w:t>
            </w:r>
            <w:r w:rsidRPr="00602EF6">
              <w:rPr>
                <w:rFonts w:eastAsia="Times New Roman" w:cstheme="minorHAnsi"/>
                <w:sz w:val="20"/>
                <w:szCs w:val="20"/>
                <w:vertAlign w:val="subscript"/>
                <w:lang w:eastAsia="pl-PL"/>
              </w:rPr>
              <w:t>D</w:t>
            </w:r>
            <w:r w:rsidRPr="00602EF6">
              <w:rPr>
                <w:rFonts w:eastAsia="Times New Roman" w:cstheme="minorHAnsi"/>
                <w:sz w:val="20"/>
                <w:szCs w:val="20"/>
                <w:lang w:eastAsia="pl-PL"/>
              </w:rPr>
              <w:t xml:space="preserve"> oznakowania nowego (od 7 do 30 dnia</w:t>
            </w:r>
            <w:r w:rsidR="00602EF6" w:rsidRPr="00602EF6">
              <w:rPr>
                <w:rFonts w:eastAsia="Times New Roman" w:cstheme="minorHAnsi"/>
                <w:sz w:val="20"/>
                <w:szCs w:val="20"/>
                <w:lang w:eastAsia="pl-PL"/>
              </w:rPr>
              <w:t>):</w:t>
            </w:r>
            <w:r w:rsidR="00602EF6" w:rsidRPr="00602EF6">
              <w:rPr>
                <w:rFonts w:eastAsia="Times New Roman" w:cstheme="minorHAnsi"/>
                <w:sz w:val="20"/>
                <w:szCs w:val="20"/>
                <w:vertAlign w:val="superscript"/>
                <w:lang w:eastAsia="pl-PL"/>
              </w:rPr>
              <w:t xml:space="preserve"> *</w:t>
            </w:r>
          </w:p>
          <w:p w14:paraId="4A3AF5DE"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barwa biała na nawierzchni asfaltowej (klasa Q3)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52F70F27"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p>
          <w:p w14:paraId="6B0D2C46"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mcd/m</w:t>
            </w:r>
            <w:r w:rsidRPr="00602EF6">
              <w:rPr>
                <w:rFonts w:eastAsia="Times New Roman" w:cstheme="minorHAnsi"/>
                <w:sz w:val="20"/>
                <w:szCs w:val="20"/>
                <w:vertAlign w:val="superscript"/>
                <w:lang w:eastAsia="pl-PL"/>
              </w:rPr>
              <w:t>2</w:t>
            </w:r>
            <w:r w:rsidRPr="00602EF6">
              <w:rPr>
                <w:rFonts w:eastAsia="Times New Roman" w:cstheme="minorHAnsi"/>
                <w:sz w:val="20"/>
                <w:szCs w:val="20"/>
                <w:lang w:eastAsia="pl-PL"/>
              </w:rPr>
              <w:t>lx</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36862DA"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p>
          <w:p w14:paraId="06A534EB" w14:textId="77777777" w:rsidR="00E95D02" w:rsidRPr="00602EF6" w:rsidRDefault="00E95D02" w:rsidP="00E95D02">
            <w:pPr>
              <w:autoSpaceDE w:val="0"/>
              <w:autoSpaceDN w:val="0"/>
              <w:adjustRightInd w:val="0"/>
              <w:spacing w:after="0" w:line="240" w:lineRule="auto"/>
              <w:rPr>
                <w:rFonts w:eastAsia="Times New Roman" w:cstheme="minorHAnsi"/>
                <w:sz w:val="20"/>
                <w:szCs w:val="20"/>
                <w:lang w:eastAsia="pl-PL"/>
              </w:rPr>
            </w:pPr>
          </w:p>
          <w:p w14:paraId="0AEBC842"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 xml:space="preserve"> 130</w:t>
            </w:r>
          </w:p>
        </w:tc>
      </w:tr>
      <w:tr w:rsidR="00E95D02" w:rsidRPr="00602EF6" w14:paraId="2630D481" w14:textId="77777777" w:rsidTr="00E95D02">
        <w:trPr>
          <w:trHeight w:val="549"/>
        </w:trPr>
        <w:tc>
          <w:tcPr>
            <w:tcW w:w="637" w:type="dxa"/>
            <w:tcBorders>
              <w:top w:val="single" w:sz="4" w:space="0" w:color="000000"/>
              <w:left w:val="single" w:sz="4" w:space="0" w:color="000000"/>
              <w:bottom w:val="single" w:sz="4" w:space="0" w:color="000000"/>
              <w:right w:val="single" w:sz="4" w:space="0" w:color="000000"/>
            </w:tcBorders>
            <w:shd w:val="clear" w:color="000000" w:fill="FFFFFF"/>
          </w:tcPr>
          <w:p w14:paraId="2962C3E0"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4</w:t>
            </w:r>
          </w:p>
        </w:tc>
        <w:tc>
          <w:tcPr>
            <w:tcW w:w="5529" w:type="dxa"/>
            <w:tcBorders>
              <w:top w:val="single" w:sz="4" w:space="0" w:color="000000"/>
              <w:left w:val="single" w:sz="4" w:space="0" w:color="000000"/>
              <w:bottom w:val="single" w:sz="4" w:space="0" w:color="000000"/>
              <w:right w:val="single" w:sz="4" w:space="0" w:color="000000"/>
            </w:tcBorders>
            <w:shd w:val="clear" w:color="000000" w:fill="FFFFFF"/>
          </w:tcPr>
          <w:p w14:paraId="4D013BFF" w14:textId="29D183CB"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Współczynnik luminacji w świetle rozproszonym Q</w:t>
            </w:r>
            <w:r w:rsidRPr="00602EF6">
              <w:rPr>
                <w:rFonts w:eastAsia="Times New Roman" w:cstheme="minorHAnsi"/>
                <w:sz w:val="20"/>
                <w:szCs w:val="20"/>
                <w:vertAlign w:val="subscript"/>
                <w:lang w:eastAsia="pl-PL"/>
              </w:rPr>
              <w:t>D</w:t>
            </w:r>
            <w:r w:rsidRPr="00602EF6">
              <w:rPr>
                <w:rFonts w:eastAsia="Times New Roman" w:cstheme="minorHAnsi"/>
                <w:sz w:val="20"/>
                <w:szCs w:val="20"/>
                <w:lang w:eastAsia="pl-PL"/>
              </w:rPr>
              <w:t xml:space="preserve"> oznakowania po 30 dniu od </w:t>
            </w:r>
            <w:r w:rsidR="00602EF6" w:rsidRPr="00602EF6">
              <w:rPr>
                <w:rFonts w:eastAsia="Times New Roman" w:cstheme="minorHAnsi"/>
                <w:sz w:val="20"/>
                <w:szCs w:val="20"/>
                <w:lang w:eastAsia="pl-PL"/>
              </w:rPr>
              <w:t>wykonania:</w:t>
            </w:r>
            <w:r w:rsidR="00602EF6" w:rsidRPr="00602EF6">
              <w:rPr>
                <w:rFonts w:eastAsia="Times New Roman" w:cstheme="minorHAnsi"/>
                <w:sz w:val="20"/>
                <w:szCs w:val="20"/>
                <w:vertAlign w:val="superscript"/>
                <w:lang w:eastAsia="pl-PL"/>
              </w:rPr>
              <w:t xml:space="preserve"> *</w:t>
            </w:r>
          </w:p>
          <w:p w14:paraId="43677463"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barwa biała na nawierzchni asfaltowej (klasa Q3)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72E8D021"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p>
          <w:p w14:paraId="68857DD8"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mcd/m</w:t>
            </w:r>
            <w:r w:rsidRPr="00602EF6">
              <w:rPr>
                <w:rFonts w:eastAsia="Times New Roman" w:cstheme="minorHAnsi"/>
                <w:sz w:val="20"/>
                <w:szCs w:val="20"/>
                <w:vertAlign w:val="superscript"/>
                <w:lang w:eastAsia="pl-PL"/>
              </w:rPr>
              <w:t>2</w:t>
            </w:r>
            <w:r w:rsidRPr="00602EF6">
              <w:rPr>
                <w:rFonts w:eastAsia="Times New Roman" w:cstheme="minorHAnsi"/>
                <w:sz w:val="20"/>
                <w:szCs w:val="20"/>
                <w:lang w:eastAsia="pl-PL"/>
              </w:rPr>
              <w:t>lx</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6439AB0C"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p>
          <w:p w14:paraId="1363D490"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p>
          <w:p w14:paraId="77DE4CAF"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 xml:space="preserve"> 130</w:t>
            </w:r>
          </w:p>
        </w:tc>
      </w:tr>
      <w:tr w:rsidR="00E95D02" w:rsidRPr="004853EB" w14:paraId="284C1F70" w14:textId="77777777" w:rsidTr="00E95D02">
        <w:trPr>
          <w:trHeight w:val="311"/>
        </w:trPr>
        <w:tc>
          <w:tcPr>
            <w:tcW w:w="637" w:type="dxa"/>
            <w:tcBorders>
              <w:top w:val="single" w:sz="4" w:space="0" w:color="000000"/>
              <w:left w:val="single" w:sz="4" w:space="0" w:color="000000"/>
              <w:bottom w:val="single" w:sz="4" w:space="0" w:color="000000"/>
              <w:right w:val="single" w:sz="4" w:space="0" w:color="000000"/>
            </w:tcBorders>
            <w:shd w:val="clear" w:color="000000" w:fill="FFFFFF"/>
          </w:tcPr>
          <w:p w14:paraId="3A552750"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5</w:t>
            </w:r>
          </w:p>
        </w:tc>
        <w:tc>
          <w:tcPr>
            <w:tcW w:w="5529" w:type="dxa"/>
            <w:tcBorders>
              <w:top w:val="single" w:sz="4" w:space="0" w:color="000000"/>
              <w:left w:val="single" w:sz="4" w:space="0" w:color="000000"/>
              <w:bottom w:val="single" w:sz="4" w:space="0" w:color="000000"/>
              <w:right w:val="single" w:sz="4" w:space="0" w:color="000000"/>
            </w:tcBorders>
            <w:shd w:val="clear" w:color="000000" w:fill="FFFFFF"/>
          </w:tcPr>
          <w:p w14:paraId="6FD208B8"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 xml:space="preserve">Współrzędne chromatyczności </w:t>
            </w:r>
            <w:r w:rsidRPr="004853EB">
              <w:rPr>
                <w:rFonts w:eastAsia="Times New Roman" w:cstheme="minorHAnsi"/>
                <w:i/>
                <w:iCs/>
                <w:sz w:val="20"/>
                <w:szCs w:val="20"/>
                <w:lang w:val="pl" w:eastAsia="pl-PL"/>
              </w:rPr>
              <w:t>x</w:t>
            </w:r>
            <w:r w:rsidRPr="004853EB">
              <w:rPr>
                <w:rFonts w:eastAsia="Times New Roman" w:cstheme="minorHAnsi"/>
                <w:sz w:val="20"/>
                <w:szCs w:val="20"/>
                <w:lang w:val="pl" w:eastAsia="pl-PL"/>
              </w:rPr>
              <w:t>,</w:t>
            </w:r>
            <w:r w:rsidRPr="004853EB">
              <w:rPr>
                <w:rFonts w:eastAsia="Times New Roman" w:cstheme="minorHAnsi"/>
                <w:i/>
                <w:iCs/>
                <w:sz w:val="20"/>
                <w:szCs w:val="20"/>
                <w:lang w:val="pl" w:eastAsia="pl-PL"/>
              </w:rPr>
              <w:t>y</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67A560D2"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E803A5F" w14:textId="77777777" w:rsidR="00E95D02" w:rsidRPr="004853EB" w:rsidRDefault="00E95D02" w:rsidP="00E95D02">
            <w:pPr>
              <w:autoSpaceDE w:val="0"/>
              <w:autoSpaceDN w:val="0"/>
              <w:adjustRightInd w:val="0"/>
              <w:spacing w:after="0" w:line="240" w:lineRule="auto"/>
              <w:jc w:val="center"/>
              <w:rPr>
                <w:rFonts w:eastAsia="Times New Roman" w:cstheme="minorHAnsi"/>
                <w:sz w:val="20"/>
                <w:szCs w:val="20"/>
                <w:lang w:val="pl" w:eastAsia="pl-PL"/>
              </w:rPr>
            </w:pPr>
            <w:r w:rsidRPr="004853EB">
              <w:rPr>
                <w:rFonts w:eastAsia="Times New Roman" w:cstheme="minorHAnsi"/>
                <w:sz w:val="20"/>
                <w:szCs w:val="20"/>
                <w:lang w:val="pl" w:eastAsia="pl-PL"/>
              </w:rPr>
              <w:t>wg rys. 1,2 i 3</w:t>
            </w:r>
          </w:p>
        </w:tc>
      </w:tr>
    </w:tbl>
    <w:p w14:paraId="0B5EC5C3" w14:textId="77777777" w:rsidR="00E95D02" w:rsidRPr="004853EB" w:rsidRDefault="00E95D02" w:rsidP="00E95D02">
      <w:pPr>
        <w:autoSpaceDE w:val="0"/>
        <w:autoSpaceDN w:val="0"/>
        <w:adjustRightInd w:val="0"/>
        <w:spacing w:before="60" w:after="0" w:line="240" w:lineRule="auto"/>
        <w:jc w:val="both"/>
        <w:rPr>
          <w:rFonts w:eastAsia="Times New Roman" w:cstheme="minorHAnsi"/>
          <w:sz w:val="20"/>
          <w:szCs w:val="20"/>
          <w:lang w:val="pl" w:eastAsia="pl-PL"/>
        </w:rPr>
      </w:pPr>
      <w:r w:rsidRPr="004853EB">
        <w:rPr>
          <w:rFonts w:eastAsia="Times New Roman" w:cstheme="minorHAnsi"/>
          <w:sz w:val="20"/>
          <w:szCs w:val="20"/>
          <w:vertAlign w:val="superscript"/>
          <w:lang w:val="pl" w:eastAsia="pl-PL"/>
        </w:rPr>
        <w:t xml:space="preserve">* </w:t>
      </w:r>
      <w:r w:rsidRPr="004853EB">
        <w:rPr>
          <w:rFonts w:eastAsia="Times New Roman" w:cstheme="minorHAnsi"/>
          <w:sz w:val="20"/>
          <w:szCs w:val="20"/>
          <w:lang w:val="pl" w:eastAsia="pl-PL"/>
        </w:rPr>
        <w:t>na wszystkich drogach</w:t>
      </w:r>
    </w:p>
    <w:p w14:paraId="4DD5748C" w14:textId="77777777" w:rsidR="00E95D02" w:rsidRPr="00602EF6"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r>
      <w:r w:rsidRPr="00602EF6">
        <w:rPr>
          <w:rFonts w:eastAsia="Times New Roman" w:cstheme="minorHAnsi"/>
          <w:sz w:val="20"/>
          <w:szCs w:val="20"/>
          <w:lang w:eastAsia="pl-PL"/>
        </w:rPr>
        <w:t>Barwa oznakowania powinna być określona wg PN-EN 1436:2012 [1] przez współrzędne chromatyczności x i y, które dla suchego oznakowania powinny leżeć w obszarze zdefiniowanym przez cztery punkty narożne podane w tablicy 11 i na wykresach (rys. 1, 2 i 3).</w:t>
      </w:r>
    </w:p>
    <w:p w14:paraId="10E50D3B" w14:textId="77777777" w:rsidR="00E95D02" w:rsidRPr="00602EF6" w:rsidRDefault="00E95D02" w:rsidP="00E95D02">
      <w:pPr>
        <w:keepNext/>
        <w:autoSpaceDE w:val="0"/>
        <w:autoSpaceDN w:val="0"/>
        <w:adjustRightInd w:val="0"/>
        <w:spacing w:before="120" w:after="120" w:line="240" w:lineRule="auto"/>
        <w:jc w:val="both"/>
        <w:rPr>
          <w:rFonts w:eastAsia="Times New Roman" w:cstheme="minorHAnsi"/>
          <w:sz w:val="20"/>
          <w:szCs w:val="20"/>
          <w:lang w:eastAsia="pl-PL"/>
        </w:rPr>
      </w:pPr>
      <w:r w:rsidRPr="00602EF6">
        <w:rPr>
          <w:rFonts w:eastAsia="Times New Roman" w:cstheme="minorHAnsi"/>
          <w:sz w:val="20"/>
          <w:szCs w:val="20"/>
          <w:lang w:eastAsia="pl-PL"/>
        </w:rPr>
        <w:t>Tablica 11. Punkty narożne obszarów chromatyczności oznakowań dróg</w:t>
      </w:r>
    </w:p>
    <w:tbl>
      <w:tblPr>
        <w:tblW w:w="0" w:type="auto"/>
        <w:tblInd w:w="156" w:type="dxa"/>
        <w:tblLayout w:type="fixed"/>
        <w:tblCellMar>
          <w:left w:w="156" w:type="dxa"/>
          <w:right w:w="156" w:type="dxa"/>
        </w:tblCellMar>
        <w:tblLook w:val="0000" w:firstRow="0" w:lastRow="0" w:firstColumn="0" w:lastColumn="0" w:noHBand="0" w:noVBand="0"/>
      </w:tblPr>
      <w:tblGrid>
        <w:gridCol w:w="2601"/>
        <w:gridCol w:w="425"/>
        <w:gridCol w:w="1110"/>
        <w:gridCol w:w="1111"/>
        <w:gridCol w:w="1110"/>
        <w:gridCol w:w="1111"/>
      </w:tblGrid>
      <w:tr w:rsidR="00E95D02" w:rsidRPr="00602EF6" w14:paraId="71784BEA" w14:textId="77777777" w:rsidTr="00E95D02">
        <w:trPr>
          <w:trHeight w:val="398"/>
        </w:trPr>
        <w:tc>
          <w:tcPr>
            <w:tcW w:w="3026" w:type="dxa"/>
            <w:gridSpan w:val="2"/>
            <w:tcBorders>
              <w:top w:val="single" w:sz="4" w:space="0" w:color="000000"/>
              <w:left w:val="single" w:sz="4" w:space="0" w:color="000000"/>
              <w:bottom w:val="single" w:sz="3" w:space="0" w:color="000000"/>
              <w:right w:val="nil"/>
            </w:tcBorders>
            <w:shd w:val="clear" w:color="000000" w:fill="FFFFFF"/>
          </w:tcPr>
          <w:p w14:paraId="3E395944" w14:textId="77777777" w:rsidR="00E95D02" w:rsidRPr="00602EF6" w:rsidRDefault="00E95D02" w:rsidP="00E95D02">
            <w:pPr>
              <w:suppressAutoHyphens/>
              <w:autoSpaceDE w:val="0"/>
              <w:autoSpaceDN w:val="0"/>
              <w:adjustRightInd w:val="0"/>
              <w:spacing w:before="120" w:after="120" w:line="240" w:lineRule="auto"/>
              <w:jc w:val="both"/>
              <w:rPr>
                <w:rFonts w:eastAsia="Times New Roman" w:cstheme="minorHAnsi"/>
                <w:sz w:val="20"/>
                <w:szCs w:val="20"/>
                <w:lang w:eastAsia="pl-PL"/>
              </w:rPr>
            </w:pPr>
            <w:r w:rsidRPr="00602EF6">
              <w:rPr>
                <w:rFonts w:eastAsia="Times New Roman" w:cstheme="minorHAnsi"/>
                <w:spacing w:val="-3"/>
                <w:sz w:val="20"/>
                <w:szCs w:val="20"/>
                <w:lang w:eastAsia="pl-PL"/>
              </w:rPr>
              <w:t>Punkt narożny nr</w:t>
            </w:r>
          </w:p>
        </w:tc>
        <w:tc>
          <w:tcPr>
            <w:tcW w:w="1110" w:type="dxa"/>
            <w:tcBorders>
              <w:top w:val="single" w:sz="4" w:space="0" w:color="000000"/>
              <w:left w:val="single" w:sz="4" w:space="0" w:color="000000"/>
              <w:bottom w:val="single" w:sz="3" w:space="0" w:color="000000"/>
              <w:right w:val="nil"/>
            </w:tcBorders>
            <w:shd w:val="clear" w:color="000000" w:fill="FFFFFF"/>
          </w:tcPr>
          <w:p w14:paraId="39224E76" w14:textId="77777777" w:rsidR="00E95D02" w:rsidRPr="00602EF6" w:rsidRDefault="00E95D02" w:rsidP="00E95D02">
            <w:pPr>
              <w:suppressAutoHyphens/>
              <w:autoSpaceDE w:val="0"/>
              <w:autoSpaceDN w:val="0"/>
              <w:adjustRightInd w:val="0"/>
              <w:spacing w:before="120" w:after="120" w:line="240" w:lineRule="auto"/>
              <w:jc w:val="center"/>
              <w:rPr>
                <w:rFonts w:eastAsia="Times New Roman" w:cstheme="minorHAnsi"/>
                <w:sz w:val="20"/>
                <w:szCs w:val="20"/>
                <w:lang w:eastAsia="pl-PL"/>
              </w:rPr>
            </w:pPr>
            <w:r w:rsidRPr="00602EF6">
              <w:rPr>
                <w:rFonts w:eastAsia="Times New Roman" w:cstheme="minorHAnsi"/>
                <w:spacing w:val="-3"/>
                <w:sz w:val="20"/>
                <w:szCs w:val="20"/>
                <w:lang w:eastAsia="pl-PL"/>
              </w:rPr>
              <w:t>1</w:t>
            </w:r>
          </w:p>
        </w:tc>
        <w:tc>
          <w:tcPr>
            <w:tcW w:w="1111" w:type="dxa"/>
            <w:tcBorders>
              <w:top w:val="single" w:sz="4" w:space="0" w:color="000000"/>
              <w:left w:val="single" w:sz="4" w:space="0" w:color="000000"/>
              <w:bottom w:val="single" w:sz="3" w:space="0" w:color="000000"/>
              <w:right w:val="nil"/>
            </w:tcBorders>
            <w:shd w:val="clear" w:color="000000" w:fill="FFFFFF"/>
          </w:tcPr>
          <w:p w14:paraId="7428C6A7" w14:textId="77777777" w:rsidR="00E95D02" w:rsidRPr="00602EF6" w:rsidRDefault="00E95D02" w:rsidP="00E95D02">
            <w:pPr>
              <w:suppressAutoHyphens/>
              <w:autoSpaceDE w:val="0"/>
              <w:autoSpaceDN w:val="0"/>
              <w:adjustRightInd w:val="0"/>
              <w:spacing w:before="120" w:after="120" w:line="240" w:lineRule="auto"/>
              <w:jc w:val="center"/>
              <w:rPr>
                <w:rFonts w:eastAsia="Times New Roman" w:cstheme="minorHAnsi"/>
                <w:sz w:val="20"/>
                <w:szCs w:val="20"/>
                <w:lang w:eastAsia="pl-PL"/>
              </w:rPr>
            </w:pPr>
            <w:r w:rsidRPr="00602EF6">
              <w:rPr>
                <w:rFonts w:eastAsia="Times New Roman" w:cstheme="minorHAnsi"/>
                <w:spacing w:val="-3"/>
                <w:sz w:val="20"/>
                <w:szCs w:val="20"/>
                <w:lang w:eastAsia="pl-PL"/>
              </w:rPr>
              <w:t>2</w:t>
            </w:r>
          </w:p>
        </w:tc>
        <w:tc>
          <w:tcPr>
            <w:tcW w:w="1110" w:type="dxa"/>
            <w:tcBorders>
              <w:top w:val="single" w:sz="4" w:space="0" w:color="000000"/>
              <w:left w:val="single" w:sz="4" w:space="0" w:color="000000"/>
              <w:bottom w:val="single" w:sz="3" w:space="0" w:color="000000"/>
              <w:right w:val="nil"/>
            </w:tcBorders>
            <w:shd w:val="clear" w:color="000000" w:fill="FFFFFF"/>
          </w:tcPr>
          <w:p w14:paraId="5B59E0F0" w14:textId="77777777" w:rsidR="00E95D02" w:rsidRPr="00602EF6" w:rsidRDefault="00E95D02" w:rsidP="00E95D02">
            <w:pPr>
              <w:suppressAutoHyphens/>
              <w:autoSpaceDE w:val="0"/>
              <w:autoSpaceDN w:val="0"/>
              <w:adjustRightInd w:val="0"/>
              <w:spacing w:before="120" w:after="120" w:line="240" w:lineRule="auto"/>
              <w:jc w:val="center"/>
              <w:rPr>
                <w:rFonts w:eastAsia="Times New Roman" w:cstheme="minorHAnsi"/>
                <w:sz w:val="20"/>
                <w:szCs w:val="20"/>
                <w:lang w:eastAsia="pl-PL"/>
              </w:rPr>
            </w:pPr>
            <w:r w:rsidRPr="00602EF6">
              <w:rPr>
                <w:rFonts w:eastAsia="Times New Roman" w:cstheme="minorHAnsi"/>
                <w:spacing w:val="-3"/>
                <w:sz w:val="20"/>
                <w:szCs w:val="20"/>
                <w:lang w:eastAsia="pl-PL"/>
              </w:rPr>
              <w:t>3</w:t>
            </w:r>
          </w:p>
        </w:tc>
        <w:tc>
          <w:tcPr>
            <w:tcW w:w="1111" w:type="dxa"/>
            <w:tcBorders>
              <w:top w:val="single" w:sz="4" w:space="0" w:color="000000"/>
              <w:left w:val="single" w:sz="4" w:space="0" w:color="000000"/>
              <w:bottom w:val="single" w:sz="3" w:space="0" w:color="000000"/>
              <w:right w:val="single" w:sz="4" w:space="0" w:color="000000"/>
            </w:tcBorders>
            <w:shd w:val="clear" w:color="000000" w:fill="FFFFFF"/>
          </w:tcPr>
          <w:p w14:paraId="22174329" w14:textId="77777777" w:rsidR="00E95D02" w:rsidRPr="00602EF6" w:rsidRDefault="00E95D02" w:rsidP="00E95D02">
            <w:pPr>
              <w:suppressAutoHyphens/>
              <w:autoSpaceDE w:val="0"/>
              <w:autoSpaceDN w:val="0"/>
              <w:adjustRightInd w:val="0"/>
              <w:spacing w:before="120" w:after="120" w:line="240" w:lineRule="auto"/>
              <w:jc w:val="center"/>
              <w:rPr>
                <w:rFonts w:eastAsia="Times New Roman" w:cstheme="minorHAnsi"/>
                <w:sz w:val="20"/>
                <w:szCs w:val="20"/>
                <w:lang w:eastAsia="pl-PL"/>
              </w:rPr>
            </w:pPr>
            <w:r w:rsidRPr="00602EF6">
              <w:rPr>
                <w:rFonts w:eastAsia="Times New Roman" w:cstheme="minorHAnsi"/>
                <w:spacing w:val="-3"/>
                <w:sz w:val="20"/>
                <w:szCs w:val="20"/>
                <w:lang w:eastAsia="pl-PL"/>
              </w:rPr>
              <w:t>4</w:t>
            </w:r>
          </w:p>
        </w:tc>
      </w:tr>
      <w:tr w:rsidR="00E95D02" w:rsidRPr="00602EF6" w14:paraId="2B435FF5" w14:textId="77777777" w:rsidTr="00E95D02">
        <w:trPr>
          <w:trHeight w:val="1"/>
        </w:trPr>
        <w:tc>
          <w:tcPr>
            <w:tcW w:w="2601" w:type="dxa"/>
            <w:tcBorders>
              <w:top w:val="single" w:sz="3" w:space="0" w:color="000000"/>
              <w:left w:val="single" w:sz="4" w:space="0" w:color="000000"/>
              <w:bottom w:val="nil"/>
              <w:right w:val="nil"/>
            </w:tcBorders>
            <w:shd w:val="clear" w:color="000000" w:fill="FFFFFF"/>
          </w:tcPr>
          <w:p w14:paraId="2F054FE9" w14:textId="77777777" w:rsidR="00E95D02" w:rsidRPr="00602EF6" w:rsidRDefault="00E95D02" w:rsidP="00E95D02">
            <w:pPr>
              <w:tabs>
                <w:tab w:val="left" w:pos="4536"/>
                <w:tab w:val="left" w:pos="9072"/>
              </w:tabs>
              <w:suppressAutoHyphens/>
              <w:autoSpaceDE w:val="0"/>
              <w:autoSpaceDN w:val="0"/>
              <w:adjustRightInd w:val="0"/>
              <w:spacing w:before="20" w:after="20" w:line="240" w:lineRule="auto"/>
              <w:jc w:val="both"/>
              <w:rPr>
                <w:rFonts w:eastAsia="Times New Roman" w:cstheme="minorHAnsi"/>
                <w:sz w:val="20"/>
                <w:szCs w:val="20"/>
                <w:lang w:eastAsia="pl-PL"/>
              </w:rPr>
            </w:pPr>
            <w:r w:rsidRPr="00602EF6">
              <w:rPr>
                <w:rFonts w:eastAsia="Times New Roman" w:cstheme="minorHAnsi"/>
                <w:spacing w:val="-3"/>
                <w:sz w:val="20"/>
                <w:szCs w:val="20"/>
                <w:lang w:eastAsia="pl-PL"/>
              </w:rPr>
              <w:t>Oznakowanie białe</w:t>
            </w:r>
          </w:p>
        </w:tc>
        <w:tc>
          <w:tcPr>
            <w:tcW w:w="425" w:type="dxa"/>
            <w:tcBorders>
              <w:top w:val="single" w:sz="3" w:space="0" w:color="000000"/>
              <w:left w:val="single" w:sz="4" w:space="0" w:color="000000"/>
              <w:bottom w:val="nil"/>
              <w:right w:val="nil"/>
            </w:tcBorders>
            <w:shd w:val="clear" w:color="000000" w:fill="FFFFFF"/>
          </w:tcPr>
          <w:p w14:paraId="79D779E1" w14:textId="77777777" w:rsidR="00E95D02" w:rsidRPr="00602EF6" w:rsidRDefault="00E95D02" w:rsidP="00E95D02">
            <w:pPr>
              <w:suppressAutoHyphens/>
              <w:autoSpaceDE w:val="0"/>
              <w:autoSpaceDN w:val="0"/>
              <w:adjustRightInd w:val="0"/>
              <w:spacing w:before="20" w:after="20" w:line="240" w:lineRule="auto"/>
              <w:jc w:val="center"/>
              <w:rPr>
                <w:rFonts w:eastAsia="Times New Roman" w:cstheme="minorHAnsi"/>
                <w:sz w:val="20"/>
                <w:szCs w:val="20"/>
                <w:lang w:eastAsia="pl-PL"/>
              </w:rPr>
            </w:pPr>
            <w:r w:rsidRPr="00602EF6">
              <w:rPr>
                <w:rFonts w:eastAsia="Times New Roman" w:cstheme="minorHAnsi"/>
                <w:spacing w:val="-3"/>
                <w:sz w:val="20"/>
                <w:szCs w:val="20"/>
                <w:lang w:eastAsia="pl-PL"/>
              </w:rPr>
              <w:t>x</w:t>
            </w:r>
          </w:p>
        </w:tc>
        <w:tc>
          <w:tcPr>
            <w:tcW w:w="1110" w:type="dxa"/>
            <w:tcBorders>
              <w:top w:val="single" w:sz="3" w:space="0" w:color="000000"/>
              <w:left w:val="single" w:sz="4" w:space="0" w:color="000000"/>
              <w:bottom w:val="nil"/>
              <w:right w:val="nil"/>
            </w:tcBorders>
            <w:shd w:val="clear" w:color="000000" w:fill="FFFFFF"/>
          </w:tcPr>
          <w:p w14:paraId="5A6B9D94" w14:textId="77777777" w:rsidR="00E95D02" w:rsidRPr="00602EF6" w:rsidRDefault="00E95D02" w:rsidP="00E95D02">
            <w:pPr>
              <w:suppressAutoHyphens/>
              <w:autoSpaceDE w:val="0"/>
              <w:autoSpaceDN w:val="0"/>
              <w:adjustRightInd w:val="0"/>
              <w:spacing w:before="20" w:after="20" w:line="240" w:lineRule="auto"/>
              <w:jc w:val="center"/>
              <w:rPr>
                <w:rFonts w:eastAsia="Times New Roman" w:cstheme="minorHAnsi"/>
                <w:sz w:val="20"/>
                <w:szCs w:val="20"/>
                <w:lang w:eastAsia="pl-PL"/>
              </w:rPr>
            </w:pPr>
            <w:r w:rsidRPr="00602EF6">
              <w:rPr>
                <w:rFonts w:eastAsia="Times New Roman" w:cstheme="minorHAnsi"/>
                <w:spacing w:val="-3"/>
                <w:sz w:val="20"/>
                <w:szCs w:val="20"/>
                <w:lang w:eastAsia="pl-PL"/>
              </w:rPr>
              <w:t>0,355</w:t>
            </w:r>
          </w:p>
        </w:tc>
        <w:tc>
          <w:tcPr>
            <w:tcW w:w="1111" w:type="dxa"/>
            <w:tcBorders>
              <w:top w:val="single" w:sz="3" w:space="0" w:color="000000"/>
              <w:left w:val="single" w:sz="4" w:space="0" w:color="000000"/>
              <w:bottom w:val="nil"/>
              <w:right w:val="nil"/>
            </w:tcBorders>
            <w:shd w:val="clear" w:color="000000" w:fill="FFFFFF"/>
          </w:tcPr>
          <w:p w14:paraId="6D8925E2" w14:textId="77777777" w:rsidR="00E95D02" w:rsidRPr="00602EF6" w:rsidRDefault="00E95D02" w:rsidP="00E95D02">
            <w:pPr>
              <w:suppressAutoHyphens/>
              <w:autoSpaceDE w:val="0"/>
              <w:autoSpaceDN w:val="0"/>
              <w:adjustRightInd w:val="0"/>
              <w:spacing w:before="20" w:after="20" w:line="240" w:lineRule="auto"/>
              <w:jc w:val="center"/>
              <w:rPr>
                <w:rFonts w:eastAsia="Times New Roman" w:cstheme="minorHAnsi"/>
                <w:sz w:val="20"/>
                <w:szCs w:val="20"/>
                <w:lang w:eastAsia="pl-PL"/>
              </w:rPr>
            </w:pPr>
            <w:r w:rsidRPr="00602EF6">
              <w:rPr>
                <w:rFonts w:eastAsia="Times New Roman" w:cstheme="minorHAnsi"/>
                <w:spacing w:val="-3"/>
                <w:sz w:val="20"/>
                <w:szCs w:val="20"/>
                <w:lang w:eastAsia="pl-PL"/>
              </w:rPr>
              <w:t>0,305</w:t>
            </w:r>
          </w:p>
        </w:tc>
        <w:tc>
          <w:tcPr>
            <w:tcW w:w="1110" w:type="dxa"/>
            <w:tcBorders>
              <w:top w:val="single" w:sz="3" w:space="0" w:color="000000"/>
              <w:left w:val="single" w:sz="4" w:space="0" w:color="000000"/>
              <w:bottom w:val="nil"/>
              <w:right w:val="nil"/>
            </w:tcBorders>
            <w:shd w:val="clear" w:color="000000" w:fill="FFFFFF"/>
          </w:tcPr>
          <w:p w14:paraId="417F3741" w14:textId="77777777" w:rsidR="00E95D02" w:rsidRPr="00602EF6" w:rsidRDefault="00E95D02" w:rsidP="00E95D02">
            <w:pPr>
              <w:suppressAutoHyphens/>
              <w:autoSpaceDE w:val="0"/>
              <w:autoSpaceDN w:val="0"/>
              <w:adjustRightInd w:val="0"/>
              <w:spacing w:before="20" w:after="20" w:line="240" w:lineRule="auto"/>
              <w:jc w:val="center"/>
              <w:rPr>
                <w:rFonts w:eastAsia="Times New Roman" w:cstheme="minorHAnsi"/>
                <w:sz w:val="20"/>
                <w:szCs w:val="20"/>
                <w:lang w:eastAsia="pl-PL"/>
              </w:rPr>
            </w:pPr>
            <w:r w:rsidRPr="00602EF6">
              <w:rPr>
                <w:rFonts w:eastAsia="Times New Roman" w:cstheme="minorHAnsi"/>
                <w:spacing w:val="-3"/>
                <w:sz w:val="20"/>
                <w:szCs w:val="20"/>
                <w:lang w:eastAsia="pl-PL"/>
              </w:rPr>
              <w:t>0,285</w:t>
            </w:r>
          </w:p>
        </w:tc>
        <w:tc>
          <w:tcPr>
            <w:tcW w:w="1111" w:type="dxa"/>
            <w:tcBorders>
              <w:top w:val="single" w:sz="3" w:space="0" w:color="000000"/>
              <w:left w:val="single" w:sz="4" w:space="0" w:color="000000"/>
              <w:bottom w:val="nil"/>
              <w:right w:val="single" w:sz="4" w:space="0" w:color="000000"/>
            </w:tcBorders>
            <w:shd w:val="clear" w:color="000000" w:fill="FFFFFF"/>
          </w:tcPr>
          <w:p w14:paraId="48777EAC" w14:textId="77777777" w:rsidR="00E95D02" w:rsidRPr="00602EF6" w:rsidRDefault="00E95D02" w:rsidP="00E95D02">
            <w:pPr>
              <w:suppressAutoHyphens/>
              <w:autoSpaceDE w:val="0"/>
              <w:autoSpaceDN w:val="0"/>
              <w:adjustRightInd w:val="0"/>
              <w:spacing w:before="20" w:after="20" w:line="240" w:lineRule="auto"/>
              <w:jc w:val="center"/>
              <w:rPr>
                <w:rFonts w:eastAsia="Times New Roman" w:cstheme="minorHAnsi"/>
                <w:sz w:val="20"/>
                <w:szCs w:val="20"/>
                <w:lang w:eastAsia="pl-PL"/>
              </w:rPr>
            </w:pPr>
            <w:r w:rsidRPr="00602EF6">
              <w:rPr>
                <w:rFonts w:eastAsia="Times New Roman" w:cstheme="minorHAnsi"/>
                <w:spacing w:val="-3"/>
                <w:sz w:val="20"/>
                <w:szCs w:val="20"/>
                <w:lang w:eastAsia="pl-PL"/>
              </w:rPr>
              <w:t>0,335</w:t>
            </w:r>
          </w:p>
        </w:tc>
      </w:tr>
      <w:tr w:rsidR="00E95D02" w:rsidRPr="00602EF6" w14:paraId="17E398AF" w14:textId="77777777" w:rsidTr="00E95D02">
        <w:trPr>
          <w:trHeight w:val="1"/>
        </w:trPr>
        <w:tc>
          <w:tcPr>
            <w:tcW w:w="2601" w:type="dxa"/>
            <w:tcBorders>
              <w:top w:val="nil"/>
              <w:left w:val="single" w:sz="4" w:space="0" w:color="000000"/>
              <w:bottom w:val="single" w:sz="4" w:space="0" w:color="auto"/>
              <w:right w:val="nil"/>
            </w:tcBorders>
            <w:shd w:val="clear" w:color="000000" w:fill="FFFFFF"/>
          </w:tcPr>
          <w:p w14:paraId="52C4FAD1" w14:textId="77777777" w:rsidR="00E95D02" w:rsidRPr="00602EF6" w:rsidRDefault="00E95D02" w:rsidP="00E95D02">
            <w:pPr>
              <w:suppressAutoHyphens/>
              <w:autoSpaceDE w:val="0"/>
              <w:autoSpaceDN w:val="0"/>
              <w:adjustRightInd w:val="0"/>
              <w:spacing w:before="20" w:after="20" w:line="240" w:lineRule="auto"/>
              <w:jc w:val="both"/>
              <w:rPr>
                <w:rFonts w:eastAsia="Times New Roman" w:cstheme="minorHAnsi"/>
                <w:sz w:val="20"/>
                <w:szCs w:val="20"/>
                <w:lang w:eastAsia="pl-PL"/>
              </w:rPr>
            </w:pPr>
          </w:p>
        </w:tc>
        <w:tc>
          <w:tcPr>
            <w:tcW w:w="425" w:type="dxa"/>
            <w:tcBorders>
              <w:top w:val="single" w:sz="4" w:space="0" w:color="000000"/>
              <w:left w:val="single" w:sz="4" w:space="0" w:color="000000"/>
              <w:bottom w:val="single" w:sz="4" w:space="0" w:color="auto"/>
              <w:right w:val="nil"/>
            </w:tcBorders>
            <w:shd w:val="clear" w:color="000000" w:fill="FFFFFF"/>
          </w:tcPr>
          <w:p w14:paraId="69D70255" w14:textId="77777777" w:rsidR="00E95D02" w:rsidRPr="00602EF6" w:rsidRDefault="00E95D02" w:rsidP="00E95D02">
            <w:pPr>
              <w:suppressAutoHyphens/>
              <w:autoSpaceDE w:val="0"/>
              <w:autoSpaceDN w:val="0"/>
              <w:adjustRightInd w:val="0"/>
              <w:spacing w:before="20" w:after="20" w:line="240" w:lineRule="auto"/>
              <w:jc w:val="center"/>
              <w:rPr>
                <w:rFonts w:eastAsia="Times New Roman" w:cstheme="minorHAnsi"/>
                <w:sz w:val="20"/>
                <w:szCs w:val="20"/>
                <w:lang w:eastAsia="pl-PL"/>
              </w:rPr>
            </w:pPr>
            <w:r w:rsidRPr="00602EF6">
              <w:rPr>
                <w:rFonts w:eastAsia="Times New Roman" w:cstheme="minorHAnsi"/>
                <w:spacing w:val="-3"/>
                <w:sz w:val="20"/>
                <w:szCs w:val="20"/>
                <w:lang w:eastAsia="pl-PL"/>
              </w:rPr>
              <w:t>y</w:t>
            </w:r>
          </w:p>
        </w:tc>
        <w:tc>
          <w:tcPr>
            <w:tcW w:w="1110" w:type="dxa"/>
            <w:tcBorders>
              <w:top w:val="single" w:sz="4" w:space="0" w:color="000000"/>
              <w:left w:val="single" w:sz="4" w:space="0" w:color="000000"/>
              <w:bottom w:val="single" w:sz="4" w:space="0" w:color="auto"/>
              <w:right w:val="nil"/>
            </w:tcBorders>
            <w:shd w:val="clear" w:color="000000" w:fill="FFFFFF"/>
          </w:tcPr>
          <w:p w14:paraId="788171FC" w14:textId="77777777" w:rsidR="00E95D02" w:rsidRPr="00602EF6" w:rsidRDefault="00E95D02" w:rsidP="00E95D02">
            <w:pPr>
              <w:suppressAutoHyphens/>
              <w:autoSpaceDE w:val="0"/>
              <w:autoSpaceDN w:val="0"/>
              <w:adjustRightInd w:val="0"/>
              <w:spacing w:before="20" w:after="20" w:line="240" w:lineRule="auto"/>
              <w:jc w:val="center"/>
              <w:rPr>
                <w:rFonts w:eastAsia="Times New Roman" w:cstheme="minorHAnsi"/>
                <w:sz w:val="20"/>
                <w:szCs w:val="20"/>
                <w:lang w:eastAsia="pl-PL"/>
              </w:rPr>
            </w:pPr>
            <w:r w:rsidRPr="00602EF6">
              <w:rPr>
                <w:rFonts w:eastAsia="Times New Roman" w:cstheme="minorHAnsi"/>
                <w:spacing w:val="-3"/>
                <w:sz w:val="20"/>
                <w:szCs w:val="20"/>
                <w:lang w:eastAsia="pl-PL"/>
              </w:rPr>
              <w:t>0,355</w:t>
            </w:r>
          </w:p>
        </w:tc>
        <w:tc>
          <w:tcPr>
            <w:tcW w:w="1111" w:type="dxa"/>
            <w:tcBorders>
              <w:top w:val="single" w:sz="4" w:space="0" w:color="000000"/>
              <w:left w:val="single" w:sz="4" w:space="0" w:color="000000"/>
              <w:bottom w:val="single" w:sz="4" w:space="0" w:color="auto"/>
              <w:right w:val="nil"/>
            </w:tcBorders>
            <w:shd w:val="clear" w:color="000000" w:fill="FFFFFF"/>
          </w:tcPr>
          <w:p w14:paraId="18FEBB19" w14:textId="77777777" w:rsidR="00E95D02" w:rsidRPr="00602EF6" w:rsidRDefault="00E95D02" w:rsidP="00E95D02">
            <w:pPr>
              <w:suppressAutoHyphens/>
              <w:autoSpaceDE w:val="0"/>
              <w:autoSpaceDN w:val="0"/>
              <w:adjustRightInd w:val="0"/>
              <w:spacing w:before="20" w:after="20" w:line="240" w:lineRule="auto"/>
              <w:jc w:val="center"/>
              <w:rPr>
                <w:rFonts w:eastAsia="Times New Roman" w:cstheme="minorHAnsi"/>
                <w:sz w:val="20"/>
                <w:szCs w:val="20"/>
                <w:lang w:eastAsia="pl-PL"/>
              </w:rPr>
            </w:pPr>
            <w:r w:rsidRPr="00602EF6">
              <w:rPr>
                <w:rFonts w:eastAsia="Times New Roman" w:cstheme="minorHAnsi"/>
                <w:spacing w:val="-3"/>
                <w:sz w:val="20"/>
                <w:szCs w:val="20"/>
                <w:lang w:eastAsia="pl-PL"/>
              </w:rPr>
              <w:t>0,305</w:t>
            </w:r>
          </w:p>
        </w:tc>
        <w:tc>
          <w:tcPr>
            <w:tcW w:w="1110" w:type="dxa"/>
            <w:tcBorders>
              <w:top w:val="single" w:sz="4" w:space="0" w:color="000000"/>
              <w:left w:val="single" w:sz="4" w:space="0" w:color="000000"/>
              <w:bottom w:val="single" w:sz="4" w:space="0" w:color="auto"/>
              <w:right w:val="nil"/>
            </w:tcBorders>
            <w:shd w:val="clear" w:color="000000" w:fill="FFFFFF"/>
          </w:tcPr>
          <w:p w14:paraId="7F5C6CF1" w14:textId="77777777" w:rsidR="00E95D02" w:rsidRPr="00602EF6" w:rsidRDefault="00E95D02" w:rsidP="00E95D02">
            <w:pPr>
              <w:suppressAutoHyphens/>
              <w:autoSpaceDE w:val="0"/>
              <w:autoSpaceDN w:val="0"/>
              <w:adjustRightInd w:val="0"/>
              <w:spacing w:before="20" w:after="20" w:line="240" w:lineRule="auto"/>
              <w:jc w:val="center"/>
              <w:rPr>
                <w:rFonts w:eastAsia="Times New Roman" w:cstheme="minorHAnsi"/>
                <w:sz w:val="20"/>
                <w:szCs w:val="20"/>
                <w:lang w:eastAsia="pl-PL"/>
              </w:rPr>
            </w:pPr>
            <w:r w:rsidRPr="00602EF6">
              <w:rPr>
                <w:rFonts w:eastAsia="Times New Roman" w:cstheme="minorHAnsi"/>
                <w:spacing w:val="-3"/>
                <w:sz w:val="20"/>
                <w:szCs w:val="20"/>
                <w:lang w:eastAsia="pl-PL"/>
              </w:rPr>
              <w:t>0,325</w:t>
            </w:r>
          </w:p>
        </w:tc>
        <w:tc>
          <w:tcPr>
            <w:tcW w:w="1111" w:type="dxa"/>
            <w:tcBorders>
              <w:top w:val="single" w:sz="4" w:space="0" w:color="000000"/>
              <w:left w:val="single" w:sz="4" w:space="0" w:color="000000"/>
              <w:bottom w:val="single" w:sz="4" w:space="0" w:color="auto"/>
              <w:right w:val="single" w:sz="4" w:space="0" w:color="000000"/>
            </w:tcBorders>
            <w:shd w:val="clear" w:color="000000" w:fill="FFFFFF"/>
          </w:tcPr>
          <w:p w14:paraId="17CC68F7" w14:textId="77777777" w:rsidR="00E95D02" w:rsidRPr="00602EF6" w:rsidRDefault="00E95D02" w:rsidP="00E95D02">
            <w:pPr>
              <w:suppressAutoHyphens/>
              <w:autoSpaceDE w:val="0"/>
              <w:autoSpaceDN w:val="0"/>
              <w:adjustRightInd w:val="0"/>
              <w:spacing w:before="20" w:after="20" w:line="240" w:lineRule="auto"/>
              <w:jc w:val="center"/>
              <w:rPr>
                <w:rFonts w:eastAsia="Times New Roman" w:cstheme="minorHAnsi"/>
                <w:sz w:val="20"/>
                <w:szCs w:val="20"/>
                <w:lang w:eastAsia="pl-PL"/>
              </w:rPr>
            </w:pPr>
            <w:r w:rsidRPr="00602EF6">
              <w:rPr>
                <w:rFonts w:eastAsia="Times New Roman" w:cstheme="minorHAnsi"/>
                <w:spacing w:val="-3"/>
                <w:sz w:val="20"/>
                <w:szCs w:val="20"/>
                <w:lang w:eastAsia="pl-PL"/>
              </w:rPr>
              <w:t>0,375</w:t>
            </w:r>
          </w:p>
        </w:tc>
      </w:tr>
    </w:tbl>
    <w:p w14:paraId="116539F5"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p>
    <w:p w14:paraId="736D314F" w14:textId="77777777" w:rsidR="00E95D02" w:rsidRPr="00602EF6" w:rsidRDefault="00E95D02" w:rsidP="00E95D02">
      <w:pPr>
        <w:tabs>
          <w:tab w:val="left" w:pos="4536"/>
          <w:tab w:val="left" w:pos="9072"/>
        </w:tabs>
        <w:autoSpaceDE w:val="0"/>
        <w:autoSpaceDN w:val="0"/>
        <w:adjustRightInd w:val="0"/>
        <w:spacing w:before="120" w:after="0" w:line="240" w:lineRule="auto"/>
        <w:jc w:val="center"/>
        <w:rPr>
          <w:rFonts w:eastAsia="Times New Roman" w:cstheme="minorHAnsi"/>
          <w:sz w:val="20"/>
          <w:szCs w:val="20"/>
          <w:lang w:eastAsia="pl-PL"/>
        </w:rPr>
      </w:pPr>
      <w:r w:rsidRPr="00602EF6">
        <w:rPr>
          <w:rFonts w:eastAsia="Times New Roman" w:cstheme="minorHAnsi"/>
          <w:noProof/>
          <w:sz w:val="20"/>
          <w:szCs w:val="20"/>
          <w:lang w:eastAsia="pl-PL"/>
        </w:rPr>
        <w:lastRenderedPageBreak/>
        <w:drawing>
          <wp:inline distT="0" distB="0" distL="0" distR="0" wp14:anchorId="3ECAA3D7" wp14:editId="7EFC408D">
            <wp:extent cx="4029075" cy="3371850"/>
            <wp:effectExtent l="0" t="0" r="9525" b="0"/>
            <wp:docPr id="29"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29075" cy="3371850"/>
                    </a:xfrm>
                    <a:prstGeom prst="rect">
                      <a:avLst/>
                    </a:prstGeom>
                    <a:noFill/>
                    <a:ln>
                      <a:noFill/>
                    </a:ln>
                  </pic:spPr>
                </pic:pic>
              </a:graphicData>
            </a:graphic>
          </wp:inline>
        </w:drawing>
      </w:r>
    </w:p>
    <w:p w14:paraId="3F09A494" w14:textId="77777777" w:rsidR="00E95D02" w:rsidRPr="00602EF6" w:rsidRDefault="00E95D02" w:rsidP="00E95D02">
      <w:pPr>
        <w:tabs>
          <w:tab w:val="left" w:pos="4536"/>
          <w:tab w:val="left" w:pos="9072"/>
        </w:tabs>
        <w:autoSpaceDE w:val="0"/>
        <w:autoSpaceDN w:val="0"/>
        <w:adjustRightInd w:val="0"/>
        <w:spacing w:before="120" w:after="0" w:line="240" w:lineRule="auto"/>
        <w:jc w:val="center"/>
        <w:rPr>
          <w:rFonts w:eastAsia="Times New Roman" w:cstheme="minorHAnsi"/>
          <w:sz w:val="20"/>
          <w:szCs w:val="20"/>
          <w:lang w:eastAsia="pl-PL"/>
        </w:rPr>
      </w:pPr>
    </w:p>
    <w:p w14:paraId="6FFB856C" w14:textId="77777777" w:rsidR="00E95D02" w:rsidRPr="00602EF6" w:rsidRDefault="00E95D02" w:rsidP="00E95D02">
      <w:pPr>
        <w:autoSpaceDE w:val="0"/>
        <w:autoSpaceDN w:val="0"/>
        <w:adjustRightInd w:val="0"/>
        <w:spacing w:before="120" w:after="0" w:line="240" w:lineRule="auto"/>
        <w:rPr>
          <w:rFonts w:eastAsia="Times New Roman" w:cstheme="minorHAnsi"/>
          <w:sz w:val="20"/>
          <w:szCs w:val="20"/>
          <w:lang w:eastAsia="pl-PL"/>
        </w:rPr>
      </w:pPr>
      <w:r w:rsidRPr="00602EF6">
        <w:rPr>
          <w:rFonts w:eastAsia="Times New Roman" w:cstheme="minorHAnsi"/>
          <w:sz w:val="20"/>
          <w:szCs w:val="20"/>
          <w:lang w:eastAsia="pl-PL"/>
        </w:rPr>
        <w:t>Rys. 1. Współrzędne chromatyczności x,y dla barwy białej oznakowania</w:t>
      </w:r>
    </w:p>
    <w:p w14:paraId="1F3A8143" w14:textId="77777777" w:rsidR="00E95D02" w:rsidRPr="00602EF6" w:rsidRDefault="00E95D02" w:rsidP="00E95D02">
      <w:pPr>
        <w:autoSpaceDE w:val="0"/>
        <w:autoSpaceDN w:val="0"/>
        <w:adjustRightInd w:val="0"/>
        <w:spacing w:before="120" w:after="0" w:line="240" w:lineRule="auto"/>
        <w:jc w:val="center"/>
        <w:rPr>
          <w:rFonts w:eastAsia="Times New Roman" w:cstheme="minorHAnsi"/>
          <w:sz w:val="20"/>
          <w:szCs w:val="20"/>
          <w:lang w:eastAsia="pl-PL"/>
        </w:rPr>
      </w:pPr>
      <w:r w:rsidRPr="00602EF6">
        <w:rPr>
          <w:rFonts w:eastAsia="Times New Roman" w:cstheme="minorHAnsi"/>
          <w:noProof/>
          <w:sz w:val="20"/>
          <w:szCs w:val="20"/>
          <w:lang w:eastAsia="pl-PL"/>
        </w:rPr>
        <w:drawing>
          <wp:inline distT="0" distB="0" distL="0" distR="0" wp14:anchorId="2E454C12" wp14:editId="33842947">
            <wp:extent cx="3962400" cy="4257675"/>
            <wp:effectExtent l="0" t="0" r="0" b="9525"/>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962400" cy="4257675"/>
                    </a:xfrm>
                    <a:prstGeom prst="rect">
                      <a:avLst/>
                    </a:prstGeom>
                    <a:noFill/>
                    <a:ln>
                      <a:noFill/>
                    </a:ln>
                  </pic:spPr>
                </pic:pic>
              </a:graphicData>
            </a:graphic>
          </wp:inline>
        </w:drawing>
      </w:r>
    </w:p>
    <w:p w14:paraId="227DB917" w14:textId="77777777" w:rsidR="00E95D02" w:rsidRPr="00602EF6" w:rsidRDefault="00E95D02" w:rsidP="00E95D02">
      <w:pPr>
        <w:suppressAutoHyphens/>
        <w:autoSpaceDE w:val="0"/>
        <w:autoSpaceDN w:val="0"/>
        <w:adjustRightInd w:val="0"/>
        <w:spacing w:after="0" w:line="360" w:lineRule="auto"/>
        <w:jc w:val="both"/>
        <w:rPr>
          <w:rFonts w:eastAsia="Times New Roman" w:cstheme="minorHAnsi"/>
          <w:spacing w:val="-3"/>
          <w:sz w:val="20"/>
          <w:szCs w:val="20"/>
          <w:lang w:eastAsia="pl-PL"/>
        </w:rPr>
      </w:pPr>
      <w:r w:rsidRPr="00602EF6">
        <w:rPr>
          <w:rFonts w:eastAsia="Times New Roman" w:cstheme="minorHAnsi"/>
          <w:spacing w:val="-3"/>
          <w:sz w:val="20"/>
          <w:szCs w:val="20"/>
          <w:lang w:eastAsia="pl-PL"/>
        </w:rPr>
        <w:t>Rys. 3. Granice barw białej, żółtej, czerwonej, niebieskiej i zielonej oznakowania</w:t>
      </w:r>
    </w:p>
    <w:p w14:paraId="4C326159" w14:textId="77777777" w:rsidR="00E95D02" w:rsidRPr="00602EF6" w:rsidRDefault="00E95D02" w:rsidP="00E95D02">
      <w:pPr>
        <w:keepNext/>
        <w:autoSpaceDE w:val="0"/>
        <w:autoSpaceDN w:val="0"/>
        <w:adjustRightInd w:val="0"/>
        <w:spacing w:before="120" w:after="120" w:line="240" w:lineRule="auto"/>
        <w:jc w:val="both"/>
        <w:rPr>
          <w:rFonts w:eastAsia="Times New Roman" w:cstheme="minorHAnsi"/>
          <w:sz w:val="20"/>
          <w:szCs w:val="20"/>
          <w:lang w:eastAsia="pl-PL"/>
        </w:rPr>
      </w:pPr>
      <w:r w:rsidRPr="00602EF6">
        <w:rPr>
          <w:rFonts w:eastAsia="Times New Roman" w:cstheme="minorHAnsi"/>
          <w:sz w:val="20"/>
          <w:szCs w:val="20"/>
          <w:lang w:eastAsia="pl-PL"/>
        </w:rPr>
        <w:lastRenderedPageBreak/>
        <w:t>6.4.1.3. Widzialność w nocy</w:t>
      </w:r>
    </w:p>
    <w:p w14:paraId="43CD83CD"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Za miarę widzialności w nocy przyjęto powierzchniowy współczynnik odblasku R</w:t>
      </w:r>
      <w:r w:rsidRPr="00602EF6">
        <w:rPr>
          <w:rFonts w:eastAsia="Times New Roman" w:cstheme="minorHAnsi"/>
          <w:sz w:val="20"/>
          <w:szCs w:val="20"/>
          <w:vertAlign w:val="subscript"/>
          <w:lang w:eastAsia="pl-PL"/>
        </w:rPr>
        <w:t>L</w:t>
      </w:r>
      <w:r w:rsidRPr="00602EF6">
        <w:rPr>
          <w:rFonts w:eastAsia="Times New Roman" w:cstheme="minorHAnsi"/>
          <w:sz w:val="20"/>
          <w:szCs w:val="20"/>
          <w:lang w:eastAsia="pl-PL"/>
        </w:rPr>
        <w:t>, określany według PN-EN 1436:2012 [1].</w:t>
      </w:r>
    </w:p>
    <w:p w14:paraId="3E461B9A"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 xml:space="preserve">Ze względu na wartość powierzchniowego współczynnika odblasku </w:t>
      </w:r>
      <w:r w:rsidRPr="00602EF6">
        <w:rPr>
          <w:rFonts w:eastAsia="Times New Roman" w:cstheme="minorHAnsi"/>
          <w:i/>
          <w:iCs/>
          <w:sz w:val="20"/>
          <w:szCs w:val="20"/>
          <w:lang w:eastAsia="pl-PL"/>
        </w:rPr>
        <w:t>R</w:t>
      </w:r>
      <w:r w:rsidRPr="00602EF6">
        <w:rPr>
          <w:rFonts w:eastAsia="Times New Roman" w:cstheme="minorHAnsi"/>
          <w:i/>
          <w:iCs/>
          <w:sz w:val="20"/>
          <w:szCs w:val="20"/>
          <w:vertAlign w:val="subscript"/>
          <w:lang w:eastAsia="pl-PL"/>
        </w:rPr>
        <w:t>L</w:t>
      </w:r>
      <w:r w:rsidRPr="00602EF6">
        <w:rPr>
          <w:rFonts w:eastAsia="Times New Roman" w:cstheme="minorHAnsi"/>
          <w:sz w:val="20"/>
          <w:szCs w:val="20"/>
          <w:lang w:eastAsia="pl-PL"/>
        </w:rPr>
        <w:t xml:space="preserve"> [mcd m</w:t>
      </w:r>
      <w:r w:rsidRPr="00602EF6">
        <w:rPr>
          <w:rFonts w:eastAsia="Times New Roman" w:cstheme="minorHAnsi"/>
          <w:sz w:val="20"/>
          <w:szCs w:val="20"/>
          <w:vertAlign w:val="superscript"/>
          <w:lang w:eastAsia="pl-PL"/>
        </w:rPr>
        <w:t>-2</w:t>
      </w:r>
      <w:r w:rsidRPr="00602EF6">
        <w:rPr>
          <w:rFonts w:eastAsia="Times New Roman" w:cstheme="minorHAnsi"/>
          <w:sz w:val="20"/>
          <w:szCs w:val="20"/>
          <w:lang w:eastAsia="pl-PL"/>
        </w:rPr>
        <w:t xml:space="preserve"> lx</w:t>
      </w:r>
      <w:r w:rsidRPr="00602EF6">
        <w:rPr>
          <w:rFonts w:eastAsia="Times New Roman" w:cstheme="minorHAnsi"/>
          <w:sz w:val="20"/>
          <w:szCs w:val="20"/>
          <w:vertAlign w:val="superscript"/>
          <w:lang w:eastAsia="pl-PL"/>
        </w:rPr>
        <w:t>-1</w:t>
      </w:r>
      <w:r w:rsidRPr="00602EF6">
        <w:rPr>
          <w:rFonts w:eastAsia="Times New Roman" w:cstheme="minorHAnsi"/>
          <w:sz w:val="20"/>
          <w:szCs w:val="20"/>
          <w:lang w:eastAsia="pl-PL"/>
        </w:rPr>
        <w:t>], poziome oznakowania drogowe w stanie suchym i wilgotnym dzieli się na klasy podane w tablicach: 12 i 13 [1].</w:t>
      </w:r>
    </w:p>
    <w:p w14:paraId="229DAB67" w14:textId="77777777" w:rsidR="00E95D02" w:rsidRPr="00602EF6" w:rsidRDefault="00E95D02" w:rsidP="00E95D02">
      <w:pPr>
        <w:tabs>
          <w:tab w:val="left" w:pos="1134"/>
        </w:tabs>
        <w:autoSpaceDE w:val="0"/>
        <w:autoSpaceDN w:val="0"/>
        <w:adjustRightInd w:val="0"/>
        <w:spacing w:before="120" w:after="120" w:line="240" w:lineRule="auto"/>
        <w:jc w:val="both"/>
        <w:rPr>
          <w:rFonts w:eastAsia="Times New Roman" w:cstheme="minorHAnsi"/>
          <w:sz w:val="20"/>
          <w:szCs w:val="20"/>
          <w:lang w:eastAsia="pl-PL"/>
        </w:rPr>
      </w:pPr>
      <w:r w:rsidRPr="00602EF6">
        <w:rPr>
          <w:rFonts w:eastAsia="Times New Roman" w:cstheme="minorHAnsi"/>
          <w:sz w:val="20"/>
          <w:szCs w:val="20"/>
          <w:lang w:eastAsia="pl-PL"/>
        </w:rPr>
        <w:t xml:space="preserve">Tablica 12. Podział na klasy oznakowania drogi ze względu na wartość powierzchniowego współczynnika odblasku </w:t>
      </w:r>
      <w:r w:rsidRPr="00602EF6">
        <w:rPr>
          <w:rFonts w:eastAsia="Times New Roman" w:cstheme="minorHAnsi"/>
          <w:i/>
          <w:iCs/>
          <w:sz w:val="20"/>
          <w:szCs w:val="20"/>
          <w:lang w:eastAsia="pl-PL"/>
        </w:rPr>
        <w:t>R</w:t>
      </w:r>
      <w:r w:rsidRPr="00602EF6">
        <w:rPr>
          <w:rFonts w:eastAsia="Times New Roman" w:cstheme="minorHAnsi"/>
          <w:i/>
          <w:iCs/>
          <w:sz w:val="20"/>
          <w:szCs w:val="20"/>
          <w:vertAlign w:val="subscript"/>
          <w:lang w:eastAsia="pl-PL"/>
        </w:rPr>
        <w:t xml:space="preserve">L </w:t>
      </w:r>
    </w:p>
    <w:tbl>
      <w:tblPr>
        <w:tblW w:w="0" w:type="auto"/>
        <w:tblInd w:w="276" w:type="dxa"/>
        <w:tblLayout w:type="fixed"/>
        <w:tblCellMar>
          <w:left w:w="138" w:type="dxa"/>
          <w:right w:w="138" w:type="dxa"/>
        </w:tblCellMar>
        <w:tblLook w:val="0000" w:firstRow="0" w:lastRow="0" w:firstColumn="0" w:lastColumn="0" w:noHBand="0" w:noVBand="0"/>
      </w:tblPr>
      <w:tblGrid>
        <w:gridCol w:w="1984"/>
        <w:gridCol w:w="1277"/>
        <w:gridCol w:w="1275"/>
        <w:gridCol w:w="4253"/>
      </w:tblGrid>
      <w:tr w:rsidR="00E95D02" w:rsidRPr="00602EF6" w14:paraId="2DED2031" w14:textId="77777777" w:rsidTr="00E95D02">
        <w:trPr>
          <w:trHeight w:val="636"/>
        </w:trPr>
        <w:tc>
          <w:tcPr>
            <w:tcW w:w="3261" w:type="dxa"/>
            <w:gridSpan w:val="2"/>
            <w:tcBorders>
              <w:top w:val="single" w:sz="4" w:space="0" w:color="000000"/>
              <w:left w:val="single" w:sz="4" w:space="0" w:color="000000"/>
              <w:bottom w:val="single" w:sz="3" w:space="0" w:color="000000"/>
              <w:right w:val="nil"/>
            </w:tcBorders>
            <w:shd w:val="clear" w:color="000000" w:fill="FFFFFF"/>
            <w:vAlign w:val="center"/>
          </w:tcPr>
          <w:p w14:paraId="15C55AB3" w14:textId="77777777" w:rsidR="00E95D02" w:rsidRPr="00602EF6" w:rsidRDefault="00E95D02" w:rsidP="00E95D02">
            <w:pPr>
              <w:autoSpaceDE w:val="0"/>
              <w:autoSpaceDN w:val="0"/>
              <w:adjustRightInd w:val="0"/>
              <w:spacing w:before="120" w:after="1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Typ oznakowania nawierzchni i barwa oznakowania</w:t>
            </w:r>
          </w:p>
        </w:tc>
        <w:tc>
          <w:tcPr>
            <w:tcW w:w="1275" w:type="dxa"/>
            <w:tcBorders>
              <w:top w:val="single" w:sz="4" w:space="0" w:color="000000"/>
              <w:left w:val="single" w:sz="4" w:space="0" w:color="000000"/>
              <w:bottom w:val="single" w:sz="3" w:space="0" w:color="000000"/>
              <w:right w:val="nil"/>
            </w:tcBorders>
            <w:shd w:val="clear" w:color="000000" w:fill="FFFFFF"/>
            <w:vAlign w:val="center"/>
          </w:tcPr>
          <w:p w14:paraId="4F35350E" w14:textId="77777777" w:rsidR="00E95D02" w:rsidRPr="00602EF6" w:rsidRDefault="00E95D02" w:rsidP="00E95D02">
            <w:pPr>
              <w:autoSpaceDE w:val="0"/>
              <w:autoSpaceDN w:val="0"/>
              <w:adjustRightInd w:val="0"/>
              <w:spacing w:before="120" w:after="1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Klasa</w:t>
            </w:r>
          </w:p>
        </w:tc>
        <w:tc>
          <w:tcPr>
            <w:tcW w:w="4253" w:type="dxa"/>
            <w:tcBorders>
              <w:top w:val="single" w:sz="4" w:space="0" w:color="000000"/>
              <w:left w:val="single" w:sz="4" w:space="0" w:color="000000"/>
              <w:bottom w:val="single" w:sz="3" w:space="0" w:color="000000"/>
              <w:right w:val="single" w:sz="4" w:space="0" w:color="000000"/>
            </w:tcBorders>
            <w:shd w:val="clear" w:color="000000" w:fill="FFFFFF"/>
            <w:vAlign w:val="center"/>
          </w:tcPr>
          <w:p w14:paraId="4741447C" w14:textId="77777777" w:rsidR="00E95D02" w:rsidRPr="00602EF6" w:rsidRDefault="00E95D02" w:rsidP="00E95D02">
            <w:pPr>
              <w:autoSpaceDE w:val="0"/>
              <w:autoSpaceDN w:val="0"/>
              <w:adjustRightInd w:val="0"/>
              <w:spacing w:before="120" w:after="1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 xml:space="preserve">Wartość powierzchniowego współczynnika odbicia </w:t>
            </w:r>
            <w:r w:rsidRPr="00602EF6">
              <w:rPr>
                <w:rFonts w:eastAsia="Times New Roman" w:cstheme="minorHAnsi"/>
                <w:i/>
                <w:iCs/>
                <w:sz w:val="20"/>
                <w:szCs w:val="20"/>
                <w:lang w:eastAsia="pl-PL"/>
              </w:rPr>
              <w:t>R</w:t>
            </w:r>
            <w:r w:rsidRPr="00602EF6">
              <w:rPr>
                <w:rFonts w:eastAsia="Times New Roman" w:cstheme="minorHAnsi"/>
                <w:i/>
                <w:iCs/>
                <w:sz w:val="20"/>
                <w:szCs w:val="20"/>
                <w:vertAlign w:val="subscript"/>
                <w:lang w:eastAsia="pl-PL"/>
              </w:rPr>
              <w:t>L</w:t>
            </w:r>
            <w:r w:rsidRPr="00602EF6">
              <w:rPr>
                <w:rFonts w:eastAsia="Times New Roman" w:cstheme="minorHAnsi"/>
                <w:sz w:val="20"/>
                <w:szCs w:val="20"/>
                <w:lang w:eastAsia="pl-PL"/>
              </w:rPr>
              <w:t>, mcd m</w:t>
            </w:r>
            <w:r w:rsidRPr="00602EF6">
              <w:rPr>
                <w:rFonts w:eastAsia="Times New Roman" w:cstheme="minorHAnsi"/>
                <w:sz w:val="20"/>
                <w:szCs w:val="20"/>
                <w:vertAlign w:val="superscript"/>
                <w:lang w:eastAsia="pl-PL"/>
              </w:rPr>
              <w:t>-2</w:t>
            </w:r>
            <w:r w:rsidRPr="00602EF6">
              <w:rPr>
                <w:rFonts w:eastAsia="Times New Roman" w:cstheme="minorHAnsi"/>
                <w:sz w:val="20"/>
                <w:szCs w:val="20"/>
                <w:lang w:eastAsia="pl-PL"/>
              </w:rPr>
              <w:t xml:space="preserve"> lx</w:t>
            </w:r>
            <w:r w:rsidRPr="00602EF6">
              <w:rPr>
                <w:rFonts w:eastAsia="Times New Roman" w:cstheme="minorHAnsi"/>
                <w:sz w:val="20"/>
                <w:szCs w:val="20"/>
                <w:vertAlign w:val="superscript"/>
                <w:lang w:eastAsia="pl-PL"/>
              </w:rPr>
              <w:t>-1</w:t>
            </w:r>
          </w:p>
        </w:tc>
      </w:tr>
      <w:tr w:rsidR="00E95D02" w:rsidRPr="00602EF6" w14:paraId="02A75743" w14:textId="77777777" w:rsidTr="00E95D02">
        <w:trPr>
          <w:trHeight w:val="442"/>
        </w:trPr>
        <w:tc>
          <w:tcPr>
            <w:tcW w:w="1984" w:type="dxa"/>
            <w:tcBorders>
              <w:top w:val="single" w:sz="3" w:space="0" w:color="000000"/>
              <w:left w:val="single" w:sz="4" w:space="0" w:color="000000"/>
              <w:bottom w:val="single" w:sz="3" w:space="0" w:color="000000"/>
              <w:right w:val="nil"/>
            </w:tcBorders>
            <w:shd w:val="clear" w:color="000000" w:fill="FFFFFF"/>
          </w:tcPr>
          <w:p w14:paraId="7CF8B4CA"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trwałe</w:t>
            </w:r>
          </w:p>
        </w:tc>
        <w:tc>
          <w:tcPr>
            <w:tcW w:w="1277" w:type="dxa"/>
            <w:tcBorders>
              <w:top w:val="single" w:sz="3" w:space="0" w:color="000000"/>
              <w:left w:val="single" w:sz="4" w:space="0" w:color="000000"/>
              <w:bottom w:val="single" w:sz="3" w:space="0" w:color="000000"/>
              <w:right w:val="nil"/>
            </w:tcBorders>
            <w:shd w:val="clear" w:color="000000" w:fill="FFFFFF"/>
          </w:tcPr>
          <w:p w14:paraId="6C3CA40A"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biała</w:t>
            </w:r>
          </w:p>
        </w:tc>
        <w:tc>
          <w:tcPr>
            <w:tcW w:w="1275" w:type="dxa"/>
            <w:tcBorders>
              <w:top w:val="single" w:sz="3" w:space="0" w:color="000000"/>
              <w:left w:val="single" w:sz="4" w:space="0" w:color="000000"/>
              <w:bottom w:val="single" w:sz="3" w:space="0" w:color="000000"/>
              <w:right w:val="nil"/>
            </w:tcBorders>
            <w:shd w:val="clear" w:color="000000" w:fill="FFFFFF"/>
          </w:tcPr>
          <w:p w14:paraId="6D6DFACE"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R3</w:t>
            </w:r>
          </w:p>
          <w:p w14:paraId="2F3BB5AF" w14:textId="77777777" w:rsidR="00E95D02" w:rsidRPr="00602EF6" w:rsidRDefault="00E95D02" w:rsidP="00E95D02">
            <w:pPr>
              <w:autoSpaceDE w:val="0"/>
              <w:autoSpaceDN w:val="0"/>
              <w:adjustRightInd w:val="0"/>
              <w:spacing w:after="0" w:line="240" w:lineRule="auto"/>
              <w:rPr>
                <w:rFonts w:eastAsia="Times New Roman" w:cstheme="minorHAnsi"/>
                <w:sz w:val="20"/>
                <w:szCs w:val="20"/>
                <w:lang w:eastAsia="pl-PL"/>
              </w:rPr>
            </w:pPr>
          </w:p>
        </w:tc>
        <w:tc>
          <w:tcPr>
            <w:tcW w:w="4253" w:type="dxa"/>
            <w:tcBorders>
              <w:top w:val="single" w:sz="3" w:space="0" w:color="000000"/>
              <w:left w:val="single" w:sz="4" w:space="0" w:color="000000"/>
              <w:bottom w:val="single" w:sz="3" w:space="0" w:color="000000"/>
              <w:right w:val="single" w:sz="4" w:space="0" w:color="000000"/>
            </w:tcBorders>
            <w:shd w:val="clear" w:color="000000" w:fill="FFFFFF"/>
          </w:tcPr>
          <w:p w14:paraId="20B5D65D"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150</w:t>
            </w:r>
          </w:p>
          <w:p w14:paraId="7AED74D0" w14:textId="77777777" w:rsidR="00E95D02" w:rsidRPr="00602EF6" w:rsidRDefault="00E95D02" w:rsidP="00E95D02">
            <w:pPr>
              <w:autoSpaceDE w:val="0"/>
              <w:autoSpaceDN w:val="0"/>
              <w:adjustRightInd w:val="0"/>
              <w:spacing w:after="0" w:line="240" w:lineRule="auto"/>
              <w:rPr>
                <w:rFonts w:eastAsia="Times New Roman" w:cstheme="minorHAnsi"/>
                <w:sz w:val="20"/>
                <w:szCs w:val="20"/>
                <w:lang w:eastAsia="pl-PL"/>
              </w:rPr>
            </w:pPr>
          </w:p>
        </w:tc>
      </w:tr>
    </w:tbl>
    <w:p w14:paraId="68CB5704"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vertAlign w:val="superscript"/>
          <w:lang w:eastAsia="pl-PL"/>
        </w:rPr>
        <w:t>*</w:t>
      </w:r>
      <w:r w:rsidRPr="00602EF6">
        <w:rPr>
          <w:rFonts w:eastAsia="Times New Roman" w:cstheme="minorHAnsi"/>
          <w:sz w:val="20"/>
          <w:szCs w:val="20"/>
          <w:lang w:eastAsia="pl-PL"/>
        </w:rPr>
        <w:t xml:space="preserve"> Klasa R0 przeznaczona jest dla warunków, gdy widoczność oznakowania uzyskiwana jest bez oświetlenia reflektorami samochodów</w:t>
      </w:r>
    </w:p>
    <w:p w14:paraId="5BD61EB4" w14:textId="77777777" w:rsidR="00E95D02" w:rsidRPr="00602EF6" w:rsidRDefault="00E95D02" w:rsidP="00E95D02">
      <w:pPr>
        <w:autoSpaceDE w:val="0"/>
        <w:autoSpaceDN w:val="0"/>
        <w:adjustRightInd w:val="0"/>
        <w:spacing w:before="240" w:after="120" w:line="240" w:lineRule="auto"/>
        <w:jc w:val="both"/>
        <w:rPr>
          <w:rFonts w:eastAsia="Times New Roman" w:cstheme="minorHAnsi"/>
          <w:sz w:val="20"/>
          <w:szCs w:val="20"/>
          <w:lang w:eastAsia="pl-PL"/>
        </w:rPr>
      </w:pPr>
      <w:r w:rsidRPr="00602EF6">
        <w:rPr>
          <w:rFonts w:eastAsia="Times New Roman" w:cstheme="minorHAnsi"/>
          <w:sz w:val="20"/>
          <w:szCs w:val="20"/>
          <w:lang w:eastAsia="pl-PL"/>
        </w:rPr>
        <w:t>Tablica 13. Klasy R</w:t>
      </w:r>
      <w:r w:rsidRPr="00602EF6">
        <w:rPr>
          <w:rFonts w:eastAsia="Times New Roman" w:cstheme="minorHAnsi"/>
          <w:sz w:val="20"/>
          <w:szCs w:val="20"/>
          <w:vertAlign w:val="subscript"/>
          <w:lang w:eastAsia="pl-PL"/>
        </w:rPr>
        <w:t>L</w:t>
      </w:r>
      <w:r w:rsidRPr="00602EF6">
        <w:rPr>
          <w:rFonts w:eastAsia="Times New Roman" w:cstheme="minorHAnsi"/>
          <w:sz w:val="20"/>
          <w:szCs w:val="20"/>
          <w:lang w:eastAsia="pl-PL"/>
        </w:rPr>
        <w:t xml:space="preserve"> oznakowań drogowych w stanie wilgotnym</w:t>
      </w:r>
    </w:p>
    <w:tbl>
      <w:tblPr>
        <w:tblW w:w="0" w:type="auto"/>
        <w:tblInd w:w="313" w:type="dxa"/>
        <w:tblLayout w:type="fixed"/>
        <w:tblCellMar>
          <w:left w:w="156" w:type="dxa"/>
          <w:right w:w="156" w:type="dxa"/>
        </w:tblCellMar>
        <w:tblLook w:val="0000" w:firstRow="0" w:lastRow="0" w:firstColumn="0" w:lastColumn="0" w:noHBand="0" w:noVBand="0"/>
      </w:tblPr>
      <w:tblGrid>
        <w:gridCol w:w="3402"/>
        <w:gridCol w:w="993"/>
        <w:gridCol w:w="4394"/>
      </w:tblGrid>
      <w:tr w:rsidR="00E95D02" w:rsidRPr="00602EF6" w14:paraId="50D29323" w14:textId="77777777" w:rsidTr="00E95D02">
        <w:trPr>
          <w:trHeight w:val="1"/>
        </w:trPr>
        <w:tc>
          <w:tcPr>
            <w:tcW w:w="3402" w:type="dxa"/>
            <w:tcBorders>
              <w:top w:val="single" w:sz="4" w:space="0" w:color="000000"/>
              <w:left w:val="single" w:sz="4" w:space="0" w:color="000000"/>
              <w:bottom w:val="single" w:sz="3" w:space="0" w:color="000000"/>
              <w:right w:val="nil"/>
            </w:tcBorders>
            <w:shd w:val="clear" w:color="000000" w:fill="FFFFFF"/>
            <w:vAlign w:val="center"/>
          </w:tcPr>
          <w:p w14:paraId="4064BF99" w14:textId="77777777" w:rsidR="00E95D02" w:rsidRPr="00602EF6" w:rsidRDefault="00E95D02" w:rsidP="00E95D02">
            <w:pPr>
              <w:autoSpaceDE w:val="0"/>
              <w:autoSpaceDN w:val="0"/>
              <w:adjustRightInd w:val="0"/>
              <w:spacing w:before="120" w:after="1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Warunki wilgotności</w:t>
            </w:r>
          </w:p>
        </w:tc>
        <w:tc>
          <w:tcPr>
            <w:tcW w:w="993" w:type="dxa"/>
            <w:tcBorders>
              <w:top w:val="single" w:sz="4" w:space="0" w:color="000000"/>
              <w:left w:val="single" w:sz="4" w:space="0" w:color="000000"/>
              <w:bottom w:val="single" w:sz="3" w:space="0" w:color="000000"/>
              <w:right w:val="nil"/>
            </w:tcBorders>
            <w:shd w:val="clear" w:color="000000" w:fill="FFFFFF"/>
            <w:vAlign w:val="center"/>
          </w:tcPr>
          <w:p w14:paraId="7417331C" w14:textId="77777777" w:rsidR="00E95D02" w:rsidRPr="00602EF6" w:rsidRDefault="00E95D02" w:rsidP="00E95D02">
            <w:pPr>
              <w:autoSpaceDE w:val="0"/>
              <w:autoSpaceDN w:val="0"/>
              <w:adjustRightInd w:val="0"/>
              <w:spacing w:before="120" w:after="1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Klasy</w:t>
            </w:r>
          </w:p>
        </w:tc>
        <w:tc>
          <w:tcPr>
            <w:tcW w:w="4394" w:type="dxa"/>
            <w:tcBorders>
              <w:top w:val="single" w:sz="4" w:space="0" w:color="000000"/>
              <w:left w:val="single" w:sz="4" w:space="0" w:color="000000"/>
              <w:bottom w:val="single" w:sz="3" w:space="0" w:color="000000"/>
              <w:right w:val="single" w:sz="4" w:space="0" w:color="000000"/>
            </w:tcBorders>
            <w:shd w:val="clear" w:color="000000" w:fill="FFFFFF"/>
            <w:vAlign w:val="center"/>
          </w:tcPr>
          <w:p w14:paraId="3910B3E8" w14:textId="77777777" w:rsidR="00E95D02" w:rsidRPr="00602EF6" w:rsidRDefault="00E95D02" w:rsidP="00E95D02">
            <w:pPr>
              <w:autoSpaceDE w:val="0"/>
              <w:autoSpaceDN w:val="0"/>
              <w:adjustRightInd w:val="0"/>
              <w:spacing w:before="120" w:after="1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 xml:space="preserve">Wartość powierzchniowego współczynnika odbicia </w:t>
            </w:r>
            <w:r w:rsidRPr="00602EF6">
              <w:rPr>
                <w:rFonts w:eastAsia="Times New Roman" w:cstheme="minorHAnsi"/>
                <w:i/>
                <w:iCs/>
                <w:sz w:val="20"/>
                <w:szCs w:val="20"/>
                <w:lang w:eastAsia="pl-PL"/>
              </w:rPr>
              <w:t>R</w:t>
            </w:r>
            <w:r w:rsidRPr="00602EF6">
              <w:rPr>
                <w:rFonts w:eastAsia="Times New Roman" w:cstheme="minorHAnsi"/>
                <w:i/>
                <w:iCs/>
                <w:sz w:val="20"/>
                <w:szCs w:val="20"/>
                <w:vertAlign w:val="subscript"/>
                <w:lang w:eastAsia="pl-PL"/>
              </w:rPr>
              <w:t>L</w:t>
            </w:r>
            <w:r w:rsidRPr="00602EF6">
              <w:rPr>
                <w:rFonts w:eastAsia="Times New Roman" w:cstheme="minorHAnsi"/>
                <w:sz w:val="20"/>
                <w:szCs w:val="20"/>
                <w:lang w:eastAsia="pl-PL"/>
              </w:rPr>
              <w:t>, mcd m</w:t>
            </w:r>
            <w:r w:rsidRPr="00602EF6">
              <w:rPr>
                <w:rFonts w:eastAsia="Times New Roman" w:cstheme="minorHAnsi"/>
                <w:sz w:val="20"/>
                <w:szCs w:val="20"/>
                <w:vertAlign w:val="superscript"/>
                <w:lang w:eastAsia="pl-PL"/>
              </w:rPr>
              <w:t>-2</w:t>
            </w:r>
            <w:r w:rsidRPr="00602EF6">
              <w:rPr>
                <w:rFonts w:eastAsia="Times New Roman" w:cstheme="minorHAnsi"/>
                <w:sz w:val="20"/>
                <w:szCs w:val="20"/>
                <w:lang w:eastAsia="pl-PL"/>
              </w:rPr>
              <w:t xml:space="preserve"> lx</w:t>
            </w:r>
            <w:r w:rsidRPr="00602EF6">
              <w:rPr>
                <w:rFonts w:eastAsia="Times New Roman" w:cstheme="minorHAnsi"/>
                <w:sz w:val="20"/>
                <w:szCs w:val="20"/>
                <w:vertAlign w:val="superscript"/>
                <w:lang w:eastAsia="pl-PL"/>
              </w:rPr>
              <w:t>-1</w:t>
            </w:r>
          </w:p>
        </w:tc>
      </w:tr>
      <w:tr w:rsidR="00E95D02" w:rsidRPr="00602EF6" w14:paraId="50381313" w14:textId="77777777" w:rsidTr="00E95D02">
        <w:trPr>
          <w:trHeight w:val="1"/>
        </w:trPr>
        <w:tc>
          <w:tcPr>
            <w:tcW w:w="3402" w:type="dxa"/>
            <w:tcBorders>
              <w:top w:val="single" w:sz="3" w:space="0" w:color="000000"/>
              <w:left w:val="single" w:sz="4" w:space="0" w:color="000000"/>
              <w:bottom w:val="single" w:sz="3" w:space="0" w:color="000000"/>
              <w:right w:val="nil"/>
            </w:tcBorders>
            <w:shd w:val="clear" w:color="000000" w:fill="FFFFFF"/>
          </w:tcPr>
          <w:p w14:paraId="396386F9" w14:textId="77777777" w:rsidR="00E95D02" w:rsidRPr="00602EF6" w:rsidRDefault="00E95D02" w:rsidP="00E95D02">
            <w:pPr>
              <w:autoSpaceDE w:val="0"/>
              <w:autoSpaceDN w:val="0"/>
              <w:adjustRightInd w:val="0"/>
              <w:spacing w:before="6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xml:space="preserve">uzyskana po 1 min po wylaniu na oznakowanie 10 l wody </w:t>
            </w:r>
          </w:p>
        </w:tc>
        <w:tc>
          <w:tcPr>
            <w:tcW w:w="993" w:type="dxa"/>
            <w:tcBorders>
              <w:top w:val="single" w:sz="3" w:space="0" w:color="000000"/>
              <w:left w:val="single" w:sz="4" w:space="0" w:color="000000"/>
              <w:bottom w:val="single" w:sz="3" w:space="0" w:color="000000"/>
              <w:right w:val="nil"/>
            </w:tcBorders>
            <w:shd w:val="clear" w:color="000000" w:fill="FFFFFF"/>
          </w:tcPr>
          <w:p w14:paraId="3A3DCF75"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RW3</w:t>
            </w:r>
          </w:p>
          <w:p w14:paraId="704C7C8A"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p>
        </w:tc>
        <w:tc>
          <w:tcPr>
            <w:tcW w:w="4394" w:type="dxa"/>
            <w:tcBorders>
              <w:top w:val="single" w:sz="3" w:space="0" w:color="000000"/>
              <w:left w:val="single" w:sz="4" w:space="0" w:color="000000"/>
              <w:bottom w:val="single" w:sz="3" w:space="0" w:color="000000"/>
              <w:right w:val="single" w:sz="4" w:space="0" w:color="000000"/>
            </w:tcBorders>
            <w:shd w:val="clear" w:color="000000" w:fill="FFFFFF"/>
          </w:tcPr>
          <w:p w14:paraId="4152AD73"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50</w:t>
            </w:r>
          </w:p>
          <w:p w14:paraId="1BD4DD3C"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p>
        </w:tc>
      </w:tr>
    </w:tbl>
    <w:p w14:paraId="1240964C" w14:textId="77777777" w:rsidR="00E95D02" w:rsidRPr="00602EF6" w:rsidRDefault="00E95D02" w:rsidP="00E95D02">
      <w:pPr>
        <w:autoSpaceDE w:val="0"/>
        <w:autoSpaceDN w:val="0"/>
        <w:adjustRightInd w:val="0"/>
        <w:spacing w:before="6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Klasa RW0 jest przeznaczona dla przypadków, gdy odblaskowość nie jest wymagana z przyczyn ekonomicznych lub technicznych.</w:t>
      </w:r>
    </w:p>
    <w:p w14:paraId="52D2A5A5" w14:textId="77777777" w:rsidR="00E95D02" w:rsidRPr="00602EF6" w:rsidRDefault="00E95D02" w:rsidP="00E95D02">
      <w:pPr>
        <w:autoSpaceDE w:val="0"/>
        <w:autoSpaceDN w:val="0"/>
        <w:adjustRightInd w:val="0"/>
        <w:spacing w:before="24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W PN-EN 1436:2012 [1] uwzględniono także podział na klasy RR odblaskowości oznakowanie drogi w czasie deszczu o intensywności 20 mm/h. Klasy te są identyczne jak w tablicy 13. Wymaganie to nie jest stosowane w Polsce, a także w większości krajów europejskich. Określana jest wtedy klasa RR0.</w:t>
      </w:r>
    </w:p>
    <w:p w14:paraId="76298214" w14:textId="6FFA73E6"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 xml:space="preserve">W tablicy 14 podano wymagania względem współczynnika odblasku </w:t>
      </w:r>
      <w:r w:rsidR="00602EF6" w:rsidRPr="00602EF6">
        <w:rPr>
          <w:rFonts w:eastAsia="Times New Roman" w:cstheme="minorHAnsi"/>
          <w:i/>
          <w:iCs/>
          <w:sz w:val="20"/>
          <w:szCs w:val="20"/>
          <w:lang w:eastAsia="pl-PL"/>
        </w:rPr>
        <w:t>R</w:t>
      </w:r>
      <w:r w:rsidR="00602EF6" w:rsidRPr="00602EF6">
        <w:rPr>
          <w:rFonts w:eastAsia="Times New Roman" w:cstheme="minorHAnsi"/>
          <w:i/>
          <w:iCs/>
          <w:sz w:val="20"/>
          <w:szCs w:val="20"/>
          <w:vertAlign w:val="subscript"/>
          <w:lang w:eastAsia="pl-PL"/>
        </w:rPr>
        <w:t>L</w:t>
      </w:r>
      <w:r w:rsidR="00602EF6" w:rsidRPr="00602EF6">
        <w:rPr>
          <w:rFonts w:eastAsia="Times New Roman" w:cstheme="minorHAnsi"/>
          <w:sz w:val="20"/>
          <w:szCs w:val="20"/>
          <w:lang w:eastAsia="pl-PL"/>
        </w:rPr>
        <w:t>,</w:t>
      </w:r>
      <w:r w:rsidRPr="00602EF6">
        <w:rPr>
          <w:rFonts w:eastAsia="Times New Roman" w:cstheme="minorHAnsi"/>
          <w:sz w:val="20"/>
          <w:szCs w:val="20"/>
          <w:lang w:eastAsia="pl-PL"/>
        </w:rPr>
        <w:t xml:space="preserve"> jakie powinny spełniać oznakowania dróg w okresie eksploatacji z podziałem na drogi klasy pierwszej o prędkości </w:t>
      </w:r>
      <w:r w:rsidR="00602EF6" w:rsidRPr="00602EF6">
        <w:rPr>
          <w:rFonts w:eastAsia="Times New Roman" w:cstheme="minorHAnsi"/>
          <w:sz w:val="20"/>
          <w:szCs w:val="20"/>
          <w:lang w:eastAsia="pl-PL"/>
        </w:rPr>
        <w:t>dopuszczalnej 100</w:t>
      </w:r>
      <w:r w:rsidRPr="00602EF6">
        <w:rPr>
          <w:rFonts w:eastAsia="Times New Roman" w:cstheme="minorHAnsi"/>
          <w:sz w:val="20"/>
          <w:szCs w:val="20"/>
          <w:lang w:eastAsia="pl-PL"/>
        </w:rPr>
        <w:t xml:space="preserve"> km/h</w:t>
      </w:r>
      <w:r w:rsidRPr="00602EF6">
        <w:rPr>
          <w:rFonts w:eastAsia="Times New Roman" w:cstheme="minorHAnsi"/>
          <w:sz w:val="20"/>
          <w:szCs w:val="20"/>
          <w:vertAlign w:val="superscript"/>
          <w:lang w:eastAsia="pl-PL"/>
        </w:rPr>
        <w:t xml:space="preserve">  </w:t>
      </w:r>
      <w:r w:rsidRPr="00602EF6">
        <w:rPr>
          <w:rFonts w:eastAsia="Times New Roman" w:cstheme="minorHAnsi"/>
          <w:sz w:val="20"/>
          <w:szCs w:val="20"/>
          <w:lang w:eastAsia="pl-PL"/>
        </w:rPr>
        <w:t>i drugiej &lt; 100 km/h.</w:t>
      </w:r>
    </w:p>
    <w:p w14:paraId="317042FC" w14:textId="77777777" w:rsidR="00E95D02" w:rsidRPr="00602EF6" w:rsidRDefault="00E95D02" w:rsidP="00E95D02">
      <w:pPr>
        <w:keepNext/>
        <w:tabs>
          <w:tab w:val="left" w:pos="1276"/>
        </w:tabs>
        <w:autoSpaceDE w:val="0"/>
        <w:autoSpaceDN w:val="0"/>
        <w:adjustRightInd w:val="0"/>
        <w:spacing w:before="240" w:after="120" w:line="240" w:lineRule="auto"/>
        <w:jc w:val="both"/>
        <w:rPr>
          <w:rFonts w:eastAsia="Times New Roman" w:cstheme="minorHAnsi"/>
          <w:sz w:val="20"/>
          <w:szCs w:val="20"/>
          <w:lang w:eastAsia="pl-PL"/>
        </w:rPr>
      </w:pPr>
      <w:r w:rsidRPr="00602EF6">
        <w:rPr>
          <w:rFonts w:eastAsia="Times New Roman" w:cstheme="minorHAnsi"/>
          <w:sz w:val="20"/>
          <w:szCs w:val="20"/>
          <w:lang w:eastAsia="pl-PL"/>
        </w:rPr>
        <w:t>Tablica 14.</w:t>
      </w:r>
      <w:r w:rsidRPr="00602EF6">
        <w:rPr>
          <w:rFonts w:eastAsia="Times New Roman" w:cstheme="minorHAnsi"/>
          <w:sz w:val="20"/>
          <w:szCs w:val="20"/>
          <w:lang w:eastAsia="pl-PL"/>
        </w:rPr>
        <w:tab/>
        <w:t>Wymagania eksploatacyjne dotyczące współczynnika odblasku oznakowań dróg [17]. Metody badań według PN-EN 1436:2012 [1] i PN-EN 1871:2003 [8]</w:t>
      </w:r>
    </w:p>
    <w:tbl>
      <w:tblPr>
        <w:tblW w:w="0" w:type="auto"/>
        <w:tblInd w:w="70" w:type="dxa"/>
        <w:tblLayout w:type="fixed"/>
        <w:tblCellMar>
          <w:left w:w="70" w:type="dxa"/>
          <w:right w:w="70" w:type="dxa"/>
        </w:tblCellMar>
        <w:tblLook w:val="0000" w:firstRow="0" w:lastRow="0" w:firstColumn="0" w:lastColumn="0" w:noHBand="0" w:noVBand="0"/>
      </w:tblPr>
      <w:tblGrid>
        <w:gridCol w:w="496"/>
        <w:gridCol w:w="6237"/>
        <w:gridCol w:w="1134"/>
        <w:gridCol w:w="992"/>
      </w:tblGrid>
      <w:tr w:rsidR="00E95D02" w:rsidRPr="00602EF6" w14:paraId="0C0508E7" w14:textId="77777777" w:rsidTr="00E95D02">
        <w:trPr>
          <w:trHeight w:val="1"/>
        </w:trPr>
        <w:tc>
          <w:tcPr>
            <w:tcW w:w="496" w:type="dxa"/>
            <w:tcBorders>
              <w:top w:val="single" w:sz="4" w:space="0" w:color="000000"/>
              <w:left w:val="single" w:sz="4" w:space="0" w:color="000000"/>
              <w:bottom w:val="single" w:sz="3" w:space="0" w:color="000000"/>
              <w:right w:val="single" w:sz="4" w:space="0" w:color="000000"/>
            </w:tcBorders>
            <w:shd w:val="clear" w:color="000000" w:fill="FFFFFF"/>
            <w:vAlign w:val="center"/>
          </w:tcPr>
          <w:p w14:paraId="3AC691FE" w14:textId="77777777" w:rsidR="00E95D02" w:rsidRPr="00602EF6" w:rsidRDefault="00E95D02" w:rsidP="00E95D02">
            <w:pPr>
              <w:autoSpaceDE w:val="0"/>
              <w:autoSpaceDN w:val="0"/>
              <w:adjustRightInd w:val="0"/>
              <w:spacing w:before="60"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Lp.</w:t>
            </w:r>
          </w:p>
        </w:tc>
        <w:tc>
          <w:tcPr>
            <w:tcW w:w="6237" w:type="dxa"/>
            <w:tcBorders>
              <w:top w:val="single" w:sz="4" w:space="0" w:color="000000"/>
              <w:left w:val="single" w:sz="4" w:space="0" w:color="000000"/>
              <w:bottom w:val="single" w:sz="3" w:space="0" w:color="000000"/>
              <w:right w:val="single" w:sz="4" w:space="0" w:color="000000"/>
            </w:tcBorders>
            <w:shd w:val="clear" w:color="000000" w:fill="FFFFFF"/>
            <w:vAlign w:val="center"/>
          </w:tcPr>
          <w:p w14:paraId="6EDB8BF2" w14:textId="77777777" w:rsidR="00E95D02" w:rsidRPr="00602EF6" w:rsidRDefault="00E95D02" w:rsidP="00E95D02">
            <w:pPr>
              <w:autoSpaceDE w:val="0"/>
              <w:autoSpaceDN w:val="0"/>
              <w:adjustRightInd w:val="0"/>
              <w:spacing w:before="60"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Właściwości</w:t>
            </w:r>
          </w:p>
        </w:tc>
        <w:tc>
          <w:tcPr>
            <w:tcW w:w="1134" w:type="dxa"/>
            <w:tcBorders>
              <w:top w:val="single" w:sz="4" w:space="0" w:color="000000"/>
              <w:left w:val="single" w:sz="4" w:space="0" w:color="000000"/>
              <w:bottom w:val="single" w:sz="3" w:space="0" w:color="000000"/>
              <w:right w:val="single" w:sz="4" w:space="0" w:color="000000"/>
            </w:tcBorders>
            <w:shd w:val="clear" w:color="000000" w:fill="FFFFFF"/>
            <w:vAlign w:val="center"/>
          </w:tcPr>
          <w:p w14:paraId="7794B879" w14:textId="77777777" w:rsidR="00E95D02" w:rsidRPr="00602EF6" w:rsidRDefault="00E95D02" w:rsidP="00E95D02">
            <w:pPr>
              <w:autoSpaceDE w:val="0"/>
              <w:autoSpaceDN w:val="0"/>
              <w:adjustRightInd w:val="0"/>
              <w:spacing w:before="60"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Jednostki</w:t>
            </w:r>
          </w:p>
        </w:tc>
        <w:tc>
          <w:tcPr>
            <w:tcW w:w="992" w:type="dxa"/>
            <w:tcBorders>
              <w:top w:val="single" w:sz="4" w:space="0" w:color="000000"/>
              <w:left w:val="single" w:sz="4" w:space="0" w:color="000000"/>
              <w:bottom w:val="single" w:sz="3" w:space="0" w:color="000000"/>
              <w:right w:val="single" w:sz="4" w:space="0" w:color="000000"/>
            </w:tcBorders>
            <w:shd w:val="clear" w:color="000000" w:fill="FFFFFF"/>
            <w:vAlign w:val="center"/>
          </w:tcPr>
          <w:p w14:paraId="1F75FA03" w14:textId="77777777" w:rsidR="00E95D02" w:rsidRPr="00602EF6" w:rsidRDefault="00E95D02" w:rsidP="00E95D02">
            <w:pPr>
              <w:autoSpaceDE w:val="0"/>
              <w:autoSpaceDN w:val="0"/>
              <w:adjustRightInd w:val="0"/>
              <w:spacing w:before="60"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Wyma-gania</w:t>
            </w:r>
          </w:p>
        </w:tc>
      </w:tr>
      <w:tr w:rsidR="00E95D02" w:rsidRPr="00602EF6" w14:paraId="69D6EF8D" w14:textId="77777777" w:rsidTr="00E95D02">
        <w:trPr>
          <w:trHeight w:val="755"/>
        </w:trPr>
        <w:tc>
          <w:tcPr>
            <w:tcW w:w="496" w:type="dxa"/>
            <w:tcBorders>
              <w:top w:val="single" w:sz="3" w:space="0" w:color="000000"/>
              <w:left w:val="single" w:sz="4" w:space="0" w:color="000000"/>
              <w:bottom w:val="single" w:sz="4" w:space="0" w:color="000000"/>
              <w:right w:val="single" w:sz="4" w:space="0" w:color="000000"/>
            </w:tcBorders>
            <w:shd w:val="clear" w:color="000000" w:fill="FFFFFF"/>
          </w:tcPr>
          <w:p w14:paraId="38334828"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1</w:t>
            </w:r>
          </w:p>
        </w:tc>
        <w:tc>
          <w:tcPr>
            <w:tcW w:w="6237" w:type="dxa"/>
            <w:tcBorders>
              <w:top w:val="single" w:sz="3" w:space="0" w:color="000000"/>
              <w:left w:val="single" w:sz="4" w:space="0" w:color="000000"/>
              <w:bottom w:val="single" w:sz="4" w:space="0" w:color="000000"/>
              <w:right w:val="single" w:sz="4" w:space="0" w:color="000000"/>
            </w:tcBorders>
            <w:shd w:val="clear" w:color="000000" w:fill="FFFFFF"/>
          </w:tcPr>
          <w:p w14:paraId="2263EFE3"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xml:space="preserve">Współczynnik odblasku </w:t>
            </w:r>
            <w:r w:rsidRPr="00602EF6">
              <w:rPr>
                <w:rFonts w:eastAsia="Times New Roman" w:cstheme="minorHAnsi"/>
                <w:i/>
                <w:iCs/>
                <w:sz w:val="20"/>
                <w:szCs w:val="20"/>
                <w:lang w:eastAsia="pl-PL"/>
              </w:rPr>
              <w:t>R</w:t>
            </w:r>
            <w:r w:rsidRPr="00602EF6">
              <w:rPr>
                <w:rFonts w:eastAsia="Times New Roman" w:cstheme="minorHAnsi"/>
                <w:i/>
                <w:iCs/>
                <w:sz w:val="20"/>
                <w:szCs w:val="20"/>
                <w:vertAlign w:val="subscript"/>
                <w:lang w:eastAsia="pl-PL"/>
              </w:rPr>
              <w:t>L</w:t>
            </w:r>
            <w:r w:rsidRPr="00602EF6">
              <w:rPr>
                <w:rFonts w:eastAsia="Times New Roman" w:cstheme="minorHAnsi"/>
                <w:sz w:val="20"/>
                <w:szCs w:val="20"/>
                <w:lang w:eastAsia="pl-PL"/>
              </w:rPr>
              <w:t xml:space="preserve"> suchego oznakowania białego w stanie nowym (od 7 dnia do 30 dnia):</w:t>
            </w:r>
          </w:p>
          <w:p w14:paraId="6EF6AAA2"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klasa R4 (drogi o prędkości dopuszczalnej &lt; 100 km/h)</w:t>
            </w:r>
          </w:p>
        </w:tc>
        <w:tc>
          <w:tcPr>
            <w:tcW w:w="1134" w:type="dxa"/>
            <w:tcBorders>
              <w:top w:val="single" w:sz="3" w:space="0" w:color="000000"/>
              <w:left w:val="single" w:sz="4" w:space="0" w:color="000000"/>
              <w:bottom w:val="single" w:sz="4" w:space="0" w:color="000000"/>
              <w:right w:val="single" w:sz="4" w:space="0" w:color="000000"/>
            </w:tcBorders>
            <w:shd w:val="clear" w:color="000000" w:fill="FFFFFF"/>
          </w:tcPr>
          <w:p w14:paraId="07FCFA86"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p>
          <w:p w14:paraId="0F2388ED"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p>
          <w:p w14:paraId="61489FF2"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mcd/m</w:t>
            </w:r>
            <w:r w:rsidRPr="00602EF6">
              <w:rPr>
                <w:rFonts w:eastAsia="Times New Roman" w:cstheme="minorHAnsi"/>
                <w:sz w:val="20"/>
                <w:szCs w:val="20"/>
                <w:vertAlign w:val="superscript"/>
                <w:lang w:eastAsia="pl-PL"/>
              </w:rPr>
              <w:t>2</w:t>
            </w:r>
            <w:r w:rsidRPr="00602EF6">
              <w:rPr>
                <w:rFonts w:eastAsia="Times New Roman" w:cstheme="minorHAnsi"/>
                <w:sz w:val="20"/>
                <w:szCs w:val="20"/>
                <w:lang w:eastAsia="pl-PL"/>
              </w:rPr>
              <w:t>lx</w:t>
            </w:r>
          </w:p>
        </w:tc>
        <w:tc>
          <w:tcPr>
            <w:tcW w:w="992" w:type="dxa"/>
            <w:tcBorders>
              <w:top w:val="single" w:sz="3" w:space="0" w:color="000000"/>
              <w:left w:val="single" w:sz="4" w:space="0" w:color="000000"/>
              <w:bottom w:val="single" w:sz="4" w:space="0" w:color="000000"/>
              <w:right w:val="single" w:sz="4" w:space="0" w:color="000000"/>
            </w:tcBorders>
            <w:shd w:val="clear" w:color="000000" w:fill="FFFFFF"/>
          </w:tcPr>
          <w:p w14:paraId="3A2CFB6E"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p>
          <w:p w14:paraId="6AB66FBE"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p>
          <w:p w14:paraId="73E9C27B"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200</w:t>
            </w:r>
          </w:p>
        </w:tc>
      </w:tr>
      <w:tr w:rsidR="00E95D02" w:rsidRPr="00602EF6" w14:paraId="1AE96A24" w14:textId="77777777" w:rsidTr="00E95D02">
        <w:trPr>
          <w:trHeight w:val="454"/>
        </w:trPr>
        <w:tc>
          <w:tcPr>
            <w:tcW w:w="496" w:type="dxa"/>
            <w:tcBorders>
              <w:top w:val="single" w:sz="4" w:space="0" w:color="000000"/>
              <w:left w:val="single" w:sz="4" w:space="0" w:color="000000"/>
              <w:bottom w:val="single" w:sz="4" w:space="0" w:color="000000"/>
              <w:right w:val="single" w:sz="4" w:space="0" w:color="000000"/>
            </w:tcBorders>
            <w:shd w:val="clear" w:color="000000" w:fill="FFFFFF"/>
          </w:tcPr>
          <w:p w14:paraId="75B0F2A0"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2</w:t>
            </w:r>
          </w:p>
        </w:tc>
        <w:tc>
          <w:tcPr>
            <w:tcW w:w="6237" w:type="dxa"/>
            <w:tcBorders>
              <w:top w:val="single" w:sz="4" w:space="0" w:color="000000"/>
              <w:left w:val="single" w:sz="4" w:space="0" w:color="000000"/>
              <w:bottom w:val="single" w:sz="4" w:space="0" w:color="000000"/>
              <w:right w:val="single" w:sz="4" w:space="0" w:color="000000"/>
            </w:tcBorders>
            <w:shd w:val="clear" w:color="000000" w:fill="FFFFFF"/>
          </w:tcPr>
          <w:p w14:paraId="2058CE60"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xml:space="preserve">Współczynnik odblasku </w:t>
            </w:r>
            <w:r w:rsidRPr="00602EF6">
              <w:rPr>
                <w:rFonts w:eastAsia="Times New Roman" w:cstheme="minorHAnsi"/>
                <w:i/>
                <w:iCs/>
                <w:sz w:val="20"/>
                <w:szCs w:val="20"/>
                <w:lang w:eastAsia="pl-PL"/>
              </w:rPr>
              <w:t>R</w:t>
            </w:r>
            <w:r w:rsidRPr="00602EF6">
              <w:rPr>
                <w:rFonts w:eastAsia="Times New Roman" w:cstheme="minorHAnsi"/>
                <w:i/>
                <w:iCs/>
                <w:sz w:val="20"/>
                <w:szCs w:val="20"/>
                <w:vertAlign w:val="subscript"/>
                <w:lang w:eastAsia="pl-PL"/>
              </w:rPr>
              <w:t>L</w:t>
            </w:r>
            <w:r w:rsidRPr="00602EF6">
              <w:rPr>
                <w:rFonts w:eastAsia="Times New Roman" w:cstheme="minorHAnsi"/>
                <w:sz w:val="20"/>
                <w:szCs w:val="20"/>
                <w:lang w:eastAsia="pl-PL"/>
              </w:rPr>
              <w:t xml:space="preserve"> suchego oznakowania białego eksploatowanego od 31 dnia do 180 dnia:</w:t>
            </w:r>
          </w:p>
          <w:p w14:paraId="09F2023C"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xml:space="preserve">  - klasa R3 (drogi o prędkości dopuszczalnej &lt; 100 km/h)</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244C649B"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p>
          <w:p w14:paraId="21BC599D"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p>
          <w:p w14:paraId="51C6A491"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mcd/m</w:t>
            </w:r>
            <w:r w:rsidRPr="00602EF6">
              <w:rPr>
                <w:rFonts w:eastAsia="Times New Roman" w:cstheme="minorHAnsi"/>
                <w:sz w:val="20"/>
                <w:szCs w:val="20"/>
                <w:vertAlign w:val="superscript"/>
                <w:lang w:eastAsia="pl-PL"/>
              </w:rPr>
              <w:t>2</w:t>
            </w:r>
            <w:r w:rsidRPr="00602EF6">
              <w:rPr>
                <w:rFonts w:eastAsia="Times New Roman" w:cstheme="minorHAnsi"/>
                <w:sz w:val="20"/>
                <w:szCs w:val="20"/>
                <w:lang w:eastAsia="pl-PL"/>
              </w:rPr>
              <w:t>lx</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4CA421EC"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p>
          <w:p w14:paraId="4FB62D01"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150</w:t>
            </w:r>
          </w:p>
        </w:tc>
      </w:tr>
      <w:tr w:rsidR="00E95D02" w:rsidRPr="00602EF6" w14:paraId="2439D08E" w14:textId="77777777" w:rsidTr="00E95D02">
        <w:trPr>
          <w:trHeight w:val="454"/>
        </w:trPr>
        <w:tc>
          <w:tcPr>
            <w:tcW w:w="496" w:type="dxa"/>
            <w:tcBorders>
              <w:top w:val="single" w:sz="4" w:space="0" w:color="000000"/>
              <w:left w:val="single" w:sz="4" w:space="0" w:color="000000"/>
              <w:bottom w:val="single" w:sz="4" w:space="0" w:color="000000"/>
              <w:right w:val="single" w:sz="4" w:space="0" w:color="000000"/>
            </w:tcBorders>
            <w:shd w:val="clear" w:color="000000" w:fill="FFFFFF"/>
          </w:tcPr>
          <w:p w14:paraId="07999457"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3</w:t>
            </w:r>
          </w:p>
        </w:tc>
        <w:tc>
          <w:tcPr>
            <w:tcW w:w="6237" w:type="dxa"/>
            <w:tcBorders>
              <w:top w:val="single" w:sz="4" w:space="0" w:color="000000"/>
              <w:left w:val="single" w:sz="4" w:space="0" w:color="000000"/>
              <w:bottom w:val="single" w:sz="4" w:space="0" w:color="000000"/>
              <w:right w:val="single" w:sz="4" w:space="0" w:color="000000"/>
            </w:tcBorders>
            <w:shd w:val="clear" w:color="000000" w:fill="FFFFFF"/>
          </w:tcPr>
          <w:p w14:paraId="29DC75FE"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xml:space="preserve">Współczynnik odblasku </w:t>
            </w:r>
            <w:r w:rsidRPr="00602EF6">
              <w:rPr>
                <w:rFonts w:eastAsia="Times New Roman" w:cstheme="minorHAnsi"/>
                <w:i/>
                <w:iCs/>
                <w:sz w:val="20"/>
                <w:szCs w:val="20"/>
                <w:lang w:eastAsia="pl-PL"/>
              </w:rPr>
              <w:t>R</w:t>
            </w:r>
            <w:r w:rsidRPr="00602EF6">
              <w:rPr>
                <w:rFonts w:eastAsia="Times New Roman" w:cstheme="minorHAnsi"/>
                <w:i/>
                <w:iCs/>
                <w:sz w:val="20"/>
                <w:szCs w:val="20"/>
                <w:vertAlign w:val="subscript"/>
                <w:lang w:eastAsia="pl-PL"/>
              </w:rPr>
              <w:t>L</w:t>
            </w:r>
            <w:r w:rsidRPr="00602EF6">
              <w:rPr>
                <w:rFonts w:eastAsia="Times New Roman" w:cstheme="minorHAnsi"/>
                <w:sz w:val="20"/>
                <w:szCs w:val="20"/>
                <w:lang w:eastAsia="pl-PL"/>
              </w:rPr>
              <w:t xml:space="preserve"> suchego oznakowania białego eksploatowanego od 181dnia:</w:t>
            </w:r>
          </w:p>
          <w:p w14:paraId="09A76772"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klasa R2 (drogi o prędkości dopuszczalnej &lt; 100 km/h)</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76382F8A"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p>
          <w:p w14:paraId="6484CB00"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p>
          <w:p w14:paraId="556CA13B"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mcd/m</w:t>
            </w:r>
            <w:r w:rsidRPr="00602EF6">
              <w:rPr>
                <w:rFonts w:eastAsia="Times New Roman" w:cstheme="minorHAnsi"/>
                <w:sz w:val="20"/>
                <w:szCs w:val="20"/>
                <w:vertAlign w:val="superscript"/>
                <w:lang w:eastAsia="pl-PL"/>
              </w:rPr>
              <w:t>2</w:t>
            </w:r>
            <w:r w:rsidRPr="00602EF6">
              <w:rPr>
                <w:rFonts w:eastAsia="Times New Roman" w:cstheme="minorHAnsi"/>
                <w:sz w:val="20"/>
                <w:szCs w:val="20"/>
                <w:lang w:eastAsia="pl-PL"/>
              </w:rPr>
              <w:t>lx</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4372334B"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p>
          <w:p w14:paraId="0F269C71" w14:textId="77777777" w:rsidR="00E95D02" w:rsidRPr="00602EF6" w:rsidRDefault="00E95D02" w:rsidP="00E95D02">
            <w:pPr>
              <w:autoSpaceDE w:val="0"/>
              <w:autoSpaceDN w:val="0"/>
              <w:adjustRightInd w:val="0"/>
              <w:spacing w:after="0" w:line="240" w:lineRule="auto"/>
              <w:rPr>
                <w:rFonts w:eastAsia="Times New Roman" w:cstheme="minorHAnsi"/>
                <w:sz w:val="20"/>
                <w:szCs w:val="20"/>
                <w:lang w:eastAsia="pl-PL"/>
              </w:rPr>
            </w:pPr>
          </w:p>
          <w:p w14:paraId="574C4682"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 xml:space="preserve"> 100</w:t>
            </w:r>
          </w:p>
        </w:tc>
      </w:tr>
      <w:tr w:rsidR="00E95D02" w:rsidRPr="00602EF6" w14:paraId="15B00511" w14:textId="77777777" w:rsidTr="00E95D02">
        <w:trPr>
          <w:trHeight w:val="695"/>
        </w:trPr>
        <w:tc>
          <w:tcPr>
            <w:tcW w:w="496" w:type="dxa"/>
            <w:tcBorders>
              <w:top w:val="single" w:sz="4" w:space="0" w:color="000000"/>
              <w:left w:val="single" w:sz="4" w:space="0" w:color="000000"/>
              <w:bottom w:val="single" w:sz="4" w:space="0" w:color="000000"/>
              <w:right w:val="single" w:sz="4" w:space="0" w:color="000000"/>
            </w:tcBorders>
            <w:shd w:val="clear" w:color="000000" w:fill="FFFFFF"/>
          </w:tcPr>
          <w:p w14:paraId="59029D91"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4</w:t>
            </w:r>
          </w:p>
        </w:tc>
        <w:tc>
          <w:tcPr>
            <w:tcW w:w="6237" w:type="dxa"/>
            <w:tcBorders>
              <w:top w:val="single" w:sz="4" w:space="0" w:color="000000"/>
              <w:left w:val="single" w:sz="4" w:space="0" w:color="000000"/>
              <w:bottom w:val="single" w:sz="4" w:space="0" w:color="000000"/>
              <w:right w:val="single" w:sz="4" w:space="0" w:color="000000"/>
            </w:tcBorders>
            <w:shd w:val="clear" w:color="000000" w:fill="FFFFFF"/>
          </w:tcPr>
          <w:p w14:paraId="5463B68A"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xml:space="preserve">Współczynnik odblasku </w:t>
            </w:r>
            <w:r w:rsidRPr="00602EF6">
              <w:rPr>
                <w:rFonts w:eastAsia="Times New Roman" w:cstheme="minorHAnsi"/>
                <w:i/>
                <w:iCs/>
                <w:sz w:val="20"/>
                <w:szCs w:val="20"/>
                <w:lang w:eastAsia="pl-PL"/>
              </w:rPr>
              <w:t>R</w:t>
            </w:r>
            <w:r w:rsidRPr="00602EF6">
              <w:rPr>
                <w:rFonts w:eastAsia="Times New Roman" w:cstheme="minorHAnsi"/>
                <w:i/>
                <w:iCs/>
                <w:sz w:val="20"/>
                <w:szCs w:val="20"/>
                <w:vertAlign w:val="subscript"/>
                <w:lang w:eastAsia="pl-PL"/>
              </w:rPr>
              <w:t>L</w:t>
            </w:r>
            <w:r w:rsidRPr="00602EF6">
              <w:rPr>
                <w:rFonts w:eastAsia="Times New Roman" w:cstheme="minorHAnsi"/>
                <w:sz w:val="20"/>
                <w:szCs w:val="20"/>
                <w:lang w:eastAsia="pl-PL"/>
              </w:rPr>
              <w:t xml:space="preserve"> oznakowania strukturalnego w stanie nowym wilgotnego (od 7 dnia do 30 dnia):</w:t>
            </w:r>
          </w:p>
          <w:p w14:paraId="105EB76F"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klasa RW2 (drogi o prędkości dopuszczalnej &lt; 100 km/h)</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1CAFD500"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p>
          <w:p w14:paraId="208B12E8"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p>
          <w:p w14:paraId="126100B6"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mcd/m</w:t>
            </w:r>
            <w:r w:rsidRPr="00602EF6">
              <w:rPr>
                <w:rFonts w:eastAsia="Times New Roman" w:cstheme="minorHAnsi"/>
                <w:sz w:val="20"/>
                <w:szCs w:val="20"/>
                <w:vertAlign w:val="superscript"/>
                <w:lang w:eastAsia="pl-PL"/>
              </w:rPr>
              <w:t>2</w:t>
            </w:r>
            <w:r w:rsidRPr="00602EF6">
              <w:rPr>
                <w:rFonts w:eastAsia="Times New Roman" w:cstheme="minorHAnsi"/>
                <w:sz w:val="20"/>
                <w:szCs w:val="20"/>
                <w:lang w:eastAsia="pl-PL"/>
              </w:rPr>
              <w:t>lx</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2E6502F6"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p>
          <w:p w14:paraId="742F5DB9"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p>
          <w:p w14:paraId="582B718D"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35</w:t>
            </w:r>
          </w:p>
        </w:tc>
      </w:tr>
      <w:tr w:rsidR="00E95D02" w:rsidRPr="00602EF6" w14:paraId="7644315A" w14:textId="77777777" w:rsidTr="00E95D02">
        <w:trPr>
          <w:trHeight w:val="695"/>
        </w:trPr>
        <w:tc>
          <w:tcPr>
            <w:tcW w:w="496" w:type="dxa"/>
            <w:tcBorders>
              <w:top w:val="single" w:sz="4" w:space="0" w:color="000000"/>
              <w:left w:val="single" w:sz="4" w:space="0" w:color="000000"/>
              <w:bottom w:val="single" w:sz="4" w:space="0" w:color="000000"/>
              <w:right w:val="single" w:sz="4" w:space="0" w:color="000000"/>
            </w:tcBorders>
            <w:shd w:val="clear" w:color="000000" w:fill="FFFFFF"/>
          </w:tcPr>
          <w:p w14:paraId="1CBF24A9"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5</w:t>
            </w:r>
          </w:p>
        </w:tc>
        <w:tc>
          <w:tcPr>
            <w:tcW w:w="6237" w:type="dxa"/>
            <w:tcBorders>
              <w:top w:val="single" w:sz="4" w:space="0" w:color="000000"/>
              <w:left w:val="single" w:sz="4" w:space="0" w:color="000000"/>
              <w:bottom w:val="single" w:sz="4" w:space="0" w:color="000000"/>
              <w:right w:val="single" w:sz="4" w:space="0" w:color="000000"/>
            </w:tcBorders>
            <w:shd w:val="clear" w:color="000000" w:fill="FFFFFF"/>
          </w:tcPr>
          <w:p w14:paraId="6BEE25CF"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xml:space="preserve">Współczynnik odblasku </w:t>
            </w:r>
            <w:r w:rsidRPr="00602EF6">
              <w:rPr>
                <w:rFonts w:eastAsia="Times New Roman" w:cstheme="minorHAnsi"/>
                <w:i/>
                <w:iCs/>
                <w:sz w:val="20"/>
                <w:szCs w:val="20"/>
                <w:lang w:eastAsia="pl-PL"/>
              </w:rPr>
              <w:t>R</w:t>
            </w:r>
            <w:r w:rsidRPr="00602EF6">
              <w:rPr>
                <w:rFonts w:eastAsia="Times New Roman" w:cstheme="minorHAnsi"/>
                <w:i/>
                <w:iCs/>
                <w:sz w:val="20"/>
                <w:szCs w:val="20"/>
                <w:vertAlign w:val="subscript"/>
                <w:lang w:eastAsia="pl-PL"/>
              </w:rPr>
              <w:t>L</w:t>
            </w:r>
            <w:r w:rsidRPr="00602EF6">
              <w:rPr>
                <w:rFonts w:eastAsia="Times New Roman" w:cstheme="minorHAnsi"/>
                <w:sz w:val="20"/>
                <w:szCs w:val="20"/>
                <w:lang w:eastAsia="pl-PL"/>
              </w:rPr>
              <w:t xml:space="preserve"> oznakowania strukturalnego w stanie wilgotnym od 31 dnia eksploatacji:</w:t>
            </w:r>
          </w:p>
          <w:p w14:paraId="2A2D5BCE"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klasa RW1 (drogi o prędkości dopuszczalnej &lt; 100 km/h)</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2927AD01"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p>
          <w:p w14:paraId="7224B78F"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p>
          <w:p w14:paraId="05A2CBA2"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mcd/m</w:t>
            </w:r>
            <w:r w:rsidRPr="00602EF6">
              <w:rPr>
                <w:rFonts w:eastAsia="Times New Roman" w:cstheme="minorHAnsi"/>
                <w:sz w:val="20"/>
                <w:szCs w:val="20"/>
                <w:vertAlign w:val="superscript"/>
                <w:lang w:eastAsia="pl-PL"/>
              </w:rPr>
              <w:t>2</w:t>
            </w:r>
            <w:r w:rsidRPr="00602EF6">
              <w:rPr>
                <w:rFonts w:eastAsia="Times New Roman" w:cstheme="minorHAnsi"/>
                <w:sz w:val="20"/>
                <w:szCs w:val="20"/>
                <w:lang w:eastAsia="pl-PL"/>
              </w:rPr>
              <w:t>lx</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516AC1DE"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p>
          <w:p w14:paraId="079C4E73"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p>
          <w:p w14:paraId="127A3B5E" w14:textId="77777777" w:rsidR="00E95D02" w:rsidRPr="00602EF6" w:rsidRDefault="00E95D02" w:rsidP="00E95D02">
            <w:pPr>
              <w:autoSpaceDE w:val="0"/>
              <w:autoSpaceDN w:val="0"/>
              <w:adjustRightInd w:val="0"/>
              <w:spacing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25</w:t>
            </w:r>
          </w:p>
        </w:tc>
      </w:tr>
    </w:tbl>
    <w:p w14:paraId="31265058" w14:textId="77777777" w:rsidR="00E95D02" w:rsidRPr="00602EF6" w:rsidRDefault="00E95D02" w:rsidP="00E95D02">
      <w:pPr>
        <w:autoSpaceDE w:val="0"/>
        <w:autoSpaceDN w:val="0"/>
        <w:adjustRightInd w:val="0"/>
        <w:spacing w:before="60" w:after="0" w:line="240" w:lineRule="auto"/>
        <w:jc w:val="both"/>
        <w:rPr>
          <w:rFonts w:eastAsia="Times New Roman" w:cstheme="minorHAnsi"/>
          <w:sz w:val="20"/>
          <w:szCs w:val="20"/>
          <w:lang w:eastAsia="pl-PL"/>
        </w:rPr>
      </w:pPr>
      <w:r w:rsidRPr="00602EF6">
        <w:rPr>
          <w:rFonts w:eastAsia="Times New Roman" w:cstheme="minorHAnsi"/>
          <w:sz w:val="20"/>
          <w:szCs w:val="20"/>
          <w:vertAlign w:val="superscript"/>
          <w:lang w:eastAsia="pl-PL"/>
        </w:rPr>
        <w:t>*</w:t>
      </w:r>
      <w:r w:rsidRPr="00602EF6">
        <w:rPr>
          <w:rFonts w:eastAsia="Times New Roman" w:cstheme="minorHAnsi"/>
          <w:sz w:val="20"/>
          <w:szCs w:val="20"/>
          <w:lang w:eastAsia="pl-PL"/>
        </w:rPr>
        <w:t xml:space="preserve"> a także o natężeniu ruchu &gt; 2500 pojazdów rzeczywistych na dobę na pas</w:t>
      </w:r>
    </w:p>
    <w:p w14:paraId="25E5032E" w14:textId="77777777" w:rsidR="00E95D02" w:rsidRPr="00602EF6"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 xml:space="preserve">Wymaganie widoczności w nocy nie obowiązuje dla oznakowań na oświetlonych drogach miejskich. </w:t>
      </w:r>
    </w:p>
    <w:p w14:paraId="5DB7D2ED"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lastRenderedPageBreak/>
        <w:t>Na nawierzchniach o grubej makroteksturze, takich jak: powierzchniowe utrwalanie, SMA oraz na nawierzchniach niejednorodnych można wyjątkowo dopuścić wartość współczynnika odblasku R</w:t>
      </w:r>
      <w:r w:rsidRPr="00602EF6">
        <w:rPr>
          <w:rFonts w:eastAsia="Times New Roman" w:cstheme="minorHAnsi"/>
          <w:sz w:val="20"/>
          <w:szCs w:val="20"/>
          <w:vertAlign w:val="subscript"/>
          <w:lang w:eastAsia="pl-PL"/>
        </w:rPr>
        <w:t>L</w:t>
      </w:r>
      <w:r w:rsidRPr="00602EF6">
        <w:rPr>
          <w:rFonts w:eastAsia="Times New Roman" w:cstheme="minorHAnsi"/>
          <w:sz w:val="20"/>
          <w:szCs w:val="20"/>
          <w:lang w:eastAsia="pl-PL"/>
        </w:rPr>
        <w:t xml:space="preserve"> = 70 mcd m</w:t>
      </w:r>
      <w:r w:rsidRPr="00602EF6">
        <w:rPr>
          <w:rFonts w:eastAsia="Times New Roman" w:cstheme="minorHAnsi"/>
          <w:sz w:val="20"/>
          <w:szCs w:val="20"/>
          <w:vertAlign w:val="superscript"/>
          <w:lang w:eastAsia="pl-PL"/>
        </w:rPr>
        <w:t>-2</w:t>
      </w:r>
      <w:r w:rsidRPr="00602EF6">
        <w:rPr>
          <w:rFonts w:eastAsia="Times New Roman" w:cstheme="minorHAnsi"/>
          <w:sz w:val="20"/>
          <w:szCs w:val="20"/>
          <w:lang w:eastAsia="pl-PL"/>
        </w:rPr>
        <w:t xml:space="preserve"> lx</w:t>
      </w:r>
      <w:r w:rsidRPr="00602EF6">
        <w:rPr>
          <w:rFonts w:eastAsia="Times New Roman" w:cstheme="minorHAnsi"/>
          <w:sz w:val="20"/>
          <w:szCs w:val="20"/>
          <w:vertAlign w:val="superscript"/>
          <w:lang w:eastAsia="pl-PL"/>
        </w:rPr>
        <w:t>-1</w:t>
      </w:r>
      <w:r w:rsidRPr="00602EF6">
        <w:rPr>
          <w:rFonts w:eastAsia="Times New Roman" w:cstheme="minorHAnsi"/>
          <w:sz w:val="20"/>
          <w:szCs w:val="20"/>
          <w:lang w:eastAsia="pl-PL"/>
        </w:rPr>
        <w:t>, klasa R1 dla oznakowania cienkowarstwowego eksploatowanego od 6 miesiąca po wykonaniu.</w:t>
      </w:r>
    </w:p>
    <w:p w14:paraId="7023B86B"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W szczególnie uzasadnionych przypadkach możliwe jest ustalenie w SST wyższych klas wymagań wg [1].</w:t>
      </w:r>
    </w:p>
    <w:p w14:paraId="2566D769"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Wartość współczynnika R</w:t>
      </w:r>
      <w:r w:rsidRPr="00602EF6">
        <w:rPr>
          <w:rFonts w:eastAsia="Times New Roman" w:cstheme="minorHAnsi"/>
          <w:sz w:val="20"/>
          <w:szCs w:val="20"/>
          <w:vertAlign w:val="subscript"/>
          <w:lang w:eastAsia="pl-PL"/>
        </w:rPr>
        <w:t>L</w:t>
      </w:r>
      <w:r w:rsidRPr="00602EF6">
        <w:rPr>
          <w:rFonts w:eastAsia="Times New Roman" w:cstheme="minorHAnsi"/>
          <w:sz w:val="20"/>
          <w:szCs w:val="20"/>
          <w:lang w:eastAsia="pl-PL"/>
        </w:rPr>
        <w:t xml:space="preserve"> powinna wynosić dla oznakowania profilowanego, nowego (w stanie wilgotnym) i eksploatowanego w okresie gwarancji wg PN-EN 1436:2012 [1] zmierzona od 14 do 30 dnia po wykonaniu, barwy:</w:t>
      </w:r>
    </w:p>
    <w:p w14:paraId="75629867" w14:textId="77777777" w:rsidR="00E95D02" w:rsidRPr="00602EF6" w:rsidRDefault="00E95D02">
      <w:pPr>
        <w:numPr>
          <w:ilvl w:val="0"/>
          <w:numId w:val="138"/>
        </w:num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białej, co najmniej 50 mcd m</w:t>
      </w:r>
      <w:r w:rsidRPr="00602EF6">
        <w:rPr>
          <w:rFonts w:eastAsia="Times New Roman" w:cstheme="minorHAnsi"/>
          <w:sz w:val="20"/>
          <w:szCs w:val="20"/>
          <w:vertAlign w:val="superscript"/>
          <w:lang w:eastAsia="pl-PL"/>
        </w:rPr>
        <w:t>-2</w:t>
      </w:r>
      <w:r w:rsidRPr="00602EF6">
        <w:rPr>
          <w:rFonts w:eastAsia="Times New Roman" w:cstheme="minorHAnsi"/>
          <w:sz w:val="20"/>
          <w:szCs w:val="20"/>
          <w:lang w:eastAsia="pl-PL"/>
        </w:rPr>
        <w:t xml:space="preserve"> lx</w:t>
      </w:r>
      <w:r w:rsidRPr="00602EF6">
        <w:rPr>
          <w:rFonts w:eastAsia="Times New Roman" w:cstheme="minorHAnsi"/>
          <w:sz w:val="20"/>
          <w:szCs w:val="20"/>
          <w:vertAlign w:val="superscript"/>
          <w:lang w:eastAsia="pl-PL"/>
        </w:rPr>
        <w:t>-1</w:t>
      </w:r>
      <w:r w:rsidRPr="00602EF6">
        <w:rPr>
          <w:rFonts w:eastAsia="Times New Roman" w:cstheme="minorHAnsi"/>
          <w:sz w:val="20"/>
          <w:szCs w:val="20"/>
          <w:lang w:eastAsia="pl-PL"/>
        </w:rPr>
        <w:t xml:space="preserve">, klasa </w:t>
      </w:r>
      <w:r w:rsidRPr="00602EF6">
        <w:rPr>
          <w:rFonts w:eastAsia="Times New Roman" w:cstheme="minorHAnsi"/>
          <w:spacing w:val="-3"/>
          <w:sz w:val="20"/>
          <w:szCs w:val="20"/>
          <w:lang w:eastAsia="pl-PL"/>
        </w:rPr>
        <w:t>RW3</w:t>
      </w:r>
      <w:r w:rsidRPr="00602EF6">
        <w:rPr>
          <w:rFonts w:eastAsia="Times New Roman" w:cstheme="minorHAnsi"/>
          <w:sz w:val="20"/>
          <w:szCs w:val="20"/>
          <w:lang w:eastAsia="pl-PL"/>
        </w:rPr>
        <w:t>,</w:t>
      </w:r>
    </w:p>
    <w:p w14:paraId="627DAFA3" w14:textId="77777777" w:rsidR="00E95D02" w:rsidRPr="00602EF6" w:rsidRDefault="00E95D02">
      <w:pPr>
        <w:numPr>
          <w:ilvl w:val="0"/>
          <w:numId w:val="138"/>
        </w:num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w okresie eksploatacji, co najmniej 35 mcd m</w:t>
      </w:r>
      <w:r w:rsidRPr="00602EF6">
        <w:rPr>
          <w:rFonts w:eastAsia="Times New Roman" w:cstheme="minorHAnsi"/>
          <w:sz w:val="20"/>
          <w:szCs w:val="20"/>
          <w:vertAlign w:val="superscript"/>
          <w:lang w:eastAsia="pl-PL"/>
        </w:rPr>
        <w:t>-2</w:t>
      </w:r>
      <w:r w:rsidRPr="00602EF6">
        <w:rPr>
          <w:rFonts w:eastAsia="Times New Roman" w:cstheme="minorHAnsi"/>
          <w:sz w:val="20"/>
          <w:szCs w:val="20"/>
          <w:lang w:eastAsia="pl-PL"/>
        </w:rPr>
        <w:t xml:space="preserve"> lx</w:t>
      </w:r>
      <w:r w:rsidRPr="00602EF6">
        <w:rPr>
          <w:rFonts w:eastAsia="Times New Roman" w:cstheme="minorHAnsi"/>
          <w:sz w:val="20"/>
          <w:szCs w:val="20"/>
          <w:vertAlign w:val="superscript"/>
          <w:lang w:eastAsia="pl-PL"/>
        </w:rPr>
        <w:t>-1</w:t>
      </w:r>
      <w:r w:rsidRPr="00602EF6">
        <w:rPr>
          <w:rFonts w:eastAsia="Times New Roman" w:cstheme="minorHAnsi"/>
          <w:sz w:val="20"/>
          <w:szCs w:val="20"/>
          <w:lang w:eastAsia="pl-PL"/>
        </w:rPr>
        <w:t xml:space="preserve">, klasa </w:t>
      </w:r>
      <w:r w:rsidRPr="00602EF6">
        <w:rPr>
          <w:rFonts w:eastAsia="Times New Roman" w:cstheme="minorHAnsi"/>
          <w:spacing w:val="-3"/>
          <w:sz w:val="20"/>
          <w:szCs w:val="20"/>
          <w:lang w:eastAsia="pl-PL"/>
        </w:rPr>
        <w:t>RW2.</w:t>
      </w:r>
    </w:p>
    <w:p w14:paraId="0AC7E2C0" w14:textId="57E8045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Powyższe wymaganie dotyczy jedynie oznakowań profilowanych, takich jak oznakowanie strukturalne wykonywane masami chemoutwardzalnymi.</w:t>
      </w:r>
    </w:p>
    <w:p w14:paraId="31528DC2" w14:textId="083AEECE"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 xml:space="preserve">Wykonywanie pomiarów na oznakowaniu ciągłym z naniesionymi wygarbieniami może być wykonywane tylko metoda dynamiczną. Pomiar aparatami ręcznymi jest albo </w:t>
      </w:r>
      <w:r w:rsidR="00602EF6" w:rsidRPr="00602EF6">
        <w:rPr>
          <w:rFonts w:eastAsia="Times New Roman" w:cstheme="minorHAnsi"/>
          <w:sz w:val="20"/>
          <w:szCs w:val="20"/>
          <w:lang w:eastAsia="pl-PL"/>
        </w:rPr>
        <w:t>niemożliwy,</w:t>
      </w:r>
      <w:r w:rsidRPr="00602EF6">
        <w:rPr>
          <w:rFonts w:eastAsia="Times New Roman" w:cstheme="minorHAnsi"/>
          <w:sz w:val="20"/>
          <w:szCs w:val="20"/>
          <w:lang w:eastAsia="pl-PL"/>
        </w:rPr>
        <w:t xml:space="preserve"> albo obciążony dużym błędem.</w:t>
      </w:r>
    </w:p>
    <w:p w14:paraId="4715132F"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Wykonywanie pomiarów odblaskowości na pozostałych typach oznakowania strukturalnego, z uwagi na jego niecałkowite i niejednorodne pokrycie powierzchni oznakowania, jest obarczone większym błędem niż na oznakowaniach pełnych. Dlatego podczas odbioru czy kontroli, należy przyjąć jako dopuszczalne wartości współczynnika odblasku o 20% niższe od przyjętych w ST.</w:t>
      </w:r>
    </w:p>
    <w:p w14:paraId="0E8DC566" w14:textId="77777777" w:rsidR="00E95D02" w:rsidRPr="00602EF6" w:rsidRDefault="00E95D02" w:rsidP="00E95D02">
      <w:pPr>
        <w:tabs>
          <w:tab w:val="left" w:pos="4536"/>
          <w:tab w:val="left" w:pos="9072"/>
        </w:tabs>
        <w:autoSpaceDE w:val="0"/>
        <w:autoSpaceDN w:val="0"/>
        <w:adjustRightInd w:val="0"/>
        <w:spacing w:before="12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6.4.1.4. Szorstkość oznakowania</w:t>
      </w:r>
    </w:p>
    <w:p w14:paraId="6FDA8CEE" w14:textId="77777777" w:rsidR="00E95D02" w:rsidRPr="00602EF6"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Miarą szorstkości oznakowania jest wartość wskaźnika szorstkości SRT (Skid Resistance Tester) mierzona wahadłem angielskim, wg PN-EN 13036-4:2011 [9].</w:t>
      </w:r>
    </w:p>
    <w:p w14:paraId="2E5D6D1D"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Ze względu na wartość wskaźnika szorstkości SRT poziome oznakowania dróg dzielimy na klasy podane w tablicy 15.</w:t>
      </w:r>
    </w:p>
    <w:p w14:paraId="512FC5AE" w14:textId="77777777" w:rsidR="00E95D02" w:rsidRPr="00602EF6" w:rsidRDefault="00E95D02" w:rsidP="00E95D02">
      <w:pPr>
        <w:tabs>
          <w:tab w:val="left" w:pos="1134"/>
        </w:tabs>
        <w:autoSpaceDE w:val="0"/>
        <w:autoSpaceDN w:val="0"/>
        <w:adjustRightInd w:val="0"/>
        <w:spacing w:before="120" w:after="120" w:line="240" w:lineRule="auto"/>
        <w:jc w:val="both"/>
        <w:rPr>
          <w:rFonts w:eastAsia="Times New Roman" w:cstheme="minorHAnsi"/>
          <w:sz w:val="20"/>
          <w:szCs w:val="20"/>
          <w:lang w:eastAsia="pl-PL"/>
        </w:rPr>
      </w:pPr>
      <w:r w:rsidRPr="00602EF6">
        <w:rPr>
          <w:rFonts w:eastAsia="Times New Roman" w:cstheme="minorHAnsi"/>
          <w:sz w:val="20"/>
          <w:szCs w:val="20"/>
          <w:lang w:eastAsia="pl-PL"/>
        </w:rPr>
        <w:t>Tablica 15.</w:t>
      </w:r>
      <w:r w:rsidRPr="00602EF6">
        <w:rPr>
          <w:rFonts w:eastAsia="Times New Roman" w:cstheme="minorHAnsi"/>
          <w:sz w:val="20"/>
          <w:szCs w:val="20"/>
          <w:lang w:eastAsia="pl-PL"/>
        </w:rPr>
        <w:tab/>
        <w:t>Klasy oznakowania drogowego ze względu na wartość wskaźnika szorstkości SRT [1]</w:t>
      </w:r>
    </w:p>
    <w:tbl>
      <w:tblPr>
        <w:tblW w:w="0" w:type="auto"/>
        <w:jc w:val="center"/>
        <w:tblLayout w:type="fixed"/>
        <w:tblCellMar>
          <w:left w:w="138" w:type="dxa"/>
          <w:right w:w="138" w:type="dxa"/>
        </w:tblCellMar>
        <w:tblLook w:val="0000" w:firstRow="0" w:lastRow="0" w:firstColumn="0" w:lastColumn="0" w:noHBand="0" w:noVBand="0"/>
      </w:tblPr>
      <w:tblGrid>
        <w:gridCol w:w="2727"/>
        <w:gridCol w:w="5893"/>
      </w:tblGrid>
      <w:tr w:rsidR="00E95D02" w:rsidRPr="00602EF6" w14:paraId="68776510" w14:textId="77777777" w:rsidTr="00E95D02">
        <w:trPr>
          <w:trHeight w:val="1"/>
          <w:jc w:val="center"/>
        </w:trPr>
        <w:tc>
          <w:tcPr>
            <w:tcW w:w="2727" w:type="dxa"/>
            <w:tcBorders>
              <w:top w:val="single" w:sz="4" w:space="0" w:color="000000"/>
              <w:left w:val="single" w:sz="4" w:space="0" w:color="000000"/>
              <w:bottom w:val="single" w:sz="3" w:space="0" w:color="000000"/>
              <w:right w:val="nil"/>
            </w:tcBorders>
            <w:shd w:val="clear" w:color="000000" w:fill="FFFFFF"/>
          </w:tcPr>
          <w:p w14:paraId="30BF7D60" w14:textId="77777777" w:rsidR="00E95D02" w:rsidRPr="00602EF6" w:rsidRDefault="00E95D02" w:rsidP="00E95D02">
            <w:pPr>
              <w:autoSpaceDE w:val="0"/>
              <w:autoSpaceDN w:val="0"/>
              <w:adjustRightInd w:val="0"/>
              <w:spacing w:before="60" w:after="60" w:line="240" w:lineRule="auto"/>
              <w:jc w:val="center"/>
              <w:rPr>
                <w:rFonts w:eastAsia="Times New Roman" w:cstheme="minorHAnsi"/>
                <w:sz w:val="20"/>
                <w:szCs w:val="20"/>
                <w:lang w:eastAsia="pl-PL"/>
              </w:rPr>
            </w:pPr>
            <w:r w:rsidRPr="00602EF6">
              <w:rPr>
                <w:rFonts w:eastAsia="Times New Roman" w:cstheme="minorHAnsi"/>
                <w:sz w:val="20"/>
                <w:szCs w:val="20"/>
                <w:lang w:eastAsia="pl-PL"/>
              </w:rPr>
              <w:t>Klasa</w:t>
            </w:r>
          </w:p>
        </w:tc>
        <w:tc>
          <w:tcPr>
            <w:tcW w:w="5893" w:type="dxa"/>
            <w:tcBorders>
              <w:top w:val="single" w:sz="4" w:space="0" w:color="000000"/>
              <w:left w:val="single" w:sz="4" w:space="0" w:color="000000"/>
              <w:bottom w:val="single" w:sz="3" w:space="0" w:color="000000"/>
              <w:right w:val="single" w:sz="4" w:space="0" w:color="000000"/>
            </w:tcBorders>
            <w:shd w:val="clear" w:color="000000" w:fill="FFFFFF"/>
          </w:tcPr>
          <w:p w14:paraId="3D39AB8F" w14:textId="77777777" w:rsidR="00E95D02" w:rsidRPr="00602EF6" w:rsidRDefault="00E95D02" w:rsidP="00E95D02">
            <w:pPr>
              <w:autoSpaceDE w:val="0"/>
              <w:autoSpaceDN w:val="0"/>
              <w:adjustRightInd w:val="0"/>
              <w:spacing w:before="60" w:after="60" w:line="240" w:lineRule="auto"/>
              <w:jc w:val="center"/>
              <w:rPr>
                <w:rFonts w:eastAsia="Times New Roman" w:cstheme="minorHAnsi"/>
                <w:sz w:val="20"/>
                <w:szCs w:val="20"/>
                <w:lang w:eastAsia="pl-PL"/>
              </w:rPr>
            </w:pPr>
            <w:r w:rsidRPr="00602EF6">
              <w:rPr>
                <w:rFonts w:eastAsia="Times New Roman" w:cstheme="minorHAnsi"/>
                <w:sz w:val="20"/>
                <w:szCs w:val="20"/>
                <w:lang w:eastAsia="pl-PL"/>
              </w:rPr>
              <w:t>S1</w:t>
            </w:r>
          </w:p>
        </w:tc>
      </w:tr>
      <w:tr w:rsidR="00E95D02" w:rsidRPr="00602EF6" w14:paraId="0D72D8E3" w14:textId="77777777" w:rsidTr="00E95D02">
        <w:trPr>
          <w:trHeight w:val="345"/>
          <w:jc w:val="center"/>
        </w:trPr>
        <w:tc>
          <w:tcPr>
            <w:tcW w:w="2727" w:type="dxa"/>
            <w:tcBorders>
              <w:top w:val="single" w:sz="3" w:space="0" w:color="000000"/>
              <w:left w:val="single" w:sz="4" w:space="0" w:color="000000"/>
              <w:bottom w:val="single" w:sz="4" w:space="0" w:color="000000"/>
              <w:right w:val="nil"/>
            </w:tcBorders>
            <w:shd w:val="clear" w:color="000000" w:fill="FFFFFF"/>
          </w:tcPr>
          <w:p w14:paraId="476D0807" w14:textId="77777777" w:rsidR="00E95D02" w:rsidRPr="00602EF6"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Wartość wskaźnika SRT</w:t>
            </w:r>
          </w:p>
        </w:tc>
        <w:tc>
          <w:tcPr>
            <w:tcW w:w="5893" w:type="dxa"/>
            <w:tcBorders>
              <w:top w:val="single" w:sz="3" w:space="0" w:color="000000"/>
              <w:left w:val="single" w:sz="4" w:space="0" w:color="000000"/>
              <w:bottom w:val="single" w:sz="4" w:space="0" w:color="000000"/>
              <w:right w:val="single" w:sz="4" w:space="0" w:color="000000"/>
            </w:tcBorders>
            <w:shd w:val="clear" w:color="000000" w:fill="FFFFFF"/>
          </w:tcPr>
          <w:p w14:paraId="3CD9DFFE" w14:textId="77777777" w:rsidR="00E95D02" w:rsidRPr="00602EF6" w:rsidRDefault="00E95D02" w:rsidP="00E95D02">
            <w:pPr>
              <w:autoSpaceDE w:val="0"/>
              <w:autoSpaceDN w:val="0"/>
              <w:adjustRightInd w:val="0"/>
              <w:spacing w:before="120"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 xml:space="preserve"> 45</w:t>
            </w:r>
          </w:p>
        </w:tc>
      </w:tr>
    </w:tbl>
    <w:p w14:paraId="09F72621" w14:textId="3F574A6B" w:rsidR="00E95D02" w:rsidRPr="00602EF6"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 xml:space="preserve">Wymagane wartości wskaźnika szorstkości SRT w ciągu całego okresu </w:t>
      </w:r>
      <w:r w:rsidR="00602EF6" w:rsidRPr="00602EF6">
        <w:rPr>
          <w:rFonts w:eastAsia="Times New Roman" w:cstheme="minorHAnsi"/>
          <w:sz w:val="20"/>
          <w:szCs w:val="20"/>
          <w:lang w:eastAsia="pl-PL"/>
        </w:rPr>
        <w:t>użytkowania oznakowania</w:t>
      </w:r>
      <w:r w:rsidRPr="00602EF6">
        <w:rPr>
          <w:rFonts w:eastAsia="Times New Roman" w:cstheme="minorHAnsi"/>
          <w:sz w:val="20"/>
          <w:szCs w:val="20"/>
          <w:lang w:eastAsia="pl-PL"/>
        </w:rPr>
        <w:t xml:space="preserve">, </w:t>
      </w:r>
      <w:r w:rsidR="00602EF6">
        <w:rPr>
          <w:rFonts w:eastAsia="Times New Roman" w:cstheme="minorHAnsi"/>
          <w:sz w:val="20"/>
          <w:szCs w:val="20"/>
          <w:lang w:eastAsia="pl-PL"/>
        </w:rPr>
        <w:br/>
      </w:r>
      <w:r w:rsidRPr="00602EF6">
        <w:rPr>
          <w:rFonts w:eastAsia="Times New Roman" w:cstheme="minorHAnsi"/>
          <w:sz w:val="20"/>
          <w:szCs w:val="20"/>
          <w:lang w:eastAsia="pl-PL"/>
        </w:rPr>
        <w:t>a w badaniach laboratoryjnych w przypadku próbki wykonanej na podłożu sztywnym i gładkim, bez posypania kulkami szklanymi podano w tablicy 16.</w:t>
      </w:r>
    </w:p>
    <w:p w14:paraId="697E7329" w14:textId="77777777" w:rsidR="00E95D02" w:rsidRPr="00602EF6" w:rsidRDefault="00E95D02" w:rsidP="00E95D02">
      <w:pPr>
        <w:autoSpaceDE w:val="0"/>
        <w:autoSpaceDN w:val="0"/>
        <w:adjustRightInd w:val="0"/>
        <w:spacing w:before="120" w:after="120" w:line="240" w:lineRule="auto"/>
        <w:jc w:val="both"/>
        <w:rPr>
          <w:rFonts w:eastAsia="Times New Roman" w:cstheme="minorHAnsi"/>
          <w:sz w:val="20"/>
          <w:szCs w:val="20"/>
          <w:lang w:eastAsia="pl-PL"/>
        </w:rPr>
      </w:pPr>
      <w:r w:rsidRPr="00602EF6">
        <w:rPr>
          <w:rFonts w:eastAsia="Times New Roman" w:cstheme="minorHAnsi"/>
          <w:sz w:val="20"/>
          <w:szCs w:val="20"/>
          <w:lang w:eastAsia="pl-PL"/>
        </w:rPr>
        <w:t>Tablica 16. Wymagania odnośnie wskaźnika szorstkości SRT [17]</w:t>
      </w:r>
    </w:p>
    <w:tbl>
      <w:tblPr>
        <w:tblW w:w="0" w:type="auto"/>
        <w:tblInd w:w="216" w:type="dxa"/>
        <w:tblLayout w:type="fixed"/>
        <w:tblLook w:val="0000" w:firstRow="0" w:lastRow="0" w:firstColumn="0" w:lastColumn="0" w:noHBand="0" w:noVBand="0"/>
      </w:tblPr>
      <w:tblGrid>
        <w:gridCol w:w="5481"/>
        <w:gridCol w:w="1465"/>
        <w:gridCol w:w="1701"/>
      </w:tblGrid>
      <w:tr w:rsidR="00E95D02" w:rsidRPr="00602EF6" w14:paraId="58E2165F" w14:textId="77777777" w:rsidTr="00E95D02">
        <w:trPr>
          <w:trHeight w:val="1"/>
        </w:trPr>
        <w:tc>
          <w:tcPr>
            <w:tcW w:w="5481" w:type="dxa"/>
            <w:tcBorders>
              <w:top w:val="single" w:sz="3" w:space="0" w:color="000000"/>
              <w:left w:val="single" w:sz="3" w:space="0" w:color="000000"/>
              <w:bottom w:val="single" w:sz="3" w:space="0" w:color="000000"/>
              <w:right w:val="single" w:sz="3" w:space="0" w:color="000000"/>
            </w:tcBorders>
            <w:shd w:val="clear" w:color="000000" w:fill="FFFFFF"/>
          </w:tcPr>
          <w:p w14:paraId="3314EE6C" w14:textId="77777777" w:rsidR="00E95D02" w:rsidRPr="00602EF6" w:rsidRDefault="00E95D02" w:rsidP="00E95D02">
            <w:pPr>
              <w:autoSpaceDE w:val="0"/>
              <w:autoSpaceDN w:val="0"/>
              <w:adjustRightInd w:val="0"/>
              <w:spacing w:before="60" w:after="60" w:line="240" w:lineRule="auto"/>
              <w:jc w:val="center"/>
              <w:rPr>
                <w:rFonts w:eastAsia="Times New Roman" w:cstheme="minorHAnsi"/>
                <w:sz w:val="20"/>
                <w:szCs w:val="20"/>
                <w:lang w:eastAsia="pl-PL"/>
              </w:rPr>
            </w:pPr>
            <w:r w:rsidRPr="00602EF6">
              <w:rPr>
                <w:rFonts w:eastAsia="Times New Roman" w:cstheme="minorHAnsi"/>
                <w:sz w:val="20"/>
                <w:szCs w:val="20"/>
                <w:lang w:eastAsia="pl-PL"/>
              </w:rPr>
              <w:t>Rodzaj powłoki</w:t>
            </w:r>
          </w:p>
        </w:tc>
        <w:tc>
          <w:tcPr>
            <w:tcW w:w="1465" w:type="dxa"/>
            <w:tcBorders>
              <w:top w:val="single" w:sz="3" w:space="0" w:color="000000"/>
              <w:left w:val="single" w:sz="3" w:space="0" w:color="000000"/>
              <w:bottom w:val="single" w:sz="3" w:space="0" w:color="000000"/>
              <w:right w:val="single" w:sz="3" w:space="0" w:color="000000"/>
            </w:tcBorders>
            <w:shd w:val="clear" w:color="000000" w:fill="FFFFFF"/>
          </w:tcPr>
          <w:p w14:paraId="450B68BF" w14:textId="77777777" w:rsidR="00E95D02" w:rsidRPr="00602EF6" w:rsidRDefault="00E95D02" w:rsidP="00E95D02">
            <w:pPr>
              <w:autoSpaceDE w:val="0"/>
              <w:autoSpaceDN w:val="0"/>
              <w:adjustRightInd w:val="0"/>
              <w:spacing w:before="60" w:after="60" w:line="240" w:lineRule="auto"/>
              <w:jc w:val="center"/>
              <w:rPr>
                <w:rFonts w:eastAsia="Times New Roman" w:cstheme="minorHAnsi"/>
                <w:sz w:val="20"/>
                <w:szCs w:val="20"/>
                <w:lang w:eastAsia="pl-PL"/>
              </w:rPr>
            </w:pPr>
            <w:r w:rsidRPr="00602EF6">
              <w:rPr>
                <w:rFonts w:eastAsia="Times New Roman" w:cstheme="minorHAnsi"/>
                <w:sz w:val="20"/>
                <w:szCs w:val="20"/>
                <w:lang w:eastAsia="pl-PL"/>
              </w:rPr>
              <w:t>Jednostka</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61BE341D" w14:textId="77777777" w:rsidR="00E95D02" w:rsidRPr="00602EF6" w:rsidRDefault="00E95D02" w:rsidP="00E95D02">
            <w:pPr>
              <w:autoSpaceDE w:val="0"/>
              <w:autoSpaceDN w:val="0"/>
              <w:adjustRightInd w:val="0"/>
              <w:spacing w:before="60" w:after="60" w:line="240" w:lineRule="auto"/>
              <w:jc w:val="center"/>
              <w:rPr>
                <w:rFonts w:eastAsia="Times New Roman" w:cstheme="minorHAnsi"/>
                <w:sz w:val="20"/>
                <w:szCs w:val="20"/>
                <w:lang w:eastAsia="pl-PL"/>
              </w:rPr>
            </w:pPr>
            <w:r w:rsidRPr="00602EF6">
              <w:rPr>
                <w:rFonts w:eastAsia="Times New Roman" w:cstheme="minorHAnsi"/>
                <w:sz w:val="20"/>
                <w:szCs w:val="20"/>
                <w:lang w:eastAsia="pl-PL"/>
              </w:rPr>
              <w:t>Wymaganie</w:t>
            </w:r>
          </w:p>
        </w:tc>
      </w:tr>
      <w:tr w:rsidR="00E95D02" w:rsidRPr="00602EF6" w14:paraId="23EC12F2" w14:textId="77777777" w:rsidTr="00E95D02">
        <w:trPr>
          <w:trHeight w:val="1"/>
        </w:trPr>
        <w:tc>
          <w:tcPr>
            <w:tcW w:w="5481" w:type="dxa"/>
            <w:tcBorders>
              <w:top w:val="single" w:sz="3" w:space="0" w:color="000000"/>
              <w:left w:val="single" w:sz="3" w:space="0" w:color="000000"/>
              <w:bottom w:val="single" w:sz="3" w:space="0" w:color="000000"/>
              <w:right w:val="single" w:sz="3" w:space="0" w:color="000000"/>
            </w:tcBorders>
            <w:shd w:val="clear" w:color="000000" w:fill="FFFFFF"/>
          </w:tcPr>
          <w:p w14:paraId="7481328B" w14:textId="77777777" w:rsidR="00E95D02" w:rsidRPr="00602EF6" w:rsidRDefault="00E95D02" w:rsidP="00E95D02">
            <w:pPr>
              <w:autoSpaceDE w:val="0"/>
              <w:autoSpaceDN w:val="0"/>
              <w:adjustRightInd w:val="0"/>
              <w:spacing w:before="60" w:after="60" w:line="240" w:lineRule="auto"/>
              <w:jc w:val="both"/>
              <w:rPr>
                <w:rFonts w:eastAsia="Times New Roman" w:cstheme="minorHAnsi"/>
                <w:sz w:val="20"/>
                <w:szCs w:val="20"/>
                <w:lang w:eastAsia="pl-PL"/>
              </w:rPr>
            </w:pPr>
            <w:r w:rsidRPr="00602EF6">
              <w:rPr>
                <w:rFonts w:eastAsia="Times New Roman" w:cstheme="minorHAnsi"/>
                <w:sz w:val="20"/>
                <w:szCs w:val="20"/>
                <w:lang w:eastAsia="pl-PL"/>
              </w:rPr>
              <w:t>Oznakowanie nawierzchni drogi w ciągu całego okresu eksploatacji</w:t>
            </w:r>
          </w:p>
        </w:tc>
        <w:tc>
          <w:tcPr>
            <w:tcW w:w="1465" w:type="dxa"/>
            <w:tcBorders>
              <w:top w:val="single" w:sz="3" w:space="0" w:color="000000"/>
              <w:left w:val="single" w:sz="3" w:space="0" w:color="000000"/>
              <w:bottom w:val="single" w:sz="3" w:space="0" w:color="000000"/>
              <w:right w:val="single" w:sz="3" w:space="0" w:color="000000"/>
            </w:tcBorders>
            <w:shd w:val="clear" w:color="000000" w:fill="FFFFFF"/>
          </w:tcPr>
          <w:p w14:paraId="1B7CFE40" w14:textId="77777777" w:rsidR="00E95D02" w:rsidRPr="00602EF6" w:rsidRDefault="00E95D02" w:rsidP="00E95D02">
            <w:pPr>
              <w:autoSpaceDE w:val="0"/>
              <w:autoSpaceDN w:val="0"/>
              <w:adjustRightInd w:val="0"/>
              <w:spacing w:before="60" w:after="60" w:line="240" w:lineRule="auto"/>
              <w:jc w:val="both"/>
              <w:rPr>
                <w:rFonts w:eastAsia="Times New Roman" w:cstheme="minorHAnsi"/>
                <w:sz w:val="20"/>
                <w:szCs w:val="20"/>
                <w:lang w:eastAsia="pl-PL"/>
              </w:rPr>
            </w:pPr>
            <w:r w:rsidRPr="00602EF6">
              <w:rPr>
                <w:rFonts w:eastAsia="Times New Roman" w:cstheme="minorHAnsi"/>
                <w:sz w:val="20"/>
                <w:szCs w:val="20"/>
                <w:lang w:eastAsia="pl-PL"/>
              </w:rPr>
              <w:t>SRT</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2532AB8D" w14:textId="77777777" w:rsidR="00E95D02" w:rsidRPr="00602EF6" w:rsidRDefault="00E95D02" w:rsidP="00E95D02">
            <w:pPr>
              <w:autoSpaceDE w:val="0"/>
              <w:autoSpaceDN w:val="0"/>
              <w:adjustRightInd w:val="0"/>
              <w:spacing w:before="60" w:after="60" w:line="240" w:lineRule="auto"/>
              <w:jc w:val="both"/>
              <w:rPr>
                <w:rFonts w:eastAsia="Times New Roman" w:cstheme="minorHAnsi"/>
                <w:sz w:val="20"/>
                <w:szCs w:val="20"/>
                <w:lang w:eastAsia="pl-PL"/>
              </w:rPr>
            </w:pPr>
            <w:r w:rsidRPr="00602EF6">
              <w:rPr>
                <w:rFonts w:eastAsia="Times New Roman" w:cstheme="minorHAnsi"/>
                <w:sz w:val="20"/>
                <w:szCs w:val="20"/>
                <w:lang w:eastAsia="pl-PL"/>
              </w:rPr>
              <w:t xml:space="preserve"> 45*</w:t>
            </w:r>
          </w:p>
        </w:tc>
      </w:tr>
      <w:tr w:rsidR="00E95D02" w:rsidRPr="00602EF6" w14:paraId="46E219B5" w14:textId="77777777" w:rsidTr="00E95D02">
        <w:trPr>
          <w:trHeight w:val="1"/>
        </w:trPr>
        <w:tc>
          <w:tcPr>
            <w:tcW w:w="5481" w:type="dxa"/>
            <w:tcBorders>
              <w:top w:val="single" w:sz="3" w:space="0" w:color="000000"/>
              <w:left w:val="single" w:sz="3" w:space="0" w:color="000000"/>
              <w:bottom w:val="single" w:sz="3" w:space="0" w:color="000000"/>
              <w:right w:val="single" w:sz="3" w:space="0" w:color="000000"/>
            </w:tcBorders>
            <w:shd w:val="clear" w:color="000000" w:fill="FFFFFF"/>
          </w:tcPr>
          <w:p w14:paraId="329F95C5" w14:textId="77777777" w:rsidR="00E95D02" w:rsidRPr="00602EF6" w:rsidRDefault="00E95D02" w:rsidP="00E95D02">
            <w:pPr>
              <w:autoSpaceDE w:val="0"/>
              <w:autoSpaceDN w:val="0"/>
              <w:adjustRightInd w:val="0"/>
              <w:spacing w:before="60" w:after="60" w:line="240" w:lineRule="auto"/>
              <w:jc w:val="both"/>
              <w:rPr>
                <w:rFonts w:eastAsia="Times New Roman" w:cstheme="minorHAnsi"/>
                <w:sz w:val="20"/>
                <w:szCs w:val="20"/>
                <w:lang w:eastAsia="pl-PL"/>
              </w:rPr>
            </w:pPr>
            <w:r w:rsidRPr="00602EF6">
              <w:rPr>
                <w:rFonts w:eastAsia="Times New Roman" w:cstheme="minorHAnsi"/>
                <w:sz w:val="20"/>
                <w:szCs w:val="20"/>
                <w:lang w:eastAsia="pl-PL"/>
              </w:rPr>
              <w:t>Wymalowanie farbą na próbce laboratoryjnej na podłożu gładkim bez posypania kulkami szklanymi</w:t>
            </w:r>
          </w:p>
        </w:tc>
        <w:tc>
          <w:tcPr>
            <w:tcW w:w="1465" w:type="dxa"/>
            <w:tcBorders>
              <w:top w:val="single" w:sz="3" w:space="0" w:color="000000"/>
              <w:left w:val="single" w:sz="3" w:space="0" w:color="000000"/>
              <w:bottom w:val="single" w:sz="3" w:space="0" w:color="000000"/>
              <w:right w:val="single" w:sz="3" w:space="0" w:color="000000"/>
            </w:tcBorders>
            <w:shd w:val="clear" w:color="000000" w:fill="FFFFFF"/>
          </w:tcPr>
          <w:p w14:paraId="2F4187D3" w14:textId="77777777" w:rsidR="00E95D02" w:rsidRPr="00602EF6" w:rsidRDefault="00E95D02" w:rsidP="00E95D02">
            <w:pPr>
              <w:autoSpaceDE w:val="0"/>
              <w:autoSpaceDN w:val="0"/>
              <w:adjustRightInd w:val="0"/>
              <w:spacing w:before="60" w:after="60" w:line="240" w:lineRule="auto"/>
              <w:jc w:val="both"/>
              <w:rPr>
                <w:rFonts w:eastAsia="Times New Roman" w:cstheme="minorHAnsi"/>
                <w:sz w:val="20"/>
                <w:szCs w:val="20"/>
                <w:lang w:eastAsia="pl-PL"/>
              </w:rPr>
            </w:pPr>
            <w:r w:rsidRPr="00602EF6">
              <w:rPr>
                <w:rFonts w:eastAsia="Times New Roman" w:cstheme="minorHAnsi"/>
                <w:sz w:val="20"/>
                <w:szCs w:val="20"/>
                <w:lang w:eastAsia="pl-PL"/>
              </w:rPr>
              <w:t>SRT</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00047AA7" w14:textId="77777777" w:rsidR="00E95D02" w:rsidRPr="00602EF6" w:rsidRDefault="00E95D02" w:rsidP="00E95D02">
            <w:pPr>
              <w:autoSpaceDE w:val="0"/>
              <w:autoSpaceDN w:val="0"/>
              <w:adjustRightInd w:val="0"/>
              <w:spacing w:before="60" w:after="60" w:line="240" w:lineRule="auto"/>
              <w:jc w:val="both"/>
              <w:rPr>
                <w:rFonts w:eastAsia="Times New Roman" w:cstheme="minorHAnsi"/>
                <w:sz w:val="20"/>
                <w:szCs w:val="20"/>
                <w:lang w:eastAsia="pl-PL"/>
              </w:rPr>
            </w:pPr>
            <w:r w:rsidRPr="00602EF6">
              <w:rPr>
                <w:rFonts w:eastAsia="Times New Roman" w:cstheme="minorHAnsi"/>
                <w:sz w:val="20"/>
                <w:szCs w:val="20"/>
                <w:lang w:eastAsia="pl-PL"/>
              </w:rPr>
              <w:t xml:space="preserve"> 30</w:t>
            </w:r>
          </w:p>
        </w:tc>
      </w:tr>
    </w:tbl>
    <w:p w14:paraId="6B0101B4" w14:textId="77777777" w:rsidR="00E95D02" w:rsidRPr="004853EB" w:rsidRDefault="00E95D02" w:rsidP="00E95D02">
      <w:pPr>
        <w:autoSpaceDE w:val="0"/>
        <w:autoSpaceDN w:val="0"/>
        <w:adjustRightInd w:val="0"/>
        <w:spacing w:before="60" w:after="0" w:line="240" w:lineRule="auto"/>
        <w:jc w:val="both"/>
        <w:rPr>
          <w:rFonts w:eastAsia="Times New Roman" w:cstheme="minorHAnsi"/>
          <w:sz w:val="20"/>
          <w:szCs w:val="20"/>
          <w:lang w:val="pl" w:eastAsia="pl-PL"/>
        </w:rPr>
      </w:pPr>
      <w:r w:rsidRPr="004853EB">
        <w:rPr>
          <w:rFonts w:eastAsia="Times New Roman" w:cstheme="minorHAnsi"/>
          <w:sz w:val="20"/>
          <w:szCs w:val="20"/>
          <w:lang w:val="pl" w:eastAsia="pl-PL"/>
        </w:rPr>
        <w:t>* wartość SRT = 45 jest warunkowa w przypadku oznakowań profilowanych</w:t>
      </w:r>
    </w:p>
    <w:p w14:paraId="20AB5300" w14:textId="77777777" w:rsidR="00E95D02" w:rsidRPr="00602EF6"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4853EB">
        <w:rPr>
          <w:rFonts w:eastAsia="Times New Roman" w:cstheme="minorHAnsi"/>
          <w:sz w:val="20"/>
          <w:szCs w:val="20"/>
          <w:lang w:val="pl" w:eastAsia="pl-PL"/>
        </w:rPr>
        <w:tab/>
      </w:r>
      <w:r w:rsidRPr="00602EF6">
        <w:rPr>
          <w:rFonts w:eastAsia="Times New Roman" w:cstheme="minorHAnsi"/>
          <w:sz w:val="20"/>
          <w:szCs w:val="20"/>
          <w:lang w:eastAsia="pl-PL"/>
        </w:rPr>
        <w:t>Wartość SRT symuluje warunki, w których pojazd wyposażony w typowe opony hamuje z blokadą kół przy prędkości 50 km/h na mokrej nawierzchni.</w:t>
      </w:r>
    </w:p>
    <w:p w14:paraId="679BDD2C" w14:textId="12CEB175"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 xml:space="preserve">Dopuszcza się podwyższenie w SST wymagania szorstkości z wymaganej wartości minimalnej 45 do 50 – 60 jednostek SRT (klasy S2 – S3), w uzasadnionych przypadkach. Uzyskanie większej szorstkości oznakowania, wiąże się z zastosowaniem kruszywa przeciwpoślizgowego samego lub w mieszaninie z kulkami szklanymi wg PN-EN 1423:2012 [3]. Należy przy tym wziąć pod uwagę jednoczesne obniżenie wartości współczynnika luminancji </w:t>
      </w:r>
      <w:r w:rsidR="00602EF6">
        <w:rPr>
          <w:rFonts w:eastAsia="Times New Roman" w:cstheme="minorHAnsi"/>
          <w:sz w:val="20"/>
          <w:szCs w:val="20"/>
          <w:lang w:eastAsia="pl-PL"/>
        </w:rPr>
        <w:br/>
      </w:r>
      <w:r w:rsidRPr="00602EF6">
        <w:rPr>
          <w:rFonts w:eastAsia="Times New Roman" w:cstheme="minorHAnsi"/>
          <w:sz w:val="20"/>
          <w:szCs w:val="20"/>
          <w:lang w:eastAsia="pl-PL"/>
        </w:rPr>
        <w:t>i współczynnika odblasku.</w:t>
      </w:r>
    </w:p>
    <w:p w14:paraId="6180C756" w14:textId="1E7A8D0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 xml:space="preserve">Szorstkość oznakowania, na którym nie zastosowano kruszywa przeciwpoślizgowego, zazwyczaj wzrasta w okresie eksploatacji oznakowania, dlatego nie należy wymagać wyższej jego wartości na starcie, a niższej </w:t>
      </w:r>
      <w:r w:rsidR="00602EF6">
        <w:rPr>
          <w:rFonts w:eastAsia="Times New Roman" w:cstheme="minorHAnsi"/>
          <w:sz w:val="20"/>
          <w:szCs w:val="20"/>
          <w:lang w:eastAsia="pl-PL"/>
        </w:rPr>
        <w:br/>
      </w:r>
      <w:r w:rsidRPr="00602EF6">
        <w:rPr>
          <w:rFonts w:eastAsia="Times New Roman" w:cstheme="minorHAnsi"/>
          <w:sz w:val="20"/>
          <w:szCs w:val="20"/>
          <w:lang w:eastAsia="pl-PL"/>
        </w:rPr>
        <w:t>w okresie gwarancji.</w:t>
      </w:r>
    </w:p>
    <w:p w14:paraId="246C0CBB" w14:textId="5E810FDF"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 xml:space="preserve">Wykonywanie pomiarów wskaźnika szorstkości SRT dotyczy oznakowań jednolitych, płaskich, wykonanych farbami, masami termoplastycznymi, masami chemoutwardzalnymi i taśmami. Pomiar na oznakowaniu strukturalnym jest, jeśli możliwy, to nie miarodajny. W przypadku oznakowania z wygarbieniami </w:t>
      </w:r>
      <w:r w:rsidR="00602EF6">
        <w:rPr>
          <w:rFonts w:eastAsia="Times New Roman" w:cstheme="minorHAnsi"/>
          <w:sz w:val="20"/>
          <w:szCs w:val="20"/>
          <w:lang w:eastAsia="pl-PL"/>
        </w:rPr>
        <w:br/>
      </w:r>
      <w:r w:rsidRPr="00602EF6">
        <w:rPr>
          <w:rFonts w:eastAsia="Times New Roman" w:cstheme="minorHAnsi"/>
          <w:sz w:val="20"/>
          <w:szCs w:val="20"/>
          <w:lang w:eastAsia="pl-PL"/>
        </w:rPr>
        <w:t>i punktowymi elementami odblaskowymi pomiar nie jest możliwy.</w:t>
      </w:r>
    </w:p>
    <w:p w14:paraId="60311748" w14:textId="77777777" w:rsidR="00E95D02" w:rsidRPr="00602EF6" w:rsidRDefault="00E95D02" w:rsidP="00E95D02">
      <w:pPr>
        <w:autoSpaceDE w:val="0"/>
        <w:autoSpaceDN w:val="0"/>
        <w:adjustRightInd w:val="0"/>
        <w:spacing w:before="120" w:after="120" w:line="240" w:lineRule="auto"/>
        <w:jc w:val="both"/>
        <w:rPr>
          <w:rFonts w:eastAsia="Times New Roman" w:cstheme="minorHAnsi"/>
          <w:sz w:val="20"/>
          <w:szCs w:val="20"/>
          <w:lang w:eastAsia="pl-PL"/>
        </w:rPr>
      </w:pPr>
      <w:r w:rsidRPr="00602EF6">
        <w:rPr>
          <w:rFonts w:eastAsia="Times New Roman" w:cstheme="minorHAnsi"/>
          <w:sz w:val="20"/>
          <w:szCs w:val="20"/>
          <w:lang w:eastAsia="pl-PL"/>
        </w:rPr>
        <w:lastRenderedPageBreak/>
        <w:t>6.4.1.5. Trwałość oznakowania</w:t>
      </w:r>
    </w:p>
    <w:p w14:paraId="56570B95"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Trwałość oznakowania cienkowarstwowego oceniana jako stopień zużycia w 10-stopniowej skali LCPC określonej w POD-97 [19] lub Vademecum [17] powinna wynosić po 12-miesięcznym okresie eksploatacji oznakowania: co najmniej 6.</w:t>
      </w:r>
    </w:p>
    <w:p w14:paraId="64643894"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Taka metoda oceny znajduje szczególnie zastosowanie do oceny przydatności materiałów do cienkowarstwowego poziomego oznakowania dróg.</w:t>
      </w:r>
    </w:p>
    <w:p w14:paraId="73DB83B8" w14:textId="184ABF0C"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 xml:space="preserve">W stosunku do materiałów grubowarstwowych i taśm ocena ta jest stosowana dopiero po 2, 3, 4, 5 i 6 latach, gdy w oznakowaniu pojawiają się przetarcia do nawierzchni. Do oceny materiałów strukturalnych, </w:t>
      </w:r>
      <w:r w:rsidR="00602EF6">
        <w:rPr>
          <w:rFonts w:eastAsia="Times New Roman" w:cstheme="minorHAnsi"/>
          <w:sz w:val="20"/>
          <w:szCs w:val="20"/>
          <w:lang w:eastAsia="pl-PL"/>
        </w:rPr>
        <w:br/>
      </w:r>
      <w:r w:rsidRPr="00602EF6">
        <w:rPr>
          <w:rFonts w:eastAsia="Times New Roman" w:cstheme="minorHAnsi"/>
          <w:sz w:val="20"/>
          <w:szCs w:val="20"/>
          <w:lang w:eastAsia="pl-PL"/>
        </w:rPr>
        <w:t>o nieciągłym pokryciu nawierzchni metody tej nie stosuje się.</w:t>
      </w:r>
    </w:p>
    <w:p w14:paraId="475910A5"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Ponieważ nie ma uzgodnionej w EU metody oznaczania trwałości jest oceniana w celach kontrolnych pośrednio przez sprawdzenie spełniania wymagań widoczności w dzień, w nocy i szorstkości.</w:t>
      </w:r>
    </w:p>
    <w:p w14:paraId="3EE06BE0" w14:textId="77777777" w:rsidR="00E95D02" w:rsidRPr="00602EF6" w:rsidRDefault="00E95D02" w:rsidP="00E95D02">
      <w:pPr>
        <w:keepNext/>
        <w:autoSpaceDE w:val="0"/>
        <w:autoSpaceDN w:val="0"/>
        <w:adjustRightInd w:val="0"/>
        <w:spacing w:before="12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6.4.1.6. Czas schnięcia oznakowania (względnie czas do przejezdności oznakowania)</w:t>
      </w:r>
    </w:p>
    <w:p w14:paraId="4297335C" w14:textId="77777777" w:rsidR="00E95D02" w:rsidRPr="00602EF6"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Za czas schnięcia oznakowania przyjmuje się czas upływający między wykonaniem oznakowania a jego oddaniem do ruchu. Czas schnięcia w warunkach drogowych zależy od wielu parametrów, jak np. od temperatury nawierzchni i powietrza, rodzaju nawierzchni, prędkości wiatru, wilgotności względnej powietrza i innych. Klasy czasu schnięcia wyrobów do poziomego oznakowania dróg przedstawiono w tablicy 2.</w:t>
      </w:r>
    </w:p>
    <w:p w14:paraId="3D9A3919" w14:textId="2C913653"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 xml:space="preserve">Czas schnięcia oznakowania nie powinien przekraczać czasu gwarantowanego przez producenta, z </w:t>
      </w:r>
      <w:r w:rsidR="00602EF6" w:rsidRPr="00602EF6">
        <w:rPr>
          <w:rFonts w:eastAsia="Times New Roman" w:cstheme="minorHAnsi"/>
          <w:sz w:val="20"/>
          <w:szCs w:val="20"/>
          <w:lang w:eastAsia="pl-PL"/>
        </w:rPr>
        <w:t>tym,</w:t>
      </w:r>
      <w:r w:rsidRPr="00602EF6">
        <w:rPr>
          <w:rFonts w:eastAsia="Times New Roman" w:cstheme="minorHAnsi"/>
          <w:sz w:val="20"/>
          <w:szCs w:val="20"/>
          <w:lang w:eastAsia="pl-PL"/>
        </w:rPr>
        <w:t xml:space="preserve"> że nie może przekraczać klasy DT5. Dopuszcza się wydłużenie czasu schnięcia do 2 godzin w przypadku wymalowań nocnych Opis metod oznaczania czasu schnięcia znajduje się w PN-EN 1436 [1] lub w Vademecum [17].</w:t>
      </w:r>
    </w:p>
    <w:p w14:paraId="608D4467" w14:textId="77777777" w:rsidR="00E95D02" w:rsidRPr="00602EF6" w:rsidRDefault="00E95D02" w:rsidP="00E95D02">
      <w:pPr>
        <w:autoSpaceDE w:val="0"/>
        <w:autoSpaceDN w:val="0"/>
        <w:adjustRightInd w:val="0"/>
        <w:spacing w:before="120" w:after="120" w:line="240" w:lineRule="auto"/>
        <w:jc w:val="both"/>
        <w:rPr>
          <w:rFonts w:eastAsia="Times New Roman" w:cstheme="minorHAnsi"/>
          <w:sz w:val="20"/>
          <w:szCs w:val="20"/>
          <w:lang w:eastAsia="pl-PL"/>
        </w:rPr>
      </w:pPr>
      <w:r w:rsidRPr="00602EF6">
        <w:rPr>
          <w:rFonts w:eastAsia="Times New Roman" w:cstheme="minorHAnsi"/>
          <w:sz w:val="20"/>
          <w:szCs w:val="20"/>
          <w:lang w:eastAsia="pl-PL"/>
        </w:rPr>
        <w:t>6.4.1.7. Grubość oznakowania</w:t>
      </w:r>
    </w:p>
    <w:p w14:paraId="268618D5"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Grubość wykonanych oznakowań, tj. podwyższenie ponad górną powierzchnię nawierzchni, zależy od rodzaju zastosowanego materiału.</w:t>
      </w:r>
      <w:r w:rsidRPr="00602EF6">
        <w:rPr>
          <w:rFonts w:eastAsia="Times New Roman" w:cstheme="minorHAnsi"/>
          <w:sz w:val="20"/>
          <w:szCs w:val="20"/>
          <w:lang w:eastAsia="pl-PL"/>
        </w:rPr>
        <w:tab/>
        <w:t xml:space="preserve"> </w:t>
      </w:r>
    </w:p>
    <w:p w14:paraId="01736F10"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Grubość oznakowania wykonanego masą chemoutwardzalną techniką nakładania, powinno wynosić bez posypania kulkami szklanymi (zmierzona na płaskim podłożu np. z blachy) co najmniej:</w:t>
      </w:r>
    </w:p>
    <w:p w14:paraId="44785775"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- 0,9 mm oznakowania typu I,</w:t>
      </w:r>
    </w:p>
    <w:p w14:paraId="57C00882"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- 2,0 mm pozostałe oznakowanie typu II.</w:t>
      </w:r>
    </w:p>
    <w:p w14:paraId="7D1342D5"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Kontrola grubości oznakowania jest istotna w przypadku, gdy Wykonawca nie udziela gwarancji lub gdy nie są wykonywane pomiary kontrolne za pomocą aparatury lub są wykonywane tylko przez ocenę wizualną.</w:t>
      </w:r>
    </w:p>
    <w:p w14:paraId="66F7DCE3" w14:textId="77777777" w:rsidR="00E95D02" w:rsidRPr="00602EF6" w:rsidRDefault="00E95D02" w:rsidP="00E95D02">
      <w:pPr>
        <w:tabs>
          <w:tab w:val="left" w:pos="709"/>
        </w:tabs>
        <w:autoSpaceDE w:val="0"/>
        <w:autoSpaceDN w:val="0"/>
        <w:adjustRightInd w:val="0"/>
        <w:spacing w:before="120" w:after="0" w:line="240" w:lineRule="auto"/>
        <w:jc w:val="both"/>
        <w:rPr>
          <w:rFonts w:eastAsia="Times New Roman" w:cstheme="minorHAnsi"/>
          <w:sz w:val="20"/>
          <w:szCs w:val="20"/>
          <w:lang w:eastAsia="pl-PL"/>
        </w:rPr>
      </w:pPr>
      <w:r w:rsidRPr="00602EF6">
        <w:rPr>
          <w:rFonts w:eastAsia="Times New Roman" w:cstheme="minorHAnsi"/>
          <w:b/>
          <w:bCs/>
          <w:sz w:val="20"/>
          <w:szCs w:val="20"/>
          <w:lang w:eastAsia="pl-PL"/>
        </w:rPr>
        <w:t>6.4.2.</w:t>
      </w:r>
      <w:r w:rsidRPr="00602EF6">
        <w:rPr>
          <w:rFonts w:eastAsia="Times New Roman" w:cstheme="minorHAnsi"/>
          <w:b/>
          <w:bCs/>
          <w:sz w:val="20"/>
          <w:szCs w:val="20"/>
          <w:lang w:eastAsia="pl-PL"/>
        </w:rPr>
        <w:tab/>
      </w:r>
      <w:r w:rsidRPr="00602EF6">
        <w:rPr>
          <w:rFonts w:eastAsia="Times New Roman" w:cstheme="minorHAnsi"/>
          <w:sz w:val="20"/>
          <w:szCs w:val="20"/>
          <w:lang w:eastAsia="pl-PL"/>
        </w:rPr>
        <w:t>Badania wykonania oznakowania poziomego z materiału grubowarstwowego</w:t>
      </w:r>
    </w:p>
    <w:p w14:paraId="4DE1E5E0" w14:textId="77777777" w:rsidR="00E95D02" w:rsidRPr="00602EF6"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Wykonawca wykonując oznakowanie poziome z materiału grubowarstwowego przeprowadza przed rozpoczęciem każdej pracy oraz w czasie jej wykonywania, co najmniej raz dziennie lub zgodnie z ustaleniem ST, następujące badania:</w:t>
      </w:r>
    </w:p>
    <w:p w14:paraId="6E3CB46A"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 przed rozpoczęciem pracy:</w:t>
      </w:r>
    </w:p>
    <w:p w14:paraId="29E231E2" w14:textId="77777777" w:rsidR="00E95D02" w:rsidRPr="00602EF6" w:rsidRDefault="00E95D02">
      <w:pPr>
        <w:numPr>
          <w:ilvl w:val="0"/>
          <w:numId w:val="138"/>
        </w:numPr>
        <w:autoSpaceDE w:val="0"/>
        <w:autoSpaceDN w:val="0"/>
        <w:adjustRightInd w:val="0"/>
        <w:spacing w:after="0" w:line="240" w:lineRule="auto"/>
        <w:ind w:left="567"/>
        <w:jc w:val="both"/>
        <w:rPr>
          <w:rFonts w:eastAsia="Times New Roman" w:cstheme="minorHAnsi"/>
          <w:sz w:val="20"/>
          <w:szCs w:val="20"/>
          <w:lang w:eastAsia="pl-PL"/>
        </w:rPr>
      </w:pPr>
      <w:r w:rsidRPr="00602EF6">
        <w:rPr>
          <w:rFonts w:eastAsia="Times New Roman" w:cstheme="minorHAnsi"/>
          <w:sz w:val="20"/>
          <w:szCs w:val="20"/>
          <w:lang w:eastAsia="pl-PL"/>
        </w:rPr>
        <w:t>sprawdzenie oznakowania opakowań,</w:t>
      </w:r>
    </w:p>
    <w:p w14:paraId="65A069D1" w14:textId="301158D8" w:rsidR="00E95D02" w:rsidRPr="00602EF6" w:rsidRDefault="00E95D02">
      <w:pPr>
        <w:numPr>
          <w:ilvl w:val="0"/>
          <w:numId w:val="138"/>
        </w:numPr>
        <w:autoSpaceDE w:val="0"/>
        <w:autoSpaceDN w:val="0"/>
        <w:adjustRightInd w:val="0"/>
        <w:spacing w:after="0" w:line="240" w:lineRule="auto"/>
        <w:ind w:left="567"/>
        <w:jc w:val="both"/>
        <w:rPr>
          <w:rFonts w:eastAsia="Times New Roman" w:cstheme="minorHAnsi"/>
          <w:sz w:val="20"/>
          <w:szCs w:val="20"/>
          <w:lang w:eastAsia="pl-PL"/>
        </w:rPr>
      </w:pPr>
      <w:r w:rsidRPr="00602EF6">
        <w:rPr>
          <w:rFonts w:eastAsia="Times New Roman" w:cstheme="minorHAnsi"/>
          <w:sz w:val="20"/>
          <w:szCs w:val="20"/>
          <w:lang w:eastAsia="pl-PL"/>
        </w:rPr>
        <w:t xml:space="preserve">wizualną ocenę </w:t>
      </w:r>
      <w:r w:rsidR="00602EF6" w:rsidRPr="00602EF6">
        <w:rPr>
          <w:rFonts w:eastAsia="Times New Roman" w:cstheme="minorHAnsi"/>
          <w:sz w:val="20"/>
          <w:szCs w:val="20"/>
          <w:lang w:eastAsia="pl-PL"/>
        </w:rPr>
        <w:t>stanu materiału</w:t>
      </w:r>
      <w:r w:rsidRPr="00602EF6">
        <w:rPr>
          <w:rFonts w:eastAsia="Times New Roman" w:cstheme="minorHAnsi"/>
          <w:sz w:val="20"/>
          <w:szCs w:val="20"/>
          <w:lang w:eastAsia="pl-PL"/>
        </w:rPr>
        <w:t>, w zakresie jego jednorodności i widocznych wad,</w:t>
      </w:r>
    </w:p>
    <w:p w14:paraId="5608520A" w14:textId="77777777" w:rsidR="00E95D02" w:rsidRPr="00602EF6" w:rsidRDefault="00E95D02">
      <w:pPr>
        <w:numPr>
          <w:ilvl w:val="0"/>
          <w:numId w:val="138"/>
        </w:numPr>
        <w:autoSpaceDE w:val="0"/>
        <w:autoSpaceDN w:val="0"/>
        <w:adjustRightInd w:val="0"/>
        <w:spacing w:after="0" w:line="240" w:lineRule="auto"/>
        <w:ind w:left="567"/>
        <w:jc w:val="both"/>
        <w:rPr>
          <w:rFonts w:eastAsia="Times New Roman" w:cstheme="minorHAnsi"/>
          <w:sz w:val="20"/>
          <w:szCs w:val="20"/>
          <w:lang w:eastAsia="pl-PL"/>
        </w:rPr>
      </w:pPr>
      <w:r w:rsidRPr="00602EF6">
        <w:rPr>
          <w:rFonts w:eastAsia="Times New Roman" w:cstheme="minorHAnsi"/>
          <w:sz w:val="20"/>
          <w:szCs w:val="20"/>
          <w:lang w:eastAsia="pl-PL"/>
        </w:rPr>
        <w:t>pomiar wilgotności względnej powietrza,</w:t>
      </w:r>
    </w:p>
    <w:p w14:paraId="18401EAE" w14:textId="77777777" w:rsidR="00E95D02" w:rsidRPr="00602EF6" w:rsidRDefault="00E95D02">
      <w:pPr>
        <w:numPr>
          <w:ilvl w:val="0"/>
          <w:numId w:val="138"/>
        </w:numPr>
        <w:autoSpaceDE w:val="0"/>
        <w:autoSpaceDN w:val="0"/>
        <w:adjustRightInd w:val="0"/>
        <w:spacing w:after="0" w:line="240" w:lineRule="auto"/>
        <w:ind w:left="567"/>
        <w:jc w:val="both"/>
        <w:rPr>
          <w:rFonts w:eastAsia="Times New Roman" w:cstheme="minorHAnsi"/>
          <w:sz w:val="20"/>
          <w:szCs w:val="20"/>
          <w:lang w:eastAsia="pl-PL"/>
        </w:rPr>
      </w:pPr>
      <w:r w:rsidRPr="00602EF6">
        <w:rPr>
          <w:rFonts w:eastAsia="Times New Roman" w:cstheme="minorHAnsi"/>
          <w:sz w:val="20"/>
          <w:szCs w:val="20"/>
          <w:lang w:eastAsia="pl-PL"/>
        </w:rPr>
        <w:t>pomiar temperatury powietrza i nawierzchni,</w:t>
      </w:r>
    </w:p>
    <w:p w14:paraId="6EE5B2E7" w14:textId="77777777" w:rsidR="00E95D02" w:rsidRPr="00602EF6" w:rsidRDefault="00E95D02">
      <w:pPr>
        <w:numPr>
          <w:ilvl w:val="0"/>
          <w:numId w:val="138"/>
        </w:numPr>
        <w:autoSpaceDE w:val="0"/>
        <w:autoSpaceDN w:val="0"/>
        <w:adjustRightInd w:val="0"/>
        <w:spacing w:after="0" w:line="240" w:lineRule="auto"/>
        <w:ind w:left="567"/>
        <w:jc w:val="both"/>
        <w:rPr>
          <w:rFonts w:eastAsia="Times New Roman" w:cstheme="minorHAnsi"/>
          <w:sz w:val="20"/>
          <w:szCs w:val="20"/>
          <w:lang w:eastAsia="pl-PL"/>
        </w:rPr>
      </w:pPr>
      <w:r w:rsidRPr="00602EF6">
        <w:rPr>
          <w:rFonts w:eastAsia="Times New Roman" w:cstheme="minorHAnsi"/>
          <w:sz w:val="20"/>
          <w:szCs w:val="20"/>
          <w:lang w:eastAsia="pl-PL"/>
        </w:rPr>
        <w:t>badanie lepkości farby, wg Vademecum [17].</w:t>
      </w:r>
    </w:p>
    <w:p w14:paraId="7D0D42DF"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b) w czasie wykonywania pracy:</w:t>
      </w:r>
    </w:p>
    <w:p w14:paraId="00CB6811" w14:textId="77777777" w:rsidR="00E95D02" w:rsidRPr="00602EF6" w:rsidRDefault="00E95D02">
      <w:pPr>
        <w:numPr>
          <w:ilvl w:val="0"/>
          <w:numId w:val="138"/>
        </w:numPr>
        <w:autoSpaceDE w:val="0"/>
        <w:autoSpaceDN w:val="0"/>
        <w:adjustRightInd w:val="0"/>
        <w:spacing w:after="0" w:line="240" w:lineRule="auto"/>
        <w:ind w:left="567"/>
        <w:jc w:val="both"/>
        <w:rPr>
          <w:rFonts w:eastAsia="Times New Roman" w:cstheme="minorHAnsi"/>
          <w:sz w:val="20"/>
          <w:szCs w:val="20"/>
          <w:lang w:eastAsia="pl-PL"/>
        </w:rPr>
      </w:pPr>
      <w:r w:rsidRPr="00602EF6">
        <w:rPr>
          <w:rFonts w:eastAsia="Times New Roman" w:cstheme="minorHAnsi"/>
          <w:sz w:val="20"/>
          <w:szCs w:val="20"/>
          <w:lang w:eastAsia="pl-PL"/>
        </w:rPr>
        <w:t>pomiar grubości warstwy oznakowania,</w:t>
      </w:r>
    </w:p>
    <w:p w14:paraId="1663FBD1" w14:textId="77777777" w:rsidR="00E95D02" w:rsidRPr="00602EF6" w:rsidRDefault="00E95D02">
      <w:pPr>
        <w:numPr>
          <w:ilvl w:val="0"/>
          <w:numId w:val="138"/>
        </w:numPr>
        <w:autoSpaceDE w:val="0"/>
        <w:autoSpaceDN w:val="0"/>
        <w:adjustRightInd w:val="0"/>
        <w:spacing w:after="0" w:line="240" w:lineRule="auto"/>
        <w:ind w:left="567"/>
        <w:jc w:val="both"/>
        <w:rPr>
          <w:rFonts w:eastAsia="Times New Roman" w:cstheme="minorHAnsi"/>
          <w:sz w:val="20"/>
          <w:szCs w:val="20"/>
          <w:lang w:eastAsia="pl-PL"/>
        </w:rPr>
      </w:pPr>
      <w:r w:rsidRPr="00602EF6">
        <w:rPr>
          <w:rFonts w:eastAsia="Times New Roman" w:cstheme="minorHAnsi"/>
          <w:sz w:val="20"/>
          <w:szCs w:val="20"/>
          <w:lang w:eastAsia="pl-PL"/>
        </w:rPr>
        <w:t>pomiar czasu schnięcia, wg Vademecum [17],</w:t>
      </w:r>
    </w:p>
    <w:p w14:paraId="14C037C7" w14:textId="77777777" w:rsidR="00E95D02" w:rsidRPr="00602EF6" w:rsidRDefault="00E95D02">
      <w:pPr>
        <w:numPr>
          <w:ilvl w:val="0"/>
          <w:numId w:val="138"/>
        </w:numPr>
        <w:autoSpaceDE w:val="0"/>
        <w:autoSpaceDN w:val="0"/>
        <w:adjustRightInd w:val="0"/>
        <w:spacing w:after="0" w:line="240" w:lineRule="auto"/>
        <w:ind w:left="567"/>
        <w:jc w:val="both"/>
        <w:rPr>
          <w:rFonts w:eastAsia="Times New Roman" w:cstheme="minorHAnsi"/>
          <w:sz w:val="20"/>
          <w:szCs w:val="20"/>
          <w:lang w:eastAsia="pl-PL"/>
        </w:rPr>
      </w:pPr>
      <w:r w:rsidRPr="00602EF6">
        <w:rPr>
          <w:rFonts w:eastAsia="Times New Roman" w:cstheme="minorHAnsi"/>
          <w:sz w:val="20"/>
          <w:szCs w:val="20"/>
          <w:lang w:eastAsia="pl-PL"/>
        </w:rPr>
        <w:t>wizualną ocenę równomierności rozłożenia kulek szklanych podczas objazdu w nocy,</w:t>
      </w:r>
    </w:p>
    <w:p w14:paraId="2D288AC6" w14:textId="77777777" w:rsidR="00E95D02" w:rsidRPr="00602EF6" w:rsidRDefault="00E95D02">
      <w:pPr>
        <w:numPr>
          <w:ilvl w:val="0"/>
          <w:numId w:val="138"/>
        </w:numPr>
        <w:autoSpaceDE w:val="0"/>
        <w:autoSpaceDN w:val="0"/>
        <w:adjustRightInd w:val="0"/>
        <w:spacing w:after="0" w:line="240" w:lineRule="auto"/>
        <w:ind w:left="567"/>
        <w:jc w:val="both"/>
        <w:rPr>
          <w:rFonts w:eastAsia="Times New Roman" w:cstheme="minorHAnsi"/>
          <w:sz w:val="20"/>
          <w:szCs w:val="20"/>
          <w:lang w:eastAsia="pl-PL"/>
        </w:rPr>
      </w:pPr>
      <w:r w:rsidRPr="00602EF6">
        <w:rPr>
          <w:rFonts w:eastAsia="Times New Roman" w:cstheme="minorHAnsi"/>
          <w:sz w:val="20"/>
          <w:szCs w:val="20"/>
          <w:lang w:eastAsia="pl-PL"/>
        </w:rPr>
        <w:t>pomiar wymiarów oznakowania poziomego, na zgodność z dokumentacją projektową i załącznikiem nr 2 do rozporządzenia Ministra Infrastruktury [11],</w:t>
      </w:r>
    </w:p>
    <w:p w14:paraId="076095FA" w14:textId="77777777" w:rsidR="00E95D02" w:rsidRPr="00602EF6" w:rsidRDefault="00E95D02">
      <w:pPr>
        <w:numPr>
          <w:ilvl w:val="0"/>
          <w:numId w:val="138"/>
        </w:numPr>
        <w:autoSpaceDE w:val="0"/>
        <w:autoSpaceDN w:val="0"/>
        <w:adjustRightInd w:val="0"/>
        <w:spacing w:after="0" w:line="240" w:lineRule="auto"/>
        <w:ind w:left="567"/>
        <w:jc w:val="both"/>
        <w:rPr>
          <w:rFonts w:eastAsia="Times New Roman" w:cstheme="minorHAnsi"/>
          <w:sz w:val="20"/>
          <w:szCs w:val="20"/>
          <w:lang w:eastAsia="pl-PL"/>
        </w:rPr>
      </w:pPr>
      <w:r w:rsidRPr="00602EF6">
        <w:rPr>
          <w:rFonts w:eastAsia="Times New Roman" w:cstheme="minorHAnsi"/>
          <w:sz w:val="20"/>
          <w:szCs w:val="20"/>
          <w:lang w:eastAsia="pl-PL"/>
        </w:rPr>
        <w:t>wizualną ocenę równomierności skropienia (rozłożenia materiału) na całej szerokości linii,</w:t>
      </w:r>
    </w:p>
    <w:p w14:paraId="1F6650F5" w14:textId="77777777" w:rsidR="00E95D02" w:rsidRPr="00602EF6" w:rsidRDefault="00E95D02">
      <w:pPr>
        <w:numPr>
          <w:ilvl w:val="0"/>
          <w:numId w:val="138"/>
        </w:numPr>
        <w:autoSpaceDE w:val="0"/>
        <w:autoSpaceDN w:val="0"/>
        <w:adjustRightInd w:val="0"/>
        <w:spacing w:after="0" w:line="240" w:lineRule="auto"/>
        <w:ind w:left="567"/>
        <w:jc w:val="both"/>
        <w:rPr>
          <w:rFonts w:eastAsia="Times New Roman" w:cstheme="minorHAnsi"/>
          <w:sz w:val="20"/>
          <w:szCs w:val="20"/>
          <w:lang w:eastAsia="pl-PL"/>
        </w:rPr>
      </w:pPr>
      <w:r w:rsidRPr="00602EF6">
        <w:rPr>
          <w:rFonts w:eastAsia="Times New Roman" w:cstheme="minorHAnsi"/>
          <w:sz w:val="20"/>
          <w:szCs w:val="20"/>
          <w:lang w:eastAsia="pl-PL"/>
        </w:rPr>
        <w:t>oznaczenia czasu przejezdności, wg Vademecum [17].</w:t>
      </w:r>
    </w:p>
    <w:p w14:paraId="333C7A85"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Protokół z przeprowadzonych badań wraz z jedną próbką pobraną na drodze, jednoznacznie oznakowaną, na blasze (300 × 250 × 1,5 mm) Wykonawca powinien przechować do czasu upływu okresu gwarancji.</w:t>
      </w:r>
    </w:p>
    <w:p w14:paraId="3235024B"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Do odbioru i w przypadku wątpliwości dotyczących wykonania oznakowania poziomego, Inżynier może zlecić wykonanie badań:</w:t>
      </w:r>
    </w:p>
    <w:p w14:paraId="36A5BB65" w14:textId="77777777" w:rsidR="00E95D02" w:rsidRPr="00602EF6" w:rsidRDefault="00E95D02">
      <w:pPr>
        <w:numPr>
          <w:ilvl w:val="0"/>
          <w:numId w:val="138"/>
        </w:num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widzialności w nocy,</w:t>
      </w:r>
    </w:p>
    <w:p w14:paraId="0F12E01B" w14:textId="77777777" w:rsidR="00E95D02" w:rsidRPr="00602EF6" w:rsidRDefault="00E95D02">
      <w:pPr>
        <w:numPr>
          <w:ilvl w:val="0"/>
          <w:numId w:val="138"/>
        </w:num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lastRenderedPageBreak/>
        <w:t>widzialności w dzień,</w:t>
      </w:r>
    </w:p>
    <w:p w14:paraId="622C35D6" w14:textId="77777777" w:rsidR="00E95D02" w:rsidRPr="00602EF6" w:rsidRDefault="00E95D02">
      <w:pPr>
        <w:numPr>
          <w:ilvl w:val="0"/>
          <w:numId w:val="138"/>
        </w:num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szorstkości,</w:t>
      </w:r>
    </w:p>
    <w:p w14:paraId="551A3E43" w14:textId="248A2B5D"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xml:space="preserve">odpowiadających wymaganiom podanym w punkcie 6.3.1 i wykonanych metodami określonymi w Vademecum [17] Jeżeli wyniki tych badań wykażą wadliwość wykonanego oznakowania to koszt badań ponosi Wykonawca, </w:t>
      </w:r>
      <w:r w:rsidR="00602EF6">
        <w:rPr>
          <w:rFonts w:eastAsia="Times New Roman" w:cstheme="minorHAnsi"/>
          <w:sz w:val="20"/>
          <w:szCs w:val="20"/>
          <w:lang w:eastAsia="pl-PL"/>
        </w:rPr>
        <w:br/>
      </w:r>
      <w:r w:rsidRPr="00602EF6">
        <w:rPr>
          <w:rFonts w:eastAsia="Times New Roman" w:cstheme="minorHAnsi"/>
          <w:sz w:val="20"/>
          <w:szCs w:val="20"/>
          <w:lang w:eastAsia="pl-PL"/>
        </w:rPr>
        <w:t>w przypadku przeciwnym - Zamawiający. Badania powinien zlecać Zamawiający do niezależnego laboratorium badawczego, co gwarantuje większa wiarygodność wyników.</w:t>
      </w:r>
    </w:p>
    <w:p w14:paraId="6AD38347" w14:textId="2E0E37C3"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 xml:space="preserve">W przypadku konieczności wykonywania pomiarów na otwartych do ruchu odcinkach dróg </w:t>
      </w:r>
      <w:r w:rsidR="00602EF6">
        <w:rPr>
          <w:rFonts w:eastAsia="Times New Roman" w:cstheme="minorHAnsi"/>
          <w:sz w:val="20"/>
          <w:szCs w:val="20"/>
          <w:lang w:eastAsia="pl-PL"/>
        </w:rPr>
        <w:br/>
      </w:r>
      <w:r w:rsidRPr="00602EF6">
        <w:rPr>
          <w:rFonts w:eastAsia="Times New Roman" w:cstheme="minorHAnsi"/>
          <w:sz w:val="20"/>
          <w:szCs w:val="20"/>
          <w:lang w:eastAsia="pl-PL"/>
        </w:rPr>
        <w:t xml:space="preserve">o dopuszczalnej </w:t>
      </w:r>
      <w:r w:rsidR="00602EF6" w:rsidRPr="00602EF6">
        <w:rPr>
          <w:rFonts w:eastAsia="Times New Roman" w:cstheme="minorHAnsi"/>
          <w:sz w:val="20"/>
          <w:szCs w:val="20"/>
          <w:lang w:eastAsia="pl-PL"/>
        </w:rPr>
        <w:t>prędkości 100</w:t>
      </w:r>
      <w:r w:rsidRPr="00602EF6">
        <w:rPr>
          <w:rFonts w:eastAsia="Times New Roman" w:cstheme="minorHAnsi"/>
          <w:sz w:val="20"/>
          <w:szCs w:val="20"/>
          <w:lang w:eastAsia="pl-PL"/>
        </w:rPr>
        <w:t xml:space="preserve"> km/h należy ograniczyć je do linii krawędziowych zewnętrznych w przypadku wykonywania pomiarów aparatami ręcznymi, ze względu na bezpieczeństwo wykonujących pomiary.</w:t>
      </w:r>
    </w:p>
    <w:p w14:paraId="4F602D0F" w14:textId="7419AEB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 xml:space="preserve">Pomiary współczynnika odblasku na liniach segregacyjnych i krawędziowych wewnętrznych, na otwartych do ruchu odcinkach dróg o dopuszczalnej </w:t>
      </w:r>
      <w:r w:rsidR="00602EF6" w:rsidRPr="00602EF6">
        <w:rPr>
          <w:rFonts w:eastAsia="Times New Roman" w:cstheme="minorHAnsi"/>
          <w:sz w:val="20"/>
          <w:szCs w:val="20"/>
          <w:lang w:eastAsia="pl-PL"/>
        </w:rPr>
        <w:t>prędkości 100</w:t>
      </w:r>
      <w:r w:rsidRPr="00602EF6">
        <w:rPr>
          <w:rFonts w:eastAsia="Times New Roman" w:cstheme="minorHAnsi"/>
          <w:sz w:val="20"/>
          <w:szCs w:val="20"/>
          <w:lang w:eastAsia="pl-PL"/>
        </w:rPr>
        <w:t> km/</w:t>
      </w:r>
      <w:r w:rsidR="00602EF6" w:rsidRPr="00602EF6">
        <w:rPr>
          <w:rFonts w:eastAsia="Times New Roman" w:cstheme="minorHAnsi"/>
          <w:sz w:val="20"/>
          <w:szCs w:val="20"/>
          <w:lang w:eastAsia="pl-PL"/>
        </w:rPr>
        <w:t>h,</w:t>
      </w:r>
      <w:r w:rsidRPr="00602EF6">
        <w:rPr>
          <w:rFonts w:eastAsia="Times New Roman" w:cstheme="minorHAnsi"/>
          <w:sz w:val="20"/>
          <w:szCs w:val="20"/>
          <w:lang w:eastAsia="pl-PL"/>
        </w:rPr>
        <w:t xml:space="preserve"> a także na liniach podłużnych oznakowań z wygarbieniami, należy wykonywać przy użyciu mobilnego reflektometru zainstalowanego na samochodzie i wykonującego pomiary w ruchu.</w:t>
      </w:r>
    </w:p>
    <w:p w14:paraId="37AD7270"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W przypadku wykonywania pomiarów współczynnika odblaskowości i współczynników luminancji aparatami ręcznymi częstotliwość pomiarów należy dostosować do długości badanego odcinka, zgodnie z tablicą 17. W każdym z mierzonych punktów należy wykonać po 5 odczytów współczynnika odblasku i po 3 odczyty współczynników luminancji w odległości jeden od drugiego minimum 1 m.</w:t>
      </w:r>
    </w:p>
    <w:p w14:paraId="140C124D" w14:textId="77777777" w:rsidR="00E95D02" w:rsidRPr="00602EF6" w:rsidRDefault="00E95D02" w:rsidP="00E95D02">
      <w:pPr>
        <w:tabs>
          <w:tab w:val="left" w:pos="1276"/>
        </w:tabs>
        <w:autoSpaceDE w:val="0"/>
        <w:autoSpaceDN w:val="0"/>
        <w:adjustRightInd w:val="0"/>
        <w:spacing w:before="120" w:after="120" w:line="240" w:lineRule="auto"/>
        <w:jc w:val="both"/>
        <w:rPr>
          <w:rFonts w:eastAsia="Times New Roman" w:cstheme="minorHAnsi"/>
          <w:sz w:val="20"/>
          <w:szCs w:val="20"/>
          <w:lang w:eastAsia="pl-PL"/>
        </w:rPr>
      </w:pPr>
      <w:r w:rsidRPr="00602EF6">
        <w:rPr>
          <w:rFonts w:eastAsia="Times New Roman" w:cstheme="minorHAnsi"/>
          <w:sz w:val="20"/>
          <w:szCs w:val="20"/>
          <w:lang w:eastAsia="pl-PL"/>
        </w:rPr>
        <w:t>Tablica 17.</w:t>
      </w:r>
      <w:r w:rsidRPr="00602EF6">
        <w:rPr>
          <w:rFonts w:eastAsia="Times New Roman" w:cstheme="minorHAnsi"/>
          <w:sz w:val="20"/>
          <w:szCs w:val="20"/>
          <w:lang w:eastAsia="pl-PL"/>
        </w:rPr>
        <w:tab/>
        <w:t>Częstotliwość pomiarów współczynników odblaskowości i luminancji aparatami ręcznymi</w:t>
      </w:r>
    </w:p>
    <w:tbl>
      <w:tblPr>
        <w:tblW w:w="0" w:type="auto"/>
        <w:tblInd w:w="70" w:type="dxa"/>
        <w:tblLayout w:type="fixed"/>
        <w:tblCellMar>
          <w:left w:w="70" w:type="dxa"/>
          <w:right w:w="70" w:type="dxa"/>
        </w:tblCellMar>
        <w:tblLook w:val="0000" w:firstRow="0" w:lastRow="0" w:firstColumn="0" w:lastColumn="0" w:noHBand="0" w:noVBand="0"/>
      </w:tblPr>
      <w:tblGrid>
        <w:gridCol w:w="567"/>
        <w:gridCol w:w="1995"/>
        <w:gridCol w:w="2470"/>
        <w:gridCol w:w="1842"/>
      </w:tblGrid>
      <w:tr w:rsidR="00E95D02" w:rsidRPr="00602EF6" w14:paraId="573AD1C8" w14:textId="77777777" w:rsidTr="00E95D02">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E26BEC2" w14:textId="77777777" w:rsidR="00E95D02" w:rsidRPr="00602EF6" w:rsidRDefault="00E95D02" w:rsidP="00E95D02">
            <w:pPr>
              <w:autoSpaceDE w:val="0"/>
              <w:autoSpaceDN w:val="0"/>
              <w:adjustRightInd w:val="0"/>
              <w:spacing w:before="20" w:after="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Lp.</w:t>
            </w:r>
          </w:p>
        </w:tc>
        <w:tc>
          <w:tcPr>
            <w:tcW w:w="199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F70E774" w14:textId="77777777" w:rsidR="00E95D02" w:rsidRPr="00602EF6" w:rsidRDefault="00E95D02" w:rsidP="00E95D02">
            <w:pPr>
              <w:autoSpaceDE w:val="0"/>
              <w:autoSpaceDN w:val="0"/>
              <w:adjustRightInd w:val="0"/>
              <w:spacing w:before="20" w:after="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Długość odcinka, km</w:t>
            </w:r>
          </w:p>
        </w:tc>
        <w:tc>
          <w:tcPr>
            <w:tcW w:w="247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96C11DA" w14:textId="77777777" w:rsidR="00E95D02" w:rsidRPr="00602EF6" w:rsidRDefault="00E95D02" w:rsidP="00E95D02">
            <w:pPr>
              <w:autoSpaceDE w:val="0"/>
              <w:autoSpaceDN w:val="0"/>
              <w:adjustRightInd w:val="0"/>
              <w:spacing w:before="20" w:after="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Częstotliwość pomiarów, co najmniej</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1F5A153" w14:textId="77777777" w:rsidR="00E95D02" w:rsidRPr="00602EF6" w:rsidRDefault="00E95D02" w:rsidP="00E95D02">
            <w:pPr>
              <w:autoSpaceDE w:val="0"/>
              <w:autoSpaceDN w:val="0"/>
              <w:adjustRightInd w:val="0"/>
              <w:spacing w:before="20" w:after="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Minimalna ilość pomiarów</w:t>
            </w:r>
          </w:p>
        </w:tc>
      </w:tr>
      <w:tr w:rsidR="00E95D02" w:rsidRPr="00602EF6" w14:paraId="411258AE" w14:textId="77777777" w:rsidTr="00E95D02">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068EBD54" w14:textId="77777777" w:rsidR="00E95D02" w:rsidRPr="00602EF6" w:rsidRDefault="00E95D02" w:rsidP="00E95D02">
            <w:pPr>
              <w:autoSpaceDE w:val="0"/>
              <w:autoSpaceDN w:val="0"/>
              <w:adjustRightInd w:val="0"/>
              <w:spacing w:before="20" w:after="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1</w:t>
            </w:r>
          </w:p>
        </w:tc>
        <w:tc>
          <w:tcPr>
            <w:tcW w:w="1995" w:type="dxa"/>
            <w:tcBorders>
              <w:top w:val="single" w:sz="3" w:space="0" w:color="000000"/>
              <w:left w:val="single" w:sz="3" w:space="0" w:color="000000"/>
              <w:bottom w:val="single" w:sz="3" w:space="0" w:color="000000"/>
              <w:right w:val="single" w:sz="3" w:space="0" w:color="000000"/>
            </w:tcBorders>
            <w:shd w:val="clear" w:color="000000" w:fill="FFFFFF"/>
          </w:tcPr>
          <w:p w14:paraId="2D01E08F" w14:textId="77777777" w:rsidR="00E95D02" w:rsidRPr="00602EF6" w:rsidRDefault="00E95D02" w:rsidP="00E95D02">
            <w:pPr>
              <w:autoSpaceDE w:val="0"/>
              <w:autoSpaceDN w:val="0"/>
              <w:adjustRightInd w:val="0"/>
              <w:spacing w:before="20" w:after="20" w:line="240" w:lineRule="auto"/>
              <w:jc w:val="both"/>
              <w:rPr>
                <w:rFonts w:eastAsia="Times New Roman" w:cstheme="minorHAnsi"/>
                <w:sz w:val="20"/>
                <w:szCs w:val="20"/>
                <w:lang w:eastAsia="pl-PL"/>
              </w:rPr>
            </w:pPr>
            <w:r w:rsidRPr="00602EF6">
              <w:rPr>
                <w:rFonts w:eastAsia="Times New Roman" w:cstheme="minorHAnsi"/>
                <w:sz w:val="20"/>
                <w:szCs w:val="20"/>
                <w:lang w:eastAsia="pl-PL"/>
              </w:rPr>
              <w:t>od 0 do 3</w:t>
            </w:r>
          </w:p>
        </w:tc>
        <w:tc>
          <w:tcPr>
            <w:tcW w:w="2470" w:type="dxa"/>
            <w:tcBorders>
              <w:top w:val="single" w:sz="3" w:space="0" w:color="000000"/>
              <w:left w:val="single" w:sz="3" w:space="0" w:color="000000"/>
              <w:bottom w:val="single" w:sz="3" w:space="0" w:color="000000"/>
              <w:right w:val="single" w:sz="3" w:space="0" w:color="000000"/>
            </w:tcBorders>
            <w:shd w:val="clear" w:color="000000" w:fill="FFFFFF"/>
          </w:tcPr>
          <w:p w14:paraId="3C10ABC3" w14:textId="77777777" w:rsidR="00E95D02" w:rsidRPr="00602EF6" w:rsidRDefault="00E95D02" w:rsidP="00E95D02">
            <w:pPr>
              <w:autoSpaceDE w:val="0"/>
              <w:autoSpaceDN w:val="0"/>
              <w:adjustRightInd w:val="0"/>
              <w:spacing w:before="20" w:after="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od 0,1 do 0,5 km</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669A1B33" w14:textId="77777777" w:rsidR="00E95D02" w:rsidRPr="00602EF6" w:rsidRDefault="00E95D02" w:rsidP="00E95D02">
            <w:pPr>
              <w:autoSpaceDE w:val="0"/>
              <w:autoSpaceDN w:val="0"/>
              <w:adjustRightInd w:val="0"/>
              <w:spacing w:before="20" w:after="20" w:line="240" w:lineRule="auto"/>
              <w:jc w:val="center"/>
              <w:rPr>
                <w:rFonts w:eastAsia="Times New Roman" w:cstheme="minorHAnsi"/>
                <w:sz w:val="20"/>
                <w:szCs w:val="20"/>
                <w:lang w:eastAsia="pl-PL"/>
              </w:rPr>
            </w:pPr>
            <w:r w:rsidRPr="00602EF6">
              <w:rPr>
                <w:rFonts w:eastAsia="Times New Roman" w:cstheme="minorHAnsi"/>
                <w:sz w:val="20"/>
                <w:szCs w:val="20"/>
                <w:lang w:eastAsia="pl-PL"/>
              </w:rPr>
              <w:t>3-6</w:t>
            </w:r>
          </w:p>
        </w:tc>
      </w:tr>
    </w:tbl>
    <w:p w14:paraId="77E0ED4A" w14:textId="77777777" w:rsidR="00E95D02" w:rsidRPr="00602EF6"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Wartość wskaźnika szorstkości zaleca się oznaczyć w 2 – 4 punktach oznakowania odcinka.</w:t>
      </w:r>
    </w:p>
    <w:p w14:paraId="0AFC272C" w14:textId="77777777" w:rsidR="00E95D02" w:rsidRPr="00602EF6" w:rsidRDefault="00E95D02" w:rsidP="00E95D02">
      <w:pPr>
        <w:keepNext/>
        <w:autoSpaceDE w:val="0"/>
        <w:autoSpaceDN w:val="0"/>
        <w:adjustRightInd w:val="0"/>
        <w:spacing w:before="240" w:after="120" w:line="240" w:lineRule="auto"/>
        <w:jc w:val="both"/>
        <w:rPr>
          <w:rFonts w:eastAsia="Times New Roman" w:cstheme="minorHAnsi"/>
          <w:b/>
          <w:bCs/>
          <w:sz w:val="20"/>
          <w:szCs w:val="20"/>
          <w:lang w:eastAsia="pl-PL"/>
        </w:rPr>
      </w:pPr>
      <w:r w:rsidRPr="00602EF6">
        <w:rPr>
          <w:rFonts w:eastAsia="Times New Roman" w:cstheme="minorHAnsi"/>
          <w:b/>
          <w:bCs/>
          <w:sz w:val="20"/>
          <w:szCs w:val="20"/>
          <w:lang w:eastAsia="pl-PL"/>
        </w:rPr>
        <w:t>6.5. Tolerancje wymiarów oznakowania</w:t>
      </w:r>
    </w:p>
    <w:p w14:paraId="06777D0F"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b/>
          <w:bCs/>
          <w:sz w:val="20"/>
          <w:szCs w:val="20"/>
          <w:lang w:eastAsia="pl-PL"/>
        </w:rPr>
        <w:t xml:space="preserve">6.5.1. </w:t>
      </w:r>
      <w:r w:rsidRPr="00602EF6">
        <w:rPr>
          <w:rFonts w:eastAsia="Times New Roman" w:cstheme="minorHAnsi"/>
          <w:sz w:val="20"/>
          <w:szCs w:val="20"/>
          <w:lang w:eastAsia="pl-PL"/>
        </w:rPr>
        <w:t>Dozwolone odstępstwa wymiarowe</w:t>
      </w:r>
    </w:p>
    <w:p w14:paraId="31055329" w14:textId="1850AB01" w:rsidR="00E95D02" w:rsidRPr="00602EF6" w:rsidRDefault="00E95D02" w:rsidP="00E95D02">
      <w:pPr>
        <w:autoSpaceDE w:val="0"/>
        <w:autoSpaceDN w:val="0"/>
        <w:adjustRightInd w:val="0"/>
        <w:spacing w:before="12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 xml:space="preserve">Dozwolone odstępstwa wymiarowe nowo wykonanego oznakowania poziomego, zgodnego </w:t>
      </w:r>
      <w:r w:rsidR="00602EF6">
        <w:rPr>
          <w:rFonts w:eastAsia="Times New Roman" w:cstheme="minorHAnsi"/>
          <w:sz w:val="20"/>
          <w:szCs w:val="20"/>
          <w:lang w:eastAsia="pl-PL"/>
        </w:rPr>
        <w:br/>
      </w:r>
      <w:r w:rsidRPr="00602EF6">
        <w:rPr>
          <w:rFonts w:eastAsia="Times New Roman" w:cstheme="minorHAnsi"/>
          <w:sz w:val="20"/>
          <w:szCs w:val="20"/>
          <w:lang w:eastAsia="pl-PL"/>
        </w:rPr>
        <w:t>z dokumentacją projektową i załącznikiem nr 2 do rozporządzenia Ministra Infrastruktury z 3.07.2003 r. [11], zamieszczono w tablicy 20.</w:t>
      </w:r>
    </w:p>
    <w:p w14:paraId="345413E7" w14:textId="77777777" w:rsidR="00E95D02" w:rsidRPr="00602EF6" w:rsidRDefault="00E95D02" w:rsidP="00E95D02">
      <w:pPr>
        <w:autoSpaceDE w:val="0"/>
        <w:autoSpaceDN w:val="0"/>
        <w:adjustRightInd w:val="0"/>
        <w:spacing w:before="120" w:after="120" w:line="240" w:lineRule="auto"/>
        <w:jc w:val="both"/>
        <w:rPr>
          <w:rFonts w:eastAsia="Times New Roman" w:cstheme="minorHAnsi"/>
          <w:sz w:val="20"/>
          <w:szCs w:val="20"/>
          <w:lang w:eastAsia="pl-PL"/>
        </w:rPr>
      </w:pPr>
      <w:r w:rsidRPr="00602EF6">
        <w:rPr>
          <w:rFonts w:eastAsia="Times New Roman" w:cstheme="minorHAnsi"/>
          <w:sz w:val="20"/>
          <w:szCs w:val="20"/>
          <w:lang w:eastAsia="pl-PL"/>
        </w:rPr>
        <w:t>Tablica 20. Odstępstwa wymiarowe poziomych oznakowań dróg</w:t>
      </w:r>
    </w:p>
    <w:tbl>
      <w:tblPr>
        <w:tblW w:w="0" w:type="auto"/>
        <w:tblInd w:w="216" w:type="dxa"/>
        <w:tblLayout w:type="fixed"/>
        <w:tblLook w:val="0000" w:firstRow="0" w:lastRow="0" w:firstColumn="0" w:lastColumn="0" w:noHBand="0" w:noVBand="0"/>
      </w:tblPr>
      <w:tblGrid>
        <w:gridCol w:w="851"/>
        <w:gridCol w:w="4903"/>
        <w:gridCol w:w="3141"/>
      </w:tblGrid>
      <w:tr w:rsidR="00E95D02" w:rsidRPr="00602EF6" w14:paraId="402D875D" w14:textId="77777777" w:rsidTr="00E95D02">
        <w:trPr>
          <w:trHeight w:val="1"/>
        </w:trPr>
        <w:tc>
          <w:tcPr>
            <w:tcW w:w="851" w:type="dxa"/>
            <w:tcBorders>
              <w:top w:val="single" w:sz="3" w:space="0" w:color="000000"/>
              <w:left w:val="single" w:sz="3" w:space="0" w:color="000000"/>
              <w:bottom w:val="single" w:sz="3" w:space="0" w:color="000000"/>
              <w:right w:val="single" w:sz="3" w:space="0" w:color="000000"/>
            </w:tcBorders>
            <w:shd w:val="clear" w:color="000000" w:fill="FFFFFF"/>
          </w:tcPr>
          <w:p w14:paraId="188C4DC0" w14:textId="77777777" w:rsidR="00E95D02" w:rsidRPr="00602EF6" w:rsidRDefault="00E95D02" w:rsidP="00E95D02">
            <w:pPr>
              <w:autoSpaceDE w:val="0"/>
              <w:autoSpaceDN w:val="0"/>
              <w:adjustRightInd w:val="0"/>
              <w:spacing w:before="6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Lp.</w:t>
            </w:r>
          </w:p>
        </w:tc>
        <w:tc>
          <w:tcPr>
            <w:tcW w:w="4903" w:type="dxa"/>
            <w:tcBorders>
              <w:top w:val="single" w:sz="3" w:space="0" w:color="000000"/>
              <w:left w:val="single" w:sz="3" w:space="0" w:color="000000"/>
              <w:bottom w:val="single" w:sz="3" w:space="0" w:color="000000"/>
              <w:right w:val="single" w:sz="3" w:space="0" w:color="000000"/>
            </w:tcBorders>
            <w:shd w:val="clear" w:color="000000" w:fill="FFFFFF"/>
          </w:tcPr>
          <w:p w14:paraId="598F8781" w14:textId="77777777" w:rsidR="00E95D02" w:rsidRPr="00602EF6" w:rsidRDefault="00E95D02" w:rsidP="00E95D02">
            <w:pPr>
              <w:autoSpaceDE w:val="0"/>
              <w:autoSpaceDN w:val="0"/>
              <w:adjustRightInd w:val="0"/>
              <w:spacing w:before="6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Właściwości oznakowania</w:t>
            </w:r>
          </w:p>
        </w:tc>
        <w:tc>
          <w:tcPr>
            <w:tcW w:w="3141" w:type="dxa"/>
            <w:tcBorders>
              <w:top w:val="single" w:sz="3" w:space="0" w:color="000000"/>
              <w:left w:val="single" w:sz="3" w:space="0" w:color="000000"/>
              <w:bottom w:val="single" w:sz="3" w:space="0" w:color="000000"/>
              <w:right w:val="single" w:sz="3" w:space="0" w:color="000000"/>
            </w:tcBorders>
            <w:shd w:val="clear" w:color="000000" w:fill="FFFFFF"/>
          </w:tcPr>
          <w:p w14:paraId="724E4803" w14:textId="77777777" w:rsidR="00E95D02" w:rsidRPr="00602EF6" w:rsidRDefault="00E95D02" w:rsidP="00E95D02">
            <w:pPr>
              <w:autoSpaceDE w:val="0"/>
              <w:autoSpaceDN w:val="0"/>
              <w:adjustRightInd w:val="0"/>
              <w:spacing w:before="60"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Dozwolone odstępstwa wymiarowe</w:t>
            </w:r>
          </w:p>
        </w:tc>
      </w:tr>
      <w:tr w:rsidR="00E95D02" w:rsidRPr="00602EF6" w14:paraId="1617CBFB" w14:textId="77777777" w:rsidTr="00E95D02">
        <w:trPr>
          <w:trHeight w:val="1"/>
        </w:trPr>
        <w:tc>
          <w:tcPr>
            <w:tcW w:w="851" w:type="dxa"/>
            <w:tcBorders>
              <w:top w:val="single" w:sz="3" w:space="0" w:color="000000"/>
              <w:left w:val="single" w:sz="3" w:space="0" w:color="000000"/>
              <w:bottom w:val="single" w:sz="3" w:space="0" w:color="000000"/>
              <w:right w:val="single" w:sz="3" w:space="0" w:color="000000"/>
            </w:tcBorders>
            <w:shd w:val="clear" w:color="000000" w:fill="FFFFFF"/>
          </w:tcPr>
          <w:p w14:paraId="2DAEC065" w14:textId="77777777" w:rsidR="00E95D02" w:rsidRPr="00602EF6" w:rsidRDefault="00E95D02" w:rsidP="00E95D02">
            <w:pPr>
              <w:autoSpaceDE w:val="0"/>
              <w:autoSpaceDN w:val="0"/>
              <w:adjustRightInd w:val="0"/>
              <w:spacing w:before="60"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1</w:t>
            </w:r>
          </w:p>
        </w:tc>
        <w:tc>
          <w:tcPr>
            <w:tcW w:w="4903" w:type="dxa"/>
            <w:tcBorders>
              <w:top w:val="single" w:sz="3" w:space="0" w:color="000000"/>
              <w:left w:val="single" w:sz="3" w:space="0" w:color="000000"/>
              <w:bottom w:val="single" w:sz="3" w:space="0" w:color="000000"/>
              <w:right w:val="single" w:sz="3" w:space="0" w:color="000000"/>
            </w:tcBorders>
            <w:shd w:val="clear" w:color="000000" w:fill="FFFFFF"/>
          </w:tcPr>
          <w:p w14:paraId="2417B2B8" w14:textId="77777777" w:rsidR="00E95D02" w:rsidRPr="00602EF6" w:rsidRDefault="00E95D02" w:rsidP="00E95D02">
            <w:pPr>
              <w:autoSpaceDE w:val="0"/>
              <w:autoSpaceDN w:val="0"/>
              <w:adjustRightInd w:val="0"/>
              <w:spacing w:before="6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Szerokość linii oznakowania</w:t>
            </w:r>
          </w:p>
        </w:tc>
        <w:tc>
          <w:tcPr>
            <w:tcW w:w="3141" w:type="dxa"/>
            <w:tcBorders>
              <w:top w:val="single" w:sz="3" w:space="0" w:color="000000"/>
              <w:left w:val="single" w:sz="3" w:space="0" w:color="000000"/>
              <w:bottom w:val="single" w:sz="3" w:space="0" w:color="000000"/>
              <w:right w:val="single" w:sz="3" w:space="0" w:color="000000"/>
            </w:tcBorders>
            <w:shd w:val="clear" w:color="000000" w:fill="FFFFFF"/>
          </w:tcPr>
          <w:p w14:paraId="3C2FF005" w14:textId="72A3EFF5" w:rsidR="00E95D02" w:rsidRPr="00602EF6" w:rsidRDefault="00E95D02" w:rsidP="00E95D02">
            <w:pPr>
              <w:autoSpaceDE w:val="0"/>
              <w:autoSpaceDN w:val="0"/>
              <w:adjustRightInd w:val="0"/>
              <w:spacing w:before="6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xml:space="preserve">od -5 </w:t>
            </w:r>
            <w:r w:rsidR="00602EF6" w:rsidRPr="00602EF6">
              <w:rPr>
                <w:rFonts w:eastAsia="Times New Roman" w:cstheme="minorHAnsi"/>
                <w:sz w:val="20"/>
                <w:szCs w:val="20"/>
                <w:lang w:eastAsia="pl-PL"/>
              </w:rPr>
              <w:t>mm do</w:t>
            </w:r>
            <w:r w:rsidRPr="00602EF6">
              <w:rPr>
                <w:rFonts w:eastAsia="Times New Roman" w:cstheme="minorHAnsi"/>
                <w:sz w:val="20"/>
                <w:szCs w:val="20"/>
                <w:lang w:eastAsia="pl-PL"/>
              </w:rPr>
              <w:t xml:space="preserve"> +20 mm</w:t>
            </w:r>
          </w:p>
        </w:tc>
      </w:tr>
      <w:tr w:rsidR="00E95D02" w:rsidRPr="00602EF6" w14:paraId="525C9D4B" w14:textId="77777777" w:rsidTr="00E95D02">
        <w:trPr>
          <w:trHeight w:val="1"/>
        </w:trPr>
        <w:tc>
          <w:tcPr>
            <w:tcW w:w="851" w:type="dxa"/>
            <w:tcBorders>
              <w:top w:val="single" w:sz="3" w:space="0" w:color="000000"/>
              <w:left w:val="single" w:sz="3" w:space="0" w:color="000000"/>
              <w:bottom w:val="single" w:sz="3" w:space="0" w:color="000000"/>
              <w:right w:val="single" w:sz="3" w:space="0" w:color="000000"/>
            </w:tcBorders>
            <w:shd w:val="clear" w:color="000000" w:fill="FFFFFF"/>
          </w:tcPr>
          <w:p w14:paraId="29F91FB2" w14:textId="77777777" w:rsidR="00E95D02" w:rsidRPr="00602EF6" w:rsidRDefault="00E95D02" w:rsidP="00E95D02">
            <w:pPr>
              <w:autoSpaceDE w:val="0"/>
              <w:autoSpaceDN w:val="0"/>
              <w:adjustRightInd w:val="0"/>
              <w:spacing w:before="60"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2</w:t>
            </w:r>
          </w:p>
        </w:tc>
        <w:tc>
          <w:tcPr>
            <w:tcW w:w="4903" w:type="dxa"/>
            <w:tcBorders>
              <w:top w:val="single" w:sz="3" w:space="0" w:color="000000"/>
              <w:left w:val="single" w:sz="3" w:space="0" w:color="000000"/>
              <w:bottom w:val="single" w:sz="3" w:space="0" w:color="000000"/>
              <w:right w:val="single" w:sz="3" w:space="0" w:color="000000"/>
            </w:tcBorders>
            <w:shd w:val="clear" w:color="000000" w:fill="FFFFFF"/>
          </w:tcPr>
          <w:p w14:paraId="5541BC64" w14:textId="77777777" w:rsidR="00E95D02" w:rsidRPr="00602EF6" w:rsidRDefault="00E95D02" w:rsidP="00E95D02">
            <w:pPr>
              <w:autoSpaceDE w:val="0"/>
              <w:autoSpaceDN w:val="0"/>
              <w:adjustRightInd w:val="0"/>
              <w:spacing w:before="6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Długość linii przerywanej</w:t>
            </w:r>
          </w:p>
        </w:tc>
        <w:tc>
          <w:tcPr>
            <w:tcW w:w="3141" w:type="dxa"/>
            <w:tcBorders>
              <w:top w:val="single" w:sz="3" w:space="0" w:color="000000"/>
              <w:left w:val="single" w:sz="3" w:space="0" w:color="000000"/>
              <w:bottom w:val="single" w:sz="3" w:space="0" w:color="000000"/>
              <w:right w:val="single" w:sz="3" w:space="0" w:color="000000"/>
            </w:tcBorders>
            <w:shd w:val="clear" w:color="000000" w:fill="FFFFFF"/>
          </w:tcPr>
          <w:p w14:paraId="55E5222B" w14:textId="39411BF3" w:rsidR="00E95D02" w:rsidRPr="00602EF6" w:rsidRDefault="00E95D02" w:rsidP="00E95D02">
            <w:pPr>
              <w:autoSpaceDE w:val="0"/>
              <w:autoSpaceDN w:val="0"/>
              <w:adjustRightInd w:val="0"/>
              <w:spacing w:before="6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xml:space="preserve">od -5 </w:t>
            </w:r>
            <w:r w:rsidR="00602EF6" w:rsidRPr="00602EF6">
              <w:rPr>
                <w:rFonts w:eastAsia="Times New Roman" w:cstheme="minorHAnsi"/>
                <w:sz w:val="20"/>
                <w:szCs w:val="20"/>
                <w:lang w:eastAsia="pl-PL"/>
              </w:rPr>
              <w:t>cm do</w:t>
            </w:r>
            <w:r w:rsidRPr="00602EF6">
              <w:rPr>
                <w:rFonts w:eastAsia="Times New Roman" w:cstheme="minorHAnsi"/>
                <w:sz w:val="20"/>
                <w:szCs w:val="20"/>
                <w:lang w:eastAsia="pl-PL"/>
              </w:rPr>
              <w:t xml:space="preserve"> +15 cm</w:t>
            </w:r>
          </w:p>
        </w:tc>
      </w:tr>
      <w:tr w:rsidR="00E95D02" w:rsidRPr="00602EF6" w14:paraId="4BCE2AD0" w14:textId="77777777" w:rsidTr="00E95D02">
        <w:trPr>
          <w:trHeight w:val="1"/>
        </w:trPr>
        <w:tc>
          <w:tcPr>
            <w:tcW w:w="851" w:type="dxa"/>
            <w:tcBorders>
              <w:top w:val="single" w:sz="3" w:space="0" w:color="000000"/>
              <w:left w:val="single" w:sz="3" w:space="0" w:color="000000"/>
              <w:bottom w:val="single" w:sz="3" w:space="0" w:color="000000"/>
              <w:right w:val="single" w:sz="3" w:space="0" w:color="000000"/>
            </w:tcBorders>
            <w:shd w:val="clear" w:color="000000" w:fill="FFFFFF"/>
          </w:tcPr>
          <w:p w14:paraId="460B1FA3" w14:textId="77777777" w:rsidR="00E95D02" w:rsidRPr="00602EF6" w:rsidRDefault="00E95D02" w:rsidP="00E95D02">
            <w:pPr>
              <w:autoSpaceDE w:val="0"/>
              <w:autoSpaceDN w:val="0"/>
              <w:adjustRightInd w:val="0"/>
              <w:spacing w:before="60"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3</w:t>
            </w:r>
          </w:p>
        </w:tc>
        <w:tc>
          <w:tcPr>
            <w:tcW w:w="4903" w:type="dxa"/>
            <w:tcBorders>
              <w:top w:val="single" w:sz="3" w:space="0" w:color="000000"/>
              <w:left w:val="single" w:sz="3" w:space="0" w:color="000000"/>
              <w:bottom w:val="single" w:sz="3" w:space="0" w:color="000000"/>
              <w:right w:val="single" w:sz="3" w:space="0" w:color="000000"/>
            </w:tcBorders>
            <w:shd w:val="clear" w:color="000000" w:fill="FFFFFF"/>
          </w:tcPr>
          <w:p w14:paraId="33C97E71" w14:textId="77777777" w:rsidR="00E95D02" w:rsidRPr="00602EF6" w:rsidRDefault="00E95D02" w:rsidP="00E95D02">
            <w:pPr>
              <w:autoSpaceDE w:val="0"/>
              <w:autoSpaceDN w:val="0"/>
              <w:adjustRightInd w:val="0"/>
              <w:spacing w:before="6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Długość modułu (linia + odstęp)</w:t>
            </w:r>
          </w:p>
        </w:tc>
        <w:tc>
          <w:tcPr>
            <w:tcW w:w="3141" w:type="dxa"/>
            <w:tcBorders>
              <w:top w:val="single" w:sz="3" w:space="0" w:color="000000"/>
              <w:left w:val="single" w:sz="3" w:space="0" w:color="000000"/>
              <w:bottom w:val="single" w:sz="3" w:space="0" w:color="000000"/>
              <w:right w:val="single" w:sz="3" w:space="0" w:color="000000"/>
            </w:tcBorders>
            <w:shd w:val="clear" w:color="000000" w:fill="FFFFFF"/>
          </w:tcPr>
          <w:p w14:paraId="540480CD" w14:textId="77777777" w:rsidR="00E95D02" w:rsidRPr="00602EF6" w:rsidRDefault="00E95D02" w:rsidP="00E95D02">
            <w:pPr>
              <w:autoSpaceDE w:val="0"/>
              <w:autoSpaceDN w:val="0"/>
              <w:adjustRightInd w:val="0"/>
              <w:spacing w:before="6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+15 cm</w:t>
            </w:r>
          </w:p>
        </w:tc>
      </w:tr>
      <w:tr w:rsidR="00E95D02" w:rsidRPr="00602EF6" w14:paraId="56628BAC" w14:textId="77777777" w:rsidTr="00E95D02">
        <w:trPr>
          <w:trHeight w:val="1"/>
        </w:trPr>
        <w:tc>
          <w:tcPr>
            <w:tcW w:w="851" w:type="dxa"/>
            <w:tcBorders>
              <w:top w:val="single" w:sz="3" w:space="0" w:color="000000"/>
              <w:left w:val="single" w:sz="3" w:space="0" w:color="000000"/>
              <w:bottom w:val="single" w:sz="3" w:space="0" w:color="000000"/>
              <w:right w:val="single" w:sz="3" w:space="0" w:color="000000"/>
            </w:tcBorders>
            <w:shd w:val="clear" w:color="000000" w:fill="FFFFFF"/>
          </w:tcPr>
          <w:p w14:paraId="3F4D4E72" w14:textId="77777777" w:rsidR="00E95D02" w:rsidRPr="00602EF6" w:rsidRDefault="00E95D02" w:rsidP="00E95D02">
            <w:pPr>
              <w:autoSpaceDE w:val="0"/>
              <w:autoSpaceDN w:val="0"/>
              <w:adjustRightInd w:val="0"/>
              <w:spacing w:before="60"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4</w:t>
            </w:r>
          </w:p>
        </w:tc>
        <w:tc>
          <w:tcPr>
            <w:tcW w:w="4903" w:type="dxa"/>
            <w:tcBorders>
              <w:top w:val="single" w:sz="3" w:space="0" w:color="000000"/>
              <w:left w:val="single" w:sz="3" w:space="0" w:color="000000"/>
              <w:bottom w:val="single" w:sz="3" w:space="0" w:color="000000"/>
              <w:right w:val="single" w:sz="3" w:space="0" w:color="000000"/>
            </w:tcBorders>
            <w:shd w:val="clear" w:color="000000" w:fill="FFFFFF"/>
          </w:tcPr>
          <w:p w14:paraId="13C73FF0" w14:textId="77777777" w:rsidR="00E95D02" w:rsidRPr="00602EF6" w:rsidRDefault="00E95D02" w:rsidP="00E95D02">
            <w:pPr>
              <w:autoSpaceDE w:val="0"/>
              <w:autoSpaceDN w:val="0"/>
              <w:adjustRightInd w:val="0"/>
              <w:spacing w:before="6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Umiejscowienie strzałek, symboli, napisów</w:t>
            </w:r>
          </w:p>
        </w:tc>
        <w:tc>
          <w:tcPr>
            <w:tcW w:w="3141" w:type="dxa"/>
            <w:tcBorders>
              <w:top w:val="single" w:sz="3" w:space="0" w:color="000000"/>
              <w:left w:val="single" w:sz="3" w:space="0" w:color="000000"/>
              <w:bottom w:val="single" w:sz="3" w:space="0" w:color="000000"/>
              <w:right w:val="single" w:sz="3" w:space="0" w:color="000000"/>
            </w:tcBorders>
            <w:shd w:val="clear" w:color="000000" w:fill="FFFFFF"/>
          </w:tcPr>
          <w:p w14:paraId="5DEC8977" w14:textId="77777777" w:rsidR="00E95D02" w:rsidRPr="00602EF6" w:rsidRDefault="00E95D02" w:rsidP="00E95D02">
            <w:pPr>
              <w:autoSpaceDE w:val="0"/>
              <w:autoSpaceDN w:val="0"/>
              <w:adjustRightInd w:val="0"/>
              <w:spacing w:before="6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w poprzek ±20 cm, wzdłuż ±100 cm</w:t>
            </w:r>
          </w:p>
        </w:tc>
      </w:tr>
      <w:tr w:rsidR="00E95D02" w:rsidRPr="00602EF6" w14:paraId="269150B4" w14:textId="77777777" w:rsidTr="00E95D02">
        <w:trPr>
          <w:trHeight w:val="1"/>
        </w:trPr>
        <w:tc>
          <w:tcPr>
            <w:tcW w:w="851" w:type="dxa"/>
            <w:tcBorders>
              <w:top w:val="single" w:sz="3" w:space="0" w:color="000000"/>
              <w:left w:val="single" w:sz="3" w:space="0" w:color="000000"/>
              <w:bottom w:val="single" w:sz="3" w:space="0" w:color="000000"/>
              <w:right w:val="single" w:sz="3" w:space="0" w:color="000000"/>
            </w:tcBorders>
            <w:shd w:val="clear" w:color="000000" w:fill="FFFFFF"/>
          </w:tcPr>
          <w:p w14:paraId="1D951F7A" w14:textId="77777777" w:rsidR="00E95D02" w:rsidRPr="00602EF6" w:rsidRDefault="00E95D02" w:rsidP="00E95D02">
            <w:pPr>
              <w:autoSpaceDE w:val="0"/>
              <w:autoSpaceDN w:val="0"/>
              <w:adjustRightInd w:val="0"/>
              <w:spacing w:before="60"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5</w:t>
            </w:r>
          </w:p>
        </w:tc>
        <w:tc>
          <w:tcPr>
            <w:tcW w:w="4903" w:type="dxa"/>
            <w:tcBorders>
              <w:top w:val="single" w:sz="3" w:space="0" w:color="000000"/>
              <w:left w:val="single" w:sz="3" w:space="0" w:color="000000"/>
              <w:bottom w:val="single" w:sz="3" w:space="0" w:color="000000"/>
              <w:right w:val="single" w:sz="3" w:space="0" w:color="000000"/>
            </w:tcBorders>
            <w:shd w:val="clear" w:color="000000" w:fill="FFFFFF"/>
          </w:tcPr>
          <w:p w14:paraId="7CE54490" w14:textId="77777777" w:rsidR="00E95D02" w:rsidRPr="00602EF6" w:rsidRDefault="00E95D02" w:rsidP="00E95D02">
            <w:pPr>
              <w:autoSpaceDE w:val="0"/>
              <w:autoSpaceDN w:val="0"/>
              <w:adjustRightInd w:val="0"/>
              <w:spacing w:before="6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Odstęp poprzeczny linii podwójnych P3, P4, P5</w:t>
            </w:r>
          </w:p>
        </w:tc>
        <w:tc>
          <w:tcPr>
            <w:tcW w:w="3141" w:type="dxa"/>
            <w:tcBorders>
              <w:top w:val="single" w:sz="3" w:space="0" w:color="000000"/>
              <w:left w:val="single" w:sz="3" w:space="0" w:color="000000"/>
              <w:bottom w:val="single" w:sz="3" w:space="0" w:color="000000"/>
              <w:right w:val="single" w:sz="3" w:space="0" w:color="000000"/>
            </w:tcBorders>
            <w:shd w:val="clear" w:color="000000" w:fill="FFFFFF"/>
          </w:tcPr>
          <w:p w14:paraId="02843FD4" w14:textId="77777777" w:rsidR="00E95D02" w:rsidRPr="00602EF6" w:rsidRDefault="00E95D02" w:rsidP="00E95D02">
            <w:pPr>
              <w:autoSpaceDE w:val="0"/>
              <w:autoSpaceDN w:val="0"/>
              <w:adjustRightInd w:val="0"/>
              <w:spacing w:before="6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±20 mm</w:t>
            </w:r>
          </w:p>
        </w:tc>
      </w:tr>
      <w:tr w:rsidR="00E95D02" w:rsidRPr="00602EF6" w14:paraId="1B8789DE" w14:textId="77777777" w:rsidTr="00E95D02">
        <w:trPr>
          <w:trHeight w:val="1"/>
        </w:trPr>
        <w:tc>
          <w:tcPr>
            <w:tcW w:w="851" w:type="dxa"/>
            <w:tcBorders>
              <w:top w:val="single" w:sz="3" w:space="0" w:color="000000"/>
              <w:left w:val="single" w:sz="3" w:space="0" w:color="000000"/>
              <w:bottom w:val="single" w:sz="3" w:space="0" w:color="000000"/>
              <w:right w:val="single" w:sz="3" w:space="0" w:color="000000"/>
            </w:tcBorders>
            <w:shd w:val="clear" w:color="000000" w:fill="FFFFFF"/>
          </w:tcPr>
          <w:p w14:paraId="2FD1D512" w14:textId="77777777" w:rsidR="00E95D02" w:rsidRPr="00602EF6" w:rsidRDefault="00E95D02" w:rsidP="00E95D02">
            <w:pPr>
              <w:autoSpaceDE w:val="0"/>
              <w:autoSpaceDN w:val="0"/>
              <w:adjustRightInd w:val="0"/>
              <w:spacing w:before="60" w:after="0" w:line="240" w:lineRule="auto"/>
              <w:jc w:val="center"/>
              <w:rPr>
                <w:rFonts w:eastAsia="Times New Roman" w:cstheme="minorHAnsi"/>
                <w:sz w:val="20"/>
                <w:szCs w:val="20"/>
                <w:lang w:eastAsia="pl-PL"/>
              </w:rPr>
            </w:pPr>
            <w:r w:rsidRPr="00602EF6">
              <w:rPr>
                <w:rFonts w:eastAsia="Times New Roman" w:cstheme="minorHAnsi"/>
                <w:sz w:val="20"/>
                <w:szCs w:val="20"/>
                <w:lang w:eastAsia="pl-PL"/>
              </w:rPr>
              <w:t>6</w:t>
            </w:r>
          </w:p>
        </w:tc>
        <w:tc>
          <w:tcPr>
            <w:tcW w:w="4903" w:type="dxa"/>
            <w:tcBorders>
              <w:top w:val="single" w:sz="3" w:space="0" w:color="000000"/>
              <w:left w:val="single" w:sz="3" w:space="0" w:color="000000"/>
              <w:bottom w:val="single" w:sz="3" w:space="0" w:color="000000"/>
              <w:right w:val="single" w:sz="3" w:space="0" w:color="000000"/>
            </w:tcBorders>
            <w:shd w:val="clear" w:color="000000" w:fill="FFFFFF"/>
          </w:tcPr>
          <w:p w14:paraId="1FE7EF8E" w14:textId="77777777" w:rsidR="00E95D02" w:rsidRPr="00602EF6" w:rsidRDefault="00E95D02" w:rsidP="00E95D02">
            <w:pPr>
              <w:autoSpaceDE w:val="0"/>
              <w:autoSpaceDN w:val="0"/>
              <w:adjustRightInd w:val="0"/>
              <w:spacing w:before="60" w:after="0" w:line="240" w:lineRule="auto"/>
              <w:rPr>
                <w:rFonts w:eastAsia="Times New Roman" w:cstheme="minorHAnsi"/>
                <w:sz w:val="20"/>
                <w:szCs w:val="20"/>
                <w:lang w:eastAsia="pl-PL"/>
              </w:rPr>
            </w:pPr>
            <w:r w:rsidRPr="00602EF6">
              <w:rPr>
                <w:rFonts w:eastAsia="Times New Roman" w:cstheme="minorHAnsi"/>
                <w:sz w:val="20"/>
                <w:szCs w:val="20"/>
                <w:lang w:eastAsia="pl-PL"/>
              </w:rPr>
              <w:t>Odstępstwo poprzeczne odnowionego oznakowania w stosunku do starego</w:t>
            </w:r>
          </w:p>
        </w:tc>
        <w:tc>
          <w:tcPr>
            <w:tcW w:w="3141" w:type="dxa"/>
            <w:tcBorders>
              <w:top w:val="single" w:sz="3" w:space="0" w:color="000000"/>
              <w:left w:val="single" w:sz="3" w:space="0" w:color="000000"/>
              <w:bottom w:val="single" w:sz="3" w:space="0" w:color="000000"/>
              <w:right w:val="single" w:sz="3" w:space="0" w:color="000000"/>
            </w:tcBorders>
            <w:shd w:val="clear" w:color="000000" w:fill="FFFFFF"/>
          </w:tcPr>
          <w:p w14:paraId="1FDDD029" w14:textId="77777777" w:rsidR="00E95D02" w:rsidRPr="00602EF6" w:rsidRDefault="00E95D02" w:rsidP="00E95D02">
            <w:pPr>
              <w:autoSpaceDE w:val="0"/>
              <w:autoSpaceDN w:val="0"/>
              <w:adjustRightInd w:val="0"/>
              <w:spacing w:before="60"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±5 cm/50 m ±2 cm</w:t>
            </w:r>
          </w:p>
        </w:tc>
      </w:tr>
    </w:tbl>
    <w:p w14:paraId="39C0BC60" w14:textId="77777777" w:rsidR="00E95D02" w:rsidRPr="00602EF6" w:rsidRDefault="00E95D02" w:rsidP="00E95D02">
      <w:pPr>
        <w:keepNext/>
        <w:keepLines/>
        <w:suppressAutoHyphens/>
        <w:autoSpaceDE w:val="0"/>
        <w:autoSpaceDN w:val="0"/>
        <w:adjustRightInd w:val="0"/>
        <w:spacing w:before="240" w:after="120" w:line="240" w:lineRule="auto"/>
        <w:jc w:val="both"/>
        <w:rPr>
          <w:rFonts w:eastAsia="Times New Roman" w:cstheme="minorHAnsi"/>
          <w:b/>
          <w:bCs/>
          <w:caps/>
          <w:sz w:val="20"/>
          <w:szCs w:val="20"/>
          <w:lang w:eastAsia="pl-PL"/>
        </w:rPr>
      </w:pPr>
      <w:r w:rsidRPr="00602EF6">
        <w:rPr>
          <w:rFonts w:eastAsia="Times New Roman" w:cstheme="minorHAnsi"/>
          <w:b/>
          <w:bCs/>
          <w:caps/>
          <w:sz w:val="20"/>
          <w:szCs w:val="20"/>
          <w:lang w:eastAsia="pl-PL"/>
        </w:rPr>
        <w:t>7. Obmiar robót</w:t>
      </w:r>
    </w:p>
    <w:p w14:paraId="32078797" w14:textId="77777777" w:rsidR="00E95D02" w:rsidRPr="00602EF6"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602EF6">
        <w:rPr>
          <w:rFonts w:eastAsia="Times New Roman" w:cstheme="minorHAnsi"/>
          <w:b/>
          <w:bCs/>
          <w:sz w:val="20"/>
          <w:szCs w:val="20"/>
          <w:lang w:eastAsia="pl-PL"/>
        </w:rPr>
        <w:t>7.1. Ogólne zasady obmiaru robót</w:t>
      </w:r>
    </w:p>
    <w:p w14:paraId="65E98817" w14:textId="1B37018A"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 xml:space="preserve">Ogólne zasady obmiaru robót podano w </w:t>
      </w:r>
      <w:r w:rsidR="00602EF6" w:rsidRPr="00602EF6">
        <w:rPr>
          <w:rFonts w:eastAsia="Times New Roman" w:cstheme="minorHAnsi"/>
          <w:sz w:val="20"/>
          <w:szCs w:val="20"/>
          <w:lang w:eastAsia="pl-PL"/>
        </w:rPr>
        <w:t>SST D</w:t>
      </w:r>
      <w:r w:rsidRPr="00602EF6">
        <w:rPr>
          <w:rFonts w:eastAsia="Times New Roman" w:cstheme="minorHAnsi"/>
          <w:sz w:val="20"/>
          <w:szCs w:val="20"/>
          <w:lang w:eastAsia="pl-PL"/>
        </w:rPr>
        <w:t xml:space="preserve">-00.00.00 „Wymagania </w:t>
      </w:r>
      <w:r w:rsidR="00602EF6" w:rsidRPr="00602EF6">
        <w:rPr>
          <w:rFonts w:eastAsia="Times New Roman" w:cstheme="minorHAnsi"/>
          <w:sz w:val="20"/>
          <w:szCs w:val="20"/>
          <w:lang w:eastAsia="pl-PL"/>
        </w:rPr>
        <w:t>ogólne” pkt</w:t>
      </w:r>
      <w:r w:rsidRPr="00602EF6">
        <w:rPr>
          <w:rFonts w:eastAsia="Times New Roman" w:cstheme="minorHAnsi"/>
          <w:sz w:val="20"/>
          <w:szCs w:val="20"/>
          <w:lang w:eastAsia="pl-PL"/>
        </w:rPr>
        <w:t xml:space="preserve"> 7.</w:t>
      </w:r>
    </w:p>
    <w:p w14:paraId="4B16CB32" w14:textId="77777777" w:rsidR="00E95D02" w:rsidRPr="00602EF6"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602EF6">
        <w:rPr>
          <w:rFonts w:eastAsia="Times New Roman" w:cstheme="minorHAnsi"/>
          <w:b/>
          <w:bCs/>
          <w:sz w:val="20"/>
          <w:szCs w:val="20"/>
          <w:lang w:eastAsia="pl-PL"/>
        </w:rPr>
        <w:t>7.2. Jednostka obmiarowa</w:t>
      </w:r>
    </w:p>
    <w:p w14:paraId="447E2C22"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Jednostką obmiarową oznakowania poziomego jest m</w:t>
      </w:r>
      <w:r w:rsidRPr="00602EF6">
        <w:rPr>
          <w:rFonts w:eastAsia="Times New Roman" w:cstheme="minorHAnsi"/>
          <w:sz w:val="20"/>
          <w:szCs w:val="20"/>
          <w:vertAlign w:val="superscript"/>
          <w:lang w:eastAsia="pl-PL"/>
        </w:rPr>
        <w:t>2</w:t>
      </w:r>
      <w:r w:rsidRPr="00602EF6">
        <w:rPr>
          <w:rFonts w:eastAsia="Times New Roman" w:cstheme="minorHAnsi"/>
          <w:sz w:val="20"/>
          <w:szCs w:val="20"/>
          <w:lang w:eastAsia="pl-PL"/>
        </w:rPr>
        <w:t xml:space="preserve"> (metr kwadratowy) powierzchni naniesionych oznakowań.</w:t>
      </w:r>
    </w:p>
    <w:p w14:paraId="376FEE91" w14:textId="77777777" w:rsidR="00E95D02" w:rsidRPr="00602EF6" w:rsidRDefault="00E95D02" w:rsidP="00E95D02">
      <w:pPr>
        <w:keepNext/>
        <w:keepLines/>
        <w:suppressAutoHyphens/>
        <w:autoSpaceDE w:val="0"/>
        <w:autoSpaceDN w:val="0"/>
        <w:adjustRightInd w:val="0"/>
        <w:spacing w:before="240" w:after="120" w:line="240" w:lineRule="auto"/>
        <w:jc w:val="both"/>
        <w:rPr>
          <w:rFonts w:eastAsia="Times New Roman" w:cstheme="minorHAnsi"/>
          <w:b/>
          <w:bCs/>
          <w:caps/>
          <w:sz w:val="20"/>
          <w:szCs w:val="20"/>
          <w:lang w:eastAsia="pl-PL"/>
        </w:rPr>
      </w:pPr>
      <w:r w:rsidRPr="00602EF6">
        <w:rPr>
          <w:rFonts w:eastAsia="Times New Roman" w:cstheme="minorHAnsi"/>
          <w:b/>
          <w:bCs/>
          <w:caps/>
          <w:sz w:val="20"/>
          <w:szCs w:val="20"/>
          <w:lang w:eastAsia="pl-PL"/>
        </w:rPr>
        <w:t>8. Odbiór robót</w:t>
      </w:r>
    </w:p>
    <w:p w14:paraId="5C1FFED3" w14:textId="77777777" w:rsidR="00E95D02" w:rsidRPr="00602EF6"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602EF6">
        <w:rPr>
          <w:rFonts w:eastAsia="Times New Roman" w:cstheme="minorHAnsi"/>
          <w:b/>
          <w:bCs/>
          <w:sz w:val="20"/>
          <w:szCs w:val="20"/>
          <w:lang w:eastAsia="pl-PL"/>
        </w:rPr>
        <w:t>8.1. Ogólne zasady odbioru robót</w:t>
      </w:r>
    </w:p>
    <w:p w14:paraId="527FCFCD" w14:textId="67538AEE"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 xml:space="preserve">Ogólne zasady odbioru robót podano w </w:t>
      </w:r>
      <w:r w:rsidR="00602EF6" w:rsidRPr="00602EF6">
        <w:rPr>
          <w:rFonts w:eastAsia="Times New Roman" w:cstheme="minorHAnsi"/>
          <w:sz w:val="20"/>
          <w:szCs w:val="20"/>
          <w:lang w:eastAsia="pl-PL"/>
        </w:rPr>
        <w:t>SST D</w:t>
      </w:r>
      <w:r w:rsidRPr="00602EF6">
        <w:rPr>
          <w:rFonts w:eastAsia="Times New Roman" w:cstheme="minorHAnsi"/>
          <w:sz w:val="20"/>
          <w:szCs w:val="20"/>
          <w:lang w:eastAsia="pl-PL"/>
        </w:rPr>
        <w:t>-00.00.00 „Wymagania ogólne” pkt 8.</w:t>
      </w:r>
    </w:p>
    <w:p w14:paraId="0C53BB93"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lastRenderedPageBreak/>
        <w:tab/>
        <w:t>Roboty uznaje się za wykonane zgodnie z dokumentacją projektową, ST i wymaganiami Inżyniera, jeżeli wszystkie pomiary i badania z zachowaniem tolerancji według pkt 6 dały wyniki pozytywne.</w:t>
      </w:r>
    </w:p>
    <w:p w14:paraId="034FB08D" w14:textId="77777777" w:rsidR="00E95D02" w:rsidRPr="00602EF6"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602EF6">
        <w:rPr>
          <w:rFonts w:eastAsia="Times New Roman" w:cstheme="minorHAnsi"/>
          <w:b/>
          <w:bCs/>
          <w:sz w:val="20"/>
          <w:szCs w:val="20"/>
          <w:lang w:eastAsia="pl-PL"/>
        </w:rPr>
        <w:t>8.2. Odbiór robót zanikających i ulegających zakryciu</w:t>
      </w:r>
    </w:p>
    <w:p w14:paraId="2334C2E7"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Odbiór robót zanikających i ulegających zakryciu, w zależności od przyjętego sposobu wykonania robót, może być dokonany po:</w:t>
      </w:r>
    </w:p>
    <w:p w14:paraId="3A25DBCE" w14:textId="77777777" w:rsidR="00E95D02" w:rsidRPr="00602EF6" w:rsidRDefault="00E95D02">
      <w:pPr>
        <w:numPr>
          <w:ilvl w:val="0"/>
          <w:numId w:val="138"/>
        </w:num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oczyszczeniu powierzchni nawierzchni,</w:t>
      </w:r>
    </w:p>
    <w:p w14:paraId="596E4E0B" w14:textId="77777777" w:rsidR="00E95D02" w:rsidRPr="00602EF6" w:rsidRDefault="00E95D02">
      <w:pPr>
        <w:numPr>
          <w:ilvl w:val="0"/>
          <w:numId w:val="138"/>
        </w:num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przedznakowaniu,</w:t>
      </w:r>
    </w:p>
    <w:p w14:paraId="77B4DE86" w14:textId="77777777" w:rsidR="00E95D02" w:rsidRPr="00602EF6"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602EF6">
        <w:rPr>
          <w:rFonts w:eastAsia="Times New Roman" w:cstheme="minorHAnsi"/>
          <w:b/>
          <w:bCs/>
          <w:sz w:val="20"/>
          <w:szCs w:val="20"/>
          <w:lang w:eastAsia="pl-PL"/>
        </w:rPr>
        <w:t>8.3. Odbiór ostateczny</w:t>
      </w:r>
    </w:p>
    <w:p w14:paraId="70C9B569" w14:textId="77777777" w:rsidR="00E95D02" w:rsidRPr="004853EB"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Odbioru ostatecznego należy dokonać po całkowitym zakończeniu robót, na podstawie wyników pomiarów i badań jakościowych określonych w punktach od 2 do 6. Sprawdzeniu podlegają cechy</w:t>
      </w:r>
      <w:r w:rsidRPr="004853EB">
        <w:rPr>
          <w:rFonts w:eastAsia="Times New Roman" w:cstheme="minorHAnsi"/>
          <w:sz w:val="20"/>
          <w:szCs w:val="20"/>
          <w:lang w:eastAsia="pl-PL"/>
        </w:rPr>
        <w:t xml:space="preserve"> oznakowania określone niniejszym SST na podstawie badań wykonanych przed upływem okresu gwarancyjnego. Odbiór ostateczny polega na finalnej ocenie rzeczywistego wykonania robót w odniesieniu do ich ilości, jakości i wartości [24]. </w:t>
      </w:r>
      <w:r w:rsidRPr="004853EB">
        <w:rPr>
          <w:rFonts w:eastAsia="Times New Roman" w:cstheme="minorHAnsi"/>
          <w:sz w:val="20"/>
          <w:szCs w:val="20"/>
          <w:lang w:eastAsia="pl-PL"/>
        </w:rPr>
        <w:tab/>
        <w:t>Odbioru ostatecznego robót dokonuje komisja wyznaczona przez Zamawiającego w obecności Inżyniera (Inspektora Nadzoru) i Wykonawcy. Komisja odbierająca roboty dokonuje ich oceny jakościowej na podstawie oceny wizualnej, przedłożonych dokumentów, wyników badań i pomiarów oraz zgodności wykonania oznakowania z dokumentacja projektową i SST.</w:t>
      </w:r>
    </w:p>
    <w:p w14:paraId="05416B5E" w14:textId="77777777" w:rsidR="00E95D02" w:rsidRPr="00602EF6"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602EF6">
        <w:rPr>
          <w:rFonts w:eastAsia="Times New Roman" w:cstheme="minorHAnsi"/>
          <w:b/>
          <w:bCs/>
          <w:sz w:val="20"/>
          <w:szCs w:val="20"/>
          <w:lang w:eastAsia="pl-PL"/>
        </w:rPr>
        <w:t>8.4. Odbiór pogwarancyjny</w:t>
      </w:r>
    </w:p>
    <w:p w14:paraId="39C0B01E"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Odbiór pogwarancyjny polega na ocenie wykonanych robót związanych z usunięciem wad stwierdzonych w trakcie odbioru ostatecznego i zaistniałych w okresie gwarancyjnym. Odbiór pogwarancyjny zaleca się przeprowadzić w ciągu 1 miesiąca po upływie okresu gwarancyjnego, ustalonego w SST.</w:t>
      </w:r>
    </w:p>
    <w:p w14:paraId="303146DE" w14:textId="77777777" w:rsidR="00E95D02" w:rsidRPr="00602EF6"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602EF6">
        <w:rPr>
          <w:rFonts w:eastAsia="Times New Roman" w:cstheme="minorHAnsi"/>
          <w:b/>
          <w:bCs/>
          <w:sz w:val="20"/>
          <w:szCs w:val="20"/>
          <w:lang w:eastAsia="pl-PL"/>
        </w:rPr>
        <w:t>8.5. Gwarancja jakościowa</w:t>
      </w:r>
    </w:p>
    <w:p w14:paraId="6D786F90"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Zaleca się stosowanie następujących minimalnych okresów gwarancyjnych [19]:</w:t>
      </w:r>
    </w:p>
    <w:p w14:paraId="405CDB01" w14:textId="77777777" w:rsidR="00E95D02" w:rsidRPr="00602EF6" w:rsidRDefault="00E95D02">
      <w:pPr>
        <w:numPr>
          <w:ilvl w:val="0"/>
          <w:numId w:val="147"/>
        </w:numPr>
        <w:autoSpaceDE w:val="0"/>
        <w:autoSpaceDN w:val="0"/>
        <w:adjustRightInd w:val="0"/>
        <w:spacing w:after="0" w:line="240" w:lineRule="auto"/>
        <w:ind w:left="283"/>
        <w:jc w:val="both"/>
        <w:rPr>
          <w:rFonts w:eastAsia="Times New Roman" w:cstheme="minorHAnsi"/>
          <w:sz w:val="20"/>
          <w:szCs w:val="20"/>
          <w:lang w:eastAsia="pl-PL"/>
        </w:rPr>
      </w:pPr>
      <w:r w:rsidRPr="00602EF6">
        <w:rPr>
          <w:rFonts w:eastAsia="Times New Roman" w:cstheme="minorHAnsi"/>
          <w:sz w:val="20"/>
          <w:szCs w:val="20"/>
          <w:lang w:eastAsia="pl-PL"/>
        </w:rPr>
        <w:t>dla oznakowania grubowarstwowego punktowymi elementami odblaskowymi: co najmniej 24 miesiące.</w:t>
      </w:r>
    </w:p>
    <w:p w14:paraId="454A7A39"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W następujących przypadkach należy uwzględnić ograniczenia okresów gwarancyjnych dla oznakowań:</w:t>
      </w:r>
    </w:p>
    <w:p w14:paraId="553FB3C6" w14:textId="77777777" w:rsidR="00E95D02" w:rsidRPr="00602EF6" w:rsidRDefault="00E95D02" w:rsidP="00E95D02">
      <w:pPr>
        <w:keepNext/>
        <w:keepLines/>
        <w:suppressAutoHyphens/>
        <w:autoSpaceDE w:val="0"/>
        <w:autoSpaceDN w:val="0"/>
        <w:adjustRightInd w:val="0"/>
        <w:spacing w:before="240" w:after="120" w:line="240" w:lineRule="auto"/>
        <w:jc w:val="both"/>
        <w:rPr>
          <w:rFonts w:eastAsia="Times New Roman" w:cstheme="minorHAnsi"/>
          <w:b/>
          <w:bCs/>
          <w:caps/>
          <w:sz w:val="20"/>
          <w:szCs w:val="20"/>
          <w:lang w:eastAsia="pl-PL"/>
        </w:rPr>
      </w:pPr>
      <w:r w:rsidRPr="00602EF6">
        <w:rPr>
          <w:rFonts w:eastAsia="Times New Roman" w:cstheme="minorHAnsi"/>
          <w:b/>
          <w:bCs/>
          <w:caps/>
          <w:sz w:val="20"/>
          <w:szCs w:val="20"/>
          <w:lang w:eastAsia="pl-PL"/>
        </w:rPr>
        <w:t>9. Podstawa płatności</w:t>
      </w:r>
    </w:p>
    <w:p w14:paraId="07E08F52" w14:textId="77777777" w:rsidR="00E95D02" w:rsidRPr="00602EF6"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602EF6">
        <w:rPr>
          <w:rFonts w:eastAsia="Times New Roman" w:cstheme="minorHAnsi"/>
          <w:b/>
          <w:bCs/>
          <w:sz w:val="20"/>
          <w:szCs w:val="20"/>
          <w:lang w:eastAsia="pl-PL"/>
        </w:rPr>
        <w:t>9.1. Ogólne ustalenia dotyczące podstawy płatności</w:t>
      </w:r>
    </w:p>
    <w:p w14:paraId="4CE6EED7"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Ogólne ustalenia dotyczące podstawy płatności podano w SST D-00.00.00 „Wymagania ogólne” pkt 9. Ponadto Zamawiający powinien tak sformułować umowę, aby Wykonawca musiał doprowadzić oznakowanie do wymagań zawartych w SST w przypadku zauważenia niezgodności.</w:t>
      </w:r>
    </w:p>
    <w:p w14:paraId="526594D5" w14:textId="77777777" w:rsidR="00E95D02" w:rsidRPr="00602EF6" w:rsidRDefault="00E95D02" w:rsidP="00E95D02">
      <w:pPr>
        <w:keepNext/>
        <w:autoSpaceDE w:val="0"/>
        <w:autoSpaceDN w:val="0"/>
        <w:adjustRightInd w:val="0"/>
        <w:spacing w:before="120" w:after="120" w:line="240" w:lineRule="auto"/>
        <w:jc w:val="both"/>
        <w:rPr>
          <w:rFonts w:eastAsia="Times New Roman" w:cstheme="minorHAnsi"/>
          <w:b/>
          <w:bCs/>
          <w:sz w:val="20"/>
          <w:szCs w:val="20"/>
          <w:lang w:eastAsia="pl-PL"/>
        </w:rPr>
      </w:pPr>
      <w:r w:rsidRPr="00602EF6">
        <w:rPr>
          <w:rFonts w:eastAsia="Times New Roman" w:cstheme="minorHAnsi"/>
          <w:b/>
          <w:bCs/>
          <w:sz w:val="20"/>
          <w:szCs w:val="20"/>
          <w:lang w:eastAsia="pl-PL"/>
        </w:rPr>
        <w:t>9.2. Cena jednostki obmiarowej</w:t>
      </w:r>
    </w:p>
    <w:p w14:paraId="1E0B8A58"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ab/>
        <w:t>Cena 1 m</w:t>
      </w:r>
      <w:r w:rsidRPr="00602EF6">
        <w:rPr>
          <w:rFonts w:eastAsia="Times New Roman" w:cstheme="minorHAnsi"/>
          <w:sz w:val="20"/>
          <w:szCs w:val="20"/>
          <w:vertAlign w:val="superscript"/>
          <w:lang w:eastAsia="pl-PL"/>
        </w:rPr>
        <w:t>2</w:t>
      </w:r>
      <w:r w:rsidRPr="00602EF6">
        <w:rPr>
          <w:rFonts w:eastAsia="Times New Roman" w:cstheme="minorHAnsi"/>
          <w:sz w:val="20"/>
          <w:szCs w:val="20"/>
          <w:lang w:eastAsia="pl-PL"/>
        </w:rPr>
        <w:t xml:space="preserve"> wykonania robót obejmuje:</w:t>
      </w:r>
    </w:p>
    <w:p w14:paraId="3BC71914" w14:textId="77777777" w:rsidR="00E95D02" w:rsidRPr="00602EF6" w:rsidRDefault="00E95D02">
      <w:pPr>
        <w:numPr>
          <w:ilvl w:val="0"/>
          <w:numId w:val="138"/>
        </w:num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prace pomiarowe, roboty przygotowawcze i oznakowanie robót,</w:t>
      </w:r>
    </w:p>
    <w:p w14:paraId="6019D633" w14:textId="77777777" w:rsidR="00E95D02" w:rsidRPr="00602EF6" w:rsidRDefault="00E95D02">
      <w:pPr>
        <w:numPr>
          <w:ilvl w:val="0"/>
          <w:numId w:val="138"/>
        </w:num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przygotowanie i dostarczenie materiałów,</w:t>
      </w:r>
    </w:p>
    <w:p w14:paraId="5A3B5CBC" w14:textId="77777777" w:rsidR="00E95D02" w:rsidRPr="00602EF6" w:rsidRDefault="00E95D02">
      <w:pPr>
        <w:numPr>
          <w:ilvl w:val="0"/>
          <w:numId w:val="138"/>
        </w:num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oczyszczenie podłoża (nawierzchni),</w:t>
      </w:r>
    </w:p>
    <w:p w14:paraId="32617BF4" w14:textId="77777777" w:rsidR="00E95D02" w:rsidRPr="00602EF6" w:rsidRDefault="00E95D02">
      <w:pPr>
        <w:numPr>
          <w:ilvl w:val="0"/>
          <w:numId w:val="138"/>
        </w:num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przedznakowanie,</w:t>
      </w:r>
    </w:p>
    <w:p w14:paraId="60DD0971" w14:textId="77777777" w:rsidR="00E95D02" w:rsidRPr="00602EF6" w:rsidRDefault="00E95D02">
      <w:pPr>
        <w:numPr>
          <w:ilvl w:val="0"/>
          <w:numId w:val="138"/>
        </w:num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naniesienie oznakowania na nawierzchnię drogi o kształtach i wymiarach zgodnych z dokumentacją projektową i załącznikiem nr 2 do rozporządzenia Ministra Infrastruktury [11],</w:t>
      </w:r>
    </w:p>
    <w:p w14:paraId="1AC03109" w14:textId="77777777" w:rsidR="00E95D02" w:rsidRPr="00602EF6" w:rsidRDefault="00E95D02">
      <w:pPr>
        <w:numPr>
          <w:ilvl w:val="0"/>
          <w:numId w:val="138"/>
        </w:num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ochrona oznakowania przed zniszczeniem przez pojazdy w czasie prowadzenia robót,</w:t>
      </w:r>
    </w:p>
    <w:p w14:paraId="5A25D8D8" w14:textId="77777777" w:rsidR="00E95D02" w:rsidRPr="00602EF6" w:rsidRDefault="00E95D02">
      <w:pPr>
        <w:numPr>
          <w:ilvl w:val="0"/>
          <w:numId w:val="138"/>
        </w:num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przeprowadzenie pomiarów i badań laboratoryjnych wymaganych w specyfikacji technicznej.</w:t>
      </w:r>
    </w:p>
    <w:p w14:paraId="78FCC79B" w14:textId="77777777" w:rsidR="00E95D02" w:rsidRPr="00602EF6" w:rsidRDefault="00E95D02" w:rsidP="00E95D02">
      <w:pPr>
        <w:keepNext/>
        <w:keepLines/>
        <w:suppressAutoHyphens/>
        <w:autoSpaceDE w:val="0"/>
        <w:autoSpaceDN w:val="0"/>
        <w:adjustRightInd w:val="0"/>
        <w:spacing w:before="240" w:after="120" w:line="240" w:lineRule="auto"/>
        <w:jc w:val="both"/>
        <w:rPr>
          <w:rFonts w:eastAsia="Times New Roman" w:cstheme="minorHAnsi"/>
          <w:b/>
          <w:bCs/>
          <w:caps/>
          <w:sz w:val="20"/>
          <w:szCs w:val="20"/>
          <w:lang w:eastAsia="pl-PL"/>
        </w:rPr>
      </w:pPr>
      <w:r w:rsidRPr="00602EF6">
        <w:rPr>
          <w:rFonts w:eastAsia="Times New Roman" w:cstheme="minorHAnsi"/>
          <w:b/>
          <w:bCs/>
          <w:caps/>
          <w:sz w:val="20"/>
          <w:szCs w:val="20"/>
          <w:lang w:eastAsia="pl-PL"/>
        </w:rPr>
        <w:t>10. Przepisy związane</w:t>
      </w:r>
    </w:p>
    <w:p w14:paraId="14829027" w14:textId="77777777" w:rsidR="00E95D02" w:rsidRPr="00602EF6" w:rsidRDefault="00E95D02" w:rsidP="00E95D02">
      <w:pPr>
        <w:keepNext/>
        <w:autoSpaceDE w:val="0"/>
        <w:autoSpaceDN w:val="0"/>
        <w:adjustRightInd w:val="0"/>
        <w:spacing w:after="120" w:line="240" w:lineRule="auto"/>
        <w:jc w:val="both"/>
        <w:rPr>
          <w:rFonts w:eastAsia="Times New Roman" w:cstheme="minorHAnsi"/>
          <w:b/>
          <w:bCs/>
          <w:sz w:val="20"/>
          <w:szCs w:val="20"/>
          <w:lang w:eastAsia="pl-PL"/>
        </w:rPr>
      </w:pPr>
      <w:r w:rsidRPr="00602EF6">
        <w:rPr>
          <w:rFonts w:eastAsia="Times New Roman" w:cstheme="minorHAnsi"/>
          <w:b/>
          <w:bCs/>
          <w:sz w:val="20"/>
          <w:szCs w:val="20"/>
          <w:lang w:eastAsia="pl-PL"/>
        </w:rPr>
        <w:t>10.1. Normy</w:t>
      </w:r>
    </w:p>
    <w:tbl>
      <w:tblPr>
        <w:tblW w:w="9144" w:type="dxa"/>
        <w:tblInd w:w="70" w:type="dxa"/>
        <w:tblLayout w:type="fixed"/>
        <w:tblCellMar>
          <w:left w:w="70" w:type="dxa"/>
          <w:right w:w="70" w:type="dxa"/>
        </w:tblCellMar>
        <w:tblLook w:val="0000" w:firstRow="0" w:lastRow="0" w:firstColumn="0" w:lastColumn="0" w:noHBand="0" w:noVBand="0"/>
      </w:tblPr>
      <w:tblGrid>
        <w:gridCol w:w="496"/>
        <w:gridCol w:w="2214"/>
        <w:gridCol w:w="6434"/>
      </w:tblGrid>
      <w:tr w:rsidR="00E95D02" w:rsidRPr="00602EF6" w14:paraId="4CFECA3F" w14:textId="77777777" w:rsidTr="00602EF6">
        <w:trPr>
          <w:trHeight w:val="1"/>
        </w:trPr>
        <w:tc>
          <w:tcPr>
            <w:tcW w:w="496" w:type="dxa"/>
            <w:tcBorders>
              <w:top w:val="nil"/>
              <w:left w:val="nil"/>
              <w:bottom w:val="nil"/>
              <w:right w:val="nil"/>
            </w:tcBorders>
            <w:shd w:val="clear" w:color="000000" w:fill="FFFFFF"/>
          </w:tcPr>
          <w:p w14:paraId="6FE0F1F8" w14:textId="77777777" w:rsidR="00E95D02" w:rsidRPr="00602EF6" w:rsidRDefault="00E95D02" w:rsidP="00E95D02">
            <w:pPr>
              <w:autoSpaceDE w:val="0"/>
              <w:autoSpaceDN w:val="0"/>
              <w:adjustRightInd w:val="0"/>
              <w:spacing w:after="0" w:line="240" w:lineRule="auto"/>
              <w:jc w:val="right"/>
              <w:rPr>
                <w:rFonts w:eastAsia="Times New Roman" w:cstheme="minorHAnsi"/>
                <w:sz w:val="20"/>
                <w:szCs w:val="20"/>
                <w:lang w:eastAsia="pl-PL"/>
              </w:rPr>
            </w:pPr>
            <w:r w:rsidRPr="00602EF6">
              <w:rPr>
                <w:rFonts w:eastAsia="Times New Roman" w:cstheme="minorHAnsi"/>
                <w:sz w:val="20"/>
                <w:szCs w:val="20"/>
                <w:lang w:eastAsia="pl-PL"/>
              </w:rPr>
              <w:t>1.</w:t>
            </w:r>
          </w:p>
        </w:tc>
        <w:tc>
          <w:tcPr>
            <w:tcW w:w="2214" w:type="dxa"/>
            <w:tcBorders>
              <w:top w:val="nil"/>
              <w:left w:val="nil"/>
              <w:bottom w:val="nil"/>
              <w:right w:val="nil"/>
            </w:tcBorders>
            <w:shd w:val="clear" w:color="000000" w:fill="FFFFFF"/>
          </w:tcPr>
          <w:p w14:paraId="23AFB414"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PN-EN 1436:2012</w:t>
            </w:r>
          </w:p>
        </w:tc>
        <w:tc>
          <w:tcPr>
            <w:tcW w:w="6434" w:type="dxa"/>
            <w:tcBorders>
              <w:top w:val="nil"/>
              <w:left w:val="nil"/>
              <w:bottom w:val="nil"/>
              <w:right w:val="nil"/>
            </w:tcBorders>
            <w:shd w:val="clear" w:color="000000" w:fill="FFFFFF"/>
          </w:tcPr>
          <w:p w14:paraId="269C15D8"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 xml:space="preserve">Materiały do poziomego oznakowania dróg – Wymagania dotyczące poziomych oznakowań dróg </w:t>
            </w:r>
          </w:p>
        </w:tc>
      </w:tr>
      <w:tr w:rsidR="00E95D02" w:rsidRPr="00602EF6" w14:paraId="0AE96808" w14:textId="77777777" w:rsidTr="00602EF6">
        <w:trPr>
          <w:trHeight w:val="1"/>
        </w:trPr>
        <w:tc>
          <w:tcPr>
            <w:tcW w:w="496" w:type="dxa"/>
            <w:tcBorders>
              <w:top w:val="nil"/>
              <w:left w:val="nil"/>
              <w:bottom w:val="nil"/>
              <w:right w:val="nil"/>
            </w:tcBorders>
            <w:shd w:val="clear" w:color="000000" w:fill="FFFFFF"/>
          </w:tcPr>
          <w:p w14:paraId="65A1B75D" w14:textId="77777777" w:rsidR="00E95D02" w:rsidRPr="00602EF6" w:rsidRDefault="00E95D02" w:rsidP="00E95D02">
            <w:pPr>
              <w:autoSpaceDE w:val="0"/>
              <w:autoSpaceDN w:val="0"/>
              <w:adjustRightInd w:val="0"/>
              <w:spacing w:after="0" w:line="240" w:lineRule="auto"/>
              <w:jc w:val="right"/>
              <w:rPr>
                <w:rFonts w:eastAsia="Times New Roman" w:cstheme="minorHAnsi"/>
                <w:sz w:val="20"/>
                <w:szCs w:val="20"/>
                <w:lang w:eastAsia="pl-PL"/>
              </w:rPr>
            </w:pPr>
            <w:r w:rsidRPr="00602EF6">
              <w:rPr>
                <w:rFonts w:eastAsia="Times New Roman" w:cstheme="minorHAnsi"/>
                <w:sz w:val="20"/>
                <w:szCs w:val="20"/>
                <w:lang w:eastAsia="pl-PL"/>
              </w:rPr>
              <w:t>2.</w:t>
            </w:r>
          </w:p>
        </w:tc>
        <w:tc>
          <w:tcPr>
            <w:tcW w:w="2214" w:type="dxa"/>
            <w:tcBorders>
              <w:top w:val="nil"/>
              <w:left w:val="nil"/>
              <w:bottom w:val="nil"/>
              <w:right w:val="nil"/>
            </w:tcBorders>
            <w:shd w:val="clear" w:color="000000" w:fill="FFFFFF"/>
          </w:tcPr>
          <w:p w14:paraId="08045AE2"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PN-EN 1790:2014-02</w:t>
            </w:r>
          </w:p>
        </w:tc>
        <w:tc>
          <w:tcPr>
            <w:tcW w:w="6434" w:type="dxa"/>
            <w:tcBorders>
              <w:top w:val="nil"/>
              <w:left w:val="nil"/>
              <w:bottom w:val="nil"/>
              <w:right w:val="nil"/>
            </w:tcBorders>
            <w:shd w:val="clear" w:color="000000" w:fill="FFFFFF"/>
          </w:tcPr>
          <w:p w14:paraId="2A1F3964"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Materiały do poziomego oznakowania dróg - Prefabrykowane materiały do poziomego oznakowania dróg</w:t>
            </w:r>
          </w:p>
        </w:tc>
      </w:tr>
      <w:tr w:rsidR="00E95D02" w:rsidRPr="00602EF6" w14:paraId="58A9AC90" w14:textId="77777777" w:rsidTr="00602EF6">
        <w:trPr>
          <w:trHeight w:val="1"/>
        </w:trPr>
        <w:tc>
          <w:tcPr>
            <w:tcW w:w="496" w:type="dxa"/>
            <w:tcBorders>
              <w:top w:val="nil"/>
              <w:left w:val="nil"/>
              <w:bottom w:val="nil"/>
              <w:right w:val="nil"/>
            </w:tcBorders>
            <w:shd w:val="clear" w:color="000000" w:fill="FFFFFF"/>
          </w:tcPr>
          <w:p w14:paraId="37489EF3" w14:textId="77777777" w:rsidR="00E95D02" w:rsidRPr="00602EF6" w:rsidRDefault="00E95D02" w:rsidP="00E95D02">
            <w:pPr>
              <w:autoSpaceDE w:val="0"/>
              <w:autoSpaceDN w:val="0"/>
              <w:adjustRightInd w:val="0"/>
              <w:spacing w:after="0" w:line="240" w:lineRule="auto"/>
              <w:jc w:val="right"/>
              <w:rPr>
                <w:rFonts w:eastAsia="Times New Roman" w:cstheme="minorHAnsi"/>
                <w:sz w:val="20"/>
                <w:szCs w:val="20"/>
                <w:lang w:eastAsia="pl-PL"/>
              </w:rPr>
            </w:pPr>
            <w:r w:rsidRPr="00602EF6">
              <w:rPr>
                <w:rFonts w:eastAsia="Times New Roman" w:cstheme="minorHAnsi"/>
                <w:sz w:val="20"/>
                <w:szCs w:val="20"/>
                <w:lang w:eastAsia="pl-PL"/>
              </w:rPr>
              <w:t>3.</w:t>
            </w:r>
          </w:p>
        </w:tc>
        <w:tc>
          <w:tcPr>
            <w:tcW w:w="2214" w:type="dxa"/>
            <w:tcBorders>
              <w:top w:val="nil"/>
              <w:left w:val="nil"/>
              <w:bottom w:val="nil"/>
              <w:right w:val="nil"/>
            </w:tcBorders>
            <w:shd w:val="clear" w:color="000000" w:fill="FFFFFF"/>
          </w:tcPr>
          <w:p w14:paraId="780691E9"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PN-EN 1423:2012</w:t>
            </w:r>
          </w:p>
          <w:p w14:paraId="2F189C58"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p>
        </w:tc>
        <w:tc>
          <w:tcPr>
            <w:tcW w:w="6434" w:type="dxa"/>
            <w:tcBorders>
              <w:top w:val="nil"/>
              <w:left w:val="nil"/>
              <w:bottom w:val="nil"/>
              <w:right w:val="nil"/>
            </w:tcBorders>
            <w:shd w:val="clear" w:color="000000" w:fill="FFFFFF"/>
          </w:tcPr>
          <w:p w14:paraId="5E32A9D1"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Materiały do poziomego oznakowania dróg - Materiały do posypywania. Kulki szklane, kruszywo przeciwpoślizgowe i ich mieszaniny</w:t>
            </w:r>
          </w:p>
        </w:tc>
      </w:tr>
      <w:tr w:rsidR="00E95D02" w:rsidRPr="00602EF6" w14:paraId="319A8700" w14:textId="77777777" w:rsidTr="00602EF6">
        <w:trPr>
          <w:trHeight w:val="1"/>
        </w:trPr>
        <w:tc>
          <w:tcPr>
            <w:tcW w:w="496" w:type="dxa"/>
            <w:tcBorders>
              <w:top w:val="nil"/>
              <w:left w:val="nil"/>
              <w:bottom w:val="nil"/>
              <w:right w:val="nil"/>
            </w:tcBorders>
            <w:shd w:val="clear" w:color="000000" w:fill="FFFFFF"/>
          </w:tcPr>
          <w:p w14:paraId="004DF0E6" w14:textId="77777777" w:rsidR="00E95D02" w:rsidRPr="00602EF6" w:rsidRDefault="00E95D02" w:rsidP="00E95D02">
            <w:pPr>
              <w:autoSpaceDE w:val="0"/>
              <w:autoSpaceDN w:val="0"/>
              <w:adjustRightInd w:val="0"/>
              <w:spacing w:after="0" w:line="240" w:lineRule="auto"/>
              <w:jc w:val="right"/>
              <w:rPr>
                <w:rFonts w:eastAsia="Times New Roman" w:cstheme="minorHAnsi"/>
                <w:sz w:val="20"/>
                <w:szCs w:val="20"/>
                <w:lang w:eastAsia="pl-PL"/>
              </w:rPr>
            </w:pPr>
            <w:r w:rsidRPr="00602EF6">
              <w:rPr>
                <w:rFonts w:eastAsia="Times New Roman" w:cstheme="minorHAnsi"/>
                <w:sz w:val="20"/>
                <w:szCs w:val="20"/>
                <w:lang w:eastAsia="pl-PL"/>
              </w:rPr>
              <w:lastRenderedPageBreak/>
              <w:t>4.</w:t>
            </w:r>
          </w:p>
        </w:tc>
        <w:tc>
          <w:tcPr>
            <w:tcW w:w="2214" w:type="dxa"/>
            <w:tcBorders>
              <w:top w:val="nil"/>
              <w:left w:val="nil"/>
              <w:bottom w:val="nil"/>
              <w:right w:val="nil"/>
            </w:tcBorders>
            <w:shd w:val="clear" w:color="000000" w:fill="FFFFFF"/>
          </w:tcPr>
          <w:p w14:paraId="491F6033" w14:textId="77777777" w:rsidR="00E95D02" w:rsidRPr="00602EF6" w:rsidRDefault="00E95D02" w:rsidP="00E95D02">
            <w:pPr>
              <w:tabs>
                <w:tab w:val="left" w:pos="4536"/>
                <w:tab w:val="left" w:pos="9072"/>
              </w:tabs>
              <w:autoSpaceDE w:val="0"/>
              <w:autoSpaceDN w:val="0"/>
              <w:adjustRightInd w:val="0"/>
              <w:spacing w:after="0" w:line="240" w:lineRule="auto"/>
              <w:rPr>
                <w:rFonts w:eastAsia="Times New Roman" w:cstheme="minorHAnsi"/>
                <w:sz w:val="20"/>
                <w:szCs w:val="20"/>
                <w:lang w:eastAsia="pl-PL"/>
              </w:rPr>
            </w:pPr>
            <w:r w:rsidRPr="00602EF6">
              <w:rPr>
                <w:rFonts w:eastAsia="Times New Roman" w:cstheme="minorHAnsi"/>
                <w:sz w:val="20"/>
                <w:szCs w:val="20"/>
                <w:lang w:eastAsia="pl-PL"/>
              </w:rPr>
              <w:t>PN-EN 1463-1:2009</w:t>
            </w:r>
          </w:p>
        </w:tc>
        <w:tc>
          <w:tcPr>
            <w:tcW w:w="6434" w:type="dxa"/>
            <w:tcBorders>
              <w:top w:val="nil"/>
              <w:left w:val="nil"/>
              <w:bottom w:val="nil"/>
              <w:right w:val="nil"/>
            </w:tcBorders>
            <w:shd w:val="clear" w:color="000000" w:fill="FFFFFF"/>
          </w:tcPr>
          <w:p w14:paraId="53BA6AA8"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Materiały do poziomego oznakowania dróg - Punktowe elementy odblaskowe Część 1: Wymagania dotyczące charakterystyki nowego elementu</w:t>
            </w:r>
          </w:p>
        </w:tc>
      </w:tr>
      <w:tr w:rsidR="00E95D02" w:rsidRPr="00602EF6" w14:paraId="1A3ABD89" w14:textId="77777777" w:rsidTr="00602EF6">
        <w:trPr>
          <w:trHeight w:val="1"/>
        </w:trPr>
        <w:tc>
          <w:tcPr>
            <w:tcW w:w="496" w:type="dxa"/>
            <w:tcBorders>
              <w:top w:val="nil"/>
              <w:left w:val="nil"/>
              <w:bottom w:val="nil"/>
              <w:right w:val="nil"/>
            </w:tcBorders>
            <w:shd w:val="clear" w:color="000000" w:fill="FFFFFF"/>
          </w:tcPr>
          <w:p w14:paraId="1039C7EC" w14:textId="77777777" w:rsidR="00E95D02" w:rsidRPr="00602EF6" w:rsidRDefault="00E95D02" w:rsidP="00E95D02">
            <w:pPr>
              <w:autoSpaceDE w:val="0"/>
              <w:autoSpaceDN w:val="0"/>
              <w:adjustRightInd w:val="0"/>
              <w:spacing w:after="0" w:line="240" w:lineRule="auto"/>
              <w:jc w:val="right"/>
              <w:rPr>
                <w:rFonts w:eastAsia="Times New Roman" w:cstheme="minorHAnsi"/>
                <w:sz w:val="20"/>
                <w:szCs w:val="20"/>
                <w:lang w:eastAsia="pl-PL"/>
              </w:rPr>
            </w:pPr>
            <w:r w:rsidRPr="00602EF6">
              <w:rPr>
                <w:rFonts w:eastAsia="Times New Roman" w:cstheme="minorHAnsi"/>
                <w:sz w:val="20"/>
                <w:szCs w:val="20"/>
                <w:lang w:eastAsia="pl-PL"/>
              </w:rPr>
              <w:t>5.</w:t>
            </w:r>
          </w:p>
        </w:tc>
        <w:tc>
          <w:tcPr>
            <w:tcW w:w="2214" w:type="dxa"/>
            <w:tcBorders>
              <w:top w:val="nil"/>
              <w:left w:val="nil"/>
              <w:bottom w:val="nil"/>
              <w:right w:val="nil"/>
            </w:tcBorders>
            <w:shd w:val="clear" w:color="000000" w:fill="FFFFFF"/>
          </w:tcPr>
          <w:p w14:paraId="13B74FB3" w14:textId="77777777" w:rsidR="00E95D02" w:rsidRPr="00602EF6" w:rsidRDefault="00E95D02" w:rsidP="00E95D02">
            <w:pPr>
              <w:tabs>
                <w:tab w:val="left" w:pos="4536"/>
                <w:tab w:val="left" w:pos="9072"/>
              </w:tabs>
              <w:autoSpaceDE w:val="0"/>
              <w:autoSpaceDN w:val="0"/>
              <w:adjustRightInd w:val="0"/>
              <w:spacing w:after="0" w:line="240" w:lineRule="auto"/>
              <w:rPr>
                <w:rFonts w:eastAsia="Times New Roman" w:cstheme="minorHAnsi"/>
                <w:sz w:val="20"/>
                <w:szCs w:val="20"/>
                <w:lang w:eastAsia="pl-PL"/>
              </w:rPr>
            </w:pPr>
            <w:r w:rsidRPr="00602EF6">
              <w:rPr>
                <w:rFonts w:eastAsia="Times New Roman" w:cstheme="minorHAnsi"/>
                <w:sz w:val="20"/>
                <w:szCs w:val="20"/>
                <w:lang w:eastAsia="pl-PL"/>
              </w:rPr>
              <w:t>PN-EN 1463-2:2003</w:t>
            </w:r>
          </w:p>
        </w:tc>
        <w:tc>
          <w:tcPr>
            <w:tcW w:w="6434" w:type="dxa"/>
            <w:tcBorders>
              <w:top w:val="nil"/>
              <w:left w:val="nil"/>
              <w:bottom w:val="nil"/>
              <w:right w:val="nil"/>
            </w:tcBorders>
            <w:shd w:val="clear" w:color="000000" w:fill="FFFFFF"/>
          </w:tcPr>
          <w:p w14:paraId="7A794AE2"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Materiały do poziomego oznakowania dróg - Punktowe elementy odblaskowe Część 2: Badania terenowe</w:t>
            </w:r>
          </w:p>
        </w:tc>
      </w:tr>
      <w:tr w:rsidR="00E95D02" w:rsidRPr="00602EF6" w14:paraId="3FC43021" w14:textId="77777777" w:rsidTr="00602EF6">
        <w:trPr>
          <w:trHeight w:val="1"/>
        </w:trPr>
        <w:tc>
          <w:tcPr>
            <w:tcW w:w="496" w:type="dxa"/>
            <w:tcBorders>
              <w:top w:val="nil"/>
              <w:left w:val="nil"/>
              <w:bottom w:val="nil"/>
              <w:right w:val="nil"/>
            </w:tcBorders>
            <w:shd w:val="clear" w:color="000000" w:fill="FFFFFF"/>
          </w:tcPr>
          <w:p w14:paraId="5A85E6F1" w14:textId="77777777" w:rsidR="00E95D02" w:rsidRPr="00602EF6" w:rsidRDefault="00E95D02" w:rsidP="00E95D02">
            <w:pPr>
              <w:autoSpaceDE w:val="0"/>
              <w:autoSpaceDN w:val="0"/>
              <w:adjustRightInd w:val="0"/>
              <w:spacing w:after="0" w:line="240" w:lineRule="auto"/>
              <w:jc w:val="right"/>
              <w:rPr>
                <w:rFonts w:eastAsia="Times New Roman" w:cstheme="minorHAnsi"/>
                <w:sz w:val="20"/>
                <w:szCs w:val="20"/>
                <w:lang w:eastAsia="pl-PL"/>
              </w:rPr>
            </w:pPr>
            <w:r w:rsidRPr="00602EF6">
              <w:rPr>
                <w:rFonts w:eastAsia="Times New Roman" w:cstheme="minorHAnsi"/>
                <w:sz w:val="20"/>
                <w:szCs w:val="20"/>
                <w:lang w:eastAsia="pl-PL"/>
              </w:rPr>
              <w:t>6.</w:t>
            </w:r>
          </w:p>
        </w:tc>
        <w:tc>
          <w:tcPr>
            <w:tcW w:w="2214" w:type="dxa"/>
            <w:tcBorders>
              <w:top w:val="nil"/>
              <w:left w:val="nil"/>
              <w:bottom w:val="nil"/>
              <w:right w:val="nil"/>
            </w:tcBorders>
            <w:shd w:val="clear" w:color="000000" w:fill="FFFFFF"/>
          </w:tcPr>
          <w:p w14:paraId="5DF991E7"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PN-O-79252:2001</w:t>
            </w:r>
          </w:p>
        </w:tc>
        <w:tc>
          <w:tcPr>
            <w:tcW w:w="6434" w:type="dxa"/>
            <w:tcBorders>
              <w:top w:val="nil"/>
              <w:left w:val="nil"/>
              <w:bottom w:val="nil"/>
              <w:right w:val="nil"/>
            </w:tcBorders>
            <w:shd w:val="clear" w:color="000000" w:fill="FFFFFF"/>
          </w:tcPr>
          <w:p w14:paraId="4A5F2967"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Opakowania transportowe z zawartością - Znaki i znakowanie - Wymagania podstawowe</w:t>
            </w:r>
          </w:p>
        </w:tc>
      </w:tr>
      <w:tr w:rsidR="00E95D02" w:rsidRPr="00602EF6" w14:paraId="5D0FA8CE" w14:textId="77777777" w:rsidTr="00602EF6">
        <w:trPr>
          <w:trHeight w:val="1"/>
        </w:trPr>
        <w:tc>
          <w:tcPr>
            <w:tcW w:w="496" w:type="dxa"/>
            <w:tcBorders>
              <w:top w:val="nil"/>
              <w:left w:val="nil"/>
              <w:bottom w:val="nil"/>
              <w:right w:val="nil"/>
            </w:tcBorders>
            <w:shd w:val="clear" w:color="000000" w:fill="FFFFFF"/>
          </w:tcPr>
          <w:p w14:paraId="6477486A" w14:textId="77777777" w:rsidR="00E95D02" w:rsidRPr="00602EF6" w:rsidRDefault="00E95D02" w:rsidP="00E95D02">
            <w:pPr>
              <w:autoSpaceDE w:val="0"/>
              <w:autoSpaceDN w:val="0"/>
              <w:adjustRightInd w:val="0"/>
              <w:spacing w:after="0" w:line="240" w:lineRule="auto"/>
              <w:jc w:val="right"/>
              <w:rPr>
                <w:rFonts w:eastAsia="Times New Roman" w:cstheme="minorHAnsi"/>
                <w:sz w:val="20"/>
                <w:szCs w:val="20"/>
                <w:lang w:eastAsia="pl-PL"/>
              </w:rPr>
            </w:pPr>
            <w:r w:rsidRPr="00602EF6">
              <w:rPr>
                <w:rFonts w:eastAsia="Times New Roman" w:cstheme="minorHAnsi"/>
                <w:sz w:val="20"/>
                <w:szCs w:val="20"/>
                <w:lang w:eastAsia="pl-PL"/>
              </w:rPr>
              <w:t>7.</w:t>
            </w:r>
          </w:p>
        </w:tc>
        <w:tc>
          <w:tcPr>
            <w:tcW w:w="2214" w:type="dxa"/>
            <w:tcBorders>
              <w:top w:val="nil"/>
              <w:left w:val="nil"/>
              <w:bottom w:val="nil"/>
              <w:right w:val="nil"/>
            </w:tcBorders>
            <w:shd w:val="clear" w:color="000000" w:fill="FFFFFF"/>
          </w:tcPr>
          <w:p w14:paraId="4F21EFF6"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PN-C-81400:1989</w:t>
            </w:r>
          </w:p>
        </w:tc>
        <w:tc>
          <w:tcPr>
            <w:tcW w:w="6434" w:type="dxa"/>
            <w:tcBorders>
              <w:top w:val="nil"/>
              <w:left w:val="nil"/>
              <w:bottom w:val="nil"/>
              <w:right w:val="nil"/>
            </w:tcBorders>
            <w:shd w:val="clear" w:color="000000" w:fill="FFFFFF"/>
          </w:tcPr>
          <w:p w14:paraId="63FF87F5"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Wyroby lakierowe. Pakowanie, przechowywanie i transport</w:t>
            </w:r>
          </w:p>
        </w:tc>
      </w:tr>
      <w:tr w:rsidR="00E95D02" w:rsidRPr="00602EF6" w14:paraId="0377FCF5" w14:textId="77777777" w:rsidTr="00602EF6">
        <w:trPr>
          <w:trHeight w:val="1"/>
        </w:trPr>
        <w:tc>
          <w:tcPr>
            <w:tcW w:w="496" w:type="dxa"/>
            <w:tcBorders>
              <w:top w:val="nil"/>
              <w:left w:val="nil"/>
              <w:bottom w:val="nil"/>
              <w:right w:val="nil"/>
            </w:tcBorders>
            <w:shd w:val="clear" w:color="000000" w:fill="FFFFFF"/>
          </w:tcPr>
          <w:p w14:paraId="3CCBC8C5" w14:textId="77777777" w:rsidR="00E95D02" w:rsidRPr="00602EF6" w:rsidRDefault="00E95D02" w:rsidP="00E95D02">
            <w:pPr>
              <w:autoSpaceDE w:val="0"/>
              <w:autoSpaceDN w:val="0"/>
              <w:adjustRightInd w:val="0"/>
              <w:spacing w:after="0" w:line="240" w:lineRule="auto"/>
              <w:jc w:val="right"/>
              <w:rPr>
                <w:rFonts w:eastAsia="Times New Roman" w:cstheme="minorHAnsi"/>
                <w:sz w:val="20"/>
                <w:szCs w:val="20"/>
                <w:lang w:eastAsia="pl-PL"/>
              </w:rPr>
            </w:pPr>
            <w:r w:rsidRPr="00602EF6">
              <w:rPr>
                <w:rFonts w:eastAsia="Times New Roman" w:cstheme="minorHAnsi"/>
                <w:sz w:val="20"/>
                <w:szCs w:val="20"/>
                <w:lang w:eastAsia="pl-PL"/>
              </w:rPr>
              <w:t>8.</w:t>
            </w:r>
          </w:p>
        </w:tc>
        <w:tc>
          <w:tcPr>
            <w:tcW w:w="2214" w:type="dxa"/>
            <w:tcBorders>
              <w:top w:val="nil"/>
              <w:left w:val="nil"/>
              <w:bottom w:val="nil"/>
              <w:right w:val="nil"/>
            </w:tcBorders>
            <w:shd w:val="clear" w:color="000000" w:fill="FFFFFF"/>
          </w:tcPr>
          <w:p w14:paraId="70E1F08D" w14:textId="77777777" w:rsidR="00E95D02" w:rsidRPr="00602EF6" w:rsidRDefault="00E95D02" w:rsidP="00E95D02">
            <w:pPr>
              <w:tabs>
                <w:tab w:val="left" w:pos="4536"/>
                <w:tab w:val="left" w:pos="9072"/>
              </w:tabs>
              <w:autoSpaceDE w:val="0"/>
              <w:autoSpaceDN w:val="0"/>
              <w:adjustRightInd w:val="0"/>
              <w:spacing w:after="0" w:line="240" w:lineRule="auto"/>
              <w:rPr>
                <w:rFonts w:eastAsia="Times New Roman" w:cstheme="minorHAnsi"/>
                <w:sz w:val="20"/>
                <w:szCs w:val="20"/>
                <w:lang w:eastAsia="pl-PL"/>
              </w:rPr>
            </w:pPr>
            <w:r w:rsidRPr="00602EF6">
              <w:rPr>
                <w:rFonts w:eastAsia="Times New Roman" w:cstheme="minorHAnsi"/>
                <w:sz w:val="20"/>
                <w:szCs w:val="20"/>
                <w:lang w:eastAsia="pl-PL"/>
              </w:rPr>
              <w:t>PN-EN 1871:2003</w:t>
            </w:r>
          </w:p>
        </w:tc>
        <w:tc>
          <w:tcPr>
            <w:tcW w:w="6434" w:type="dxa"/>
            <w:tcBorders>
              <w:top w:val="nil"/>
              <w:left w:val="nil"/>
              <w:bottom w:val="nil"/>
              <w:right w:val="nil"/>
            </w:tcBorders>
            <w:shd w:val="clear" w:color="000000" w:fill="FFFFFF"/>
          </w:tcPr>
          <w:p w14:paraId="26D639E6"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Materiały do poziomego oznakowania dróg - Właściwości fizyczne</w:t>
            </w:r>
          </w:p>
        </w:tc>
      </w:tr>
      <w:tr w:rsidR="00E95D02" w:rsidRPr="00602EF6" w14:paraId="73DA29A9" w14:textId="77777777" w:rsidTr="00602EF6">
        <w:trPr>
          <w:trHeight w:val="1"/>
        </w:trPr>
        <w:tc>
          <w:tcPr>
            <w:tcW w:w="496" w:type="dxa"/>
            <w:tcBorders>
              <w:top w:val="nil"/>
              <w:left w:val="nil"/>
              <w:bottom w:val="nil"/>
              <w:right w:val="nil"/>
            </w:tcBorders>
            <w:shd w:val="clear" w:color="000000" w:fill="FFFFFF"/>
          </w:tcPr>
          <w:p w14:paraId="2D2FF2A9" w14:textId="77777777" w:rsidR="00E95D02" w:rsidRPr="00602EF6" w:rsidRDefault="00E95D02" w:rsidP="00E95D02">
            <w:pPr>
              <w:autoSpaceDE w:val="0"/>
              <w:autoSpaceDN w:val="0"/>
              <w:adjustRightInd w:val="0"/>
              <w:spacing w:after="0" w:line="240" w:lineRule="auto"/>
              <w:jc w:val="right"/>
              <w:rPr>
                <w:rFonts w:eastAsia="Times New Roman" w:cstheme="minorHAnsi"/>
                <w:sz w:val="20"/>
                <w:szCs w:val="20"/>
                <w:lang w:eastAsia="pl-PL"/>
              </w:rPr>
            </w:pPr>
            <w:r w:rsidRPr="00602EF6">
              <w:rPr>
                <w:rFonts w:eastAsia="Times New Roman" w:cstheme="minorHAnsi"/>
                <w:sz w:val="20"/>
                <w:szCs w:val="20"/>
                <w:lang w:eastAsia="pl-PL"/>
              </w:rPr>
              <w:t>9.</w:t>
            </w:r>
          </w:p>
        </w:tc>
        <w:tc>
          <w:tcPr>
            <w:tcW w:w="2214" w:type="dxa"/>
            <w:tcBorders>
              <w:top w:val="nil"/>
              <w:left w:val="nil"/>
              <w:bottom w:val="nil"/>
              <w:right w:val="nil"/>
            </w:tcBorders>
            <w:shd w:val="clear" w:color="000000" w:fill="FFFFFF"/>
          </w:tcPr>
          <w:p w14:paraId="237D04F4" w14:textId="77777777" w:rsidR="00E95D02" w:rsidRPr="00602EF6" w:rsidRDefault="00E95D02" w:rsidP="00E95D02">
            <w:pPr>
              <w:tabs>
                <w:tab w:val="left" w:pos="4536"/>
                <w:tab w:val="left" w:pos="9072"/>
              </w:tabs>
              <w:autoSpaceDE w:val="0"/>
              <w:autoSpaceDN w:val="0"/>
              <w:adjustRightInd w:val="0"/>
              <w:spacing w:after="0" w:line="240" w:lineRule="auto"/>
              <w:rPr>
                <w:rFonts w:eastAsia="Times New Roman" w:cstheme="minorHAnsi"/>
                <w:sz w:val="20"/>
                <w:szCs w:val="20"/>
                <w:lang w:eastAsia="pl-PL"/>
              </w:rPr>
            </w:pPr>
            <w:r w:rsidRPr="00602EF6">
              <w:rPr>
                <w:rFonts w:eastAsia="Times New Roman" w:cstheme="minorHAnsi"/>
                <w:sz w:val="20"/>
                <w:szCs w:val="20"/>
                <w:lang w:eastAsia="pl-PL"/>
              </w:rPr>
              <w:t>PN-EN 13036-4: 2011</w:t>
            </w:r>
          </w:p>
        </w:tc>
        <w:tc>
          <w:tcPr>
            <w:tcW w:w="6434" w:type="dxa"/>
            <w:tcBorders>
              <w:top w:val="nil"/>
              <w:left w:val="nil"/>
              <w:bottom w:val="nil"/>
              <w:right w:val="nil"/>
            </w:tcBorders>
            <w:shd w:val="clear" w:color="000000" w:fill="FFFFFF"/>
          </w:tcPr>
          <w:p w14:paraId="0E33CA07" w14:textId="77777777" w:rsidR="00E95D02" w:rsidRPr="00602EF6" w:rsidRDefault="00E95D02" w:rsidP="00E95D02">
            <w:pPr>
              <w:autoSpaceDE w:val="0"/>
              <w:autoSpaceDN w:val="0"/>
              <w:adjustRightInd w:val="0"/>
              <w:spacing w:after="0" w:line="240" w:lineRule="auto"/>
              <w:jc w:val="both"/>
              <w:rPr>
                <w:rFonts w:eastAsia="Times New Roman" w:cstheme="minorHAnsi"/>
                <w:sz w:val="20"/>
                <w:szCs w:val="20"/>
                <w:lang w:eastAsia="pl-PL"/>
              </w:rPr>
            </w:pPr>
            <w:r w:rsidRPr="00602EF6">
              <w:rPr>
                <w:rFonts w:eastAsia="Times New Roman" w:cstheme="minorHAnsi"/>
                <w:sz w:val="20"/>
                <w:szCs w:val="20"/>
                <w:lang w:eastAsia="pl-PL"/>
              </w:rPr>
              <w:t>Drogi samochodowe i lotniskowe – Metody badań – Część 4: Metoda pomiaru oporów poślizgu/poślizgnięcia na powierzchni: Próba wahadła</w:t>
            </w:r>
          </w:p>
        </w:tc>
      </w:tr>
    </w:tbl>
    <w:p w14:paraId="137D1E4D" w14:textId="77777777" w:rsidR="00E95D02" w:rsidRPr="00602EF6" w:rsidRDefault="00E95D02" w:rsidP="00E95D02">
      <w:pPr>
        <w:keepNext/>
        <w:autoSpaceDE w:val="0"/>
        <w:autoSpaceDN w:val="0"/>
        <w:adjustRightInd w:val="0"/>
        <w:spacing w:before="240" w:after="120" w:line="240" w:lineRule="auto"/>
        <w:jc w:val="both"/>
        <w:rPr>
          <w:rFonts w:eastAsia="Times New Roman" w:cstheme="minorHAnsi"/>
          <w:b/>
          <w:bCs/>
          <w:sz w:val="20"/>
          <w:szCs w:val="20"/>
          <w:lang w:eastAsia="pl-PL"/>
        </w:rPr>
      </w:pPr>
      <w:r w:rsidRPr="00602EF6">
        <w:rPr>
          <w:rFonts w:eastAsia="Times New Roman" w:cstheme="minorHAnsi"/>
          <w:b/>
          <w:bCs/>
          <w:sz w:val="20"/>
          <w:szCs w:val="20"/>
          <w:lang w:eastAsia="pl-PL"/>
        </w:rPr>
        <w:t>10.2. Przepisy związane i inne dokumenty</w:t>
      </w:r>
    </w:p>
    <w:p w14:paraId="420024A6" w14:textId="77777777" w:rsidR="00E95D02" w:rsidRPr="00602EF6" w:rsidRDefault="00E95D02">
      <w:pPr>
        <w:numPr>
          <w:ilvl w:val="0"/>
          <w:numId w:val="148"/>
        </w:numPr>
        <w:autoSpaceDE w:val="0"/>
        <w:autoSpaceDN w:val="0"/>
        <w:adjustRightInd w:val="0"/>
        <w:spacing w:after="0" w:line="240" w:lineRule="auto"/>
        <w:ind w:left="426" w:hanging="138"/>
        <w:jc w:val="both"/>
        <w:rPr>
          <w:rFonts w:eastAsia="Times New Roman" w:cstheme="minorHAnsi"/>
          <w:sz w:val="20"/>
          <w:szCs w:val="20"/>
          <w:lang w:eastAsia="pl-PL"/>
        </w:rPr>
      </w:pPr>
      <w:r w:rsidRPr="00602EF6">
        <w:rPr>
          <w:rFonts w:eastAsia="Times New Roman" w:cstheme="minorHAnsi"/>
          <w:sz w:val="20"/>
          <w:szCs w:val="20"/>
          <w:lang w:eastAsia="pl-PL"/>
        </w:rPr>
        <w:t>Rozporządzenie Ministra Infrastruktury, Spraw Wewnętrznych i Administracji z dnia 12 października 2002 r. w sprawie znaków i symboli drogowych (Dz. U. nr 170, poz. 1393)</w:t>
      </w:r>
    </w:p>
    <w:p w14:paraId="1A8AC262" w14:textId="77777777" w:rsidR="00E95D02" w:rsidRPr="00602EF6" w:rsidRDefault="00E95D02">
      <w:pPr>
        <w:numPr>
          <w:ilvl w:val="0"/>
          <w:numId w:val="148"/>
        </w:numPr>
        <w:autoSpaceDE w:val="0"/>
        <w:autoSpaceDN w:val="0"/>
        <w:adjustRightInd w:val="0"/>
        <w:spacing w:after="0" w:line="240" w:lineRule="auto"/>
        <w:ind w:left="426" w:hanging="138"/>
        <w:jc w:val="both"/>
        <w:rPr>
          <w:rFonts w:eastAsia="Times New Roman" w:cstheme="minorHAnsi"/>
          <w:sz w:val="20"/>
          <w:szCs w:val="20"/>
          <w:lang w:eastAsia="pl-PL"/>
        </w:rPr>
      </w:pPr>
      <w:r w:rsidRPr="00602EF6">
        <w:rPr>
          <w:rFonts w:eastAsia="Times New Roman" w:cstheme="minorHAnsi"/>
          <w:sz w:val="20"/>
          <w:szCs w:val="20"/>
          <w:lang w:eastAsia="pl-PL"/>
        </w:rPr>
        <w:t>Załącznik nr 2 do rozporządzenia Ministra Infrastruktury z dnia 3 lipca 2003 r. w sprawie szczegółowych warunków technicznych dla znaków i sygnałów drogowych oraz urządzeń bezpieczeństwa ruchu drogowego i warunków ich umieszczania na drogach (Dz. U. Nr 220, poz. 2181 z późn. zm.)</w:t>
      </w:r>
    </w:p>
    <w:p w14:paraId="584FE76B" w14:textId="77777777" w:rsidR="00E95D02" w:rsidRPr="00602EF6" w:rsidRDefault="00E95D02">
      <w:pPr>
        <w:numPr>
          <w:ilvl w:val="0"/>
          <w:numId w:val="148"/>
        </w:numPr>
        <w:autoSpaceDE w:val="0"/>
        <w:autoSpaceDN w:val="0"/>
        <w:adjustRightInd w:val="0"/>
        <w:spacing w:after="0" w:line="240" w:lineRule="auto"/>
        <w:ind w:left="426" w:hanging="138"/>
        <w:jc w:val="both"/>
        <w:rPr>
          <w:rFonts w:eastAsia="Times New Roman" w:cstheme="minorHAnsi"/>
          <w:strike/>
          <w:sz w:val="20"/>
          <w:szCs w:val="20"/>
          <w:lang w:eastAsia="pl-PL"/>
        </w:rPr>
      </w:pPr>
      <w:r w:rsidRPr="00602EF6">
        <w:rPr>
          <w:rFonts w:eastAsia="Times New Roman" w:cstheme="minorHAnsi"/>
          <w:sz w:val="20"/>
          <w:szCs w:val="20"/>
          <w:lang w:eastAsia="pl-PL"/>
        </w:rPr>
        <w:t>Rozporządzenie Parlamentu Europejskiego i Rady (UE) Nr 305/2011 z dnia 9 marca 2011 r. ustanawiające zharmonizowane warunki wprowadzania do obrotu wyrobów budowlanych i uchylające dyrektywę Rady 89/106/EWG</w:t>
      </w:r>
    </w:p>
    <w:p w14:paraId="0C6DC818" w14:textId="2BF93A04" w:rsidR="00E95D02" w:rsidRPr="00602EF6" w:rsidRDefault="00E95D02">
      <w:pPr>
        <w:numPr>
          <w:ilvl w:val="0"/>
          <w:numId w:val="148"/>
        </w:numPr>
        <w:autoSpaceDE w:val="0"/>
        <w:autoSpaceDN w:val="0"/>
        <w:adjustRightInd w:val="0"/>
        <w:spacing w:after="0" w:line="240" w:lineRule="auto"/>
        <w:ind w:left="426" w:hanging="138"/>
        <w:jc w:val="both"/>
        <w:rPr>
          <w:rFonts w:eastAsia="Times New Roman" w:cstheme="minorHAnsi"/>
          <w:sz w:val="20"/>
          <w:szCs w:val="20"/>
          <w:lang w:eastAsia="pl-PL"/>
        </w:rPr>
      </w:pPr>
      <w:r w:rsidRPr="00602EF6">
        <w:rPr>
          <w:rFonts w:eastAsia="Times New Roman" w:cstheme="minorHAnsi"/>
          <w:sz w:val="20"/>
          <w:szCs w:val="20"/>
          <w:lang w:eastAsia="pl-PL"/>
        </w:rPr>
        <w:t xml:space="preserve">Rozporządzenie </w:t>
      </w:r>
      <w:r w:rsidR="00602EF6" w:rsidRPr="00602EF6">
        <w:rPr>
          <w:rFonts w:eastAsia="Times New Roman" w:cstheme="minorHAnsi"/>
          <w:sz w:val="20"/>
          <w:szCs w:val="20"/>
          <w:lang w:eastAsia="pl-PL"/>
        </w:rPr>
        <w:t>Ministra Infrastruktury</w:t>
      </w:r>
      <w:r w:rsidRPr="00602EF6">
        <w:rPr>
          <w:rFonts w:eastAsia="Times New Roman" w:cstheme="minorHAnsi"/>
          <w:sz w:val="20"/>
          <w:szCs w:val="20"/>
          <w:lang w:eastAsia="pl-PL"/>
        </w:rPr>
        <w:t xml:space="preserve"> z dnia 17 listopada 2016 w sprawie sposobu deklarowania właściwości użytkowych wyrobów budowlanych oraz sposobu ich znakowania znakiem budowlanym (Dz. U. poz.1966)</w:t>
      </w:r>
    </w:p>
    <w:p w14:paraId="6AA1FA7C" w14:textId="77777777" w:rsidR="00E95D02" w:rsidRPr="00602EF6" w:rsidRDefault="00E95D02">
      <w:pPr>
        <w:numPr>
          <w:ilvl w:val="0"/>
          <w:numId w:val="148"/>
        </w:numPr>
        <w:autoSpaceDE w:val="0"/>
        <w:autoSpaceDN w:val="0"/>
        <w:adjustRightInd w:val="0"/>
        <w:spacing w:after="0" w:line="240" w:lineRule="auto"/>
        <w:ind w:left="426" w:hanging="138"/>
        <w:jc w:val="both"/>
        <w:rPr>
          <w:rFonts w:eastAsia="Times New Roman" w:cstheme="minorHAnsi"/>
          <w:sz w:val="20"/>
          <w:szCs w:val="20"/>
          <w:lang w:eastAsia="pl-PL"/>
        </w:rPr>
      </w:pPr>
      <w:r w:rsidRPr="00602EF6">
        <w:rPr>
          <w:rFonts w:eastAsia="Times New Roman" w:cstheme="minorHAnsi"/>
          <w:sz w:val="20"/>
          <w:szCs w:val="20"/>
          <w:lang w:eastAsia="pl-PL"/>
        </w:rPr>
        <w:t xml:space="preserve">Ustawa z 16 kwietnia 2004 r. o wyrobach budowlanych (tekst jednolity Dz. U. z 2016 r. poz.1570 z późn. zm.) </w:t>
      </w:r>
    </w:p>
    <w:p w14:paraId="631368F9" w14:textId="3AE95BC8" w:rsidR="00E95D02" w:rsidRPr="00602EF6" w:rsidRDefault="00E95D02">
      <w:pPr>
        <w:numPr>
          <w:ilvl w:val="0"/>
          <w:numId w:val="148"/>
        </w:numPr>
        <w:autoSpaceDE w:val="0"/>
        <w:autoSpaceDN w:val="0"/>
        <w:adjustRightInd w:val="0"/>
        <w:spacing w:after="0" w:line="240" w:lineRule="auto"/>
        <w:ind w:left="426" w:hanging="138"/>
        <w:jc w:val="both"/>
        <w:rPr>
          <w:rFonts w:eastAsia="Times New Roman" w:cstheme="minorHAnsi"/>
          <w:sz w:val="20"/>
          <w:szCs w:val="20"/>
          <w:lang w:eastAsia="pl-PL"/>
        </w:rPr>
      </w:pPr>
      <w:r w:rsidRPr="00602EF6">
        <w:rPr>
          <w:rFonts w:eastAsia="Times New Roman" w:cstheme="minorHAnsi"/>
          <w:sz w:val="20"/>
          <w:szCs w:val="20"/>
          <w:lang w:eastAsia="pl-PL"/>
        </w:rPr>
        <w:t xml:space="preserve">Rozporządzenie </w:t>
      </w:r>
      <w:r w:rsidR="00602EF6" w:rsidRPr="00602EF6">
        <w:rPr>
          <w:rFonts w:eastAsia="Times New Roman" w:cstheme="minorHAnsi"/>
          <w:sz w:val="20"/>
          <w:szCs w:val="20"/>
          <w:lang w:eastAsia="pl-PL"/>
        </w:rPr>
        <w:t>Ministra Infrastruktury</w:t>
      </w:r>
      <w:r w:rsidRPr="00602EF6">
        <w:rPr>
          <w:rFonts w:eastAsia="Times New Roman" w:cstheme="minorHAnsi"/>
          <w:sz w:val="20"/>
          <w:szCs w:val="20"/>
          <w:lang w:eastAsia="pl-PL"/>
        </w:rPr>
        <w:t xml:space="preserve"> i Budownictwa z dnia 17 listopada 2016 r. w sprawie krajowych ocen technicznych (Dz. U. poz. 1968)</w:t>
      </w:r>
    </w:p>
    <w:p w14:paraId="7AAEF0F2" w14:textId="77777777" w:rsidR="00E95D02" w:rsidRPr="00602EF6" w:rsidRDefault="00E95D02">
      <w:pPr>
        <w:numPr>
          <w:ilvl w:val="0"/>
          <w:numId w:val="148"/>
        </w:numPr>
        <w:autoSpaceDE w:val="0"/>
        <w:autoSpaceDN w:val="0"/>
        <w:adjustRightInd w:val="0"/>
        <w:spacing w:after="0" w:line="240" w:lineRule="auto"/>
        <w:ind w:left="426" w:hanging="138"/>
        <w:jc w:val="both"/>
        <w:rPr>
          <w:rFonts w:eastAsia="Times New Roman" w:cstheme="minorHAnsi"/>
          <w:sz w:val="20"/>
          <w:szCs w:val="20"/>
          <w:lang w:eastAsia="pl-PL"/>
        </w:rPr>
      </w:pPr>
      <w:r w:rsidRPr="00602EF6">
        <w:rPr>
          <w:rFonts w:eastAsia="Times New Roman" w:cstheme="minorHAnsi"/>
          <w:sz w:val="20"/>
          <w:szCs w:val="20"/>
          <w:lang w:eastAsia="pl-PL"/>
        </w:rPr>
        <w:t>Ustawa o systemach zgodności z 13 kwietnia 2016 r. (Dz.U. poz. 542 i 1228)</w:t>
      </w:r>
    </w:p>
    <w:p w14:paraId="245E619C" w14:textId="77777777" w:rsidR="00E95D02" w:rsidRPr="00602EF6" w:rsidRDefault="00E95D02">
      <w:pPr>
        <w:numPr>
          <w:ilvl w:val="0"/>
          <w:numId w:val="148"/>
        </w:numPr>
        <w:autoSpaceDE w:val="0"/>
        <w:autoSpaceDN w:val="0"/>
        <w:adjustRightInd w:val="0"/>
        <w:spacing w:after="0" w:line="240" w:lineRule="auto"/>
        <w:ind w:left="426" w:hanging="138"/>
        <w:jc w:val="both"/>
        <w:rPr>
          <w:rFonts w:eastAsia="Times New Roman" w:cstheme="minorHAnsi"/>
          <w:sz w:val="20"/>
          <w:szCs w:val="20"/>
          <w:lang w:eastAsia="pl-PL"/>
        </w:rPr>
      </w:pPr>
      <w:r w:rsidRPr="00602EF6">
        <w:rPr>
          <w:rFonts w:eastAsia="Times New Roman" w:cstheme="minorHAnsi"/>
          <w:sz w:val="20"/>
          <w:szCs w:val="20"/>
          <w:lang w:eastAsia="pl-PL"/>
        </w:rPr>
        <w:t>Vademecum poziomego oznakowania dróg, Zenon Szczepaniak, Seria „S” – Studia i Materiały. Zeszyt nr 76, IBDiM, Warszawa, 2015</w:t>
      </w:r>
    </w:p>
    <w:p w14:paraId="53D37483" w14:textId="77777777" w:rsidR="00E95D02" w:rsidRPr="00602EF6" w:rsidRDefault="00E95D02">
      <w:pPr>
        <w:numPr>
          <w:ilvl w:val="0"/>
          <w:numId w:val="148"/>
        </w:numPr>
        <w:autoSpaceDE w:val="0"/>
        <w:autoSpaceDN w:val="0"/>
        <w:adjustRightInd w:val="0"/>
        <w:spacing w:after="0" w:line="240" w:lineRule="auto"/>
        <w:ind w:left="426" w:hanging="138"/>
        <w:jc w:val="both"/>
        <w:rPr>
          <w:rFonts w:eastAsia="Times New Roman" w:cstheme="minorHAnsi"/>
          <w:sz w:val="20"/>
          <w:szCs w:val="20"/>
          <w:lang w:eastAsia="pl-PL"/>
        </w:rPr>
      </w:pPr>
      <w:r w:rsidRPr="00602EF6">
        <w:rPr>
          <w:rFonts w:eastAsia="Times New Roman" w:cstheme="minorHAnsi"/>
          <w:sz w:val="20"/>
          <w:szCs w:val="20"/>
          <w:lang w:eastAsia="pl-PL"/>
        </w:rPr>
        <w:t>Rozporządzenie Ministra Zdrowia z dnia 30 marca 2015 r. w sprawie oznakowania opakowań substancji niebezpiecznych (Dz. U. poz. 450)</w:t>
      </w:r>
    </w:p>
    <w:p w14:paraId="7229B36F" w14:textId="77777777" w:rsidR="00E95D02" w:rsidRPr="00602EF6" w:rsidRDefault="00E95D02">
      <w:pPr>
        <w:numPr>
          <w:ilvl w:val="0"/>
          <w:numId w:val="148"/>
        </w:numPr>
        <w:autoSpaceDE w:val="0"/>
        <w:autoSpaceDN w:val="0"/>
        <w:adjustRightInd w:val="0"/>
        <w:spacing w:after="0" w:line="240" w:lineRule="auto"/>
        <w:ind w:left="426" w:hanging="138"/>
        <w:jc w:val="both"/>
        <w:rPr>
          <w:rFonts w:eastAsia="Times New Roman" w:cstheme="minorHAnsi"/>
          <w:sz w:val="20"/>
          <w:szCs w:val="20"/>
          <w:lang w:eastAsia="pl-PL"/>
        </w:rPr>
      </w:pPr>
      <w:r w:rsidRPr="00602EF6">
        <w:rPr>
          <w:rFonts w:eastAsia="Times New Roman" w:cstheme="minorHAnsi"/>
          <w:sz w:val="20"/>
          <w:szCs w:val="20"/>
          <w:lang w:eastAsia="pl-PL"/>
        </w:rPr>
        <w:t>Warunki Techniczne. Poziome oznakowanie dróg. POD-97, I-55, IBDiM, Warszawa, 1997</w:t>
      </w:r>
    </w:p>
    <w:p w14:paraId="44D58E1A" w14:textId="77777777" w:rsidR="00E95D02" w:rsidRPr="00602EF6" w:rsidRDefault="00E95D02">
      <w:pPr>
        <w:numPr>
          <w:ilvl w:val="0"/>
          <w:numId w:val="148"/>
        </w:numPr>
        <w:autoSpaceDE w:val="0"/>
        <w:autoSpaceDN w:val="0"/>
        <w:adjustRightInd w:val="0"/>
        <w:spacing w:after="0" w:line="240" w:lineRule="auto"/>
        <w:ind w:left="426" w:hanging="138"/>
        <w:jc w:val="both"/>
        <w:rPr>
          <w:rFonts w:eastAsia="Times New Roman" w:cstheme="minorHAnsi"/>
          <w:sz w:val="20"/>
          <w:szCs w:val="20"/>
          <w:lang w:eastAsia="pl-PL"/>
        </w:rPr>
      </w:pPr>
      <w:r w:rsidRPr="00602EF6">
        <w:rPr>
          <w:rFonts w:eastAsia="Times New Roman" w:cstheme="minorHAnsi"/>
          <w:sz w:val="20"/>
          <w:szCs w:val="20"/>
          <w:lang w:eastAsia="pl-PL"/>
        </w:rPr>
        <w:t>Zrestrukturyzowana Umowa ADR – umowa europejska dotycząca międzynarodowego przewozu drogowego towarów niebezpiecznych (Dz. U. z 2011 r. nr 110 poz. 641)</w:t>
      </w:r>
    </w:p>
    <w:p w14:paraId="4FB9611F" w14:textId="77777777" w:rsidR="00E95D02" w:rsidRPr="00602EF6" w:rsidRDefault="00E95D02">
      <w:pPr>
        <w:numPr>
          <w:ilvl w:val="0"/>
          <w:numId w:val="148"/>
        </w:numPr>
        <w:autoSpaceDE w:val="0"/>
        <w:autoSpaceDN w:val="0"/>
        <w:adjustRightInd w:val="0"/>
        <w:spacing w:after="0" w:line="240" w:lineRule="auto"/>
        <w:ind w:left="426" w:hanging="138"/>
        <w:jc w:val="both"/>
        <w:rPr>
          <w:rFonts w:eastAsia="Times New Roman" w:cstheme="minorHAnsi"/>
          <w:sz w:val="20"/>
          <w:szCs w:val="20"/>
          <w:lang w:eastAsia="pl-PL"/>
        </w:rPr>
      </w:pPr>
      <w:r w:rsidRPr="00602EF6">
        <w:rPr>
          <w:rFonts w:eastAsia="Times New Roman" w:cstheme="minorHAnsi"/>
          <w:sz w:val="20"/>
          <w:szCs w:val="20"/>
          <w:lang w:eastAsia="pl-PL"/>
        </w:rPr>
        <w:t>Prawo przewozowe (tekst jednolity Dz. U. z 2017 r. poz. 1983)</w:t>
      </w:r>
    </w:p>
    <w:p w14:paraId="15CFCEC3" w14:textId="2572D044" w:rsidR="00E95D02" w:rsidRPr="00602EF6" w:rsidRDefault="00E95D02">
      <w:pPr>
        <w:numPr>
          <w:ilvl w:val="0"/>
          <w:numId w:val="148"/>
        </w:numPr>
        <w:autoSpaceDE w:val="0"/>
        <w:autoSpaceDN w:val="0"/>
        <w:adjustRightInd w:val="0"/>
        <w:spacing w:after="0" w:line="240" w:lineRule="auto"/>
        <w:ind w:left="426" w:hanging="138"/>
        <w:jc w:val="both"/>
        <w:rPr>
          <w:rFonts w:eastAsia="Times New Roman" w:cstheme="minorHAnsi"/>
          <w:sz w:val="20"/>
          <w:szCs w:val="20"/>
          <w:lang w:eastAsia="pl-PL"/>
        </w:rPr>
      </w:pPr>
      <w:r w:rsidRPr="00602EF6">
        <w:rPr>
          <w:rFonts w:eastAsia="Times New Roman" w:cstheme="minorHAnsi"/>
          <w:sz w:val="20"/>
          <w:szCs w:val="20"/>
          <w:lang w:eastAsia="pl-PL"/>
        </w:rPr>
        <w:t xml:space="preserve">Zarządzenie nr 34 Generalnego Dyrektora Dróg Krajowych i Autostrad z dnia 30 kwietnia 2015 r. </w:t>
      </w:r>
      <w:r w:rsidR="00602EF6">
        <w:rPr>
          <w:rFonts w:eastAsia="Times New Roman" w:cstheme="minorHAnsi"/>
          <w:sz w:val="20"/>
          <w:szCs w:val="20"/>
          <w:lang w:eastAsia="pl-PL"/>
        </w:rPr>
        <w:br/>
      </w:r>
      <w:r w:rsidRPr="00602EF6">
        <w:rPr>
          <w:rFonts w:eastAsia="Times New Roman" w:cstheme="minorHAnsi"/>
          <w:sz w:val="20"/>
          <w:szCs w:val="20"/>
          <w:lang w:eastAsia="pl-PL"/>
        </w:rPr>
        <w:t>w sprawie diagnostyki stanu nawierzchni i jej elementów</w:t>
      </w:r>
    </w:p>
    <w:p w14:paraId="603BC2EA" w14:textId="77777777" w:rsidR="00E95D02" w:rsidRPr="004853EB" w:rsidRDefault="00E95D02">
      <w:pPr>
        <w:numPr>
          <w:ilvl w:val="0"/>
          <w:numId w:val="148"/>
        </w:numPr>
        <w:autoSpaceDE w:val="0"/>
        <w:autoSpaceDN w:val="0"/>
        <w:adjustRightInd w:val="0"/>
        <w:spacing w:after="0" w:line="240" w:lineRule="auto"/>
        <w:ind w:left="426" w:hanging="138"/>
        <w:jc w:val="both"/>
        <w:rPr>
          <w:rFonts w:eastAsia="Times New Roman" w:cstheme="minorHAnsi"/>
          <w:sz w:val="20"/>
          <w:szCs w:val="20"/>
          <w:lang w:val="pl" w:eastAsia="pl-PL"/>
        </w:rPr>
      </w:pPr>
      <w:r w:rsidRPr="004853EB">
        <w:rPr>
          <w:rFonts w:eastAsia="Times New Roman" w:cstheme="minorHAnsi"/>
          <w:sz w:val="20"/>
          <w:szCs w:val="20"/>
          <w:lang w:val="pl" w:eastAsia="pl-PL"/>
        </w:rPr>
        <w:t>Podręcznik oznakowania poziomego, Linia Życia, Wrocław, 2011</w:t>
      </w:r>
    </w:p>
    <w:p w14:paraId="6FB16E0F" w14:textId="77777777" w:rsidR="00E95D02" w:rsidRPr="004853EB" w:rsidRDefault="00E95D02">
      <w:pPr>
        <w:numPr>
          <w:ilvl w:val="0"/>
          <w:numId w:val="148"/>
        </w:numPr>
        <w:autoSpaceDE w:val="0"/>
        <w:autoSpaceDN w:val="0"/>
        <w:adjustRightInd w:val="0"/>
        <w:spacing w:after="0" w:line="240" w:lineRule="auto"/>
        <w:ind w:left="426" w:hanging="138"/>
        <w:jc w:val="both"/>
        <w:rPr>
          <w:rFonts w:eastAsia="Times New Roman" w:cstheme="minorHAnsi"/>
          <w:sz w:val="20"/>
          <w:szCs w:val="20"/>
          <w:lang w:val="pl" w:eastAsia="pl-PL"/>
        </w:rPr>
      </w:pPr>
      <w:r w:rsidRPr="004853EB">
        <w:rPr>
          <w:rFonts w:eastAsia="Times New Roman" w:cstheme="minorHAnsi"/>
          <w:sz w:val="20"/>
          <w:szCs w:val="20"/>
          <w:lang w:val="pl" w:eastAsia="pl-PL"/>
        </w:rPr>
        <w:t xml:space="preserve">Prawo zamówień publicznych (tekst jednolity Dz. U. z </w:t>
      </w:r>
      <w:r w:rsidRPr="00602EF6">
        <w:rPr>
          <w:rFonts w:eastAsia="Times New Roman" w:cstheme="minorHAnsi"/>
          <w:sz w:val="20"/>
          <w:szCs w:val="20"/>
          <w:lang w:eastAsia="pl-PL"/>
        </w:rPr>
        <w:t>2017 r., poz. 1579 z późn. zm.)</w:t>
      </w:r>
    </w:p>
    <w:p w14:paraId="04D83A9A" w14:textId="77777777" w:rsidR="00E95D02" w:rsidRPr="004853EB" w:rsidRDefault="00E95D02" w:rsidP="00E95D02">
      <w:pPr>
        <w:spacing w:after="0" w:line="240" w:lineRule="auto"/>
        <w:rPr>
          <w:rFonts w:eastAsia="Times New Roman" w:cstheme="minorHAnsi"/>
          <w:sz w:val="20"/>
          <w:szCs w:val="20"/>
          <w:lang w:val="pl" w:eastAsia="pl-PL"/>
        </w:rPr>
      </w:pPr>
    </w:p>
    <w:p w14:paraId="764CD0E0" w14:textId="77777777" w:rsidR="00E95D02" w:rsidRPr="004853EB" w:rsidRDefault="00E95D02">
      <w:pPr>
        <w:rPr>
          <w:rFonts w:cstheme="minorHAnsi"/>
        </w:rPr>
      </w:pPr>
    </w:p>
    <w:p w14:paraId="7BF624A5" w14:textId="77777777" w:rsidR="003A11E0" w:rsidRPr="004853EB" w:rsidRDefault="003A11E0"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2CE8D723" w14:textId="77777777" w:rsidR="003A11E0" w:rsidRPr="004853EB" w:rsidRDefault="003A11E0"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7B9223AA" w14:textId="77777777" w:rsidR="003A11E0" w:rsidRPr="004853EB" w:rsidRDefault="003A11E0"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306F3BAD" w14:textId="77777777" w:rsidR="003A11E0" w:rsidRPr="004853EB" w:rsidRDefault="003A11E0"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36512CB2" w14:textId="77777777" w:rsidR="003A11E0" w:rsidRPr="004853EB" w:rsidRDefault="003A11E0"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632C8220" w14:textId="77777777" w:rsidR="003A11E0" w:rsidRPr="004853EB" w:rsidRDefault="003A11E0"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3D89012F" w14:textId="77777777" w:rsidR="003A11E0" w:rsidRPr="004853EB" w:rsidRDefault="003A11E0"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4BFF2FB5" w14:textId="77777777" w:rsidR="003A11E0" w:rsidRPr="004853EB" w:rsidRDefault="003A11E0"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17D5FF1C" w14:textId="77777777" w:rsidR="003A11E0" w:rsidRPr="004853EB" w:rsidRDefault="003A11E0"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07A88C2C" w14:textId="77777777" w:rsidR="003A11E0" w:rsidRPr="004853EB" w:rsidRDefault="003A11E0" w:rsidP="00D86E93">
      <w:pPr>
        <w:pStyle w:val="Nagwek1"/>
        <w:rPr>
          <w:rFonts w:cstheme="minorHAnsi"/>
          <w:b w:val="0"/>
        </w:rPr>
      </w:pPr>
    </w:p>
    <w:p w14:paraId="681633E5" w14:textId="77777777" w:rsidR="003A11E0" w:rsidRPr="004853EB" w:rsidRDefault="003A11E0"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22466567" w14:textId="39BEE312" w:rsidR="004853EB" w:rsidRPr="00D86E93" w:rsidRDefault="004853EB" w:rsidP="00D86E93">
      <w:pPr>
        <w:pStyle w:val="Nagwek1"/>
        <w:rPr>
          <w:rFonts w:asciiTheme="minorHAnsi" w:hAnsiTheme="minorHAnsi" w:cstheme="minorHAnsi"/>
          <w:b w:val="0"/>
          <w:bCs/>
          <w:sz w:val="22"/>
          <w:szCs w:val="22"/>
        </w:rPr>
      </w:pPr>
      <w:bookmarkStart w:id="3864" w:name="_Toc227825631"/>
      <w:r w:rsidRPr="00D86E93">
        <w:rPr>
          <w:rFonts w:asciiTheme="minorHAnsi" w:hAnsiTheme="minorHAnsi" w:cstheme="minorHAnsi"/>
          <w:bCs/>
          <w:sz w:val="22"/>
          <w:szCs w:val="22"/>
        </w:rPr>
        <w:lastRenderedPageBreak/>
        <w:t>D - 07.02.01 OZNAKOWANIE PIONOWE</w:t>
      </w:r>
      <w:bookmarkEnd w:id="3864"/>
    </w:p>
    <w:p w14:paraId="01ACF7F0" w14:textId="77777777" w:rsidR="004853EB" w:rsidRPr="002A326C" w:rsidRDefault="004853EB" w:rsidP="002A326C">
      <w:pPr>
        <w:keepNext/>
        <w:keepLines/>
        <w:suppressAutoHyphens/>
        <w:autoSpaceDE w:val="0"/>
        <w:autoSpaceDN w:val="0"/>
        <w:adjustRightInd w:val="0"/>
        <w:spacing w:before="240" w:after="120"/>
        <w:jc w:val="both"/>
        <w:rPr>
          <w:rFonts w:cstheme="minorHAnsi"/>
          <w:b/>
          <w:bCs/>
          <w:caps/>
          <w:sz w:val="20"/>
          <w:szCs w:val="20"/>
        </w:rPr>
      </w:pPr>
      <w:r w:rsidRPr="002A326C">
        <w:rPr>
          <w:rFonts w:cstheme="minorHAnsi"/>
          <w:b/>
          <w:bCs/>
          <w:caps/>
          <w:sz w:val="20"/>
          <w:szCs w:val="20"/>
        </w:rPr>
        <w:t>1. Wstęp</w:t>
      </w:r>
    </w:p>
    <w:p w14:paraId="63B06BA8"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1.1. Przedmiot SST</w:t>
      </w:r>
    </w:p>
    <w:p w14:paraId="021EF217"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Przedmiotem niniejszej szczegółowej specyfikacji technicznej (SST) są wymagania dotyczące wykonania i odbioru oznakowania pionowego.</w:t>
      </w:r>
    </w:p>
    <w:p w14:paraId="783A0F9A"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1.2. Zakres stosowania SST</w:t>
      </w:r>
    </w:p>
    <w:p w14:paraId="66759070"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Specyfikacja techniczna jest stosowana jako dokument przetargowy i kontraktowy przy zlecaniu i realizacji robót wymienionych w pkt 1.1.</w:t>
      </w:r>
    </w:p>
    <w:p w14:paraId="47331571" w14:textId="5631A22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 xml:space="preserve">Zakres i warunki stosowania pionowych stałych odblaskowych znaków drogowych są opisane </w:t>
      </w:r>
      <w:r w:rsidR="00602EF6">
        <w:rPr>
          <w:rFonts w:cstheme="minorHAnsi"/>
          <w:sz w:val="20"/>
          <w:szCs w:val="20"/>
        </w:rPr>
        <w:br/>
      </w:r>
      <w:r w:rsidRPr="002A326C">
        <w:rPr>
          <w:rFonts w:cstheme="minorHAnsi"/>
          <w:sz w:val="20"/>
          <w:szCs w:val="20"/>
        </w:rPr>
        <w:t xml:space="preserve">w załącznikach nr 1 i 4 do rozporządzenia Ministra Infrastruktury z dnia 3 lipca 2003 w sprawie szczegółowych warunków technicznych dla znaków i sygnałów drogowych oraz urządzeń bezpieczeństwa ruchu drogowego </w:t>
      </w:r>
      <w:r w:rsidR="00602EF6">
        <w:rPr>
          <w:rFonts w:cstheme="minorHAnsi"/>
          <w:sz w:val="20"/>
          <w:szCs w:val="20"/>
        </w:rPr>
        <w:br/>
      </w:r>
      <w:r w:rsidRPr="002A326C">
        <w:rPr>
          <w:rFonts w:cstheme="minorHAnsi"/>
          <w:sz w:val="20"/>
          <w:szCs w:val="20"/>
        </w:rPr>
        <w:t>i warunków ich umieszczania na drogach [19].</w:t>
      </w:r>
    </w:p>
    <w:p w14:paraId="0DCA7A74"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1.3. Zakres robót objętych SST</w:t>
      </w:r>
    </w:p>
    <w:p w14:paraId="2BC864EC" w14:textId="6893865A" w:rsidR="004853EB" w:rsidRPr="002A326C" w:rsidRDefault="004853EB" w:rsidP="002A326C">
      <w:pPr>
        <w:jc w:val="both"/>
        <w:rPr>
          <w:rFonts w:cstheme="minorHAnsi"/>
          <w:sz w:val="20"/>
          <w:szCs w:val="20"/>
        </w:rPr>
      </w:pPr>
      <w:r w:rsidRPr="002A326C">
        <w:rPr>
          <w:rFonts w:cstheme="minorHAnsi"/>
          <w:sz w:val="20"/>
          <w:szCs w:val="20"/>
        </w:rPr>
        <w:tab/>
        <w:t xml:space="preserve">Ustalenia zawarte w niniejszej specyfikacji związanych z </w:t>
      </w:r>
      <w:r w:rsidRPr="002A326C">
        <w:rPr>
          <w:rFonts w:cstheme="minorHAnsi"/>
          <w:b/>
          <w:sz w:val="20"/>
          <w:szCs w:val="20"/>
        </w:rPr>
        <w:t xml:space="preserve">Przebudową </w:t>
      </w:r>
      <w:r w:rsidR="00602EF6" w:rsidRPr="002A326C">
        <w:rPr>
          <w:rFonts w:cstheme="minorHAnsi"/>
          <w:b/>
          <w:sz w:val="20"/>
          <w:szCs w:val="20"/>
        </w:rPr>
        <w:t>drogi powiatowej</w:t>
      </w:r>
      <w:r w:rsidRPr="002A326C">
        <w:rPr>
          <w:rFonts w:cstheme="minorHAnsi"/>
          <w:b/>
          <w:sz w:val="20"/>
          <w:szCs w:val="20"/>
        </w:rPr>
        <w:t xml:space="preserve"> </w:t>
      </w:r>
      <w:r w:rsidR="002A326C" w:rsidRPr="002A326C">
        <w:rPr>
          <w:rFonts w:cstheme="minorHAnsi"/>
          <w:b/>
          <w:bCs/>
          <w:sz w:val="20"/>
          <w:szCs w:val="20"/>
        </w:rPr>
        <w:t>4506W Zwoleń – Sarnów w miejscowości Łuczynów</w:t>
      </w:r>
      <w:r w:rsidRPr="002A326C">
        <w:rPr>
          <w:rFonts w:cstheme="minorHAnsi"/>
          <w:b/>
          <w:sz w:val="20"/>
          <w:szCs w:val="20"/>
        </w:rPr>
        <w:t xml:space="preserve"> </w:t>
      </w:r>
      <w:r w:rsidRPr="002A326C">
        <w:rPr>
          <w:rFonts w:cstheme="minorHAnsi"/>
          <w:sz w:val="20"/>
          <w:szCs w:val="20"/>
        </w:rPr>
        <w:t>i obejmują roboty związane z wykonywaniem i odbiorem oznakowania pionowego stosowanego na drogach, w postaci:</w:t>
      </w:r>
    </w:p>
    <w:p w14:paraId="41D46EBA" w14:textId="77777777" w:rsidR="004853EB" w:rsidRPr="002A326C" w:rsidRDefault="004853EB">
      <w:pPr>
        <w:numPr>
          <w:ilvl w:val="0"/>
          <w:numId w:val="181"/>
        </w:numPr>
        <w:overflowPunct w:val="0"/>
        <w:autoSpaceDE w:val="0"/>
        <w:autoSpaceDN w:val="0"/>
        <w:adjustRightInd w:val="0"/>
        <w:spacing w:after="0" w:line="240" w:lineRule="auto"/>
        <w:jc w:val="both"/>
        <w:textAlignment w:val="baseline"/>
        <w:rPr>
          <w:rFonts w:cstheme="minorHAnsi"/>
          <w:sz w:val="20"/>
          <w:szCs w:val="20"/>
        </w:rPr>
      </w:pPr>
      <w:r w:rsidRPr="002A326C">
        <w:rPr>
          <w:rFonts w:cstheme="minorHAnsi"/>
          <w:sz w:val="20"/>
          <w:szCs w:val="20"/>
        </w:rPr>
        <w:t>znaków ostrzegawczych,</w:t>
      </w:r>
    </w:p>
    <w:p w14:paraId="0DA8A9DE" w14:textId="77777777" w:rsidR="004853EB" w:rsidRPr="002A326C" w:rsidRDefault="004853EB">
      <w:pPr>
        <w:numPr>
          <w:ilvl w:val="0"/>
          <w:numId w:val="181"/>
        </w:numPr>
        <w:overflowPunct w:val="0"/>
        <w:autoSpaceDE w:val="0"/>
        <w:autoSpaceDN w:val="0"/>
        <w:adjustRightInd w:val="0"/>
        <w:spacing w:after="0" w:line="240" w:lineRule="auto"/>
        <w:jc w:val="both"/>
        <w:textAlignment w:val="baseline"/>
        <w:rPr>
          <w:rFonts w:cstheme="minorHAnsi"/>
          <w:sz w:val="20"/>
          <w:szCs w:val="20"/>
        </w:rPr>
      </w:pPr>
      <w:r w:rsidRPr="002A326C">
        <w:rPr>
          <w:rFonts w:cstheme="minorHAnsi"/>
          <w:sz w:val="20"/>
          <w:szCs w:val="20"/>
        </w:rPr>
        <w:t>znaków zakazu i nakazu,</w:t>
      </w:r>
    </w:p>
    <w:p w14:paraId="1A896A64" w14:textId="77777777" w:rsidR="004853EB" w:rsidRPr="002A326C" w:rsidRDefault="004853EB">
      <w:pPr>
        <w:numPr>
          <w:ilvl w:val="0"/>
          <w:numId w:val="181"/>
        </w:numPr>
        <w:overflowPunct w:val="0"/>
        <w:autoSpaceDE w:val="0"/>
        <w:autoSpaceDN w:val="0"/>
        <w:adjustRightInd w:val="0"/>
        <w:spacing w:after="0" w:line="240" w:lineRule="auto"/>
        <w:jc w:val="both"/>
        <w:textAlignment w:val="baseline"/>
        <w:rPr>
          <w:rFonts w:cstheme="minorHAnsi"/>
          <w:sz w:val="20"/>
          <w:szCs w:val="20"/>
        </w:rPr>
      </w:pPr>
      <w:r w:rsidRPr="002A326C">
        <w:rPr>
          <w:rFonts w:cstheme="minorHAnsi"/>
          <w:sz w:val="20"/>
          <w:szCs w:val="20"/>
        </w:rPr>
        <w:t>znaków informacyjnych,</w:t>
      </w:r>
    </w:p>
    <w:p w14:paraId="24C32F68" w14:textId="77777777" w:rsidR="004853EB" w:rsidRPr="002A326C" w:rsidRDefault="004853EB">
      <w:pPr>
        <w:numPr>
          <w:ilvl w:val="0"/>
          <w:numId w:val="181"/>
        </w:numPr>
        <w:overflowPunct w:val="0"/>
        <w:autoSpaceDE w:val="0"/>
        <w:autoSpaceDN w:val="0"/>
        <w:adjustRightInd w:val="0"/>
        <w:spacing w:after="0" w:line="240" w:lineRule="auto"/>
        <w:jc w:val="both"/>
        <w:textAlignment w:val="baseline"/>
        <w:rPr>
          <w:rFonts w:cstheme="minorHAnsi"/>
          <w:sz w:val="20"/>
          <w:szCs w:val="20"/>
        </w:rPr>
      </w:pPr>
      <w:r w:rsidRPr="002A326C">
        <w:rPr>
          <w:rFonts w:cstheme="minorHAnsi"/>
          <w:sz w:val="20"/>
          <w:szCs w:val="20"/>
        </w:rPr>
        <w:t>znaków uzupełniających i tabliczek do znaków drogowych.</w:t>
      </w:r>
    </w:p>
    <w:p w14:paraId="6EFE81A5"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1.4. Określenia podstawowe</w:t>
      </w:r>
    </w:p>
    <w:p w14:paraId="34C0811E"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b/>
          <w:bCs/>
          <w:sz w:val="20"/>
          <w:szCs w:val="20"/>
        </w:rPr>
        <w:t xml:space="preserve">1.4.1. </w:t>
      </w:r>
      <w:r w:rsidRPr="002A326C">
        <w:rPr>
          <w:rFonts w:cstheme="minorHAnsi"/>
          <w:sz w:val="20"/>
          <w:szCs w:val="20"/>
        </w:rPr>
        <w:t>Znak drogowy pionowy – element wyposażenia drogi zamocowany na stałe lub przenośny, służący do ostrzegania, prowadzenia i informowania użytkowników drogi. Znak drogowy pionowy składa się z lica umieszczonego na tarczy. Zestaw znaku drogowego obejmuje znak drogowy pionowy umieszczony na konstrukcji wsporczej [1].</w:t>
      </w:r>
    </w:p>
    <w:p w14:paraId="58261E35" w14:textId="7E96117E" w:rsidR="004853EB" w:rsidRPr="002A326C" w:rsidRDefault="004853EB" w:rsidP="002A326C">
      <w:pPr>
        <w:autoSpaceDE w:val="0"/>
        <w:autoSpaceDN w:val="0"/>
        <w:adjustRightInd w:val="0"/>
        <w:jc w:val="both"/>
        <w:rPr>
          <w:rFonts w:cstheme="minorHAnsi"/>
          <w:sz w:val="20"/>
          <w:szCs w:val="20"/>
        </w:rPr>
      </w:pPr>
      <w:r w:rsidRPr="002A326C">
        <w:rPr>
          <w:rFonts w:cstheme="minorHAnsi"/>
          <w:b/>
          <w:bCs/>
          <w:sz w:val="20"/>
          <w:szCs w:val="20"/>
        </w:rPr>
        <w:t xml:space="preserve">1.4.2. </w:t>
      </w:r>
      <w:r w:rsidRPr="002A326C">
        <w:rPr>
          <w:rFonts w:cstheme="minorHAnsi"/>
          <w:sz w:val="20"/>
          <w:szCs w:val="20"/>
        </w:rPr>
        <w:t xml:space="preserve">Tarcza znaku – to płaskie podłoże bez lub z elementami wzmacniającymi (profil montażowy) i z krawędzią usztywnioną profilem lub podwójnie zagiętą, na którym w sposób trwały jest umieszczone lico znaku. Tarcza może być wykonana z blachy stalowej ocynkowanej ogniowo, aluminiowej zabezpieczonej przed procesami korozji powłokami ochronnymi zapewniającymi jakość i trwałość wykonanego znaku, z płyty warstwowej lub </w:t>
      </w:r>
      <w:r w:rsidR="00602EF6">
        <w:rPr>
          <w:rFonts w:cstheme="minorHAnsi"/>
          <w:sz w:val="20"/>
          <w:szCs w:val="20"/>
        </w:rPr>
        <w:br/>
      </w:r>
      <w:r w:rsidRPr="002A326C">
        <w:rPr>
          <w:rFonts w:cstheme="minorHAnsi"/>
          <w:sz w:val="20"/>
          <w:szCs w:val="20"/>
        </w:rPr>
        <w:t>z innego materiału zapewniającego odpowiednią do przeznaczenia trwałość.</w:t>
      </w:r>
    </w:p>
    <w:p w14:paraId="4961CDF1" w14:textId="5E2A1711" w:rsidR="004853EB" w:rsidRPr="002A326C" w:rsidRDefault="004853EB" w:rsidP="002A326C">
      <w:pPr>
        <w:autoSpaceDE w:val="0"/>
        <w:autoSpaceDN w:val="0"/>
        <w:adjustRightInd w:val="0"/>
        <w:jc w:val="both"/>
        <w:rPr>
          <w:rFonts w:cstheme="minorHAnsi"/>
          <w:sz w:val="20"/>
          <w:szCs w:val="20"/>
        </w:rPr>
      </w:pPr>
      <w:r w:rsidRPr="002A326C">
        <w:rPr>
          <w:rFonts w:cstheme="minorHAnsi"/>
          <w:b/>
          <w:bCs/>
          <w:sz w:val="20"/>
          <w:szCs w:val="20"/>
        </w:rPr>
        <w:t xml:space="preserve">1.4.3. </w:t>
      </w:r>
      <w:r w:rsidRPr="002A326C">
        <w:rPr>
          <w:rFonts w:cstheme="minorHAnsi"/>
          <w:sz w:val="20"/>
          <w:szCs w:val="20"/>
        </w:rPr>
        <w:t xml:space="preserve">Lico znaku - to przednia część znaku, wykonana z samoprzylepnej folii odblaskowej lub nieodblaskowej </w:t>
      </w:r>
      <w:r w:rsidR="00602EF6">
        <w:rPr>
          <w:rFonts w:cstheme="minorHAnsi"/>
          <w:sz w:val="20"/>
          <w:szCs w:val="20"/>
        </w:rPr>
        <w:br/>
      </w:r>
      <w:r w:rsidRPr="002A326C">
        <w:rPr>
          <w:rFonts w:cstheme="minorHAnsi"/>
          <w:sz w:val="20"/>
          <w:szCs w:val="20"/>
        </w:rPr>
        <w:t>z naniesioną treścią: wykonaną techniką druku sitowego, druku cyfrowego, wyklejaną z transparentnych folii ploterowych lub z folii odblaskowych lub nieodblaskowych.</w:t>
      </w:r>
    </w:p>
    <w:p w14:paraId="4826659A"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b/>
          <w:bCs/>
          <w:sz w:val="20"/>
          <w:szCs w:val="20"/>
        </w:rPr>
        <w:t xml:space="preserve">1.4.4. </w:t>
      </w:r>
      <w:r w:rsidRPr="002A326C">
        <w:rPr>
          <w:rFonts w:cstheme="minorHAnsi"/>
          <w:sz w:val="20"/>
          <w:szCs w:val="20"/>
        </w:rPr>
        <w:t>Uchwyt mocujący - element stalowy, aluminiowy lub z tworzywa sztucznego zabezpieczony przed korozją, służący do zamocowania w sposób rozłączny tarczy znaku do konstrukcji wsporczej.</w:t>
      </w:r>
    </w:p>
    <w:p w14:paraId="041490A0" w14:textId="0FC3D09A" w:rsidR="004853EB" w:rsidRPr="002A326C" w:rsidRDefault="004853EB" w:rsidP="002A326C">
      <w:pPr>
        <w:autoSpaceDE w:val="0"/>
        <w:autoSpaceDN w:val="0"/>
        <w:adjustRightInd w:val="0"/>
        <w:jc w:val="both"/>
        <w:rPr>
          <w:rFonts w:cstheme="minorHAnsi"/>
          <w:sz w:val="20"/>
          <w:szCs w:val="20"/>
        </w:rPr>
      </w:pPr>
      <w:r w:rsidRPr="002A326C">
        <w:rPr>
          <w:rFonts w:cstheme="minorHAnsi"/>
          <w:b/>
          <w:bCs/>
          <w:sz w:val="20"/>
          <w:szCs w:val="20"/>
        </w:rPr>
        <w:t xml:space="preserve">1.4.5. </w:t>
      </w:r>
      <w:r w:rsidRPr="002A326C">
        <w:rPr>
          <w:rFonts w:cstheme="minorHAnsi"/>
          <w:sz w:val="20"/>
          <w:szCs w:val="20"/>
        </w:rPr>
        <w:t xml:space="preserve">Znak drogowy odblaskowy - znak, którego lico wykazuje właściwości odblaskowe (wykonane jest </w:t>
      </w:r>
      <w:r w:rsidR="00602EF6">
        <w:rPr>
          <w:rFonts w:cstheme="minorHAnsi"/>
          <w:sz w:val="20"/>
          <w:szCs w:val="20"/>
        </w:rPr>
        <w:br/>
      </w:r>
      <w:r w:rsidRPr="002A326C">
        <w:rPr>
          <w:rFonts w:cstheme="minorHAnsi"/>
          <w:sz w:val="20"/>
          <w:szCs w:val="20"/>
        </w:rPr>
        <w:t>z materiału o odbiciu powrotnym - współdrożnym).</w:t>
      </w:r>
    </w:p>
    <w:p w14:paraId="23FD0F23" w14:textId="66266D39" w:rsidR="004853EB" w:rsidRPr="002A326C" w:rsidRDefault="004853EB" w:rsidP="002A326C">
      <w:pPr>
        <w:autoSpaceDE w:val="0"/>
        <w:autoSpaceDN w:val="0"/>
        <w:adjustRightInd w:val="0"/>
        <w:jc w:val="both"/>
        <w:rPr>
          <w:rFonts w:cstheme="minorHAnsi"/>
          <w:sz w:val="20"/>
          <w:szCs w:val="20"/>
        </w:rPr>
      </w:pPr>
      <w:r w:rsidRPr="002A326C">
        <w:rPr>
          <w:rFonts w:cstheme="minorHAnsi"/>
          <w:b/>
          <w:bCs/>
          <w:sz w:val="20"/>
          <w:szCs w:val="20"/>
        </w:rPr>
        <w:t xml:space="preserve">1.4.6. </w:t>
      </w:r>
      <w:r w:rsidRPr="002A326C">
        <w:rPr>
          <w:rFonts w:cstheme="minorHAnsi"/>
          <w:sz w:val="20"/>
          <w:szCs w:val="20"/>
        </w:rPr>
        <w:t xml:space="preserve">Konstrukcja wsporcza znaku - każdy rodzaj konstrukcji (słupek, słup, słupy, kratownice, wysięgniki, bramy, wsporniki itp.) gwarantujący przenoszenie obciążeń zmiennych i stałych działających na konstrukcję </w:t>
      </w:r>
      <w:r w:rsidR="00602EF6">
        <w:rPr>
          <w:rFonts w:cstheme="minorHAnsi"/>
          <w:sz w:val="20"/>
          <w:szCs w:val="20"/>
        </w:rPr>
        <w:br/>
      </w:r>
      <w:r w:rsidRPr="002A326C">
        <w:rPr>
          <w:rFonts w:cstheme="minorHAnsi"/>
          <w:sz w:val="20"/>
          <w:szCs w:val="20"/>
        </w:rPr>
        <w:t>i zamontowane na niej znaki lub tablice.</w:t>
      </w:r>
    </w:p>
    <w:p w14:paraId="3E3A705B"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b/>
          <w:bCs/>
          <w:sz w:val="20"/>
          <w:szCs w:val="20"/>
        </w:rPr>
        <w:t xml:space="preserve">1.4.7. </w:t>
      </w:r>
      <w:r w:rsidRPr="002A326C">
        <w:rPr>
          <w:rFonts w:cstheme="minorHAnsi"/>
          <w:sz w:val="20"/>
          <w:szCs w:val="20"/>
          <w:highlight w:val="white"/>
        </w:rPr>
        <w:t>Bezpieczna konstrukcja wsporcza</w:t>
      </w:r>
      <w:r w:rsidRPr="002A326C">
        <w:rPr>
          <w:rFonts w:cstheme="minorHAnsi"/>
          <w:i/>
          <w:iCs/>
          <w:sz w:val="20"/>
          <w:szCs w:val="20"/>
          <w:highlight w:val="white"/>
        </w:rPr>
        <w:t xml:space="preserve"> – </w:t>
      </w:r>
      <w:r w:rsidRPr="002A326C">
        <w:rPr>
          <w:rFonts w:cstheme="minorHAnsi"/>
          <w:sz w:val="20"/>
          <w:szCs w:val="20"/>
          <w:highlight w:val="white"/>
        </w:rPr>
        <w:t>konstrukcja wsporcza znaku, spełniająca wymagania PN-EN 12767:2008 [2] w określonych kategoriach pochłaniania energii zderzenia oraz poziomach bezpieczeństwa kierujących i pasażerów pojazdu – większych od zera.</w:t>
      </w:r>
    </w:p>
    <w:p w14:paraId="62F52734"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b/>
          <w:bCs/>
          <w:sz w:val="20"/>
          <w:szCs w:val="20"/>
        </w:rPr>
        <w:lastRenderedPageBreak/>
        <w:t xml:space="preserve">1.4.8. </w:t>
      </w:r>
      <w:r w:rsidRPr="002A326C">
        <w:rPr>
          <w:rFonts w:cstheme="minorHAnsi"/>
          <w:sz w:val="20"/>
          <w:szCs w:val="20"/>
        </w:rPr>
        <w:t>Znak nowy - znak użytkowany (ustawiony na drodze) lub magazynowany w okresie do 3 miesięcy od daty produkcji.</w:t>
      </w:r>
    </w:p>
    <w:p w14:paraId="71EDCF0D"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b/>
          <w:bCs/>
          <w:sz w:val="20"/>
          <w:szCs w:val="20"/>
        </w:rPr>
        <w:t xml:space="preserve">1.4.9. </w:t>
      </w:r>
      <w:r w:rsidRPr="002A326C">
        <w:rPr>
          <w:rFonts w:cstheme="minorHAnsi"/>
          <w:sz w:val="20"/>
          <w:szCs w:val="20"/>
        </w:rPr>
        <w:t xml:space="preserve">Pozostałe określenia podstawowe są zgodne z odpowiednimi specyfikacjami technicznymi i z definicjami podanymi w SST D-00.00.00 „Wymagania ogólne” pkt 1.4. </w:t>
      </w:r>
    </w:p>
    <w:p w14:paraId="4B2D2BC5"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1.5. Ogólne wymagania dotyczące robót</w:t>
      </w:r>
    </w:p>
    <w:p w14:paraId="1EF4FCC2"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 xml:space="preserve">Ogólne wymagania dotyczące robót podano w SST D-00.00.00 „Wymagania ogólne” pkt 1.5. </w:t>
      </w:r>
    </w:p>
    <w:p w14:paraId="3791704D" w14:textId="77777777" w:rsidR="004853EB" w:rsidRPr="002A326C" w:rsidRDefault="004853EB" w:rsidP="002A326C">
      <w:pPr>
        <w:keepNext/>
        <w:keepLines/>
        <w:suppressAutoHyphens/>
        <w:autoSpaceDE w:val="0"/>
        <w:autoSpaceDN w:val="0"/>
        <w:adjustRightInd w:val="0"/>
        <w:spacing w:before="240" w:after="120"/>
        <w:jc w:val="both"/>
        <w:rPr>
          <w:rFonts w:cstheme="minorHAnsi"/>
          <w:b/>
          <w:bCs/>
          <w:caps/>
          <w:sz w:val="20"/>
          <w:szCs w:val="20"/>
        </w:rPr>
      </w:pPr>
      <w:r w:rsidRPr="002A326C">
        <w:rPr>
          <w:rFonts w:cstheme="minorHAnsi"/>
          <w:b/>
          <w:bCs/>
          <w:caps/>
          <w:sz w:val="20"/>
          <w:szCs w:val="20"/>
        </w:rPr>
        <w:t>2. Materiały</w:t>
      </w:r>
    </w:p>
    <w:p w14:paraId="618DFAEF"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2.1. Ogólne wymagania dotyczące materiałów</w:t>
      </w:r>
    </w:p>
    <w:p w14:paraId="1EE08F2C"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Ogólne wymagania dotyczące materiałów, ich pozyskiwania i składowania, podano w SST D-00.00.00 „Wymagania ogólne” pkt 2.</w:t>
      </w:r>
    </w:p>
    <w:p w14:paraId="27E1577D"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2.2. Wprowadzenie wyrobu do obrotu</w:t>
      </w:r>
    </w:p>
    <w:p w14:paraId="0AE61B59"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Jeśli wyrób budowlany, w tym materiał do pionowego oznakowania dróg, objęty jest normą zharmonizowaną lub jest zgodny z wydaną dla niego europejską oceną techniczną, producent może sporządzić deklarację właściwości użytkowych, oznakować wyrób znakiem CE i wprowadzić wyrób do obrotu [21, 24]. Norma zharmonizowana [1] dotyczy znaków drogowych, zestawów znaków drogowych, konstrukcji wsporczych, lic znaków wykonanych z folii odblaskowych kulkowych.</w:t>
      </w:r>
    </w:p>
    <w:p w14:paraId="38B3DD01"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Wyroby, których nie obejmuje norma zharmonizowana, np. folie odblaskowe pryzmatyczne mogą uzyskać europejską ocenę techniczną np. na podstawie wytycznych dla wcześniejszej europejskiej aprobaty technicznej [23] lub krajową ocenę techniczną [31].</w:t>
      </w:r>
    </w:p>
    <w:p w14:paraId="673247A0" w14:textId="77777777"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Jeśli wyrób budowlany jest zgodny z wydaną dla niego krajową oceną techniczną, producent może sporządzić krajową deklarację właściwości użytkowych, oznakować wyrób znakiem budowlanym i wprowadzić wyrób do obrotu [22, 24]. Krajowa deklaracja właściwości użytkowych może być wydana przez producenta, który uzyskał krajowy certyfikat stałości właściwości użytkowych [22] wydany przez jednostkę notyfikowaną [25]. Aprobaty techniczne IBDiM wydane przed 1 stycznia 2017 r. mogą być wykorzystywane jako krajowe oceny techniczne do końca okresu ważności tych aprobat [24].</w:t>
      </w:r>
    </w:p>
    <w:p w14:paraId="0EF2C448" w14:textId="77777777" w:rsidR="004853EB" w:rsidRPr="002A326C" w:rsidRDefault="004853EB" w:rsidP="002A326C">
      <w:pPr>
        <w:autoSpaceDE w:val="0"/>
        <w:autoSpaceDN w:val="0"/>
        <w:adjustRightInd w:val="0"/>
        <w:spacing w:before="120" w:after="120"/>
        <w:jc w:val="both"/>
        <w:rPr>
          <w:rFonts w:cstheme="minorHAnsi"/>
          <w:b/>
          <w:bCs/>
          <w:sz w:val="20"/>
          <w:szCs w:val="20"/>
        </w:rPr>
      </w:pPr>
      <w:r w:rsidRPr="002A326C">
        <w:rPr>
          <w:rFonts w:cstheme="minorHAnsi"/>
          <w:b/>
          <w:bCs/>
          <w:sz w:val="20"/>
          <w:szCs w:val="20"/>
        </w:rPr>
        <w:t>2.3. Obowiązujący system oceny i weryfikacji stałości właściwości użytkowych</w:t>
      </w:r>
    </w:p>
    <w:p w14:paraId="1260BB00" w14:textId="72A56F48"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 xml:space="preserve">Zgodnie z ustawą o systemach oceny zgodności i nadzoru rynku z 13 kwietnia 2016 r. (Dz. U. poz. 542 </w:t>
      </w:r>
      <w:r w:rsidR="00602EF6">
        <w:rPr>
          <w:rFonts w:cstheme="minorHAnsi"/>
          <w:sz w:val="20"/>
          <w:szCs w:val="20"/>
        </w:rPr>
        <w:br/>
      </w:r>
      <w:r w:rsidRPr="002A326C">
        <w:rPr>
          <w:rFonts w:cstheme="minorHAnsi"/>
          <w:sz w:val="20"/>
          <w:szCs w:val="20"/>
        </w:rPr>
        <w:t>i 1228) [25] i rozporządzeniem Ministra Infrastruktury z dnia 17 listopada 2016 r. w sprawie sposobu deklarowania właściwości użytkowych wyrobów budowlanych oraz sposobu znakowania ich znakiem budowlanym [22] znaki drogowe zostały zakwalifikowane do Systemu 1 krajowego systemu oceny i weryfikacji stałości właściwości użytkowych.</w:t>
      </w:r>
    </w:p>
    <w:p w14:paraId="23F2B55C" w14:textId="77777777" w:rsidR="004853EB" w:rsidRPr="002A326C" w:rsidRDefault="004853EB" w:rsidP="002A326C">
      <w:pPr>
        <w:autoSpaceDE w:val="0"/>
        <w:autoSpaceDN w:val="0"/>
        <w:adjustRightInd w:val="0"/>
        <w:spacing w:before="120" w:after="120"/>
        <w:jc w:val="both"/>
        <w:rPr>
          <w:rFonts w:cstheme="minorHAnsi"/>
          <w:b/>
          <w:bCs/>
          <w:sz w:val="20"/>
          <w:szCs w:val="20"/>
        </w:rPr>
      </w:pPr>
      <w:r w:rsidRPr="002A326C">
        <w:rPr>
          <w:rFonts w:cstheme="minorHAnsi"/>
          <w:b/>
          <w:bCs/>
          <w:sz w:val="20"/>
          <w:szCs w:val="20"/>
        </w:rPr>
        <w:t>2.4. Materiały stosowane do fundamentów znaków</w:t>
      </w:r>
    </w:p>
    <w:p w14:paraId="31245367"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Fundamenty dla zamocowania konstrukcji wsporczych znaków mogą być wykonywane:</w:t>
      </w:r>
    </w:p>
    <w:p w14:paraId="59A06D1C"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z betonu wykonywanego „na mokro”, bezpośrednio w gruncie,</w:t>
      </w:r>
    </w:p>
    <w:p w14:paraId="7A86AB14"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Inne rozwiązania wymagają akceptacji przez Inżyniera.</w:t>
      </w:r>
    </w:p>
    <w:p w14:paraId="1B5E0B4A"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2.5. Konstrukcje wsporcze</w:t>
      </w:r>
    </w:p>
    <w:p w14:paraId="01E3D474" w14:textId="77777777" w:rsidR="004853EB" w:rsidRPr="002A326C" w:rsidRDefault="004853EB" w:rsidP="002A326C">
      <w:pPr>
        <w:keepNext/>
        <w:autoSpaceDE w:val="0"/>
        <w:autoSpaceDN w:val="0"/>
        <w:adjustRightInd w:val="0"/>
        <w:jc w:val="both"/>
        <w:rPr>
          <w:rFonts w:cstheme="minorHAnsi"/>
          <w:sz w:val="20"/>
          <w:szCs w:val="20"/>
        </w:rPr>
      </w:pPr>
      <w:r w:rsidRPr="002A326C">
        <w:rPr>
          <w:rFonts w:cstheme="minorHAnsi"/>
          <w:b/>
          <w:bCs/>
          <w:sz w:val="20"/>
          <w:szCs w:val="20"/>
        </w:rPr>
        <w:t xml:space="preserve">2.5.1. </w:t>
      </w:r>
      <w:r w:rsidRPr="002A326C">
        <w:rPr>
          <w:rFonts w:cstheme="minorHAnsi"/>
          <w:sz w:val="20"/>
          <w:szCs w:val="20"/>
        </w:rPr>
        <w:t>Ogólna charakterystyka konstrukcji wsporczych</w:t>
      </w:r>
    </w:p>
    <w:p w14:paraId="1C5A0CF5" w14:textId="16FFE94A"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ab/>
        <w:t>Konstrukcje wsporcze znaków pionowych należy zaprojektować i wykonać w sposób</w:t>
      </w:r>
      <w:r w:rsidRPr="002A326C">
        <w:rPr>
          <w:rFonts w:cstheme="minorHAnsi"/>
          <w:b/>
          <w:bCs/>
          <w:sz w:val="20"/>
          <w:szCs w:val="20"/>
        </w:rPr>
        <w:t xml:space="preserve"> </w:t>
      </w:r>
      <w:r w:rsidRPr="002A326C">
        <w:rPr>
          <w:rFonts w:cstheme="minorHAnsi"/>
          <w:sz w:val="20"/>
          <w:szCs w:val="20"/>
        </w:rPr>
        <w:t>gwarantujący stabilne</w:t>
      </w:r>
      <w:r w:rsidRPr="002A326C">
        <w:rPr>
          <w:rFonts w:cstheme="minorHAnsi"/>
          <w:b/>
          <w:bCs/>
          <w:sz w:val="20"/>
          <w:szCs w:val="20"/>
        </w:rPr>
        <w:t xml:space="preserve"> </w:t>
      </w:r>
      <w:r w:rsidRPr="002A326C">
        <w:rPr>
          <w:rFonts w:cstheme="minorHAnsi"/>
          <w:sz w:val="20"/>
          <w:szCs w:val="20"/>
        </w:rPr>
        <w:t>i</w:t>
      </w:r>
      <w:r w:rsidRPr="002A326C">
        <w:rPr>
          <w:rFonts w:cstheme="minorHAnsi"/>
          <w:b/>
          <w:bCs/>
          <w:sz w:val="20"/>
          <w:szCs w:val="20"/>
        </w:rPr>
        <w:t xml:space="preserve"> </w:t>
      </w:r>
      <w:r w:rsidRPr="002A326C">
        <w:rPr>
          <w:rFonts w:cstheme="minorHAnsi"/>
          <w:sz w:val="20"/>
          <w:szCs w:val="20"/>
        </w:rPr>
        <w:t xml:space="preserve">prawidłowe ustawienie w pasie drogowym, zgodnie z dokumentacją projektową uwzględniającą wymagania postawione w PN-EN 12899-1:2010 [1] i ST, a w przypadku braku wystarczających ustaleń, zgodnie </w:t>
      </w:r>
      <w:r w:rsidR="00602EF6">
        <w:rPr>
          <w:rFonts w:cstheme="minorHAnsi"/>
          <w:sz w:val="20"/>
          <w:szCs w:val="20"/>
        </w:rPr>
        <w:br/>
      </w:r>
      <w:r w:rsidRPr="002A326C">
        <w:rPr>
          <w:rFonts w:cstheme="minorHAnsi"/>
          <w:sz w:val="20"/>
          <w:szCs w:val="20"/>
        </w:rPr>
        <w:t>z propozycją Wykonawcy zaakceptowaną przez Inżyniera. Konstrukcję wsporczą stanowi każdy rodzaj konstrukcji wymieniony w pkt 1.4.6.</w:t>
      </w:r>
    </w:p>
    <w:p w14:paraId="45AFC9EE"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lastRenderedPageBreak/>
        <w:tab/>
        <w:t>W zależności od szerokości znaku lub tablicy, konstrukcja wsporcza może posiadać jedną dwie lub trzy podpory.</w:t>
      </w:r>
    </w:p>
    <w:p w14:paraId="03E27F6A"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Zaleca się następujący sposób doboru konstrukcji do powierzchni tablic:</w:t>
      </w:r>
    </w:p>
    <w:p w14:paraId="233EB1B8" w14:textId="7DEBC338" w:rsidR="004853EB" w:rsidRPr="002A326C" w:rsidRDefault="004853EB">
      <w:pPr>
        <w:numPr>
          <w:ilvl w:val="0"/>
          <w:numId w:val="182"/>
        </w:numPr>
        <w:tabs>
          <w:tab w:val="left" w:pos="426"/>
          <w:tab w:val="left" w:pos="705"/>
        </w:tabs>
        <w:autoSpaceDE w:val="0"/>
        <w:autoSpaceDN w:val="0"/>
        <w:adjustRightInd w:val="0"/>
        <w:spacing w:after="0" w:line="240" w:lineRule="auto"/>
        <w:ind w:left="705" w:hanging="705"/>
        <w:jc w:val="both"/>
        <w:rPr>
          <w:rFonts w:cstheme="minorHAnsi"/>
          <w:sz w:val="20"/>
          <w:szCs w:val="20"/>
        </w:rPr>
      </w:pPr>
      <w:r w:rsidRPr="002A326C">
        <w:rPr>
          <w:rFonts w:cstheme="minorHAnsi"/>
          <w:sz w:val="20"/>
          <w:szCs w:val="20"/>
        </w:rPr>
        <w:t xml:space="preserve">do powierzchni </w:t>
      </w:r>
      <w:r w:rsidR="00602EF6" w:rsidRPr="002A326C">
        <w:rPr>
          <w:rFonts w:cstheme="minorHAnsi"/>
          <w:sz w:val="20"/>
          <w:szCs w:val="20"/>
        </w:rPr>
        <w:t>A 1</w:t>
      </w:r>
      <w:r w:rsidRPr="002A326C">
        <w:rPr>
          <w:rFonts w:cstheme="minorHAnsi"/>
          <w:sz w:val="20"/>
          <w:szCs w:val="20"/>
        </w:rPr>
        <w:t>,5 m</w:t>
      </w:r>
      <w:r w:rsidRPr="002A326C">
        <w:rPr>
          <w:rFonts w:cstheme="minorHAnsi"/>
          <w:sz w:val="20"/>
          <w:szCs w:val="20"/>
          <w:vertAlign w:val="superscript"/>
        </w:rPr>
        <w:t>2</w:t>
      </w:r>
      <w:r w:rsidRPr="002A326C">
        <w:rPr>
          <w:rFonts w:cstheme="minorHAnsi"/>
          <w:sz w:val="20"/>
          <w:szCs w:val="20"/>
        </w:rPr>
        <w:t xml:space="preserve"> i długości </w:t>
      </w:r>
      <w:r w:rsidR="00602EF6" w:rsidRPr="002A326C">
        <w:rPr>
          <w:rFonts w:cstheme="minorHAnsi"/>
          <w:sz w:val="20"/>
          <w:szCs w:val="20"/>
        </w:rPr>
        <w:t>l 1</w:t>
      </w:r>
      <w:r w:rsidRPr="002A326C">
        <w:rPr>
          <w:rFonts w:cstheme="minorHAnsi"/>
          <w:sz w:val="20"/>
          <w:szCs w:val="20"/>
        </w:rPr>
        <w:t xml:space="preserve"> m – 1 słupek,</w:t>
      </w:r>
    </w:p>
    <w:p w14:paraId="373499C4" w14:textId="5BBF47A4" w:rsidR="004853EB" w:rsidRPr="002A326C" w:rsidRDefault="004853EB">
      <w:pPr>
        <w:numPr>
          <w:ilvl w:val="0"/>
          <w:numId w:val="182"/>
        </w:numPr>
        <w:tabs>
          <w:tab w:val="left" w:pos="426"/>
          <w:tab w:val="left" w:pos="705"/>
        </w:tabs>
        <w:autoSpaceDE w:val="0"/>
        <w:autoSpaceDN w:val="0"/>
        <w:adjustRightInd w:val="0"/>
        <w:spacing w:after="0" w:line="240" w:lineRule="auto"/>
        <w:ind w:left="705" w:hanging="705"/>
        <w:jc w:val="both"/>
        <w:rPr>
          <w:rFonts w:cstheme="minorHAnsi"/>
          <w:sz w:val="20"/>
          <w:szCs w:val="20"/>
        </w:rPr>
      </w:pPr>
      <w:r w:rsidRPr="002A326C">
        <w:rPr>
          <w:rFonts w:cstheme="minorHAnsi"/>
          <w:sz w:val="20"/>
          <w:szCs w:val="20"/>
        </w:rPr>
        <w:t xml:space="preserve">do powierzchni </w:t>
      </w:r>
      <w:r w:rsidR="00602EF6" w:rsidRPr="002A326C">
        <w:rPr>
          <w:rFonts w:cstheme="minorHAnsi"/>
          <w:sz w:val="20"/>
          <w:szCs w:val="20"/>
        </w:rPr>
        <w:t>A 1</w:t>
      </w:r>
      <w:r w:rsidRPr="002A326C">
        <w:rPr>
          <w:rFonts w:cstheme="minorHAnsi"/>
          <w:sz w:val="20"/>
          <w:szCs w:val="20"/>
        </w:rPr>
        <w:t>,5 m</w:t>
      </w:r>
      <w:r w:rsidRPr="002A326C">
        <w:rPr>
          <w:rFonts w:cstheme="minorHAnsi"/>
          <w:sz w:val="20"/>
          <w:szCs w:val="20"/>
          <w:vertAlign w:val="superscript"/>
        </w:rPr>
        <w:t>2</w:t>
      </w:r>
      <w:r w:rsidRPr="002A326C">
        <w:rPr>
          <w:rFonts w:cstheme="minorHAnsi"/>
          <w:sz w:val="20"/>
          <w:szCs w:val="20"/>
        </w:rPr>
        <w:t xml:space="preserve"> i długości l &gt; 1 m – 2 słupki,</w:t>
      </w:r>
    </w:p>
    <w:p w14:paraId="77FBB756" w14:textId="5EA83ACE" w:rsidR="004853EB" w:rsidRPr="002A326C" w:rsidRDefault="004853EB">
      <w:pPr>
        <w:numPr>
          <w:ilvl w:val="0"/>
          <w:numId w:val="182"/>
        </w:numPr>
        <w:tabs>
          <w:tab w:val="left" w:pos="426"/>
          <w:tab w:val="left" w:pos="705"/>
        </w:tabs>
        <w:autoSpaceDE w:val="0"/>
        <w:autoSpaceDN w:val="0"/>
        <w:adjustRightInd w:val="0"/>
        <w:spacing w:after="0" w:line="240" w:lineRule="auto"/>
        <w:ind w:left="705" w:hanging="705"/>
        <w:jc w:val="both"/>
        <w:rPr>
          <w:rFonts w:cstheme="minorHAnsi"/>
          <w:sz w:val="20"/>
          <w:szCs w:val="20"/>
        </w:rPr>
      </w:pPr>
      <w:r w:rsidRPr="002A326C">
        <w:rPr>
          <w:rFonts w:cstheme="minorHAnsi"/>
          <w:sz w:val="20"/>
          <w:szCs w:val="20"/>
        </w:rPr>
        <w:t>do powierzchni 1,5 m</w:t>
      </w:r>
      <w:r w:rsidR="00602EF6" w:rsidRPr="002A326C">
        <w:rPr>
          <w:rFonts w:cstheme="minorHAnsi"/>
          <w:sz w:val="20"/>
          <w:szCs w:val="20"/>
          <w:vertAlign w:val="superscript"/>
        </w:rPr>
        <w:t>2</w:t>
      </w:r>
      <w:r w:rsidR="00602EF6" w:rsidRPr="002A326C">
        <w:rPr>
          <w:rFonts w:cstheme="minorHAnsi"/>
          <w:sz w:val="20"/>
          <w:szCs w:val="20"/>
        </w:rPr>
        <w:t xml:space="preserve"> A</w:t>
      </w:r>
      <w:r w:rsidRPr="002A326C">
        <w:rPr>
          <w:rFonts w:cstheme="minorHAnsi"/>
          <w:sz w:val="20"/>
          <w:szCs w:val="20"/>
        </w:rPr>
        <w:t xml:space="preserve"> &lt; 2,5 m</w:t>
      </w:r>
      <w:r w:rsidRPr="002A326C">
        <w:rPr>
          <w:rFonts w:cstheme="minorHAnsi"/>
          <w:sz w:val="20"/>
          <w:szCs w:val="20"/>
          <w:vertAlign w:val="superscript"/>
        </w:rPr>
        <w:t>2</w:t>
      </w:r>
      <w:r w:rsidRPr="002A326C">
        <w:rPr>
          <w:rFonts w:cstheme="minorHAnsi"/>
          <w:sz w:val="20"/>
          <w:szCs w:val="20"/>
        </w:rPr>
        <w:t xml:space="preserve"> – 2 słupki z podporami,</w:t>
      </w:r>
    </w:p>
    <w:p w14:paraId="0EB554DB" w14:textId="43BB8F73" w:rsidR="004853EB" w:rsidRPr="002A326C" w:rsidRDefault="004853EB">
      <w:pPr>
        <w:numPr>
          <w:ilvl w:val="0"/>
          <w:numId w:val="182"/>
        </w:numPr>
        <w:tabs>
          <w:tab w:val="left" w:pos="426"/>
          <w:tab w:val="left" w:pos="705"/>
        </w:tabs>
        <w:autoSpaceDE w:val="0"/>
        <w:autoSpaceDN w:val="0"/>
        <w:adjustRightInd w:val="0"/>
        <w:spacing w:after="0" w:line="240" w:lineRule="auto"/>
        <w:ind w:left="705" w:hanging="705"/>
        <w:jc w:val="both"/>
        <w:rPr>
          <w:rFonts w:cstheme="minorHAnsi"/>
          <w:sz w:val="20"/>
          <w:szCs w:val="20"/>
        </w:rPr>
      </w:pPr>
      <w:r w:rsidRPr="002A326C">
        <w:rPr>
          <w:rFonts w:cstheme="minorHAnsi"/>
          <w:sz w:val="20"/>
          <w:szCs w:val="20"/>
        </w:rPr>
        <w:t xml:space="preserve">do powierzchni </w:t>
      </w:r>
      <w:r w:rsidR="00602EF6" w:rsidRPr="002A326C">
        <w:rPr>
          <w:rFonts w:cstheme="minorHAnsi"/>
          <w:sz w:val="20"/>
          <w:szCs w:val="20"/>
        </w:rPr>
        <w:t>A 1</w:t>
      </w:r>
      <w:r w:rsidRPr="002A326C">
        <w:rPr>
          <w:rFonts w:cstheme="minorHAnsi"/>
          <w:sz w:val="20"/>
          <w:szCs w:val="20"/>
        </w:rPr>
        <w:t>,5 m</w:t>
      </w:r>
      <w:r w:rsidRPr="002A326C">
        <w:rPr>
          <w:rFonts w:cstheme="minorHAnsi"/>
          <w:sz w:val="20"/>
          <w:szCs w:val="20"/>
          <w:vertAlign w:val="superscript"/>
        </w:rPr>
        <w:t>2</w:t>
      </w:r>
      <w:r w:rsidRPr="002A326C">
        <w:rPr>
          <w:rFonts w:cstheme="minorHAnsi"/>
          <w:sz w:val="20"/>
          <w:szCs w:val="20"/>
        </w:rPr>
        <w:t xml:space="preserve"> i długości l &gt; 2,5 m – 2 słupki   76,1 x 3,2 m,</w:t>
      </w:r>
    </w:p>
    <w:p w14:paraId="5D851DB7" w14:textId="2E2810B8" w:rsidR="004853EB" w:rsidRPr="002A326C" w:rsidRDefault="004853EB">
      <w:pPr>
        <w:numPr>
          <w:ilvl w:val="0"/>
          <w:numId w:val="182"/>
        </w:numPr>
        <w:tabs>
          <w:tab w:val="left" w:pos="426"/>
          <w:tab w:val="left" w:pos="705"/>
        </w:tabs>
        <w:autoSpaceDE w:val="0"/>
        <w:autoSpaceDN w:val="0"/>
        <w:adjustRightInd w:val="0"/>
        <w:spacing w:after="0" w:line="240" w:lineRule="auto"/>
        <w:ind w:left="426" w:hanging="426"/>
        <w:jc w:val="both"/>
        <w:rPr>
          <w:rFonts w:cstheme="minorHAnsi"/>
          <w:sz w:val="20"/>
          <w:szCs w:val="20"/>
        </w:rPr>
      </w:pPr>
      <w:r w:rsidRPr="002A326C">
        <w:rPr>
          <w:rFonts w:cstheme="minorHAnsi"/>
          <w:sz w:val="20"/>
          <w:szCs w:val="20"/>
        </w:rPr>
        <w:t>do powierzchni 2,5 m</w:t>
      </w:r>
      <w:r w:rsidR="00602EF6" w:rsidRPr="002A326C">
        <w:rPr>
          <w:rFonts w:cstheme="minorHAnsi"/>
          <w:sz w:val="20"/>
          <w:szCs w:val="20"/>
          <w:vertAlign w:val="superscript"/>
        </w:rPr>
        <w:t>2</w:t>
      </w:r>
      <w:r w:rsidR="00602EF6" w:rsidRPr="002A326C">
        <w:rPr>
          <w:rFonts w:cstheme="minorHAnsi"/>
          <w:sz w:val="20"/>
          <w:szCs w:val="20"/>
        </w:rPr>
        <w:t xml:space="preserve"> A</w:t>
      </w:r>
      <w:r w:rsidRPr="002A326C">
        <w:rPr>
          <w:rFonts w:cstheme="minorHAnsi"/>
          <w:sz w:val="20"/>
          <w:szCs w:val="20"/>
        </w:rPr>
        <w:t xml:space="preserve"> &lt; 4,5 m</w:t>
      </w:r>
      <w:r w:rsidRPr="002A326C">
        <w:rPr>
          <w:rFonts w:cstheme="minorHAnsi"/>
          <w:sz w:val="20"/>
          <w:szCs w:val="20"/>
          <w:vertAlign w:val="superscript"/>
        </w:rPr>
        <w:t>2</w:t>
      </w:r>
      <w:r w:rsidRPr="002A326C">
        <w:rPr>
          <w:rFonts w:cstheme="minorHAnsi"/>
          <w:sz w:val="20"/>
          <w:szCs w:val="20"/>
        </w:rPr>
        <w:t xml:space="preserve"> i długości </w:t>
      </w:r>
      <w:r w:rsidR="00602EF6" w:rsidRPr="002A326C">
        <w:rPr>
          <w:rFonts w:cstheme="minorHAnsi"/>
          <w:sz w:val="20"/>
          <w:szCs w:val="20"/>
        </w:rPr>
        <w:t>l 3</w:t>
      </w:r>
      <w:r w:rsidRPr="002A326C">
        <w:rPr>
          <w:rFonts w:cstheme="minorHAnsi"/>
          <w:sz w:val="20"/>
          <w:szCs w:val="20"/>
        </w:rPr>
        <w:t xml:space="preserve"> m – 3 konstrukcje kratowe z </w:t>
      </w:r>
      <w:r w:rsidR="00602EF6" w:rsidRPr="002A326C">
        <w:rPr>
          <w:rFonts w:cstheme="minorHAnsi"/>
          <w:sz w:val="20"/>
          <w:szCs w:val="20"/>
        </w:rPr>
        <w:t>rur 60</w:t>
      </w:r>
      <w:r w:rsidRPr="002A326C">
        <w:rPr>
          <w:rFonts w:cstheme="minorHAnsi"/>
          <w:sz w:val="20"/>
          <w:szCs w:val="20"/>
        </w:rPr>
        <w:t xml:space="preserve">,3 × 3,2 mm z </w:t>
      </w:r>
      <w:r w:rsidR="00602EF6" w:rsidRPr="002A326C">
        <w:rPr>
          <w:rFonts w:cstheme="minorHAnsi"/>
          <w:sz w:val="20"/>
          <w:szCs w:val="20"/>
        </w:rPr>
        <w:t>prętem 10</w:t>
      </w:r>
      <w:r w:rsidRPr="002A326C">
        <w:rPr>
          <w:rFonts w:cstheme="minorHAnsi"/>
          <w:sz w:val="20"/>
          <w:szCs w:val="20"/>
        </w:rPr>
        <w:t xml:space="preserve"> - 14 mm,</w:t>
      </w:r>
    </w:p>
    <w:p w14:paraId="56D1CC3F"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b/>
          <w:bCs/>
          <w:sz w:val="20"/>
          <w:szCs w:val="20"/>
        </w:rPr>
        <w:t xml:space="preserve">2.5.2. </w:t>
      </w:r>
      <w:r w:rsidRPr="002A326C">
        <w:rPr>
          <w:rFonts w:cstheme="minorHAnsi"/>
          <w:sz w:val="20"/>
          <w:szCs w:val="20"/>
        </w:rPr>
        <w:t>Materiały do konstrukcji wsporczych</w:t>
      </w:r>
    </w:p>
    <w:p w14:paraId="499573C3"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ab/>
        <w:t>Do konstrukcji wsporczych zaleca się stosować następujące materiały:</w:t>
      </w:r>
    </w:p>
    <w:p w14:paraId="0586E8BE" w14:textId="3914A36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rury ocynkowane ze szwem lub bez, gładkie o średnicy    76,1 × 2,9; 3,2 mm</w:t>
      </w:r>
      <w:r w:rsidR="00602EF6" w:rsidRPr="002A326C">
        <w:rPr>
          <w:rFonts w:cstheme="minorHAnsi"/>
          <w:sz w:val="20"/>
          <w:szCs w:val="20"/>
        </w:rPr>
        <w:t>,,</w:t>
      </w:r>
    </w:p>
    <w:p w14:paraId="239B7FE4" w14:textId="523CAFF5"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 xml:space="preserve">Słupki do znaków drogowych powinny być wykonane ze stali ocynkowanej ogniowo i spełniać wymagania zawarte w PN-EN 10255+A1:2009 [6]. Grubość powłoki cynku na słupku powinna wynosić minimum 60 </w:t>
      </w:r>
      <w:r w:rsidRPr="002A326C">
        <w:rPr>
          <w:rFonts w:cstheme="minorHAnsi"/>
          <w:sz w:val="20"/>
          <w:szCs w:val="20"/>
          <w:lang w:val="el-GR"/>
        </w:rPr>
        <w:t>μm. Tarcz</w:t>
      </w:r>
      <w:r w:rsidRPr="002A326C">
        <w:rPr>
          <w:rFonts w:cstheme="minorHAnsi"/>
          <w:sz w:val="20"/>
          <w:szCs w:val="20"/>
        </w:rPr>
        <w:t>ę</w:t>
      </w:r>
      <w:r w:rsidRPr="002A326C">
        <w:rPr>
          <w:rFonts w:cstheme="minorHAnsi"/>
          <w:sz w:val="20"/>
          <w:szCs w:val="20"/>
          <w:lang w:val="el-GR"/>
        </w:rPr>
        <w:t xml:space="preserve"> znaku o </w:t>
      </w:r>
      <w:r w:rsidR="00602EF6" w:rsidRPr="002A326C">
        <w:rPr>
          <w:rFonts w:cstheme="minorHAnsi"/>
          <w:sz w:val="20"/>
          <w:szCs w:val="20"/>
          <w:lang w:val="el-GR"/>
        </w:rPr>
        <w:t>powierzchni 0</w:t>
      </w:r>
      <w:r w:rsidRPr="002A326C">
        <w:rPr>
          <w:rFonts w:cstheme="minorHAnsi"/>
          <w:sz w:val="20"/>
          <w:szCs w:val="20"/>
          <w:lang w:val="el-GR"/>
        </w:rPr>
        <w:t>,8 m</w:t>
      </w:r>
      <w:r w:rsidRPr="002A326C">
        <w:rPr>
          <w:rFonts w:cstheme="minorHAnsi"/>
          <w:sz w:val="20"/>
          <w:szCs w:val="20"/>
          <w:vertAlign w:val="superscript"/>
          <w:lang w:val="el-GR"/>
        </w:rPr>
        <w:t>2</w:t>
      </w:r>
      <w:r w:rsidRPr="002A326C">
        <w:rPr>
          <w:rFonts w:cstheme="minorHAnsi"/>
          <w:sz w:val="20"/>
          <w:szCs w:val="20"/>
          <w:lang w:val="el-GR"/>
        </w:rPr>
        <w:t xml:space="preserve"> zaleca si</w:t>
      </w:r>
      <w:r w:rsidRPr="002A326C">
        <w:rPr>
          <w:rFonts w:cstheme="minorHAnsi"/>
          <w:sz w:val="20"/>
          <w:szCs w:val="20"/>
        </w:rPr>
        <w:t>ę instalować na słupkach rurowych o wymiarach co najmniej 76,1/3,2 mm.</w:t>
      </w:r>
    </w:p>
    <w:p w14:paraId="1F861084"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14:paraId="753464C0"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Pożądane jest, aby rury były dostarczane o długościach:</w:t>
      </w:r>
    </w:p>
    <w:p w14:paraId="760A20EB" w14:textId="48E815D0"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 xml:space="preserve">dokładnych, zgodnych z zamówieniem; z dopuszczalną </w:t>
      </w:r>
      <w:r w:rsidR="00602EF6" w:rsidRPr="002A326C">
        <w:rPr>
          <w:rFonts w:cstheme="minorHAnsi"/>
          <w:sz w:val="20"/>
          <w:szCs w:val="20"/>
        </w:rPr>
        <w:t>odchyłką 10</w:t>
      </w:r>
      <w:r w:rsidRPr="002A326C">
        <w:rPr>
          <w:rFonts w:cstheme="minorHAnsi"/>
          <w:sz w:val="20"/>
          <w:szCs w:val="20"/>
        </w:rPr>
        <w:t xml:space="preserve"> mm,</w:t>
      </w:r>
    </w:p>
    <w:p w14:paraId="7D9DCB48"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wielokrotnych w stosunku do zamówionych długości dokładnych poniżej 3 m z naddatkiem 5 mm na każde cięcie i z dopuszczalną odchyłką dla całej długości wielokrotnej, jak dla długości dokładnych.</w:t>
      </w:r>
    </w:p>
    <w:p w14:paraId="298C895C"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Rury powinny być proste. Dopuszczalna miejscowa krzywizna nie powinna przekraczać 1,5 mm na 1 m długości rury.</w:t>
      </w:r>
    </w:p>
    <w:p w14:paraId="0F7E602C"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Rury powinny być wykonane ze stali spełniającej wymaganie odporności na zginanie zapewniające wytrzymałość znaku na chwilowe odkształcenie zginające ≤ 25 mm/m [1].</w:t>
      </w:r>
    </w:p>
    <w:p w14:paraId="7E3C31FA"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Długości słupków, na których montowane są znaki przyjmowane są w oparciu o instrukcje o znakach drogowych przy zagłębieniu w gruncie do 80 cm. W części dolnej słupka powinna być kotwa, która po zabetonowaniu uniemożliwia obracanie lub wyciągnięcie słupka. Na każdym słupku należy zamontować zaślepkę zapobiegającą gromadzeniu się wody wewnątrz profilu.</w:t>
      </w:r>
    </w:p>
    <w:p w14:paraId="66563449"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b/>
          <w:bCs/>
          <w:sz w:val="20"/>
          <w:szCs w:val="20"/>
        </w:rPr>
        <w:t xml:space="preserve">2.5.4. </w:t>
      </w:r>
      <w:r w:rsidRPr="002A326C">
        <w:rPr>
          <w:rFonts w:cstheme="minorHAnsi"/>
          <w:sz w:val="20"/>
          <w:szCs w:val="20"/>
        </w:rPr>
        <w:t>Gwarancja producenta lub dostawcy na konstrukcję wsporczą</w:t>
      </w:r>
    </w:p>
    <w:p w14:paraId="1420C716"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ab/>
        <w:t>Producent lub dostawca każdej konstrukcji wsporczej obowiązany jest do wydania gwarancji na okres trwałości znaku uzgodniony z odbiorcą. Przedmiotem gwarancji są właściwości techniczne konstrukcji wsporczej lub elementów mocujących oraz trwałość zabezpieczenia przeciwkorozyjnego.</w:t>
      </w:r>
    </w:p>
    <w:p w14:paraId="4882666A" w14:textId="0A9996D2"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 xml:space="preserve">W przypadku słupków znaków pionowych ostrzegawczych, zakazu, nakazu i informacyjnych </w:t>
      </w:r>
      <w:r w:rsidR="00602EF6">
        <w:rPr>
          <w:rFonts w:cstheme="minorHAnsi"/>
          <w:sz w:val="20"/>
          <w:szCs w:val="20"/>
        </w:rPr>
        <w:br/>
      </w:r>
      <w:r w:rsidRPr="002A326C">
        <w:rPr>
          <w:rFonts w:cstheme="minorHAnsi"/>
          <w:sz w:val="20"/>
          <w:szCs w:val="20"/>
        </w:rPr>
        <w:t xml:space="preserve">o standardowych wymiarach oraz w przypadku elementów, służących do zamocowania znaków do innych obiektów lub konstrukcji - gwarancja może być wydana dla partii dostawy. </w:t>
      </w:r>
    </w:p>
    <w:p w14:paraId="4D9FDF07"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2.6. Tarcza znaku</w:t>
      </w:r>
    </w:p>
    <w:p w14:paraId="093BE650"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b/>
          <w:bCs/>
          <w:sz w:val="20"/>
          <w:szCs w:val="20"/>
        </w:rPr>
        <w:t xml:space="preserve">2.6.1. </w:t>
      </w:r>
      <w:r w:rsidRPr="002A326C">
        <w:rPr>
          <w:rFonts w:cstheme="minorHAnsi"/>
          <w:sz w:val="20"/>
          <w:szCs w:val="20"/>
        </w:rPr>
        <w:t>Materiały na tarcze znaków drogowych</w:t>
      </w:r>
    </w:p>
    <w:p w14:paraId="59FF4B93"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ab/>
        <w:t>Tarcze znaków drogowych pionowych o powierzchni ≤ 1 m</w:t>
      </w:r>
      <w:r w:rsidRPr="002A326C">
        <w:rPr>
          <w:rFonts w:cstheme="minorHAnsi"/>
          <w:sz w:val="20"/>
          <w:szCs w:val="20"/>
          <w:vertAlign w:val="superscript"/>
        </w:rPr>
        <w:t>2</w:t>
      </w:r>
      <w:r w:rsidRPr="002A326C">
        <w:rPr>
          <w:rFonts w:cstheme="minorHAnsi"/>
          <w:sz w:val="20"/>
          <w:szCs w:val="20"/>
        </w:rPr>
        <w:t xml:space="preserve"> powinny być wykonane:</w:t>
      </w:r>
    </w:p>
    <w:p w14:paraId="32032F4E"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 xml:space="preserve">z blachy stalowej ocynkowanej ogniowo o grubości co najmniej 1,25 mm wg PN-EN 10346:2011 [7], gatunek stali co najmniej DX52D z powłoką cynkową co najmniej Z275, </w:t>
      </w:r>
    </w:p>
    <w:p w14:paraId="3F3A8233"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lastRenderedPageBreak/>
        <w:t>tarcza znaku o powierzchni &gt; 1 m</w:t>
      </w:r>
      <w:r w:rsidRPr="002A326C">
        <w:rPr>
          <w:rFonts w:cstheme="minorHAnsi"/>
          <w:sz w:val="20"/>
          <w:szCs w:val="20"/>
          <w:vertAlign w:val="superscript"/>
        </w:rPr>
        <w:t>2</w:t>
      </w:r>
      <w:r w:rsidRPr="002A326C">
        <w:rPr>
          <w:rFonts w:cstheme="minorHAnsi"/>
          <w:sz w:val="20"/>
          <w:szCs w:val="20"/>
        </w:rPr>
        <w:t xml:space="preserve"> powinna być wykonana:</w:t>
      </w:r>
    </w:p>
    <w:p w14:paraId="42A1C794"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z blachy stalowej ocynkowanej ogniowo o grubości co najmniej 1,5 mm wg PN-EN 10346:2011 [7], gatunek stali co najmniej DX52D z powłoką cynkową co najmniej Z275,</w:t>
      </w:r>
    </w:p>
    <w:p w14:paraId="53724591" w14:textId="6211C96F"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 xml:space="preserve">Inne niż wyżej wymienione materiały mogą być </w:t>
      </w:r>
      <w:r w:rsidR="00602EF6" w:rsidRPr="002A326C">
        <w:rPr>
          <w:rFonts w:cstheme="minorHAnsi"/>
          <w:sz w:val="20"/>
          <w:szCs w:val="20"/>
        </w:rPr>
        <w:t>stosowane,</w:t>
      </w:r>
      <w:r w:rsidRPr="002A326C">
        <w:rPr>
          <w:rFonts w:cstheme="minorHAnsi"/>
          <w:sz w:val="20"/>
          <w:szCs w:val="20"/>
        </w:rPr>
        <w:t xml:space="preserve"> jeśli spełniają wymagania bezpieczeństwa, wytrzymałości i trwałości po uzyskaniu certyfikatu jednostki notyfikowanej. W przypadku zastosowania powłoki metalizacyjnej cynkowej na konstrukcjach stalowych, powinna ona spełniać wymagania PN EN ISO 1461:2011 [9] i PN-EN 10240:2001 [10]. Grubość warstwy powłoki cynkowej na blasze stalowej ocynkowanej ogniowo nie może być mniejsza niż 18 m (275 g Zn/m</w:t>
      </w:r>
      <w:r w:rsidRPr="002A326C">
        <w:rPr>
          <w:rFonts w:cstheme="minorHAnsi"/>
          <w:sz w:val="20"/>
          <w:szCs w:val="20"/>
          <w:vertAlign w:val="superscript"/>
        </w:rPr>
        <w:t>2</w:t>
      </w:r>
      <w:r w:rsidRPr="002A326C">
        <w:rPr>
          <w:rFonts w:cstheme="minorHAnsi"/>
          <w:sz w:val="20"/>
          <w:szCs w:val="20"/>
        </w:rPr>
        <w:t>) po jednej stronie blachy.</w:t>
      </w:r>
    </w:p>
    <w:p w14:paraId="61E3AC7B"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Powierzchnia powłoki powinna być ciągła i jednorodna pod względem ziarnistości. Nie może ona wykazywać widocznych wad jak rysy, pęknięcia, pęcherze lub odstawanie powłoki od podłoża.</w:t>
      </w:r>
    </w:p>
    <w:p w14:paraId="765CDE98" w14:textId="77777777" w:rsidR="004853EB" w:rsidRPr="002A326C" w:rsidRDefault="004853EB" w:rsidP="002A326C">
      <w:pPr>
        <w:tabs>
          <w:tab w:val="left" w:pos="0"/>
        </w:tabs>
        <w:autoSpaceDE w:val="0"/>
        <w:autoSpaceDN w:val="0"/>
        <w:adjustRightInd w:val="0"/>
        <w:ind w:firstLine="709"/>
        <w:jc w:val="both"/>
        <w:rPr>
          <w:rFonts w:cstheme="minorHAnsi"/>
          <w:sz w:val="20"/>
          <w:szCs w:val="20"/>
        </w:rPr>
      </w:pPr>
      <w:r w:rsidRPr="002A326C">
        <w:rPr>
          <w:rFonts w:cstheme="minorHAnsi"/>
          <w:sz w:val="20"/>
          <w:szCs w:val="20"/>
        </w:rPr>
        <w:t>Znaki i tablice powinny spełniać następujące wymagania podane w tablicy 1.</w:t>
      </w:r>
    </w:p>
    <w:p w14:paraId="63D46D58" w14:textId="77777777" w:rsidR="004853EB" w:rsidRPr="002A326C" w:rsidRDefault="004853EB" w:rsidP="002A326C">
      <w:pPr>
        <w:tabs>
          <w:tab w:val="left" w:pos="0"/>
        </w:tabs>
        <w:autoSpaceDE w:val="0"/>
        <w:autoSpaceDN w:val="0"/>
        <w:adjustRightInd w:val="0"/>
        <w:ind w:firstLine="709"/>
        <w:jc w:val="both"/>
        <w:rPr>
          <w:rFonts w:cstheme="minorHAnsi"/>
          <w:sz w:val="20"/>
          <w:szCs w:val="20"/>
        </w:rPr>
      </w:pPr>
    </w:p>
    <w:p w14:paraId="6773BA2F" w14:textId="77777777" w:rsidR="004853EB" w:rsidRPr="002A326C" w:rsidRDefault="004853EB" w:rsidP="002A326C">
      <w:pPr>
        <w:autoSpaceDE w:val="0"/>
        <w:autoSpaceDN w:val="0"/>
        <w:adjustRightInd w:val="0"/>
        <w:spacing w:before="120" w:after="120"/>
        <w:jc w:val="both"/>
        <w:rPr>
          <w:rFonts w:cstheme="minorHAnsi"/>
          <w:sz w:val="20"/>
          <w:szCs w:val="20"/>
        </w:rPr>
      </w:pPr>
      <w:r w:rsidRPr="002A326C">
        <w:rPr>
          <w:rFonts w:cstheme="minorHAnsi"/>
          <w:sz w:val="20"/>
          <w:szCs w:val="20"/>
        </w:rPr>
        <w:t>Tablica 1.Wymagania dla znaków i tarcz znaków drogowych</w:t>
      </w:r>
    </w:p>
    <w:tbl>
      <w:tblPr>
        <w:tblW w:w="0" w:type="auto"/>
        <w:jc w:val="center"/>
        <w:tblLayout w:type="fixed"/>
        <w:tblCellMar>
          <w:left w:w="70" w:type="dxa"/>
          <w:right w:w="70" w:type="dxa"/>
        </w:tblCellMar>
        <w:tblLook w:val="04A0" w:firstRow="1" w:lastRow="0" w:firstColumn="1" w:lastColumn="0" w:noHBand="0" w:noVBand="1"/>
      </w:tblPr>
      <w:tblGrid>
        <w:gridCol w:w="2843"/>
        <w:gridCol w:w="1275"/>
        <w:gridCol w:w="2694"/>
        <w:gridCol w:w="1811"/>
      </w:tblGrid>
      <w:tr w:rsidR="004853EB" w:rsidRPr="002A326C" w14:paraId="453B4EA7" w14:textId="77777777">
        <w:trPr>
          <w:trHeight w:val="1"/>
          <w:jc w:val="center"/>
        </w:trPr>
        <w:tc>
          <w:tcPr>
            <w:tcW w:w="28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BA8885"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Parametr</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144249"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Jednostka</w:t>
            </w:r>
          </w:p>
        </w:tc>
        <w:tc>
          <w:tcPr>
            <w:tcW w:w="26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3FE0E9"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Wymaganie</w:t>
            </w:r>
          </w:p>
        </w:tc>
        <w:tc>
          <w:tcPr>
            <w:tcW w:w="181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A3FDD2" w14:textId="77777777" w:rsidR="004853EB" w:rsidRPr="002A326C" w:rsidRDefault="004853EB" w:rsidP="002A326C">
            <w:pPr>
              <w:autoSpaceDE w:val="0"/>
              <w:autoSpaceDN w:val="0"/>
              <w:adjustRightInd w:val="0"/>
              <w:ind w:left="-385" w:firstLine="385"/>
              <w:jc w:val="both"/>
              <w:rPr>
                <w:rFonts w:cstheme="minorHAnsi"/>
                <w:sz w:val="20"/>
                <w:szCs w:val="20"/>
              </w:rPr>
            </w:pPr>
            <w:r w:rsidRPr="002A326C">
              <w:rPr>
                <w:rFonts w:cstheme="minorHAnsi"/>
                <w:sz w:val="20"/>
                <w:szCs w:val="20"/>
              </w:rPr>
              <w:t>Klasa wg</w:t>
            </w:r>
          </w:p>
          <w:p w14:paraId="034D3D74"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PN-EN 12899-1: 2010 [1]</w:t>
            </w:r>
          </w:p>
        </w:tc>
      </w:tr>
      <w:tr w:rsidR="004853EB" w:rsidRPr="002A326C" w14:paraId="1E97F161" w14:textId="77777777">
        <w:trPr>
          <w:trHeight w:val="1"/>
          <w:jc w:val="center"/>
        </w:trPr>
        <w:tc>
          <w:tcPr>
            <w:tcW w:w="2843" w:type="dxa"/>
            <w:tcBorders>
              <w:top w:val="single" w:sz="4" w:space="0" w:color="000000"/>
              <w:left w:val="single" w:sz="4" w:space="0" w:color="000000"/>
              <w:bottom w:val="single" w:sz="4" w:space="0" w:color="000000"/>
              <w:right w:val="single" w:sz="4" w:space="0" w:color="000000"/>
            </w:tcBorders>
            <w:shd w:val="clear" w:color="auto" w:fill="FFFFFF"/>
            <w:hideMark/>
          </w:tcPr>
          <w:p w14:paraId="0F452966"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Wytrzymałość na obciążenie siłą naporu wiatru</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6B51F888"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kN m</w:t>
            </w:r>
            <w:r w:rsidRPr="002A326C">
              <w:rPr>
                <w:rFonts w:cstheme="minorHAnsi"/>
                <w:sz w:val="20"/>
                <w:szCs w:val="20"/>
                <w:vertAlign w:val="superscript"/>
              </w:rPr>
              <w:t>-2</w:t>
            </w:r>
          </w:p>
        </w:tc>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14:paraId="42B86860"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 xml:space="preserve"> 0,60</w:t>
            </w:r>
          </w:p>
        </w:tc>
        <w:tc>
          <w:tcPr>
            <w:tcW w:w="1811" w:type="dxa"/>
            <w:tcBorders>
              <w:top w:val="single" w:sz="4" w:space="0" w:color="000000"/>
              <w:left w:val="single" w:sz="4" w:space="0" w:color="000000"/>
              <w:bottom w:val="single" w:sz="4" w:space="0" w:color="000000"/>
              <w:right w:val="single" w:sz="4" w:space="0" w:color="000000"/>
            </w:tcBorders>
            <w:shd w:val="clear" w:color="auto" w:fill="FFFFFF"/>
            <w:hideMark/>
          </w:tcPr>
          <w:p w14:paraId="3789052A"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WL2</w:t>
            </w:r>
          </w:p>
        </w:tc>
      </w:tr>
      <w:tr w:rsidR="004853EB" w:rsidRPr="002A326C" w14:paraId="1598C60D" w14:textId="77777777">
        <w:trPr>
          <w:trHeight w:val="1"/>
          <w:jc w:val="center"/>
        </w:trPr>
        <w:tc>
          <w:tcPr>
            <w:tcW w:w="2843" w:type="dxa"/>
            <w:tcBorders>
              <w:top w:val="single" w:sz="4" w:space="0" w:color="000000"/>
              <w:left w:val="single" w:sz="4" w:space="0" w:color="000000"/>
              <w:bottom w:val="single" w:sz="4" w:space="0" w:color="000000"/>
              <w:right w:val="single" w:sz="4" w:space="0" w:color="000000"/>
            </w:tcBorders>
            <w:shd w:val="clear" w:color="auto" w:fill="FFFFFF"/>
            <w:hideMark/>
          </w:tcPr>
          <w:p w14:paraId="4613D6E7"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Wytrzymałość na obciążenie skupione</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02282C65"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kN</w:t>
            </w:r>
          </w:p>
        </w:tc>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14:paraId="5A3BD550"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 xml:space="preserve"> 0,50</w:t>
            </w:r>
          </w:p>
        </w:tc>
        <w:tc>
          <w:tcPr>
            <w:tcW w:w="1811" w:type="dxa"/>
            <w:tcBorders>
              <w:top w:val="single" w:sz="4" w:space="0" w:color="000000"/>
              <w:left w:val="single" w:sz="4" w:space="0" w:color="000000"/>
              <w:bottom w:val="single" w:sz="4" w:space="0" w:color="000000"/>
              <w:right w:val="single" w:sz="4" w:space="0" w:color="000000"/>
            </w:tcBorders>
            <w:shd w:val="clear" w:color="auto" w:fill="FFFFFF"/>
            <w:hideMark/>
          </w:tcPr>
          <w:p w14:paraId="447347DD"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PL2</w:t>
            </w:r>
          </w:p>
        </w:tc>
      </w:tr>
      <w:tr w:rsidR="004853EB" w:rsidRPr="002A326C" w14:paraId="52684B21" w14:textId="77777777">
        <w:trPr>
          <w:trHeight w:val="1"/>
          <w:jc w:val="center"/>
        </w:trPr>
        <w:tc>
          <w:tcPr>
            <w:tcW w:w="2843" w:type="dxa"/>
            <w:tcBorders>
              <w:top w:val="single" w:sz="4" w:space="0" w:color="000000"/>
              <w:left w:val="single" w:sz="4" w:space="0" w:color="000000"/>
              <w:bottom w:val="single" w:sz="4" w:space="0" w:color="000000"/>
              <w:right w:val="single" w:sz="4" w:space="0" w:color="000000"/>
            </w:tcBorders>
            <w:shd w:val="clear" w:color="auto" w:fill="FFFFFF"/>
            <w:hideMark/>
          </w:tcPr>
          <w:p w14:paraId="20F28F41"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Chwilowe odkształcenie zginające</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146E82BD"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mm/m</w:t>
            </w:r>
          </w:p>
        </w:tc>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14:paraId="6E9A4321"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 xml:space="preserve"> 25</w:t>
            </w:r>
          </w:p>
        </w:tc>
        <w:tc>
          <w:tcPr>
            <w:tcW w:w="1811" w:type="dxa"/>
            <w:tcBorders>
              <w:top w:val="single" w:sz="4" w:space="0" w:color="000000"/>
              <w:left w:val="single" w:sz="4" w:space="0" w:color="000000"/>
              <w:bottom w:val="single" w:sz="4" w:space="0" w:color="000000"/>
              <w:right w:val="single" w:sz="4" w:space="0" w:color="000000"/>
            </w:tcBorders>
            <w:shd w:val="clear" w:color="auto" w:fill="FFFFFF"/>
            <w:hideMark/>
          </w:tcPr>
          <w:p w14:paraId="2F0E4B37"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TDB4</w:t>
            </w:r>
          </w:p>
        </w:tc>
      </w:tr>
      <w:tr w:rsidR="004853EB" w:rsidRPr="002A326C" w14:paraId="1E806FC8" w14:textId="77777777">
        <w:trPr>
          <w:trHeight w:val="1"/>
          <w:jc w:val="center"/>
        </w:trPr>
        <w:tc>
          <w:tcPr>
            <w:tcW w:w="2843" w:type="dxa"/>
            <w:tcBorders>
              <w:top w:val="single" w:sz="4" w:space="0" w:color="000000"/>
              <w:left w:val="single" w:sz="4" w:space="0" w:color="000000"/>
              <w:bottom w:val="single" w:sz="4" w:space="0" w:color="000000"/>
              <w:right w:val="single" w:sz="4" w:space="0" w:color="000000"/>
            </w:tcBorders>
            <w:shd w:val="clear" w:color="auto" w:fill="FFFFFF"/>
            <w:hideMark/>
          </w:tcPr>
          <w:p w14:paraId="06171C24"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Chwilowe odkształcenie skrętne*</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3F9F3AD0" w14:textId="71BA49D1" w:rsidR="004853EB" w:rsidRPr="002A326C" w:rsidRDefault="00602EF6" w:rsidP="002A326C">
            <w:pPr>
              <w:autoSpaceDE w:val="0"/>
              <w:autoSpaceDN w:val="0"/>
              <w:adjustRightInd w:val="0"/>
              <w:jc w:val="both"/>
              <w:rPr>
                <w:rFonts w:cstheme="minorHAnsi"/>
                <w:sz w:val="20"/>
                <w:szCs w:val="20"/>
              </w:rPr>
            </w:pPr>
            <w:r w:rsidRPr="002A326C">
              <w:rPr>
                <w:rFonts w:cstheme="minorHAnsi"/>
                <w:sz w:val="20"/>
                <w:szCs w:val="20"/>
              </w:rPr>
              <w:t>stopień m</w:t>
            </w:r>
          </w:p>
        </w:tc>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14:paraId="5AA01E12"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 xml:space="preserve"> 0,02</w:t>
            </w:r>
          </w:p>
          <w:p w14:paraId="4BAE7094"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 xml:space="preserve"> 0,11</w:t>
            </w:r>
          </w:p>
          <w:p w14:paraId="7E21C803"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 xml:space="preserve"> 0,57</w:t>
            </w:r>
          </w:p>
          <w:p w14:paraId="71030AA8"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 xml:space="preserve"> 1,15</w:t>
            </w:r>
          </w:p>
        </w:tc>
        <w:tc>
          <w:tcPr>
            <w:tcW w:w="1811" w:type="dxa"/>
            <w:tcBorders>
              <w:top w:val="single" w:sz="4" w:space="0" w:color="000000"/>
              <w:left w:val="single" w:sz="4" w:space="0" w:color="000000"/>
              <w:bottom w:val="single" w:sz="4" w:space="0" w:color="000000"/>
              <w:right w:val="single" w:sz="4" w:space="0" w:color="000000"/>
            </w:tcBorders>
            <w:shd w:val="clear" w:color="auto" w:fill="FFFFFF"/>
            <w:hideMark/>
          </w:tcPr>
          <w:p w14:paraId="1CBCBAB5"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TDT1</w:t>
            </w:r>
          </w:p>
          <w:p w14:paraId="0F5365FB"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TDT3</w:t>
            </w:r>
          </w:p>
          <w:p w14:paraId="0D7C18D1"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TDT5</w:t>
            </w:r>
          </w:p>
          <w:p w14:paraId="6CD0BA1A"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TDT6</w:t>
            </w:r>
          </w:p>
        </w:tc>
      </w:tr>
      <w:tr w:rsidR="004853EB" w:rsidRPr="002A326C" w14:paraId="464CDF3F" w14:textId="77777777">
        <w:trPr>
          <w:trHeight w:val="1"/>
          <w:jc w:val="center"/>
        </w:trPr>
        <w:tc>
          <w:tcPr>
            <w:tcW w:w="2843" w:type="dxa"/>
            <w:tcBorders>
              <w:top w:val="single" w:sz="4" w:space="0" w:color="000000"/>
              <w:left w:val="single" w:sz="4" w:space="0" w:color="000000"/>
              <w:bottom w:val="single" w:sz="4" w:space="0" w:color="000000"/>
              <w:right w:val="single" w:sz="4" w:space="0" w:color="000000"/>
            </w:tcBorders>
            <w:shd w:val="clear" w:color="auto" w:fill="FFFFFF"/>
            <w:hideMark/>
          </w:tcPr>
          <w:p w14:paraId="404D1AB5"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Odkształcenie trwałe</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69065D6E" w14:textId="444F03F9"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mm/</w:t>
            </w:r>
            <w:r w:rsidR="00602EF6" w:rsidRPr="002A326C">
              <w:rPr>
                <w:rFonts w:cstheme="minorHAnsi"/>
                <w:sz w:val="20"/>
                <w:szCs w:val="20"/>
              </w:rPr>
              <w:t>m lub</w:t>
            </w:r>
            <w:r w:rsidRPr="002A326C">
              <w:rPr>
                <w:rFonts w:cstheme="minorHAnsi"/>
                <w:sz w:val="20"/>
                <w:szCs w:val="20"/>
              </w:rPr>
              <w:t xml:space="preserve"> </w:t>
            </w:r>
            <w:r w:rsidR="00602EF6" w:rsidRPr="002A326C">
              <w:rPr>
                <w:rFonts w:cstheme="minorHAnsi"/>
                <w:sz w:val="20"/>
                <w:szCs w:val="20"/>
              </w:rPr>
              <w:t>stopień m</w:t>
            </w:r>
          </w:p>
        </w:tc>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14:paraId="343B3056"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20% odkształcenia chwilowego</w:t>
            </w:r>
          </w:p>
        </w:tc>
        <w:tc>
          <w:tcPr>
            <w:tcW w:w="1811" w:type="dxa"/>
            <w:tcBorders>
              <w:top w:val="single" w:sz="4" w:space="0" w:color="000000"/>
              <w:left w:val="single" w:sz="4" w:space="0" w:color="000000"/>
              <w:bottom w:val="single" w:sz="4" w:space="0" w:color="000000"/>
              <w:right w:val="single" w:sz="4" w:space="0" w:color="000000"/>
            </w:tcBorders>
            <w:shd w:val="clear" w:color="auto" w:fill="FFFFFF"/>
            <w:hideMark/>
          </w:tcPr>
          <w:p w14:paraId="5DBA11E1"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w:t>
            </w:r>
          </w:p>
        </w:tc>
      </w:tr>
      <w:tr w:rsidR="004853EB" w:rsidRPr="002A326C" w14:paraId="391F073B" w14:textId="77777777">
        <w:trPr>
          <w:trHeight w:val="1"/>
          <w:jc w:val="center"/>
        </w:trPr>
        <w:tc>
          <w:tcPr>
            <w:tcW w:w="2843" w:type="dxa"/>
            <w:tcBorders>
              <w:top w:val="single" w:sz="4" w:space="0" w:color="000000"/>
              <w:left w:val="single" w:sz="4" w:space="0" w:color="000000"/>
              <w:bottom w:val="single" w:sz="4" w:space="0" w:color="000000"/>
              <w:right w:val="single" w:sz="4" w:space="0" w:color="000000"/>
            </w:tcBorders>
            <w:shd w:val="clear" w:color="auto" w:fill="FFFFFF"/>
            <w:hideMark/>
          </w:tcPr>
          <w:p w14:paraId="0E1D4D0E"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Rodzaj krawędzi znaku</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1521CB69"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w:t>
            </w:r>
          </w:p>
        </w:tc>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14:paraId="4C852CE5"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Zabezpieczona, krawędź tłoczona, zaginana, prasowana lub zabezpieczona profilem krawędziowym</w:t>
            </w:r>
          </w:p>
        </w:tc>
        <w:tc>
          <w:tcPr>
            <w:tcW w:w="1811" w:type="dxa"/>
            <w:tcBorders>
              <w:top w:val="single" w:sz="4" w:space="0" w:color="000000"/>
              <w:left w:val="single" w:sz="4" w:space="0" w:color="000000"/>
              <w:bottom w:val="single" w:sz="4" w:space="0" w:color="000000"/>
              <w:right w:val="single" w:sz="4" w:space="0" w:color="000000"/>
            </w:tcBorders>
            <w:shd w:val="clear" w:color="auto" w:fill="FFFFFF"/>
            <w:hideMark/>
          </w:tcPr>
          <w:p w14:paraId="2C183E69"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E2</w:t>
            </w:r>
          </w:p>
        </w:tc>
      </w:tr>
      <w:tr w:rsidR="004853EB" w:rsidRPr="002A326C" w14:paraId="42578838" w14:textId="77777777">
        <w:trPr>
          <w:trHeight w:val="1"/>
          <w:jc w:val="center"/>
        </w:trPr>
        <w:tc>
          <w:tcPr>
            <w:tcW w:w="2843" w:type="dxa"/>
            <w:tcBorders>
              <w:top w:val="single" w:sz="4" w:space="0" w:color="000000"/>
              <w:left w:val="single" w:sz="4" w:space="0" w:color="000000"/>
              <w:bottom w:val="single" w:sz="4" w:space="0" w:color="000000"/>
              <w:right w:val="single" w:sz="4" w:space="0" w:color="000000"/>
            </w:tcBorders>
            <w:shd w:val="clear" w:color="auto" w:fill="FFFFFF"/>
            <w:hideMark/>
          </w:tcPr>
          <w:p w14:paraId="7665280A"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Przewiercanie tarczy i lica znaku</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21BDFE06"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w:t>
            </w:r>
          </w:p>
        </w:tc>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14:paraId="10C6DF5C"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Lico znaku nie może być przewiercone z żadnego powodu</w:t>
            </w:r>
          </w:p>
        </w:tc>
        <w:tc>
          <w:tcPr>
            <w:tcW w:w="1811" w:type="dxa"/>
            <w:tcBorders>
              <w:top w:val="single" w:sz="4" w:space="0" w:color="000000"/>
              <w:left w:val="single" w:sz="4" w:space="0" w:color="000000"/>
              <w:bottom w:val="single" w:sz="4" w:space="0" w:color="000000"/>
              <w:right w:val="single" w:sz="4" w:space="0" w:color="000000"/>
            </w:tcBorders>
            <w:shd w:val="clear" w:color="auto" w:fill="FFFFFF"/>
            <w:hideMark/>
          </w:tcPr>
          <w:p w14:paraId="38738239"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P3</w:t>
            </w:r>
          </w:p>
        </w:tc>
      </w:tr>
      <w:tr w:rsidR="004853EB" w:rsidRPr="002A326C" w14:paraId="4EC06AFF" w14:textId="77777777">
        <w:trPr>
          <w:trHeight w:val="1"/>
          <w:jc w:val="center"/>
        </w:trPr>
        <w:tc>
          <w:tcPr>
            <w:tcW w:w="2843" w:type="dxa"/>
            <w:tcBorders>
              <w:top w:val="single" w:sz="4" w:space="0" w:color="000000"/>
              <w:left w:val="single" w:sz="4" w:space="0" w:color="000000"/>
              <w:bottom w:val="single" w:sz="4" w:space="0" w:color="000000"/>
              <w:right w:val="single" w:sz="4" w:space="0" w:color="000000"/>
            </w:tcBorders>
            <w:shd w:val="clear" w:color="auto" w:fill="FFFFFF"/>
            <w:hideMark/>
          </w:tcPr>
          <w:p w14:paraId="33119912"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 xml:space="preserve">Odporność na uderzenie kuli o masie 450 g i promieniu kontaktu 50 mm, upuszczonej </w:t>
            </w:r>
          </w:p>
          <w:p w14:paraId="452A2161"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z wysokości 220 mm</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7C4F57E8"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w:t>
            </w:r>
          </w:p>
        </w:tc>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14:paraId="0AEC5F0A" w14:textId="77777777" w:rsidR="004853EB" w:rsidRPr="002A326C" w:rsidRDefault="004853EB" w:rsidP="002A326C">
            <w:pPr>
              <w:autoSpaceDE w:val="0"/>
              <w:autoSpaceDN w:val="0"/>
              <w:adjustRightInd w:val="0"/>
              <w:spacing w:before="40"/>
              <w:jc w:val="both"/>
              <w:rPr>
                <w:rFonts w:cstheme="minorHAnsi"/>
                <w:sz w:val="20"/>
                <w:szCs w:val="20"/>
              </w:rPr>
            </w:pPr>
            <w:r w:rsidRPr="002A326C">
              <w:rPr>
                <w:rFonts w:cstheme="minorHAnsi"/>
                <w:sz w:val="20"/>
                <w:szCs w:val="20"/>
              </w:rPr>
              <w:t>Uderzenie nie powinno spowodować pęknięć lub delaminacji folii od podłoża w odległości 6 mm od punktu uderzenia kuli jako środka</w:t>
            </w:r>
          </w:p>
        </w:tc>
        <w:tc>
          <w:tcPr>
            <w:tcW w:w="1811" w:type="dxa"/>
            <w:tcBorders>
              <w:top w:val="single" w:sz="4" w:space="0" w:color="000000"/>
              <w:left w:val="single" w:sz="4" w:space="0" w:color="000000"/>
              <w:bottom w:val="single" w:sz="4" w:space="0" w:color="000000"/>
              <w:right w:val="single" w:sz="4" w:space="0" w:color="000000"/>
            </w:tcBorders>
            <w:shd w:val="clear" w:color="auto" w:fill="FFFFFF"/>
          </w:tcPr>
          <w:p w14:paraId="2906AA92" w14:textId="77777777" w:rsidR="004853EB" w:rsidRPr="002A326C" w:rsidRDefault="004853EB" w:rsidP="002A326C">
            <w:pPr>
              <w:autoSpaceDE w:val="0"/>
              <w:autoSpaceDN w:val="0"/>
              <w:adjustRightInd w:val="0"/>
              <w:jc w:val="both"/>
              <w:rPr>
                <w:rFonts w:cstheme="minorHAnsi"/>
                <w:sz w:val="20"/>
                <w:szCs w:val="20"/>
              </w:rPr>
            </w:pPr>
          </w:p>
          <w:p w14:paraId="7FCA75C2" w14:textId="77777777" w:rsidR="004853EB" w:rsidRPr="002A326C" w:rsidRDefault="004853EB" w:rsidP="002A326C">
            <w:pPr>
              <w:autoSpaceDE w:val="0"/>
              <w:autoSpaceDN w:val="0"/>
              <w:adjustRightInd w:val="0"/>
              <w:jc w:val="both"/>
              <w:rPr>
                <w:rFonts w:cstheme="minorHAnsi"/>
                <w:sz w:val="20"/>
                <w:szCs w:val="20"/>
              </w:rPr>
            </w:pPr>
          </w:p>
          <w:p w14:paraId="151481B3"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spełnia</w:t>
            </w:r>
          </w:p>
        </w:tc>
      </w:tr>
      <w:tr w:rsidR="004853EB" w:rsidRPr="002A326C" w14:paraId="0420F457" w14:textId="77777777">
        <w:trPr>
          <w:trHeight w:val="1"/>
          <w:jc w:val="center"/>
        </w:trPr>
        <w:tc>
          <w:tcPr>
            <w:tcW w:w="2843" w:type="dxa"/>
            <w:tcBorders>
              <w:top w:val="single" w:sz="4" w:space="0" w:color="000000"/>
              <w:left w:val="single" w:sz="4" w:space="0" w:color="000000"/>
              <w:bottom w:val="single" w:sz="4" w:space="0" w:color="000000"/>
              <w:right w:val="single" w:sz="4" w:space="0" w:color="000000"/>
            </w:tcBorders>
            <w:shd w:val="clear" w:color="auto" w:fill="FFFFFF"/>
            <w:hideMark/>
          </w:tcPr>
          <w:p w14:paraId="46D5909A"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lastRenderedPageBreak/>
              <w:t>Badanie trwałości na wpływ warunków pogodowych</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0A19473B"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w:t>
            </w:r>
          </w:p>
        </w:tc>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14:paraId="06CE4966" w14:textId="24DBDA9E"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 xml:space="preserve">Po trzech latach badań pogodowych zgodnie z PN-EN 12899-1, należy sprawdzić zgodność współrzędnych chroma-tyczności i współczynnika luminancji z wymagania-mi klasy CR2. Współczynnik odblasku, zmierzony pod kątem </w:t>
            </w:r>
            <w:r w:rsidR="00602EF6" w:rsidRPr="002A326C">
              <w:rPr>
                <w:rFonts w:cstheme="minorHAnsi"/>
                <w:sz w:val="20"/>
                <w:szCs w:val="20"/>
              </w:rPr>
              <w:t>obserwacji =</w:t>
            </w:r>
            <w:r w:rsidRPr="002A326C">
              <w:rPr>
                <w:rFonts w:cstheme="minorHAnsi"/>
                <w:sz w:val="20"/>
                <w:szCs w:val="20"/>
              </w:rPr>
              <w:t xml:space="preserve"> 20’ dla kątów oświetlenia </w:t>
            </w:r>
            <w:r w:rsidRPr="002A326C">
              <w:rPr>
                <w:rFonts w:cstheme="minorHAnsi"/>
                <w:sz w:val="20"/>
                <w:szCs w:val="20"/>
                <w:vertAlign w:val="subscript"/>
              </w:rPr>
              <w:t>1</w:t>
            </w:r>
            <w:r w:rsidRPr="002A326C">
              <w:rPr>
                <w:rFonts w:cstheme="minorHAnsi"/>
                <w:sz w:val="20"/>
                <w:szCs w:val="20"/>
              </w:rPr>
              <w:t xml:space="preserve"> = 5</w:t>
            </w:r>
            <w:r w:rsidRPr="002A326C">
              <w:rPr>
                <w:rFonts w:cstheme="minorHAnsi"/>
                <w:sz w:val="20"/>
                <w:szCs w:val="20"/>
                <w:vertAlign w:val="superscript"/>
              </w:rPr>
              <w:t>o</w:t>
            </w:r>
            <w:r w:rsidRPr="002A326C">
              <w:rPr>
                <w:rFonts w:cstheme="minorHAnsi"/>
                <w:sz w:val="20"/>
                <w:szCs w:val="20"/>
              </w:rPr>
              <w:t xml:space="preserve"> i 30</w:t>
            </w:r>
            <w:r w:rsidRPr="002A326C">
              <w:rPr>
                <w:rFonts w:cstheme="minorHAnsi"/>
                <w:sz w:val="20"/>
                <w:szCs w:val="20"/>
                <w:vertAlign w:val="superscript"/>
              </w:rPr>
              <w:t>o</w:t>
            </w:r>
            <w:r w:rsidRPr="002A326C">
              <w:rPr>
                <w:rFonts w:cstheme="minorHAnsi"/>
                <w:sz w:val="20"/>
                <w:szCs w:val="20"/>
              </w:rPr>
              <w:t xml:space="preserve"> oraz </w:t>
            </w:r>
            <w:r w:rsidRPr="002A326C">
              <w:rPr>
                <w:rFonts w:cstheme="minorHAnsi"/>
                <w:sz w:val="20"/>
                <w:szCs w:val="20"/>
                <w:vertAlign w:val="subscript"/>
              </w:rPr>
              <w:t>2</w:t>
            </w:r>
            <w:r w:rsidRPr="002A326C">
              <w:rPr>
                <w:rFonts w:cstheme="minorHAnsi"/>
                <w:sz w:val="20"/>
                <w:szCs w:val="20"/>
              </w:rPr>
              <w:t xml:space="preserve"> = 0</w:t>
            </w:r>
            <w:r w:rsidRPr="002A326C">
              <w:rPr>
                <w:rFonts w:cstheme="minorHAnsi"/>
                <w:sz w:val="20"/>
                <w:szCs w:val="20"/>
                <w:vertAlign w:val="superscript"/>
              </w:rPr>
              <w:t xml:space="preserve">o </w:t>
            </w:r>
            <w:r w:rsidRPr="002A326C">
              <w:rPr>
                <w:rFonts w:cstheme="minorHAnsi"/>
                <w:sz w:val="20"/>
                <w:szCs w:val="20"/>
              </w:rPr>
              <w:t>, powinien być nie mniej-szy niż 80 % wartości podanych odpowiednio w [16] i w tab.2, 3, 4 i 5.</w:t>
            </w:r>
          </w:p>
        </w:tc>
        <w:tc>
          <w:tcPr>
            <w:tcW w:w="1811" w:type="dxa"/>
            <w:tcBorders>
              <w:top w:val="single" w:sz="4" w:space="0" w:color="000000"/>
              <w:left w:val="single" w:sz="4" w:space="0" w:color="000000"/>
              <w:bottom w:val="single" w:sz="4" w:space="0" w:color="000000"/>
              <w:right w:val="single" w:sz="4" w:space="0" w:color="000000"/>
            </w:tcBorders>
            <w:shd w:val="clear" w:color="auto" w:fill="FFFFFF"/>
          </w:tcPr>
          <w:p w14:paraId="32E292EA" w14:textId="77777777" w:rsidR="004853EB" w:rsidRPr="002A326C" w:rsidRDefault="004853EB" w:rsidP="002A326C">
            <w:pPr>
              <w:autoSpaceDE w:val="0"/>
              <w:autoSpaceDN w:val="0"/>
              <w:adjustRightInd w:val="0"/>
              <w:jc w:val="both"/>
              <w:rPr>
                <w:rFonts w:cstheme="minorHAnsi"/>
                <w:sz w:val="20"/>
                <w:szCs w:val="20"/>
              </w:rPr>
            </w:pPr>
          </w:p>
          <w:p w14:paraId="392AF213" w14:textId="77777777" w:rsidR="004853EB" w:rsidRPr="002A326C" w:rsidRDefault="004853EB" w:rsidP="002A326C">
            <w:pPr>
              <w:autoSpaceDE w:val="0"/>
              <w:autoSpaceDN w:val="0"/>
              <w:adjustRightInd w:val="0"/>
              <w:jc w:val="both"/>
              <w:rPr>
                <w:rFonts w:cstheme="minorHAnsi"/>
                <w:sz w:val="20"/>
                <w:szCs w:val="20"/>
              </w:rPr>
            </w:pPr>
          </w:p>
          <w:p w14:paraId="3F959F4A" w14:textId="77777777" w:rsidR="004853EB" w:rsidRPr="002A326C" w:rsidRDefault="004853EB" w:rsidP="002A326C">
            <w:pPr>
              <w:autoSpaceDE w:val="0"/>
              <w:autoSpaceDN w:val="0"/>
              <w:adjustRightInd w:val="0"/>
              <w:jc w:val="both"/>
              <w:rPr>
                <w:rFonts w:cstheme="minorHAnsi"/>
                <w:sz w:val="20"/>
                <w:szCs w:val="20"/>
              </w:rPr>
            </w:pPr>
          </w:p>
          <w:p w14:paraId="6A0CB24C"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spełnia</w:t>
            </w:r>
          </w:p>
        </w:tc>
      </w:tr>
      <w:tr w:rsidR="004853EB" w:rsidRPr="002A326C" w14:paraId="63A6525C" w14:textId="77777777">
        <w:trPr>
          <w:trHeight w:val="1"/>
          <w:jc w:val="center"/>
        </w:trPr>
        <w:tc>
          <w:tcPr>
            <w:tcW w:w="8623"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7F4A6234" w14:textId="461B3731" w:rsidR="004853EB" w:rsidRPr="002A326C" w:rsidRDefault="004853EB" w:rsidP="002A326C">
            <w:pPr>
              <w:autoSpaceDE w:val="0"/>
              <w:autoSpaceDN w:val="0"/>
              <w:adjustRightInd w:val="0"/>
              <w:ind w:left="132" w:hanging="132"/>
              <w:jc w:val="both"/>
              <w:rPr>
                <w:rFonts w:cstheme="minorHAnsi"/>
                <w:sz w:val="20"/>
                <w:szCs w:val="20"/>
              </w:rPr>
            </w:pPr>
            <w:r w:rsidRPr="002A326C">
              <w:rPr>
                <w:rFonts w:cstheme="minorHAnsi"/>
                <w:sz w:val="20"/>
                <w:szCs w:val="20"/>
              </w:rPr>
              <w:t>*</w:t>
            </w:r>
            <w:r w:rsidRPr="002A326C">
              <w:rPr>
                <w:rFonts w:cstheme="minorHAnsi"/>
                <w:sz w:val="20"/>
                <w:szCs w:val="20"/>
              </w:rPr>
              <w:tab/>
              <w:t>klasę TDT1 stosuje się dla tablic na konstrukcjach bramowych, klasę TDT3 dla tablic na 2 lub więcej podporach, klasę TDT 5 dla tablic na jednej podporze, klasę TDT6 dla tablic na konstrukcjach wysięgnikowych</w:t>
            </w:r>
          </w:p>
        </w:tc>
      </w:tr>
    </w:tbl>
    <w:p w14:paraId="7EB27BCB" w14:textId="77777777" w:rsidR="004853EB" w:rsidRPr="002A326C" w:rsidRDefault="004853EB" w:rsidP="002A326C">
      <w:pPr>
        <w:autoSpaceDE w:val="0"/>
        <w:autoSpaceDN w:val="0"/>
        <w:adjustRightInd w:val="0"/>
        <w:spacing w:before="120" w:after="120"/>
        <w:jc w:val="both"/>
        <w:rPr>
          <w:rFonts w:cstheme="minorHAnsi"/>
          <w:sz w:val="20"/>
          <w:szCs w:val="20"/>
        </w:rPr>
      </w:pPr>
      <w:r w:rsidRPr="002A326C">
        <w:rPr>
          <w:rFonts w:cstheme="minorHAnsi"/>
          <w:b/>
          <w:bCs/>
          <w:sz w:val="20"/>
          <w:szCs w:val="20"/>
        </w:rPr>
        <w:t xml:space="preserve">2.6.2. </w:t>
      </w:r>
      <w:r w:rsidRPr="002A326C">
        <w:rPr>
          <w:rFonts w:cstheme="minorHAnsi"/>
          <w:sz w:val="20"/>
          <w:szCs w:val="20"/>
        </w:rPr>
        <w:t>Warunki wykonania tarczy znaku</w:t>
      </w:r>
    </w:p>
    <w:p w14:paraId="20441BED" w14:textId="77777777"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Tarcze znaków powinny spełniać także następujące wymagania:</w:t>
      </w:r>
    </w:p>
    <w:p w14:paraId="6FF00C44" w14:textId="1D212646" w:rsidR="004853EB" w:rsidRPr="002A326C" w:rsidRDefault="004853EB">
      <w:pPr>
        <w:numPr>
          <w:ilvl w:val="0"/>
          <w:numId w:val="182"/>
        </w:numPr>
        <w:tabs>
          <w:tab w:val="left" w:pos="0"/>
        </w:tabs>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 xml:space="preserve">krawędzie tarczy znaku powinny być usztywnione na całym obwodzie poprzez ich podwójne gięcie </w:t>
      </w:r>
      <w:r w:rsidR="00602EF6">
        <w:rPr>
          <w:rFonts w:cstheme="minorHAnsi"/>
          <w:sz w:val="20"/>
          <w:szCs w:val="20"/>
        </w:rPr>
        <w:br/>
      </w:r>
      <w:r w:rsidRPr="002A326C">
        <w:rPr>
          <w:rFonts w:cstheme="minorHAnsi"/>
          <w:sz w:val="20"/>
          <w:szCs w:val="20"/>
        </w:rPr>
        <w:t xml:space="preserve">o promieniu gięcia nie większym niż 10 mm włącznie z narożnikami lub przez zamocowanie odpowiedniego profilu na całym obwodzie znaku, </w:t>
      </w:r>
    </w:p>
    <w:p w14:paraId="67137D3E" w14:textId="77777777" w:rsidR="004853EB" w:rsidRPr="00602EF6" w:rsidRDefault="004853EB">
      <w:pPr>
        <w:numPr>
          <w:ilvl w:val="0"/>
          <w:numId w:val="182"/>
        </w:numPr>
        <w:tabs>
          <w:tab w:val="left" w:pos="0"/>
        </w:tabs>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 xml:space="preserve">powierzchnia czołowa tarczy znaku powinna być równa – bez wgięć, pofałdowań i otworów montażowych. </w:t>
      </w:r>
      <w:r w:rsidRPr="00602EF6">
        <w:rPr>
          <w:rFonts w:cstheme="minorHAnsi"/>
          <w:sz w:val="20"/>
          <w:szCs w:val="20"/>
        </w:rPr>
        <w:t>Dopuszczalna nierówność wynosi 1 mm/m,</w:t>
      </w:r>
    </w:p>
    <w:p w14:paraId="71B8AD21" w14:textId="77777777" w:rsidR="004853EB" w:rsidRPr="002A326C" w:rsidRDefault="004853EB">
      <w:pPr>
        <w:numPr>
          <w:ilvl w:val="0"/>
          <w:numId w:val="182"/>
        </w:numPr>
        <w:tabs>
          <w:tab w:val="left" w:pos="0"/>
        </w:tabs>
        <w:autoSpaceDE w:val="0"/>
        <w:autoSpaceDN w:val="0"/>
        <w:adjustRightInd w:val="0"/>
        <w:spacing w:after="0" w:line="240" w:lineRule="auto"/>
        <w:ind w:left="360" w:hanging="360"/>
        <w:jc w:val="both"/>
        <w:rPr>
          <w:rFonts w:cstheme="minorHAnsi"/>
          <w:sz w:val="20"/>
          <w:szCs w:val="20"/>
        </w:rPr>
      </w:pPr>
      <w:r w:rsidRPr="00602EF6">
        <w:rPr>
          <w:rFonts w:cstheme="minorHAnsi"/>
          <w:sz w:val="20"/>
          <w:szCs w:val="20"/>
        </w:rPr>
        <w:t>podwójna gięta krawędź i/lub przymocowane do</w:t>
      </w:r>
      <w:r w:rsidRPr="002A326C">
        <w:rPr>
          <w:rFonts w:cstheme="minorHAnsi"/>
          <w:sz w:val="20"/>
          <w:szCs w:val="20"/>
        </w:rPr>
        <w:t xml:space="preserve"> tylnej powierzchni profile montażowe powinny usztywnić tarczę znaku w taki sposób, aby wymagania podane w tablicy 1 były spełnione a zarazem stanowiły element konstrukcyjny do montażu do konstrukcji wsporczej,</w:t>
      </w:r>
    </w:p>
    <w:p w14:paraId="54D6C39F" w14:textId="77777777" w:rsidR="004853EB" w:rsidRPr="002A326C" w:rsidRDefault="004853EB">
      <w:pPr>
        <w:numPr>
          <w:ilvl w:val="0"/>
          <w:numId w:val="182"/>
        </w:numPr>
        <w:tabs>
          <w:tab w:val="left" w:pos="0"/>
        </w:tabs>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tylna powierzchnia tarczy powinna być zabezpieczona przed procesami korozji ochronnymi powłokami chemicznymi oraz powłoką lakierniczą o grubości min. 60 µm z proszkowych farb poliestrowych ciemnoszarych matowych lub półmatowych w kolorze zbliżonym do RAL 7037 [26]; badania w zakresie odporności na działanie mgły solnej oraz wody należy wykonywać zgodnie z PN-ISO 7253:2000 [11],</w:t>
      </w:r>
    </w:p>
    <w:p w14:paraId="4E1B95AF" w14:textId="77777777" w:rsidR="004853EB" w:rsidRPr="002A326C" w:rsidRDefault="004853EB">
      <w:pPr>
        <w:numPr>
          <w:ilvl w:val="0"/>
          <w:numId w:val="182"/>
        </w:numPr>
        <w:tabs>
          <w:tab w:val="left" w:pos="0"/>
        </w:tabs>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odwrotną stronę tarczy, jeżeli jest wykorzystywana do umieszczenia znaku dla jadących z przeciwnego kierunku, także należy zabezpieczyć powłoką lakierniczą w kolorze szarym zbliżonym do RAL 7037.</w:t>
      </w:r>
    </w:p>
    <w:p w14:paraId="134A3C22" w14:textId="77777777"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Tarcze znaków i tablic o powierzchni &gt; 1 m</w:t>
      </w:r>
      <w:r w:rsidRPr="002A326C">
        <w:rPr>
          <w:rFonts w:cstheme="minorHAnsi"/>
          <w:sz w:val="20"/>
          <w:szCs w:val="20"/>
          <w:vertAlign w:val="superscript"/>
        </w:rPr>
        <w:t xml:space="preserve">2 </w:t>
      </w:r>
      <w:r w:rsidRPr="002A326C">
        <w:rPr>
          <w:rFonts w:cstheme="minorHAnsi"/>
          <w:sz w:val="20"/>
          <w:szCs w:val="20"/>
        </w:rPr>
        <w:t>powinny spełniać dodatkowo następujące wymagania:</w:t>
      </w:r>
    </w:p>
    <w:p w14:paraId="17D084F0" w14:textId="77777777" w:rsidR="00602EF6" w:rsidRDefault="004853EB">
      <w:pPr>
        <w:numPr>
          <w:ilvl w:val="0"/>
          <w:numId w:val="182"/>
        </w:numPr>
        <w:tabs>
          <w:tab w:val="left" w:pos="0"/>
        </w:tabs>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 xml:space="preserve">narożniki znaku i tablicy powinny być zaokrąglone, o promieniu zgodnym z wymaganiami określonymi </w:t>
      </w:r>
    </w:p>
    <w:p w14:paraId="21F1AADC" w14:textId="1BC60C3F" w:rsidR="004853EB" w:rsidRPr="002A326C" w:rsidRDefault="004853EB">
      <w:pPr>
        <w:numPr>
          <w:ilvl w:val="0"/>
          <w:numId w:val="182"/>
        </w:numPr>
        <w:tabs>
          <w:tab w:val="left" w:pos="0"/>
        </w:tabs>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w załączniku nr 1 do rozporządzenia Ministra Infrastruktury z dnia 3 lipca 2003 r. [19] nie mniejszym jednak niż 30 mm, gdy wielkości tego promienia nie wskazano,</w:t>
      </w:r>
    </w:p>
    <w:p w14:paraId="4F3490D7" w14:textId="235E81CA" w:rsidR="004853EB" w:rsidRPr="002A326C" w:rsidRDefault="00602EF6" w:rsidP="002A326C">
      <w:pPr>
        <w:autoSpaceDE w:val="0"/>
        <w:autoSpaceDN w:val="0"/>
        <w:adjustRightInd w:val="0"/>
        <w:spacing w:before="120"/>
        <w:jc w:val="both"/>
        <w:rPr>
          <w:rFonts w:cstheme="minorHAnsi"/>
          <w:sz w:val="20"/>
          <w:szCs w:val="20"/>
        </w:rPr>
      </w:pPr>
      <w:r w:rsidRPr="002A326C">
        <w:rPr>
          <w:rFonts w:cstheme="minorHAnsi"/>
          <w:b/>
          <w:bCs/>
          <w:sz w:val="20"/>
          <w:szCs w:val="20"/>
        </w:rPr>
        <w:t>2.6.3 Tolerancje</w:t>
      </w:r>
      <w:r w:rsidR="004853EB" w:rsidRPr="002A326C">
        <w:rPr>
          <w:rFonts w:cstheme="minorHAnsi"/>
          <w:sz w:val="20"/>
          <w:szCs w:val="20"/>
        </w:rPr>
        <w:t xml:space="preserve"> wymiarowe znaków drogowych</w:t>
      </w:r>
    </w:p>
    <w:p w14:paraId="2EA5568F" w14:textId="1BE67C38" w:rsidR="004853EB" w:rsidRPr="002A326C" w:rsidRDefault="00602EF6" w:rsidP="002A326C">
      <w:pPr>
        <w:autoSpaceDE w:val="0"/>
        <w:autoSpaceDN w:val="0"/>
        <w:adjustRightInd w:val="0"/>
        <w:spacing w:before="120" w:after="120"/>
        <w:jc w:val="both"/>
        <w:rPr>
          <w:rFonts w:cstheme="minorHAnsi"/>
          <w:b/>
          <w:bCs/>
          <w:sz w:val="20"/>
          <w:szCs w:val="20"/>
        </w:rPr>
      </w:pPr>
      <w:r w:rsidRPr="002A326C">
        <w:rPr>
          <w:rFonts w:cstheme="minorHAnsi"/>
          <w:sz w:val="20"/>
          <w:szCs w:val="20"/>
        </w:rPr>
        <w:t>2.6.3.1.</w:t>
      </w:r>
      <w:r w:rsidRPr="002A326C">
        <w:rPr>
          <w:rFonts w:cstheme="minorHAnsi"/>
          <w:b/>
          <w:bCs/>
          <w:sz w:val="20"/>
          <w:szCs w:val="20"/>
        </w:rPr>
        <w:t xml:space="preserve"> Tolerancje</w:t>
      </w:r>
      <w:r w:rsidR="004853EB" w:rsidRPr="002A326C">
        <w:rPr>
          <w:rFonts w:cstheme="minorHAnsi"/>
          <w:sz w:val="20"/>
          <w:szCs w:val="20"/>
        </w:rPr>
        <w:t xml:space="preserve"> wymiarowe dla grubości blach</w:t>
      </w:r>
    </w:p>
    <w:p w14:paraId="17F6663F" w14:textId="77777777"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Sprawdzenie śrubą mikrometryczną:</w:t>
      </w:r>
    </w:p>
    <w:p w14:paraId="62BD3E80" w14:textId="77777777" w:rsidR="004853EB" w:rsidRPr="002A326C" w:rsidRDefault="004853EB">
      <w:pPr>
        <w:numPr>
          <w:ilvl w:val="0"/>
          <w:numId w:val="182"/>
        </w:numPr>
        <w:tabs>
          <w:tab w:val="left" w:pos="0"/>
        </w:tabs>
        <w:autoSpaceDE w:val="0"/>
        <w:autoSpaceDN w:val="0"/>
        <w:adjustRightInd w:val="0"/>
        <w:spacing w:after="0" w:line="240" w:lineRule="auto"/>
        <w:ind w:left="284" w:hanging="284"/>
        <w:jc w:val="both"/>
        <w:rPr>
          <w:rFonts w:cstheme="minorHAnsi"/>
          <w:sz w:val="20"/>
          <w:szCs w:val="20"/>
        </w:rPr>
      </w:pPr>
      <w:r w:rsidRPr="002A326C">
        <w:rPr>
          <w:rFonts w:cstheme="minorHAnsi"/>
          <w:sz w:val="20"/>
          <w:szCs w:val="20"/>
        </w:rPr>
        <w:t>dla blachy stalowej ocynkowanej ogniowo o gr. 1,25 - 1,5 mm tolerancja ± 0,14 mm,</w:t>
      </w:r>
    </w:p>
    <w:p w14:paraId="11139682" w14:textId="77777777" w:rsidR="004853EB" w:rsidRPr="002A326C" w:rsidRDefault="004853EB" w:rsidP="002A326C">
      <w:pPr>
        <w:autoSpaceDE w:val="0"/>
        <w:autoSpaceDN w:val="0"/>
        <w:adjustRightInd w:val="0"/>
        <w:spacing w:before="120" w:after="120"/>
        <w:jc w:val="both"/>
        <w:rPr>
          <w:rFonts w:cstheme="minorHAnsi"/>
          <w:b/>
          <w:bCs/>
          <w:sz w:val="20"/>
          <w:szCs w:val="20"/>
        </w:rPr>
      </w:pPr>
      <w:r w:rsidRPr="002A326C">
        <w:rPr>
          <w:rFonts w:cstheme="minorHAnsi"/>
          <w:sz w:val="20"/>
          <w:szCs w:val="20"/>
        </w:rPr>
        <w:t>2.6.3.2.</w:t>
      </w:r>
      <w:r w:rsidRPr="002A326C">
        <w:rPr>
          <w:rFonts w:cstheme="minorHAnsi"/>
          <w:b/>
          <w:bCs/>
          <w:sz w:val="20"/>
          <w:szCs w:val="20"/>
        </w:rPr>
        <w:t xml:space="preserve"> </w:t>
      </w:r>
      <w:r w:rsidRPr="002A326C">
        <w:rPr>
          <w:rFonts w:cstheme="minorHAnsi"/>
          <w:sz w:val="20"/>
          <w:szCs w:val="20"/>
        </w:rPr>
        <w:t>Tolerancje wymiarowe dla grubości powłok malarskich</w:t>
      </w:r>
      <w:r w:rsidRPr="002A326C">
        <w:rPr>
          <w:rFonts w:cstheme="minorHAnsi"/>
          <w:b/>
          <w:bCs/>
          <w:sz w:val="20"/>
          <w:szCs w:val="20"/>
        </w:rPr>
        <w:t xml:space="preserve"> </w:t>
      </w:r>
    </w:p>
    <w:p w14:paraId="3781C32E" w14:textId="77777777"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Dla powłoki lakierniczej na tylnej powierzchni tarczy znaku o dopuszczalna tolerancja powinna wynosić od 40 µm do 80 µm. Sprawdzenie wg PN-EN ISO 2808 [12].</w:t>
      </w:r>
    </w:p>
    <w:p w14:paraId="0829A045" w14:textId="77777777" w:rsidR="004853EB" w:rsidRPr="002A326C" w:rsidRDefault="004853EB" w:rsidP="002A326C">
      <w:pPr>
        <w:autoSpaceDE w:val="0"/>
        <w:autoSpaceDN w:val="0"/>
        <w:adjustRightInd w:val="0"/>
        <w:ind w:firstLine="709"/>
        <w:jc w:val="both"/>
        <w:rPr>
          <w:rFonts w:cstheme="minorHAnsi"/>
          <w:sz w:val="20"/>
          <w:szCs w:val="20"/>
        </w:rPr>
      </w:pPr>
    </w:p>
    <w:p w14:paraId="3FF62167" w14:textId="77777777" w:rsidR="004853EB" w:rsidRPr="002A326C" w:rsidRDefault="004853EB" w:rsidP="002A326C">
      <w:pPr>
        <w:autoSpaceDE w:val="0"/>
        <w:autoSpaceDN w:val="0"/>
        <w:adjustRightInd w:val="0"/>
        <w:spacing w:before="120" w:after="120"/>
        <w:jc w:val="both"/>
        <w:rPr>
          <w:rFonts w:cstheme="minorHAnsi"/>
          <w:b/>
          <w:bCs/>
          <w:sz w:val="20"/>
          <w:szCs w:val="20"/>
        </w:rPr>
      </w:pPr>
      <w:r w:rsidRPr="002A326C">
        <w:rPr>
          <w:rFonts w:cstheme="minorHAnsi"/>
          <w:sz w:val="20"/>
          <w:szCs w:val="20"/>
        </w:rPr>
        <w:lastRenderedPageBreak/>
        <w:t>2.6.3.3.</w:t>
      </w:r>
      <w:r w:rsidRPr="002A326C">
        <w:rPr>
          <w:rFonts w:cstheme="minorHAnsi"/>
          <w:b/>
          <w:bCs/>
          <w:sz w:val="20"/>
          <w:szCs w:val="20"/>
        </w:rPr>
        <w:t xml:space="preserve"> </w:t>
      </w:r>
      <w:r w:rsidRPr="002A326C">
        <w:rPr>
          <w:rFonts w:cstheme="minorHAnsi"/>
          <w:sz w:val="20"/>
          <w:szCs w:val="20"/>
        </w:rPr>
        <w:t>Tolerancje wymiarowe dla płaskości powierzchni</w:t>
      </w:r>
    </w:p>
    <w:p w14:paraId="606C37F2" w14:textId="77777777"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Odchylenia od płaskości nie mogą wynieść więcej niż 0,5%. Sprawdzenie można wykonać z użyciem poziomnicy i szczelinomierza.</w:t>
      </w:r>
    </w:p>
    <w:p w14:paraId="32AB1C5A" w14:textId="77777777" w:rsidR="004853EB" w:rsidRPr="002A326C" w:rsidRDefault="004853EB" w:rsidP="002A326C">
      <w:pPr>
        <w:autoSpaceDE w:val="0"/>
        <w:autoSpaceDN w:val="0"/>
        <w:adjustRightInd w:val="0"/>
        <w:spacing w:before="120" w:after="120"/>
        <w:jc w:val="both"/>
        <w:rPr>
          <w:rFonts w:cstheme="minorHAnsi"/>
          <w:b/>
          <w:bCs/>
          <w:sz w:val="20"/>
          <w:szCs w:val="20"/>
        </w:rPr>
      </w:pPr>
      <w:r w:rsidRPr="002A326C">
        <w:rPr>
          <w:rFonts w:cstheme="minorHAnsi"/>
          <w:sz w:val="20"/>
          <w:szCs w:val="20"/>
        </w:rPr>
        <w:t>2.6.3.4.</w:t>
      </w:r>
      <w:r w:rsidRPr="002A326C">
        <w:rPr>
          <w:rFonts w:cstheme="minorHAnsi"/>
          <w:b/>
          <w:bCs/>
          <w:sz w:val="20"/>
          <w:szCs w:val="20"/>
        </w:rPr>
        <w:t xml:space="preserve"> </w:t>
      </w:r>
      <w:r w:rsidRPr="002A326C">
        <w:rPr>
          <w:rFonts w:cstheme="minorHAnsi"/>
          <w:sz w:val="20"/>
          <w:szCs w:val="20"/>
        </w:rPr>
        <w:t>Tolerancje wymiarowe dla tarcz znaków</w:t>
      </w:r>
    </w:p>
    <w:p w14:paraId="696B6F93" w14:textId="77777777"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Sprawdzenie przymiarem liniowym:</w:t>
      </w:r>
    </w:p>
    <w:p w14:paraId="59A45429" w14:textId="288F434A" w:rsidR="004853EB" w:rsidRPr="002A326C" w:rsidRDefault="004853EB">
      <w:pPr>
        <w:numPr>
          <w:ilvl w:val="0"/>
          <w:numId w:val="182"/>
        </w:numPr>
        <w:tabs>
          <w:tab w:val="left" w:pos="0"/>
        </w:tabs>
        <w:autoSpaceDE w:val="0"/>
        <w:autoSpaceDN w:val="0"/>
        <w:adjustRightInd w:val="0"/>
        <w:spacing w:after="0" w:line="240" w:lineRule="auto"/>
        <w:ind w:left="284" w:hanging="284"/>
        <w:jc w:val="both"/>
        <w:rPr>
          <w:rFonts w:cstheme="minorHAnsi"/>
          <w:sz w:val="20"/>
          <w:szCs w:val="20"/>
        </w:rPr>
      </w:pPr>
      <w:r w:rsidRPr="002A326C">
        <w:rPr>
          <w:rFonts w:cstheme="minorHAnsi"/>
          <w:sz w:val="20"/>
          <w:szCs w:val="20"/>
        </w:rPr>
        <w:t>wymiary dla tarcz znaków o powierzchni &lt; 1m</w:t>
      </w:r>
      <w:r w:rsidRPr="002A326C">
        <w:rPr>
          <w:rFonts w:cstheme="minorHAnsi"/>
          <w:sz w:val="20"/>
          <w:szCs w:val="20"/>
          <w:vertAlign w:val="superscript"/>
        </w:rPr>
        <w:t>2</w:t>
      </w:r>
      <w:r w:rsidRPr="002A326C">
        <w:rPr>
          <w:rFonts w:cstheme="minorHAnsi"/>
          <w:sz w:val="20"/>
          <w:szCs w:val="20"/>
        </w:rPr>
        <w:t xml:space="preserve"> podane w opisach szczegółowych załącznika nr 1 [19] należy powiększyć o 10 mm i wykonać w tolerancji </w:t>
      </w:r>
      <w:r w:rsidR="00602EF6" w:rsidRPr="002A326C">
        <w:rPr>
          <w:rFonts w:cstheme="minorHAnsi"/>
          <w:sz w:val="20"/>
          <w:szCs w:val="20"/>
        </w:rPr>
        <w:t>wymiarowej 5</w:t>
      </w:r>
      <w:r w:rsidRPr="002A326C">
        <w:rPr>
          <w:rFonts w:cstheme="minorHAnsi"/>
          <w:sz w:val="20"/>
          <w:szCs w:val="20"/>
        </w:rPr>
        <w:t xml:space="preserve"> mm,</w:t>
      </w:r>
    </w:p>
    <w:p w14:paraId="103D891B" w14:textId="19FA5B0E" w:rsidR="004853EB" w:rsidRPr="002A326C" w:rsidRDefault="004853EB">
      <w:pPr>
        <w:numPr>
          <w:ilvl w:val="0"/>
          <w:numId w:val="182"/>
        </w:numPr>
        <w:tabs>
          <w:tab w:val="left" w:pos="0"/>
        </w:tabs>
        <w:autoSpaceDE w:val="0"/>
        <w:autoSpaceDN w:val="0"/>
        <w:adjustRightInd w:val="0"/>
        <w:spacing w:after="0" w:line="240" w:lineRule="auto"/>
        <w:ind w:left="284" w:hanging="284"/>
        <w:jc w:val="both"/>
        <w:rPr>
          <w:rFonts w:cstheme="minorHAnsi"/>
          <w:sz w:val="20"/>
          <w:szCs w:val="20"/>
        </w:rPr>
      </w:pPr>
      <w:r w:rsidRPr="002A326C">
        <w:rPr>
          <w:rFonts w:cstheme="minorHAnsi"/>
          <w:sz w:val="20"/>
          <w:szCs w:val="20"/>
        </w:rPr>
        <w:t>wymiary dla tarcz znaków i tablic o powierzchni &gt; 1m</w:t>
      </w:r>
      <w:r w:rsidRPr="002A326C">
        <w:rPr>
          <w:rFonts w:cstheme="minorHAnsi"/>
          <w:sz w:val="20"/>
          <w:szCs w:val="20"/>
          <w:vertAlign w:val="superscript"/>
        </w:rPr>
        <w:t>2</w:t>
      </w:r>
      <w:r w:rsidRPr="002A326C">
        <w:rPr>
          <w:rFonts w:cstheme="minorHAnsi"/>
          <w:sz w:val="20"/>
          <w:szCs w:val="20"/>
        </w:rPr>
        <w:t xml:space="preserve"> podane w opisach szczegółowych załącznika nr 1 [19] </w:t>
      </w:r>
      <w:r w:rsidR="00602EF6" w:rsidRPr="002A326C">
        <w:rPr>
          <w:rFonts w:cstheme="minorHAnsi"/>
          <w:sz w:val="20"/>
          <w:szCs w:val="20"/>
        </w:rPr>
        <w:t>oraz wymiary</w:t>
      </w:r>
      <w:r w:rsidRPr="002A326C">
        <w:rPr>
          <w:rFonts w:cstheme="minorHAnsi"/>
          <w:sz w:val="20"/>
          <w:szCs w:val="20"/>
        </w:rPr>
        <w:t xml:space="preserve"> wynikowe dla tablic grupy E należy powiększyć o 15 mm i wykonać w tolerancji wymiarowej   10 mm.</w:t>
      </w:r>
    </w:p>
    <w:p w14:paraId="23C18CFA"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2.7. Znaki odblaskowe</w:t>
      </w:r>
    </w:p>
    <w:p w14:paraId="534A2730"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b/>
          <w:bCs/>
          <w:sz w:val="20"/>
          <w:szCs w:val="20"/>
        </w:rPr>
        <w:t xml:space="preserve">2.7.1. </w:t>
      </w:r>
      <w:r w:rsidRPr="002A326C">
        <w:rPr>
          <w:rFonts w:cstheme="minorHAnsi"/>
          <w:sz w:val="20"/>
          <w:szCs w:val="20"/>
        </w:rPr>
        <w:t>Wymagania dotyczące powierzchni odblaskowej</w:t>
      </w:r>
    </w:p>
    <w:p w14:paraId="5ECE4A81" w14:textId="432EA21A"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ab/>
        <w:t xml:space="preserve">Znaki drogowe odblaskowe wykonuje się przez naklejenie na tarczę znaku lica wykonanego </w:t>
      </w:r>
      <w:r w:rsidR="00602EF6">
        <w:rPr>
          <w:rFonts w:cstheme="minorHAnsi"/>
          <w:sz w:val="20"/>
          <w:szCs w:val="20"/>
        </w:rPr>
        <w:br/>
      </w:r>
      <w:r w:rsidRPr="002A326C">
        <w:rPr>
          <w:rFonts w:cstheme="minorHAnsi"/>
          <w:sz w:val="20"/>
          <w:szCs w:val="20"/>
        </w:rPr>
        <w:t xml:space="preserve">z samoprzylepnej, aktywowanej przez docisk, folii odblaskowej. Znaki drogowe klasy A, B, C, D, E, F, G, T </w:t>
      </w:r>
      <w:r w:rsidR="00602EF6">
        <w:rPr>
          <w:rFonts w:cstheme="minorHAnsi"/>
          <w:sz w:val="20"/>
          <w:szCs w:val="20"/>
        </w:rPr>
        <w:br/>
      </w:r>
      <w:r w:rsidRPr="002A326C">
        <w:rPr>
          <w:rFonts w:cstheme="minorHAnsi"/>
          <w:sz w:val="20"/>
          <w:szCs w:val="20"/>
        </w:rPr>
        <w:t>i urządzenia bezpieczeństwa ruchu drogowego klasy U nie odblaskowe, nie są dopuszczone do stosowania na drogach publicznych.</w:t>
      </w:r>
    </w:p>
    <w:p w14:paraId="2B0D308C" w14:textId="797EC303"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 xml:space="preserve">Folia odblaskowa (odbijająca powrotnie) powinna spełniać wymagania określone w niniejszej </w:t>
      </w:r>
      <w:r w:rsidR="00602EF6" w:rsidRPr="002A326C">
        <w:rPr>
          <w:rFonts w:cstheme="minorHAnsi"/>
          <w:sz w:val="20"/>
          <w:szCs w:val="20"/>
        </w:rPr>
        <w:t>SST.</w:t>
      </w:r>
    </w:p>
    <w:p w14:paraId="340C441A"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Lico znaku należy wykonać z samoprzylepnej folii odblaskowej (kulkowej) typu 1, typu 2 lub z folii mikropryzmatycznej typu 1P, 2P, o jakości potwierdzonej uzyskanymi certyfikatami dla każdego typu i koloru folii. Do wykonywania piktogramów i znaków alfanumerycznych na licach znaków wszystkich kategorii dopuszcza się stosowanie folii nieodblaskowej czarnej.</w:t>
      </w:r>
    </w:p>
    <w:p w14:paraId="559D59BC"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 xml:space="preserve">Do nanoszenia na lico znaku barw innych niż biała, mogą być stosowane: </w:t>
      </w:r>
    </w:p>
    <w:p w14:paraId="1088554B"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odblaskowa folia kulkowa,</w:t>
      </w:r>
    </w:p>
    <w:p w14:paraId="593CE979"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transparentna folia ploterowa ECF,</w:t>
      </w:r>
    </w:p>
    <w:p w14:paraId="10D5AEE3"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 xml:space="preserve">nieodblaskowa folia barwy czarnej, </w:t>
      </w:r>
    </w:p>
    <w:p w14:paraId="70A2EB77"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 xml:space="preserve">transparentny druk sitowy, </w:t>
      </w:r>
    </w:p>
    <w:p w14:paraId="35302C7E"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transparentny druk cyfrowy.</w:t>
      </w:r>
    </w:p>
    <w:p w14:paraId="1427A5C8"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Widoczność w dzień i w nocy znaków drogowych zależy od właściwości kolorymetrycznych i fotometrycznych folii zastosowanej na lico znaku. Stosowane są w tym celu folie odblaskowe wykonane w technologii kulkowej i pryzmatycznej oraz nieodblaskowa folia barwy czarnej.</w:t>
      </w:r>
    </w:p>
    <w:p w14:paraId="500FB27C" w14:textId="77777777" w:rsidR="004853EB" w:rsidRPr="00602EF6" w:rsidRDefault="004853EB" w:rsidP="002A326C">
      <w:pPr>
        <w:autoSpaceDE w:val="0"/>
        <w:autoSpaceDN w:val="0"/>
        <w:adjustRightInd w:val="0"/>
        <w:jc w:val="both"/>
        <w:rPr>
          <w:rFonts w:cstheme="minorHAnsi"/>
          <w:sz w:val="20"/>
          <w:szCs w:val="20"/>
        </w:rPr>
      </w:pPr>
      <w:r w:rsidRPr="002A326C">
        <w:rPr>
          <w:rFonts w:cstheme="minorHAnsi"/>
          <w:sz w:val="20"/>
          <w:szCs w:val="20"/>
        </w:rPr>
        <w:tab/>
      </w:r>
      <w:r w:rsidRPr="00602EF6">
        <w:rPr>
          <w:rFonts w:cstheme="minorHAnsi"/>
          <w:sz w:val="20"/>
          <w:szCs w:val="20"/>
        </w:rPr>
        <w:t>Folia typu 1 oznacza folię kulkową spełniającą współczynnik luminancji β i współrzędne chromatyczności określone w klasie CR1 lub CR2 oraz współczynnik odblaskowości w klasie RA1 wg [1].</w:t>
      </w:r>
    </w:p>
    <w:p w14:paraId="053F2E2B"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ab/>
        <w:t>Folia typu 2 oznacza folię kulkową spełniającą współczynnik luminancji β i współrzędne chromatyczności określone w klasie CR1 lub CR2 oraz współczynnik odblaskowości w klasie RA2[1].</w:t>
      </w:r>
    </w:p>
    <w:p w14:paraId="63DAE968"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ab/>
        <w:t>Folia typu 3P oznacza folię pryzmatyczną spełniającą współczynnik luminancji β i współrzędne chromatyczności określone w klasie CR1 lub CR2 oraz współczynnik odblaskowości wg tablicy 3.</w:t>
      </w:r>
    </w:p>
    <w:p w14:paraId="6039270D"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ab/>
        <w:t>W tablicach 2, 3 zawarto minimalne wartości współczynnika odblasku R</w:t>
      </w:r>
      <w:r w:rsidRPr="00602EF6">
        <w:rPr>
          <w:rFonts w:cstheme="minorHAnsi"/>
          <w:sz w:val="20"/>
          <w:szCs w:val="20"/>
          <w:vertAlign w:val="subscript"/>
        </w:rPr>
        <w:t>A</w:t>
      </w:r>
      <w:r w:rsidRPr="00602EF6">
        <w:rPr>
          <w:rFonts w:cstheme="minorHAnsi"/>
          <w:sz w:val="20"/>
          <w:szCs w:val="20"/>
        </w:rPr>
        <w:t xml:space="preserve"> , które powinny spełniać folie pryzmatyczne typu 3P.</w:t>
      </w:r>
    </w:p>
    <w:p w14:paraId="0B9C099F" w14:textId="77777777" w:rsidR="004853EB" w:rsidRPr="00602EF6" w:rsidRDefault="004853EB" w:rsidP="002A326C">
      <w:pPr>
        <w:autoSpaceDE w:val="0"/>
        <w:autoSpaceDN w:val="0"/>
        <w:adjustRightInd w:val="0"/>
        <w:spacing w:before="120" w:after="120"/>
        <w:jc w:val="both"/>
        <w:rPr>
          <w:rFonts w:cstheme="minorHAnsi"/>
          <w:sz w:val="20"/>
          <w:szCs w:val="20"/>
        </w:rPr>
      </w:pPr>
      <w:r w:rsidRPr="00602EF6">
        <w:rPr>
          <w:rFonts w:cstheme="minorHAnsi"/>
          <w:sz w:val="20"/>
          <w:szCs w:val="20"/>
        </w:rPr>
        <w:t>Tablica 2. Minimalne wartości współczynnika odblasku R</w:t>
      </w:r>
      <w:r w:rsidRPr="00602EF6">
        <w:rPr>
          <w:rFonts w:cstheme="minorHAnsi"/>
          <w:sz w:val="20"/>
          <w:szCs w:val="20"/>
          <w:vertAlign w:val="subscript"/>
        </w:rPr>
        <w:t>A</w:t>
      </w:r>
      <w:r w:rsidRPr="00602EF6">
        <w:rPr>
          <w:rFonts w:cstheme="minorHAnsi"/>
          <w:sz w:val="20"/>
          <w:szCs w:val="20"/>
        </w:rPr>
        <w:t xml:space="preserve"> folii pryzmatycznej typu 2P</w:t>
      </w:r>
    </w:p>
    <w:tbl>
      <w:tblPr>
        <w:tblW w:w="0" w:type="auto"/>
        <w:tblInd w:w="167" w:type="dxa"/>
        <w:tblLayout w:type="fixed"/>
        <w:tblCellMar>
          <w:left w:w="54" w:type="dxa"/>
          <w:right w:w="54" w:type="dxa"/>
        </w:tblCellMar>
        <w:tblLook w:val="04A0" w:firstRow="1" w:lastRow="0" w:firstColumn="1" w:lastColumn="0" w:noHBand="0" w:noVBand="1"/>
      </w:tblPr>
      <w:tblGrid>
        <w:gridCol w:w="644"/>
        <w:gridCol w:w="851"/>
        <w:gridCol w:w="1134"/>
        <w:gridCol w:w="1275"/>
        <w:gridCol w:w="1134"/>
        <w:gridCol w:w="1238"/>
        <w:gridCol w:w="1134"/>
        <w:gridCol w:w="1321"/>
      </w:tblGrid>
      <w:tr w:rsidR="004853EB" w:rsidRPr="002A326C" w14:paraId="5029126E" w14:textId="77777777">
        <w:trPr>
          <w:trHeight w:val="1"/>
        </w:trPr>
        <w:tc>
          <w:tcPr>
            <w:tcW w:w="1495" w:type="dxa"/>
            <w:gridSpan w:val="2"/>
            <w:tcBorders>
              <w:top w:val="single" w:sz="6" w:space="0" w:color="000000"/>
              <w:left w:val="single" w:sz="6" w:space="0" w:color="000000"/>
              <w:bottom w:val="single" w:sz="4" w:space="0" w:color="000000"/>
              <w:right w:val="single" w:sz="4" w:space="0" w:color="000000"/>
            </w:tcBorders>
            <w:shd w:val="clear" w:color="auto" w:fill="FFFFFF"/>
            <w:vAlign w:val="center"/>
            <w:hideMark/>
          </w:tcPr>
          <w:p w14:paraId="7C29E1D0"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Geometria pomiarów</w:t>
            </w:r>
          </w:p>
        </w:tc>
        <w:tc>
          <w:tcPr>
            <w:tcW w:w="7236" w:type="dxa"/>
            <w:gridSpan w:val="6"/>
            <w:tcBorders>
              <w:top w:val="single" w:sz="6" w:space="0" w:color="000000"/>
              <w:left w:val="single" w:sz="4" w:space="0" w:color="000000"/>
              <w:bottom w:val="single" w:sz="4" w:space="0" w:color="000000"/>
              <w:right w:val="single" w:sz="6" w:space="0" w:color="000000"/>
            </w:tcBorders>
            <w:shd w:val="clear" w:color="auto" w:fill="FFFFFF"/>
            <w:vAlign w:val="center"/>
            <w:hideMark/>
          </w:tcPr>
          <w:p w14:paraId="6DC8EC95"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Współczynnik odblasku R</w:t>
            </w:r>
            <w:r w:rsidRPr="002A326C">
              <w:rPr>
                <w:rFonts w:cstheme="minorHAnsi"/>
                <w:sz w:val="20"/>
                <w:szCs w:val="20"/>
                <w:vertAlign w:val="subscript"/>
              </w:rPr>
              <w:t>A</w:t>
            </w:r>
            <w:r w:rsidRPr="002A326C">
              <w:rPr>
                <w:rFonts w:cstheme="minorHAnsi"/>
                <w:sz w:val="20"/>
                <w:szCs w:val="20"/>
              </w:rPr>
              <w:t xml:space="preserve"> [cd lx</w:t>
            </w:r>
            <w:r w:rsidRPr="002A326C">
              <w:rPr>
                <w:rFonts w:cstheme="minorHAnsi"/>
                <w:sz w:val="20"/>
                <w:szCs w:val="20"/>
                <w:vertAlign w:val="superscript"/>
              </w:rPr>
              <w:t>-1</w:t>
            </w:r>
            <w:r w:rsidRPr="002A326C">
              <w:rPr>
                <w:rFonts w:cstheme="minorHAnsi"/>
                <w:sz w:val="20"/>
                <w:szCs w:val="20"/>
              </w:rPr>
              <w:t xml:space="preserve"> m</w:t>
            </w:r>
            <w:r w:rsidRPr="002A326C">
              <w:rPr>
                <w:rFonts w:cstheme="minorHAnsi"/>
                <w:sz w:val="20"/>
                <w:szCs w:val="20"/>
                <w:vertAlign w:val="superscript"/>
              </w:rPr>
              <w:t>-2</w:t>
            </w:r>
            <w:r w:rsidRPr="002A326C">
              <w:rPr>
                <w:rFonts w:cstheme="minorHAnsi"/>
                <w:sz w:val="20"/>
                <w:szCs w:val="20"/>
              </w:rPr>
              <w:t>]</w:t>
            </w:r>
          </w:p>
        </w:tc>
      </w:tr>
      <w:tr w:rsidR="004853EB" w:rsidRPr="002A326C" w14:paraId="0E9DE49A" w14:textId="77777777">
        <w:trPr>
          <w:trHeight w:val="1"/>
        </w:trPr>
        <w:tc>
          <w:tcPr>
            <w:tcW w:w="644" w:type="dxa"/>
            <w:tcBorders>
              <w:top w:val="single" w:sz="4" w:space="0" w:color="000000"/>
              <w:left w:val="single" w:sz="6" w:space="0" w:color="000000"/>
              <w:bottom w:val="single" w:sz="4" w:space="0" w:color="000000"/>
              <w:right w:val="nil"/>
            </w:tcBorders>
            <w:shd w:val="clear" w:color="auto" w:fill="FFFFFF"/>
            <w:vAlign w:val="center"/>
            <w:hideMark/>
          </w:tcPr>
          <w:p w14:paraId="52B4DB01"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lastRenderedPageBreak/>
              <w:t>α[</w:t>
            </w:r>
            <w:r w:rsidRPr="00602EF6">
              <w:rPr>
                <w:rFonts w:cstheme="minorHAnsi"/>
                <w:sz w:val="20"/>
                <w:szCs w:val="20"/>
                <w:vertAlign w:val="superscript"/>
              </w:rPr>
              <w:t>o</w:t>
            </w:r>
            <w:r w:rsidRPr="00602EF6">
              <w:rPr>
                <w:rFonts w:cstheme="minorHAnsi"/>
                <w:sz w:val="20"/>
                <w:szCs w:val="20"/>
              </w:rPr>
              <w:t>]</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42956B"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β1[</w:t>
            </w:r>
            <w:r w:rsidRPr="00602EF6">
              <w:rPr>
                <w:rFonts w:cstheme="minorHAnsi"/>
                <w:sz w:val="20"/>
                <w:szCs w:val="20"/>
                <w:vertAlign w:val="superscript"/>
              </w:rPr>
              <w:t>o</w:t>
            </w:r>
            <w:r w:rsidRPr="00602EF6">
              <w:rPr>
                <w:rFonts w:cstheme="minorHAnsi"/>
                <w:sz w:val="20"/>
                <w:szCs w:val="20"/>
              </w:rPr>
              <w:t>]</w:t>
            </w:r>
          </w:p>
          <w:p w14:paraId="386B24D4"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(β2=0</w:t>
            </w:r>
            <w:r w:rsidRPr="00602EF6">
              <w:rPr>
                <w:rFonts w:cstheme="minorHAnsi"/>
                <w:sz w:val="20"/>
                <w:szCs w:val="20"/>
                <w:vertAlign w:val="superscript"/>
              </w:rPr>
              <w:t>°</w:t>
            </w:r>
            <w:r w:rsidRPr="00602EF6">
              <w:rPr>
                <w:rFonts w:cstheme="minorHAnsi"/>
                <w:sz w:val="20"/>
                <w:szCs w:val="20"/>
              </w:rPr>
              <w:t>)</w:t>
            </w:r>
          </w:p>
        </w:tc>
        <w:tc>
          <w:tcPr>
            <w:tcW w:w="1134" w:type="dxa"/>
            <w:tcBorders>
              <w:top w:val="single" w:sz="4" w:space="0" w:color="000000"/>
              <w:left w:val="single" w:sz="4" w:space="0" w:color="000000"/>
              <w:bottom w:val="single" w:sz="4" w:space="0" w:color="000000"/>
              <w:right w:val="nil"/>
            </w:tcBorders>
            <w:shd w:val="clear" w:color="auto" w:fill="FFFFFF"/>
            <w:vAlign w:val="center"/>
            <w:hideMark/>
          </w:tcPr>
          <w:p w14:paraId="0170B5B5"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Folia biała</w:t>
            </w:r>
          </w:p>
        </w:tc>
        <w:tc>
          <w:tcPr>
            <w:tcW w:w="1275" w:type="dxa"/>
            <w:tcBorders>
              <w:top w:val="single" w:sz="4" w:space="0" w:color="000000"/>
              <w:left w:val="single" w:sz="4" w:space="0" w:color="000000"/>
              <w:bottom w:val="single" w:sz="4" w:space="0" w:color="000000"/>
              <w:right w:val="nil"/>
            </w:tcBorders>
            <w:shd w:val="clear" w:color="auto" w:fill="FFFFFF"/>
            <w:vAlign w:val="center"/>
            <w:hideMark/>
          </w:tcPr>
          <w:p w14:paraId="5BF78851"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Folia żółta</w:t>
            </w:r>
          </w:p>
        </w:tc>
        <w:tc>
          <w:tcPr>
            <w:tcW w:w="1134" w:type="dxa"/>
            <w:tcBorders>
              <w:top w:val="single" w:sz="4" w:space="0" w:color="000000"/>
              <w:left w:val="single" w:sz="4" w:space="0" w:color="000000"/>
              <w:bottom w:val="single" w:sz="4" w:space="0" w:color="000000"/>
              <w:right w:val="nil"/>
            </w:tcBorders>
            <w:shd w:val="clear" w:color="auto" w:fill="FFFFFF"/>
            <w:vAlign w:val="center"/>
            <w:hideMark/>
          </w:tcPr>
          <w:p w14:paraId="423561AB"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Folia czerwona</w:t>
            </w:r>
          </w:p>
        </w:tc>
        <w:tc>
          <w:tcPr>
            <w:tcW w:w="1238" w:type="dxa"/>
            <w:tcBorders>
              <w:top w:val="single" w:sz="4" w:space="0" w:color="000000"/>
              <w:left w:val="single" w:sz="4" w:space="0" w:color="000000"/>
              <w:bottom w:val="single" w:sz="4" w:space="0" w:color="000000"/>
              <w:right w:val="nil"/>
            </w:tcBorders>
            <w:shd w:val="clear" w:color="auto" w:fill="FFFFFF"/>
            <w:vAlign w:val="center"/>
            <w:hideMark/>
          </w:tcPr>
          <w:p w14:paraId="14F0C50D"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Folia pomarań-czowa</w:t>
            </w:r>
          </w:p>
        </w:tc>
        <w:tc>
          <w:tcPr>
            <w:tcW w:w="1134" w:type="dxa"/>
            <w:tcBorders>
              <w:top w:val="single" w:sz="4" w:space="0" w:color="000000"/>
              <w:left w:val="single" w:sz="4" w:space="0" w:color="000000"/>
              <w:bottom w:val="single" w:sz="4" w:space="0" w:color="000000"/>
              <w:right w:val="nil"/>
            </w:tcBorders>
            <w:shd w:val="clear" w:color="auto" w:fill="FFFFFF"/>
            <w:vAlign w:val="center"/>
            <w:hideMark/>
          </w:tcPr>
          <w:p w14:paraId="73C434B9"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Folia niebieska</w:t>
            </w:r>
          </w:p>
        </w:tc>
        <w:tc>
          <w:tcPr>
            <w:tcW w:w="1321" w:type="dxa"/>
            <w:tcBorders>
              <w:top w:val="single" w:sz="4" w:space="0" w:color="000000"/>
              <w:left w:val="single" w:sz="4" w:space="0" w:color="000000"/>
              <w:bottom w:val="single" w:sz="4" w:space="0" w:color="000000"/>
              <w:right w:val="single" w:sz="6" w:space="0" w:color="000000"/>
            </w:tcBorders>
            <w:shd w:val="clear" w:color="auto" w:fill="FFFFFF"/>
            <w:vAlign w:val="center"/>
            <w:hideMark/>
          </w:tcPr>
          <w:p w14:paraId="49279577"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Folia zielona</w:t>
            </w:r>
          </w:p>
        </w:tc>
      </w:tr>
      <w:tr w:rsidR="004853EB" w:rsidRPr="002A326C" w14:paraId="1C858931" w14:textId="77777777">
        <w:trPr>
          <w:trHeight w:val="1"/>
        </w:trPr>
        <w:tc>
          <w:tcPr>
            <w:tcW w:w="644" w:type="dxa"/>
            <w:tcBorders>
              <w:top w:val="single" w:sz="4" w:space="0" w:color="000000"/>
              <w:left w:val="single" w:sz="6" w:space="0" w:color="000000"/>
              <w:bottom w:val="single" w:sz="4" w:space="0" w:color="000000"/>
              <w:right w:val="nil"/>
            </w:tcBorders>
            <w:shd w:val="clear" w:color="auto" w:fill="FFFFFF"/>
            <w:vAlign w:val="center"/>
            <w:hideMark/>
          </w:tcPr>
          <w:p w14:paraId="5A57B0C6"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0,33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258B0C"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+5°</w:t>
            </w:r>
          </w:p>
          <w:p w14:paraId="48543382"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+20</w:t>
            </w:r>
            <w:r w:rsidRPr="00602EF6">
              <w:rPr>
                <w:rFonts w:cstheme="minorHAnsi"/>
                <w:sz w:val="20"/>
                <w:szCs w:val="20"/>
                <w:vertAlign w:val="superscript"/>
              </w:rPr>
              <w:t>o</w:t>
            </w:r>
          </w:p>
          <w:p w14:paraId="6148EEA5"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+30°</w:t>
            </w:r>
          </w:p>
          <w:p w14:paraId="45F829C6"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+40°</w:t>
            </w:r>
          </w:p>
        </w:tc>
        <w:tc>
          <w:tcPr>
            <w:tcW w:w="1134" w:type="dxa"/>
            <w:tcBorders>
              <w:top w:val="single" w:sz="4" w:space="0" w:color="000000"/>
              <w:left w:val="single" w:sz="4" w:space="0" w:color="000000"/>
              <w:bottom w:val="single" w:sz="4" w:space="0" w:color="000000"/>
              <w:right w:val="nil"/>
            </w:tcBorders>
            <w:shd w:val="clear" w:color="auto" w:fill="FFFFFF"/>
            <w:vAlign w:val="center"/>
            <w:hideMark/>
          </w:tcPr>
          <w:p w14:paraId="5C67781B"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300</w:t>
            </w:r>
          </w:p>
          <w:p w14:paraId="08778239"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240</w:t>
            </w:r>
          </w:p>
          <w:p w14:paraId="6BCB7316"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165</w:t>
            </w:r>
          </w:p>
          <w:p w14:paraId="770AFD8A"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30</w:t>
            </w:r>
          </w:p>
        </w:tc>
        <w:tc>
          <w:tcPr>
            <w:tcW w:w="1275" w:type="dxa"/>
            <w:tcBorders>
              <w:top w:val="single" w:sz="4" w:space="0" w:color="000000"/>
              <w:left w:val="single" w:sz="4" w:space="0" w:color="000000"/>
              <w:bottom w:val="single" w:sz="4" w:space="0" w:color="000000"/>
              <w:right w:val="nil"/>
            </w:tcBorders>
            <w:shd w:val="clear" w:color="auto" w:fill="FFFFFF"/>
            <w:vAlign w:val="center"/>
            <w:hideMark/>
          </w:tcPr>
          <w:p w14:paraId="7BAD7C5C"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195</w:t>
            </w:r>
          </w:p>
          <w:p w14:paraId="4988BE8C"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155</w:t>
            </w:r>
          </w:p>
          <w:p w14:paraId="1E02D4B5"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110</w:t>
            </w:r>
          </w:p>
          <w:p w14:paraId="6DA6E10B"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20</w:t>
            </w:r>
          </w:p>
        </w:tc>
        <w:tc>
          <w:tcPr>
            <w:tcW w:w="1134" w:type="dxa"/>
            <w:tcBorders>
              <w:top w:val="single" w:sz="4" w:space="0" w:color="000000"/>
              <w:left w:val="single" w:sz="4" w:space="0" w:color="000000"/>
              <w:bottom w:val="single" w:sz="4" w:space="0" w:color="000000"/>
              <w:right w:val="nil"/>
            </w:tcBorders>
            <w:shd w:val="clear" w:color="auto" w:fill="FFFFFF"/>
            <w:vAlign w:val="center"/>
            <w:hideMark/>
          </w:tcPr>
          <w:p w14:paraId="3614532A"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60</w:t>
            </w:r>
          </w:p>
          <w:p w14:paraId="44C748F3"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48</w:t>
            </w:r>
          </w:p>
          <w:p w14:paraId="2C467230"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33</w:t>
            </w:r>
          </w:p>
          <w:p w14:paraId="25976219"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6</w:t>
            </w:r>
          </w:p>
        </w:tc>
        <w:tc>
          <w:tcPr>
            <w:tcW w:w="1238" w:type="dxa"/>
            <w:tcBorders>
              <w:top w:val="single" w:sz="4" w:space="0" w:color="000000"/>
              <w:left w:val="single" w:sz="4" w:space="0" w:color="000000"/>
              <w:bottom w:val="single" w:sz="4" w:space="0" w:color="000000"/>
              <w:right w:val="nil"/>
            </w:tcBorders>
            <w:shd w:val="clear" w:color="auto" w:fill="FFFFFF"/>
            <w:vAlign w:val="center"/>
            <w:hideMark/>
          </w:tcPr>
          <w:p w14:paraId="3B9B1793"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150</w:t>
            </w:r>
          </w:p>
          <w:p w14:paraId="47E4289C"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120</w:t>
            </w:r>
          </w:p>
          <w:p w14:paraId="16F6CA15"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83</w:t>
            </w:r>
          </w:p>
          <w:p w14:paraId="14B34034"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15</w:t>
            </w:r>
          </w:p>
        </w:tc>
        <w:tc>
          <w:tcPr>
            <w:tcW w:w="1134" w:type="dxa"/>
            <w:tcBorders>
              <w:top w:val="single" w:sz="4" w:space="0" w:color="000000"/>
              <w:left w:val="single" w:sz="4" w:space="0" w:color="000000"/>
              <w:bottom w:val="single" w:sz="4" w:space="0" w:color="000000"/>
              <w:right w:val="nil"/>
            </w:tcBorders>
            <w:shd w:val="clear" w:color="auto" w:fill="FFFFFF"/>
            <w:vAlign w:val="center"/>
            <w:hideMark/>
          </w:tcPr>
          <w:p w14:paraId="3BB2C3B0"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19</w:t>
            </w:r>
          </w:p>
          <w:p w14:paraId="540A04A3"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16</w:t>
            </w:r>
          </w:p>
          <w:p w14:paraId="1F60C8EB"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11</w:t>
            </w:r>
          </w:p>
          <w:p w14:paraId="5F08A1D5"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2</w:t>
            </w:r>
          </w:p>
        </w:tc>
        <w:tc>
          <w:tcPr>
            <w:tcW w:w="1321" w:type="dxa"/>
            <w:tcBorders>
              <w:top w:val="single" w:sz="4" w:space="0" w:color="000000"/>
              <w:left w:val="single" w:sz="4" w:space="0" w:color="000000"/>
              <w:bottom w:val="single" w:sz="4" w:space="0" w:color="000000"/>
              <w:right w:val="single" w:sz="6" w:space="0" w:color="000000"/>
            </w:tcBorders>
            <w:shd w:val="clear" w:color="auto" w:fill="FFFFFF"/>
            <w:vAlign w:val="center"/>
            <w:hideMark/>
          </w:tcPr>
          <w:p w14:paraId="693546A3"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30</w:t>
            </w:r>
          </w:p>
          <w:p w14:paraId="3BE3C863"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24</w:t>
            </w:r>
          </w:p>
          <w:p w14:paraId="2C8B4A65"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17</w:t>
            </w:r>
          </w:p>
          <w:p w14:paraId="76B1C2A7"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3</w:t>
            </w:r>
          </w:p>
        </w:tc>
      </w:tr>
      <w:tr w:rsidR="004853EB" w:rsidRPr="002A326C" w14:paraId="18A1AF18" w14:textId="77777777">
        <w:trPr>
          <w:trHeight w:val="1"/>
        </w:trPr>
        <w:tc>
          <w:tcPr>
            <w:tcW w:w="644" w:type="dxa"/>
            <w:tcBorders>
              <w:top w:val="single" w:sz="4" w:space="0" w:color="000000"/>
              <w:left w:val="single" w:sz="6" w:space="0" w:color="000000"/>
              <w:bottom w:val="single" w:sz="4" w:space="0" w:color="000000"/>
              <w:right w:val="nil"/>
            </w:tcBorders>
            <w:shd w:val="clear" w:color="auto" w:fill="FFFFFF"/>
            <w:vAlign w:val="center"/>
            <w:hideMark/>
          </w:tcPr>
          <w:p w14:paraId="49ECCE7A"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BA0892"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+5°</w:t>
            </w:r>
          </w:p>
          <w:p w14:paraId="27E7923F"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+20°+30</w:t>
            </w:r>
            <w:r w:rsidRPr="00602EF6">
              <w:rPr>
                <w:rFonts w:cstheme="minorHAnsi"/>
                <w:sz w:val="20"/>
                <w:szCs w:val="20"/>
                <w:vertAlign w:val="superscript"/>
              </w:rPr>
              <w:t>o</w:t>
            </w:r>
          </w:p>
          <w:p w14:paraId="79E2401E"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+40°</w:t>
            </w:r>
          </w:p>
        </w:tc>
        <w:tc>
          <w:tcPr>
            <w:tcW w:w="1134" w:type="dxa"/>
            <w:tcBorders>
              <w:top w:val="single" w:sz="4" w:space="0" w:color="000000"/>
              <w:left w:val="single" w:sz="4" w:space="0" w:color="000000"/>
              <w:bottom w:val="single" w:sz="4" w:space="0" w:color="000000"/>
              <w:right w:val="nil"/>
            </w:tcBorders>
            <w:shd w:val="clear" w:color="auto" w:fill="FFFFFF"/>
            <w:vAlign w:val="center"/>
            <w:hideMark/>
          </w:tcPr>
          <w:p w14:paraId="77C2B8CE"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35</w:t>
            </w:r>
          </w:p>
          <w:p w14:paraId="0438A50F"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30</w:t>
            </w:r>
          </w:p>
          <w:p w14:paraId="0C20EB6C"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20</w:t>
            </w:r>
          </w:p>
          <w:p w14:paraId="65F43FD6"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3,5</w:t>
            </w:r>
          </w:p>
        </w:tc>
        <w:tc>
          <w:tcPr>
            <w:tcW w:w="1275" w:type="dxa"/>
            <w:tcBorders>
              <w:top w:val="single" w:sz="4" w:space="0" w:color="000000"/>
              <w:left w:val="single" w:sz="4" w:space="0" w:color="000000"/>
              <w:bottom w:val="single" w:sz="4" w:space="0" w:color="000000"/>
              <w:right w:val="nil"/>
            </w:tcBorders>
            <w:shd w:val="clear" w:color="auto" w:fill="FFFFFF"/>
            <w:vAlign w:val="center"/>
            <w:hideMark/>
          </w:tcPr>
          <w:p w14:paraId="6641D805"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23</w:t>
            </w:r>
          </w:p>
          <w:p w14:paraId="07092B82"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20</w:t>
            </w:r>
          </w:p>
          <w:p w14:paraId="05D6DF17"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13</w:t>
            </w:r>
          </w:p>
          <w:p w14:paraId="1F392610"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2</w:t>
            </w:r>
          </w:p>
        </w:tc>
        <w:tc>
          <w:tcPr>
            <w:tcW w:w="1134" w:type="dxa"/>
            <w:tcBorders>
              <w:top w:val="single" w:sz="4" w:space="0" w:color="000000"/>
              <w:left w:val="single" w:sz="4" w:space="0" w:color="000000"/>
              <w:bottom w:val="single" w:sz="4" w:space="0" w:color="000000"/>
              <w:right w:val="nil"/>
            </w:tcBorders>
            <w:shd w:val="clear" w:color="auto" w:fill="FFFFFF"/>
            <w:vAlign w:val="center"/>
            <w:hideMark/>
          </w:tcPr>
          <w:p w14:paraId="6E75E9D5"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7</w:t>
            </w:r>
          </w:p>
          <w:p w14:paraId="3C988F28"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6</w:t>
            </w:r>
          </w:p>
          <w:p w14:paraId="43B8D842"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4</w:t>
            </w:r>
          </w:p>
          <w:p w14:paraId="254D36F1"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w:t>
            </w:r>
          </w:p>
        </w:tc>
        <w:tc>
          <w:tcPr>
            <w:tcW w:w="1238" w:type="dxa"/>
            <w:tcBorders>
              <w:top w:val="single" w:sz="4" w:space="0" w:color="000000"/>
              <w:left w:val="single" w:sz="4" w:space="0" w:color="000000"/>
              <w:bottom w:val="single" w:sz="4" w:space="0" w:color="000000"/>
              <w:right w:val="nil"/>
            </w:tcBorders>
            <w:shd w:val="clear" w:color="auto" w:fill="FFFFFF"/>
            <w:vAlign w:val="center"/>
            <w:hideMark/>
          </w:tcPr>
          <w:p w14:paraId="1E4182A9"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18</w:t>
            </w:r>
          </w:p>
          <w:p w14:paraId="523E4F55"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15</w:t>
            </w:r>
          </w:p>
          <w:p w14:paraId="3B7643B9"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10</w:t>
            </w:r>
          </w:p>
          <w:p w14:paraId="4310F3DD"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2</w:t>
            </w:r>
          </w:p>
        </w:tc>
        <w:tc>
          <w:tcPr>
            <w:tcW w:w="1134" w:type="dxa"/>
            <w:tcBorders>
              <w:top w:val="single" w:sz="4" w:space="0" w:color="000000"/>
              <w:left w:val="single" w:sz="4" w:space="0" w:color="000000"/>
              <w:bottom w:val="single" w:sz="4" w:space="0" w:color="000000"/>
              <w:right w:val="nil"/>
            </w:tcBorders>
            <w:shd w:val="clear" w:color="auto" w:fill="FFFFFF"/>
            <w:vAlign w:val="center"/>
            <w:hideMark/>
          </w:tcPr>
          <w:p w14:paraId="7C682F16"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2,5</w:t>
            </w:r>
          </w:p>
          <w:p w14:paraId="43E35BF9"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2</w:t>
            </w:r>
          </w:p>
          <w:p w14:paraId="044C3867"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1,5</w:t>
            </w:r>
          </w:p>
          <w:p w14:paraId="7B1C6BD4"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w:t>
            </w:r>
          </w:p>
        </w:tc>
        <w:tc>
          <w:tcPr>
            <w:tcW w:w="1321" w:type="dxa"/>
            <w:tcBorders>
              <w:top w:val="single" w:sz="4" w:space="0" w:color="000000"/>
              <w:left w:val="single" w:sz="4" w:space="0" w:color="000000"/>
              <w:bottom w:val="single" w:sz="4" w:space="0" w:color="000000"/>
              <w:right w:val="single" w:sz="6" w:space="0" w:color="000000"/>
            </w:tcBorders>
            <w:shd w:val="clear" w:color="auto" w:fill="FFFFFF"/>
            <w:vAlign w:val="center"/>
            <w:hideMark/>
          </w:tcPr>
          <w:p w14:paraId="0C61AEDC"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3,5</w:t>
            </w:r>
          </w:p>
          <w:p w14:paraId="1A7DF7BB"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3</w:t>
            </w:r>
          </w:p>
          <w:p w14:paraId="6D95712F"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2</w:t>
            </w:r>
          </w:p>
          <w:p w14:paraId="19241761"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w:t>
            </w:r>
          </w:p>
        </w:tc>
      </w:tr>
      <w:tr w:rsidR="004853EB" w:rsidRPr="002A326C" w14:paraId="318AC2E8" w14:textId="77777777">
        <w:trPr>
          <w:trHeight w:val="1"/>
        </w:trPr>
        <w:tc>
          <w:tcPr>
            <w:tcW w:w="644" w:type="dxa"/>
            <w:tcBorders>
              <w:top w:val="single" w:sz="4" w:space="0" w:color="000000"/>
              <w:left w:val="single" w:sz="6" w:space="0" w:color="000000"/>
              <w:bottom w:val="single" w:sz="4" w:space="0" w:color="000000"/>
              <w:right w:val="nil"/>
            </w:tcBorders>
            <w:shd w:val="clear" w:color="auto" w:fill="FFFFFF"/>
            <w:vAlign w:val="center"/>
            <w:hideMark/>
          </w:tcPr>
          <w:p w14:paraId="0DC6F0CE"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1,5</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10D472"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+5°</w:t>
            </w:r>
          </w:p>
          <w:p w14:paraId="34B2E970"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+20</w:t>
            </w:r>
            <w:r w:rsidRPr="00602EF6">
              <w:rPr>
                <w:rFonts w:cstheme="minorHAnsi"/>
                <w:sz w:val="20"/>
                <w:szCs w:val="20"/>
                <w:vertAlign w:val="superscript"/>
              </w:rPr>
              <w:t>o</w:t>
            </w:r>
          </w:p>
          <w:p w14:paraId="4EB2473A"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+30°</w:t>
            </w:r>
          </w:p>
          <w:p w14:paraId="2863583C"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+40°</w:t>
            </w:r>
          </w:p>
        </w:tc>
        <w:tc>
          <w:tcPr>
            <w:tcW w:w="1134" w:type="dxa"/>
            <w:tcBorders>
              <w:top w:val="single" w:sz="4" w:space="0" w:color="000000"/>
              <w:left w:val="single" w:sz="4" w:space="0" w:color="000000"/>
              <w:bottom w:val="single" w:sz="4" w:space="0" w:color="000000"/>
              <w:right w:val="nil"/>
            </w:tcBorders>
            <w:shd w:val="clear" w:color="auto" w:fill="FFFFFF"/>
            <w:vAlign w:val="center"/>
            <w:hideMark/>
          </w:tcPr>
          <w:p w14:paraId="063CB950"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15</w:t>
            </w:r>
          </w:p>
          <w:p w14:paraId="629DD86D"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13</w:t>
            </w:r>
          </w:p>
          <w:p w14:paraId="5C84A76F"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9</w:t>
            </w:r>
          </w:p>
          <w:p w14:paraId="6818455B"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1,5</w:t>
            </w:r>
          </w:p>
        </w:tc>
        <w:tc>
          <w:tcPr>
            <w:tcW w:w="1275" w:type="dxa"/>
            <w:tcBorders>
              <w:top w:val="single" w:sz="4" w:space="0" w:color="000000"/>
              <w:left w:val="single" w:sz="4" w:space="0" w:color="000000"/>
              <w:bottom w:val="single" w:sz="4" w:space="0" w:color="000000"/>
              <w:right w:val="nil"/>
            </w:tcBorders>
            <w:shd w:val="clear" w:color="auto" w:fill="FFFFFF"/>
            <w:vAlign w:val="center"/>
            <w:hideMark/>
          </w:tcPr>
          <w:p w14:paraId="0629B3D1"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10</w:t>
            </w:r>
          </w:p>
          <w:p w14:paraId="08E400CB"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8</w:t>
            </w:r>
          </w:p>
          <w:p w14:paraId="2DFF1123"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6</w:t>
            </w:r>
          </w:p>
          <w:p w14:paraId="2D4137B2"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w:t>
            </w:r>
          </w:p>
        </w:tc>
        <w:tc>
          <w:tcPr>
            <w:tcW w:w="1134" w:type="dxa"/>
            <w:tcBorders>
              <w:top w:val="single" w:sz="4" w:space="0" w:color="000000"/>
              <w:left w:val="single" w:sz="4" w:space="0" w:color="000000"/>
              <w:bottom w:val="single" w:sz="4" w:space="0" w:color="000000"/>
              <w:right w:val="nil"/>
            </w:tcBorders>
            <w:shd w:val="clear" w:color="auto" w:fill="FFFFFF"/>
            <w:vAlign w:val="center"/>
            <w:hideMark/>
          </w:tcPr>
          <w:p w14:paraId="3A02622F"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3</w:t>
            </w:r>
          </w:p>
          <w:p w14:paraId="087D7999"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2,5</w:t>
            </w:r>
          </w:p>
          <w:p w14:paraId="50AE91DC"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2</w:t>
            </w:r>
          </w:p>
          <w:p w14:paraId="541E965D"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w:t>
            </w:r>
          </w:p>
        </w:tc>
        <w:tc>
          <w:tcPr>
            <w:tcW w:w="1238" w:type="dxa"/>
            <w:tcBorders>
              <w:top w:val="single" w:sz="4" w:space="0" w:color="000000"/>
              <w:left w:val="single" w:sz="4" w:space="0" w:color="000000"/>
              <w:bottom w:val="single" w:sz="4" w:space="0" w:color="000000"/>
              <w:right w:val="nil"/>
            </w:tcBorders>
            <w:shd w:val="clear" w:color="auto" w:fill="FFFFFF"/>
            <w:vAlign w:val="center"/>
            <w:hideMark/>
          </w:tcPr>
          <w:p w14:paraId="347B47C6"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7,5</w:t>
            </w:r>
          </w:p>
          <w:p w14:paraId="787D5689"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6,5</w:t>
            </w:r>
          </w:p>
          <w:p w14:paraId="7B6DBD47"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4,5</w:t>
            </w:r>
          </w:p>
          <w:p w14:paraId="3C034235"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w:t>
            </w:r>
          </w:p>
        </w:tc>
        <w:tc>
          <w:tcPr>
            <w:tcW w:w="1134" w:type="dxa"/>
            <w:tcBorders>
              <w:top w:val="single" w:sz="4" w:space="0" w:color="000000"/>
              <w:left w:val="single" w:sz="4" w:space="0" w:color="000000"/>
              <w:bottom w:val="single" w:sz="4" w:space="0" w:color="000000"/>
              <w:right w:val="nil"/>
            </w:tcBorders>
            <w:shd w:val="clear" w:color="auto" w:fill="FFFFFF"/>
            <w:vAlign w:val="center"/>
            <w:hideMark/>
          </w:tcPr>
          <w:p w14:paraId="640FB701"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1</w:t>
            </w:r>
          </w:p>
          <w:p w14:paraId="49EC93B4"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w:t>
            </w:r>
          </w:p>
          <w:p w14:paraId="13EB4147"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w:t>
            </w:r>
          </w:p>
          <w:p w14:paraId="4333EEF3" w14:textId="77777777" w:rsidR="004853EB" w:rsidRPr="00602EF6" w:rsidRDefault="004853EB" w:rsidP="002A326C">
            <w:pPr>
              <w:autoSpaceDE w:val="0"/>
              <w:autoSpaceDN w:val="0"/>
              <w:adjustRightInd w:val="0"/>
              <w:jc w:val="both"/>
              <w:rPr>
                <w:rFonts w:cstheme="minorHAnsi"/>
                <w:sz w:val="20"/>
                <w:szCs w:val="20"/>
              </w:rPr>
            </w:pPr>
            <w:r w:rsidRPr="00602EF6">
              <w:rPr>
                <w:rFonts w:cstheme="minorHAnsi"/>
                <w:sz w:val="20"/>
                <w:szCs w:val="20"/>
              </w:rPr>
              <w:t>#</w:t>
            </w:r>
          </w:p>
        </w:tc>
        <w:tc>
          <w:tcPr>
            <w:tcW w:w="1321" w:type="dxa"/>
            <w:tcBorders>
              <w:top w:val="single" w:sz="4" w:space="0" w:color="000000"/>
              <w:left w:val="single" w:sz="4" w:space="0" w:color="000000"/>
              <w:bottom w:val="single" w:sz="4" w:space="0" w:color="000000"/>
              <w:right w:val="single" w:sz="6" w:space="0" w:color="000000"/>
            </w:tcBorders>
            <w:shd w:val="clear" w:color="auto" w:fill="FFFFFF"/>
            <w:vAlign w:val="center"/>
            <w:hideMark/>
          </w:tcPr>
          <w:p w14:paraId="3A62B5EC"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1,5</w:t>
            </w:r>
          </w:p>
          <w:p w14:paraId="77E9E9CF"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w:t>
            </w:r>
          </w:p>
          <w:p w14:paraId="63BBAA8D"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w:t>
            </w:r>
          </w:p>
        </w:tc>
      </w:tr>
      <w:tr w:rsidR="004853EB" w:rsidRPr="002A326C" w14:paraId="21BC11E9" w14:textId="77777777">
        <w:trPr>
          <w:trHeight w:val="1"/>
        </w:trPr>
        <w:tc>
          <w:tcPr>
            <w:tcW w:w="8731" w:type="dxa"/>
            <w:gridSpan w:val="8"/>
            <w:tcBorders>
              <w:top w:val="single" w:sz="4" w:space="0" w:color="000000"/>
              <w:left w:val="single" w:sz="6" w:space="0" w:color="000000"/>
              <w:bottom w:val="single" w:sz="6" w:space="0" w:color="000000"/>
              <w:right w:val="single" w:sz="4" w:space="0" w:color="000000"/>
            </w:tcBorders>
            <w:shd w:val="clear" w:color="auto" w:fill="FFFFFF"/>
            <w:vAlign w:val="center"/>
            <w:hideMark/>
          </w:tcPr>
          <w:p w14:paraId="33641666" w14:textId="66E3E179"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 xml:space="preserve"># oznacza wartość większą niż zero, ale nieistotną lub </w:t>
            </w:r>
            <w:r w:rsidR="00602EF6" w:rsidRPr="002A326C">
              <w:rPr>
                <w:rFonts w:cstheme="minorHAnsi"/>
                <w:sz w:val="20"/>
                <w:szCs w:val="20"/>
              </w:rPr>
              <w:t>niemającą</w:t>
            </w:r>
            <w:r w:rsidRPr="002A326C">
              <w:rPr>
                <w:rFonts w:cstheme="minorHAnsi"/>
                <w:sz w:val="20"/>
                <w:szCs w:val="20"/>
              </w:rPr>
              <w:t xml:space="preserve"> zastosowania.</w:t>
            </w:r>
          </w:p>
        </w:tc>
      </w:tr>
    </w:tbl>
    <w:p w14:paraId="4707DCBA" w14:textId="77777777" w:rsidR="004853EB" w:rsidRPr="002A326C" w:rsidRDefault="004853EB" w:rsidP="002A326C">
      <w:pPr>
        <w:autoSpaceDE w:val="0"/>
        <w:autoSpaceDN w:val="0"/>
        <w:adjustRightInd w:val="0"/>
        <w:spacing w:before="120" w:after="120"/>
        <w:jc w:val="both"/>
        <w:rPr>
          <w:rFonts w:cstheme="minorHAnsi"/>
          <w:sz w:val="20"/>
          <w:szCs w:val="20"/>
        </w:rPr>
      </w:pPr>
      <w:r w:rsidRPr="002A326C">
        <w:rPr>
          <w:rFonts w:cstheme="minorHAnsi"/>
          <w:sz w:val="20"/>
          <w:szCs w:val="20"/>
        </w:rPr>
        <w:t>Tablica 3. Minimalne wartości współczynnika odblasku R</w:t>
      </w:r>
      <w:r w:rsidRPr="002A326C">
        <w:rPr>
          <w:rFonts w:cstheme="minorHAnsi"/>
          <w:sz w:val="20"/>
          <w:szCs w:val="20"/>
          <w:vertAlign w:val="subscript"/>
        </w:rPr>
        <w:t>A</w:t>
      </w:r>
      <w:r w:rsidRPr="002A326C">
        <w:rPr>
          <w:rFonts w:cstheme="minorHAnsi"/>
          <w:sz w:val="20"/>
          <w:szCs w:val="20"/>
        </w:rPr>
        <w:t xml:space="preserve"> folii pryzmatycznej typu 3P</w:t>
      </w:r>
    </w:p>
    <w:tbl>
      <w:tblPr>
        <w:tblW w:w="0" w:type="auto"/>
        <w:tblInd w:w="221" w:type="dxa"/>
        <w:tblLayout w:type="fixed"/>
        <w:tblLook w:val="04A0" w:firstRow="1" w:lastRow="0" w:firstColumn="1" w:lastColumn="0" w:noHBand="0" w:noVBand="1"/>
      </w:tblPr>
      <w:tblGrid>
        <w:gridCol w:w="1418"/>
        <w:gridCol w:w="1417"/>
        <w:gridCol w:w="992"/>
        <w:gridCol w:w="851"/>
        <w:gridCol w:w="992"/>
        <w:gridCol w:w="1134"/>
        <w:gridCol w:w="992"/>
        <w:gridCol w:w="988"/>
      </w:tblGrid>
      <w:tr w:rsidR="004853EB" w:rsidRPr="002A326C" w14:paraId="359F0ADB" w14:textId="77777777">
        <w:trPr>
          <w:trHeight w:val="1"/>
        </w:trPr>
        <w:tc>
          <w:tcPr>
            <w:tcW w:w="2835" w:type="dxa"/>
            <w:gridSpan w:val="2"/>
            <w:tcBorders>
              <w:top w:val="single" w:sz="6" w:space="0" w:color="000000"/>
              <w:left w:val="single" w:sz="6" w:space="0" w:color="000000"/>
              <w:bottom w:val="single" w:sz="4" w:space="0" w:color="000000"/>
              <w:right w:val="single" w:sz="4" w:space="0" w:color="000000"/>
            </w:tcBorders>
            <w:shd w:val="clear" w:color="auto" w:fill="FFFFFF"/>
            <w:vAlign w:val="center"/>
            <w:hideMark/>
          </w:tcPr>
          <w:p w14:paraId="13ABB78C"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Geometria pomiarów</w:t>
            </w:r>
          </w:p>
        </w:tc>
        <w:tc>
          <w:tcPr>
            <w:tcW w:w="5949" w:type="dxa"/>
            <w:gridSpan w:val="6"/>
            <w:tcBorders>
              <w:top w:val="single" w:sz="6" w:space="0" w:color="000000"/>
              <w:left w:val="single" w:sz="4" w:space="0" w:color="000000"/>
              <w:bottom w:val="single" w:sz="4" w:space="0" w:color="000000"/>
              <w:right w:val="single" w:sz="6" w:space="0" w:color="000000"/>
            </w:tcBorders>
            <w:shd w:val="clear" w:color="auto" w:fill="FFFFFF"/>
            <w:vAlign w:val="center"/>
            <w:hideMark/>
          </w:tcPr>
          <w:p w14:paraId="3DAD1F85"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Współczynnik odblasku R</w:t>
            </w:r>
            <w:r w:rsidRPr="002A326C">
              <w:rPr>
                <w:rFonts w:cstheme="minorHAnsi"/>
                <w:sz w:val="20"/>
                <w:szCs w:val="20"/>
                <w:vertAlign w:val="subscript"/>
              </w:rPr>
              <w:t>A</w:t>
            </w:r>
            <w:r w:rsidRPr="002A326C">
              <w:rPr>
                <w:rFonts w:cstheme="minorHAnsi"/>
                <w:sz w:val="20"/>
                <w:szCs w:val="20"/>
              </w:rPr>
              <w:t xml:space="preserve"> [cd lx</w:t>
            </w:r>
            <w:r w:rsidRPr="002A326C">
              <w:rPr>
                <w:rFonts w:cstheme="minorHAnsi"/>
                <w:sz w:val="20"/>
                <w:szCs w:val="20"/>
                <w:vertAlign w:val="superscript"/>
              </w:rPr>
              <w:t>-1</w:t>
            </w:r>
            <w:r w:rsidRPr="002A326C">
              <w:rPr>
                <w:rFonts w:cstheme="minorHAnsi"/>
                <w:sz w:val="20"/>
                <w:szCs w:val="20"/>
              </w:rPr>
              <w:t xml:space="preserve"> m</w:t>
            </w:r>
            <w:r w:rsidRPr="002A326C">
              <w:rPr>
                <w:rFonts w:cstheme="minorHAnsi"/>
                <w:sz w:val="20"/>
                <w:szCs w:val="20"/>
                <w:vertAlign w:val="superscript"/>
              </w:rPr>
              <w:t>-2</w:t>
            </w:r>
            <w:r w:rsidRPr="002A326C">
              <w:rPr>
                <w:rFonts w:cstheme="minorHAnsi"/>
                <w:sz w:val="20"/>
                <w:szCs w:val="20"/>
              </w:rPr>
              <w:t>]</w:t>
            </w:r>
          </w:p>
        </w:tc>
      </w:tr>
      <w:tr w:rsidR="004853EB" w:rsidRPr="002A326C" w14:paraId="68493EAC" w14:textId="77777777">
        <w:trPr>
          <w:trHeight w:val="1"/>
        </w:trPr>
        <w:tc>
          <w:tcPr>
            <w:tcW w:w="1418" w:type="dxa"/>
            <w:tcBorders>
              <w:top w:val="single" w:sz="4" w:space="0" w:color="000000"/>
              <w:left w:val="single" w:sz="6" w:space="0" w:color="000000"/>
              <w:bottom w:val="single" w:sz="4" w:space="0" w:color="000000"/>
              <w:right w:val="single" w:sz="4" w:space="0" w:color="000000"/>
            </w:tcBorders>
            <w:shd w:val="clear" w:color="auto" w:fill="FFFFFF"/>
            <w:vAlign w:val="center"/>
            <w:hideMark/>
          </w:tcPr>
          <w:p w14:paraId="31704FB9"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Kąt obserwacji</w:t>
            </w:r>
          </w:p>
          <w:p w14:paraId="3CAF2FB8"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w:t>
            </w:r>
            <w:r w:rsidRPr="002A326C">
              <w:rPr>
                <w:rFonts w:cstheme="minorHAnsi"/>
                <w:sz w:val="20"/>
                <w:szCs w:val="20"/>
                <w:vertAlign w:val="superscript"/>
              </w:rPr>
              <w:t>o</w:t>
            </w:r>
            <w:r w:rsidRPr="002A326C">
              <w:rPr>
                <w:rFonts w:cstheme="minorHAnsi"/>
                <w:sz w:val="20"/>
                <w:szCs w:val="20"/>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C67292"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Kąt oświetlenia</w:t>
            </w:r>
          </w:p>
          <w:p w14:paraId="032624E2"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lang w:val="el-GR"/>
              </w:rPr>
              <w:t>β [</w:t>
            </w:r>
            <w:r w:rsidRPr="002A326C">
              <w:rPr>
                <w:rFonts w:cstheme="minorHAnsi"/>
                <w:sz w:val="20"/>
                <w:szCs w:val="20"/>
                <w:lang w:val="en-US"/>
              </w:rPr>
              <w:t>°]</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619D68"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Folia</w:t>
            </w:r>
          </w:p>
          <w:p w14:paraId="60E09E89"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biała</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2ED300"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Folia</w:t>
            </w:r>
          </w:p>
          <w:p w14:paraId="336169B0"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ż</w:t>
            </w:r>
            <w:r w:rsidRPr="002A326C">
              <w:rPr>
                <w:rFonts w:cstheme="minorHAnsi"/>
                <w:sz w:val="20"/>
                <w:szCs w:val="20"/>
                <w:lang w:val="en-US"/>
              </w:rPr>
              <w:t>ółta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2051BD"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Folia czerwo-na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ECA077"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Folia pomarańczowa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D4E925"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Folia</w:t>
            </w:r>
          </w:p>
          <w:p w14:paraId="7C010A34"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niebies-ka</w:t>
            </w:r>
          </w:p>
        </w:tc>
        <w:tc>
          <w:tcPr>
            <w:tcW w:w="988" w:type="dxa"/>
            <w:tcBorders>
              <w:top w:val="single" w:sz="4" w:space="0" w:color="000000"/>
              <w:left w:val="single" w:sz="4" w:space="0" w:color="000000"/>
              <w:bottom w:val="single" w:sz="4" w:space="0" w:color="000000"/>
              <w:right w:val="single" w:sz="6" w:space="0" w:color="000000"/>
            </w:tcBorders>
            <w:shd w:val="clear" w:color="auto" w:fill="FFFFFF"/>
            <w:vAlign w:val="center"/>
            <w:hideMark/>
          </w:tcPr>
          <w:p w14:paraId="4EF15DF5"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Folia</w:t>
            </w:r>
          </w:p>
          <w:p w14:paraId="1CAE5D98"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zielo-na</w:t>
            </w:r>
          </w:p>
        </w:tc>
      </w:tr>
      <w:tr w:rsidR="004853EB" w:rsidRPr="002A326C" w14:paraId="14BDEEB3" w14:textId="77777777">
        <w:trPr>
          <w:trHeight w:val="1"/>
        </w:trPr>
        <w:tc>
          <w:tcPr>
            <w:tcW w:w="1418" w:type="dxa"/>
            <w:tcBorders>
              <w:top w:val="single" w:sz="4" w:space="0" w:color="000000"/>
              <w:left w:val="single" w:sz="6" w:space="0" w:color="000000"/>
              <w:bottom w:val="single" w:sz="4" w:space="0" w:color="000000"/>
              <w:right w:val="single" w:sz="4" w:space="0" w:color="000000"/>
            </w:tcBorders>
            <w:shd w:val="clear" w:color="auto" w:fill="FFFFFF"/>
            <w:vAlign w:val="center"/>
            <w:hideMark/>
          </w:tcPr>
          <w:p w14:paraId="5CF63E00"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0,1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B566F4"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5</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3BA07D"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850</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88D360"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550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21B5EE"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170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4D642D"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425</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08C2FA"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55</w:t>
            </w:r>
          </w:p>
        </w:tc>
        <w:tc>
          <w:tcPr>
            <w:tcW w:w="988" w:type="dxa"/>
            <w:tcBorders>
              <w:top w:val="single" w:sz="4" w:space="0" w:color="000000"/>
              <w:left w:val="single" w:sz="4" w:space="0" w:color="000000"/>
              <w:bottom w:val="single" w:sz="4" w:space="0" w:color="000000"/>
              <w:right w:val="single" w:sz="6" w:space="0" w:color="000000"/>
            </w:tcBorders>
            <w:shd w:val="clear" w:color="auto" w:fill="FFFFFF"/>
            <w:vAlign w:val="center"/>
            <w:hideMark/>
          </w:tcPr>
          <w:p w14:paraId="142CC63E"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85</w:t>
            </w:r>
          </w:p>
        </w:tc>
      </w:tr>
      <w:tr w:rsidR="004853EB" w:rsidRPr="002A326C" w14:paraId="41E351CA" w14:textId="77777777">
        <w:trPr>
          <w:trHeight w:val="1"/>
        </w:trPr>
        <w:tc>
          <w:tcPr>
            <w:tcW w:w="1418" w:type="dxa"/>
            <w:tcBorders>
              <w:top w:val="single" w:sz="4" w:space="0" w:color="000000"/>
              <w:left w:val="single" w:sz="6" w:space="0" w:color="000000"/>
              <w:bottom w:val="single" w:sz="4" w:space="0" w:color="000000"/>
              <w:right w:val="single" w:sz="4" w:space="0" w:color="000000"/>
            </w:tcBorders>
            <w:shd w:val="clear" w:color="auto" w:fill="FFFFFF"/>
            <w:vAlign w:val="center"/>
            <w:hideMark/>
          </w:tcPr>
          <w:p w14:paraId="557B0904"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0,2</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15BCEF"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5</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FE1EE7"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625</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F443FB"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400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E0D9A4"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125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0A19CE"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310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8CDAA3"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40</w:t>
            </w:r>
          </w:p>
        </w:tc>
        <w:tc>
          <w:tcPr>
            <w:tcW w:w="988" w:type="dxa"/>
            <w:tcBorders>
              <w:top w:val="single" w:sz="4" w:space="0" w:color="000000"/>
              <w:left w:val="single" w:sz="4" w:space="0" w:color="000000"/>
              <w:bottom w:val="single" w:sz="4" w:space="0" w:color="000000"/>
              <w:right w:val="single" w:sz="6" w:space="0" w:color="000000"/>
            </w:tcBorders>
            <w:shd w:val="clear" w:color="auto" w:fill="FFFFFF"/>
            <w:vAlign w:val="center"/>
            <w:hideMark/>
          </w:tcPr>
          <w:p w14:paraId="31AC8126"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60</w:t>
            </w:r>
          </w:p>
        </w:tc>
      </w:tr>
      <w:tr w:rsidR="004853EB" w:rsidRPr="002A326C" w14:paraId="5F42C83E" w14:textId="77777777">
        <w:trPr>
          <w:trHeight w:val="1"/>
        </w:trPr>
        <w:tc>
          <w:tcPr>
            <w:tcW w:w="1418" w:type="dxa"/>
            <w:tcBorders>
              <w:top w:val="single" w:sz="4" w:space="0" w:color="000000"/>
              <w:left w:val="single" w:sz="6" w:space="0" w:color="000000"/>
              <w:bottom w:val="single" w:sz="4" w:space="0" w:color="000000"/>
              <w:right w:val="single" w:sz="4" w:space="0" w:color="000000"/>
            </w:tcBorders>
            <w:shd w:val="clear" w:color="auto" w:fill="FFFFFF"/>
            <w:vAlign w:val="center"/>
            <w:hideMark/>
          </w:tcPr>
          <w:p w14:paraId="48C59B0F"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0,33</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DA5EC5"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5</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72A0FA"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425</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9688DC"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275</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0D4B4C"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85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0E6141"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210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B5A865"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28</w:t>
            </w:r>
          </w:p>
        </w:tc>
        <w:tc>
          <w:tcPr>
            <w:tcW w:w="988" w:type="dxa"/>
            <w:tcBorders>
              <w:top w:val="single" w:sz="4" w:space="0" w:color="000000"/>
              <w:left w:val="single" w:sz="4" w:space="0" w:color="000000"/>
              <w:bottom w:val="single" w:sz="4" w:space="0" w:color="000000"/>
              <w:right w:val="single" w:sz="6" w:space="0" w:color="000000"/>
            </w:tcBorders>
            <w:shd w:val="clear" w:color="auto" w:fill="FFFFFF"/>
            <w:vAlign w:val="center"/>
            <w:hideMark/>
          </w:tcPr>
          <w:p w14:paraId="140A03DC"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40</w:t>
            </w:r>
          </w:p>
        </w:tc>
      </w:tr>
      <w:tr w:rsidR="004853EB" w:rsidRPr="002A326C" w14:paraId="1F03DD4E" w14:textId="77777777">
        <w:trPr>
          <w:trHeight w:val="1"/>
        </w:trPr>
        <w:tc>
          <w:tcPr>
            <w:tcW w:w="1418" w:type="dxa"/>
            <w:tcBorders>
              <w:top w:val="single" w:sz="4" w:space="0" w:color="000000"/>
              <w:left w:val="single" w:sz="6" w:space="0" w:color="000000"/>
              <w:bottom w:val="single" w:sz="4" w:space="0" w:color="000000"/>
              <w:right w:val="single" w:sz="4" w:space="0" w:color="000000"/>
            </w:tcBorders>
            <w:shd w:val="clear" w:color="auto" w:fill="FFFFFF"/>
            <w:vAlign w:val="center"/>
            <w:hideMark/>
          </w:tcPr>
          <w:p w14:paraId="2008CAA4"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0,1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52C06F"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15</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AD2768"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600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CDACC0"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390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693823"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9B7040"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300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2E49C7"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40</w:t>
            </w:r>
          </w:p>
        </w:tc>
        <w:tc>
          <w:tcPr>
            <w:tcW w:w="988" w:type="dxa"/>
            <w:tcBorders>
              <w:top w:val="single" w:sz="4" w:space="0" w:color="000000"/>
              <w:left w:val="single" w:sz="4" w:space="0" w:color="000000"/>
              <w:bottom w:val="single" w:sz="4" w:space="0" w:color="000000"/>
              <w:right w:val="single" w:sz="6" w:space="0" w:color="000000"/>
            </w:tcBorders>
            <w:shd w:val="clear" w:color="auto" w:fill="FFFFFF"/>
            <w:vAlign w:val="center"/>
            <w:hideMark/>
          </w:tcPr>
          <w:p w14:paraId="06D11AF5"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60</w:t>
            </w:r>
          </w:p>
        </w:tc>
      </w:tr>
      <w:tr w:rsidR="004853EB" w:rsidRPr="002A326C" w14:paraId="60E4CDF6" w14:textId="77777777">
        <w:trPr>
          <w:trHeight w:val="1"/>
        </w:trPr>
        <w:tc>
          <w:tcPr>
            <w:tcW w:w="1418" w:type="dxa"/>
            <w:tcBorders>
              <w:top w:val="single" w:sz="4" w:space="0" w:color="000000"/>
              <w:left w:val="single" w:sz="6" w:space="0" w:color="000000"/>
              <w:bottom w:val="single" w:sz="4" w:space="0" w:color="000000"/>
              <w:right w:val="single" w:sz="4" w:space="0" w:color="000000"/>
            </w:tcBorders>
            <w:shd w:val="clear" w:color="auto" w:fill="FFFFFF"/>
            <w:vAlign w:val="center"/>
            <w:hideMark/>
          </w:tcPr>
          <w:p w14:paraId="724DCAEE"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0,2</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6F053F"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15</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29143C"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450</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FA0D2D"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290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D846D9"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90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022C1F5"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225</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77A6A6"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30</w:t>
            </w:r>
          </w:p>
        </w:tc>
        <w:tc>
          <w:tcPr>
            <w:tcW w:w="988" w:type="dxa"/>
            <w:tcBorders>
              <w:top w:val="single" w:sz="4" w:space="0" w:color="000000"/>
              <w:left w:val="single" w:sz="4" w:space="0" w:color="000000"/>
              <w:bottom w:val="single" w:sz="4" w:space="0" w:color="000000"/>
              <w:right w:val="single" w:sz="6" w:space="0" w:color="000000"/>
            </w:tcBorders>
            <w:shd w:val="clear" w:color="auto" w:fill="FFFFFF"/>
            <w:vAlign w:val="center"/>
            <w:hideMark/>
          </w:tcPr>
          <w:p w14:paraId="4941158E"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45</w:t>
            </w:r>
          </w:p>
        </w:tc>
      </w:tr>
      <w:tr w:rsidR="004853EB" w:rsidRPr="002A326C" w14:paraId="43306701" w14:textId="77777777">
        <w:trPr>
          <w:trHeight w:val="1"/>
        </w:trPr>
        <w:tc>
          <w:tcPr>
            <w:tcW w:w="1418" w:type="dxa"/>
            <w:tcBorders>
              <w:top w:val="single" w:sz="4" w:space="0" w:color="000000"/>
              <w:left w:val="single" w:sz="6" w:space="0" w:color="000000"/>
              <w:bottom w:val="single" w:sz="4" w:space="0" w:color="000000"/>
              <w:right w:val="single" w:sz="4" w:space="0" w:color="000000"/>
            </w:tcBorders>
            <w:shd w:val="clear" w:color="auto" w:fill="FFFFFF"/>
            <w:vAlign w:val="center"/>
            <w:hideMark/>
          </w:tcPr>
          <w:p w14:paraId="44BE4D5A"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0,33</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AA609E"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15</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496EF4"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300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327382"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195</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863F81"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60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3F2CAD"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150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A1C995"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20</w:t>
            </w:r>
          </w:p>
        </w:tc>
        <w:tc>
          <w:tcPr>
            <w:tcW w:w="988" w:type="dxa"/>
            <w:tcBorders>
              <w:top w:val="single" w:sz="4" w:space="0" w:color="000000"/>
              <w:left w:val="single" w:sz="4" w:space="0" w:color="000000"/>
              <w:bottom w:val="single" w:sz="4" w:space="0" w:color="000000"/>
              <w:right w:val="single" w:sz="6" w:space="0" w:color="000000"/>
            </w:tcBorders>
            <w:shd w:val="clear" w:color="auto" w:fill="FFFFFF"/>
            <w:vAlign w:val="center"/>
            <w:hideMark/>
          </w:tcPr>
          <w:p w14:paraId="54BF1FB6"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30</w:t>
            </w:r>
          </w:p>
        </w:tc>
      </w:tr>
      <w:tr w:rsidR="004853EB" w:rsidRPr="002A326C" w14:paraId="4D243FFA" w14:textId="77777777">
        <w:trPr>
          <w:trHeight w:val="1"/>
        </w:trPr>
        <w:tc>
          <w:tcPr>
            <w:tcW w:w="1418" w:type="dxa"/>
            <w:tcBorders>
              <w:top w:val="single" w:sz="4" w:space="0" w:color="000000"/>
              <w:left w:val="single" w:sz="6" w:space="0" w:color="000000"/>
              <w:bottom w:val="single" w:sz="4" w:space="0" w:color="000000"/>
              <w:right w:val="single" w:sz="4" w:space="0" w:color="000000"/>
            </w:tcBorders>
            <w:shd w:val="clear" w:color="auto" w:fill="FFFFFF"/>
            <w:vAlign w:val="center"/>
            <w:hideMark/>
          </w:tcPr>
          <w:p w14:paraId="32EC5BB1"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0,1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0867656"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767D56"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425</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B319A5"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275</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EB9AC5"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85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9D4A84"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210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40605A"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28</w:t>
            </w:r>
          </w:p>
        </w:tc>
        <w:tc>
          <w:tcPr>
            <w:tcW w:w="988" w:type="dxa"/>
            <w:tcBorders>
              <w:top w:val="single" w:sz="4" w:space="0" w:color="000000"/>
              <w:left w:val="single" w:sz="4" w:space="0" w:color="000000"/>
              <w:bottom w:val="single" w:sz="4" w:space="0" w:color="000000"/>
              <w:right w:val="single" w:sz="6" w:space="0" w:color="000000"/>
            </w:tcBorders>
            <w:shd w:val="clear" w:color="auto" w:fill="FFFFFF"/>
            <w:vAlign w:val="center"/>
            <w:hideMark/>
          </w:tcPr>
          <w:p w14:paraId="38BD3197"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40</w:t>
            </w:r>
          </w:p>
        </w:tc>
      </w:tr>
      <w:tr w:rsidR="004853EB" w:rsidRPr="002A326C" w14:paraId="44BFFDFA" w14:textId="77777777">
        <w:trPr>
          <w:trHeight w:val="1"/>
        </w:trPr>
        <w:tc>
          <w:tcPr>
            <w:tcW w:w="1418" w:type="dxa"/>
            <w:tcBorders>
              <w:top w:val="single" w:sz="4" w:space="0" w:color="000000"/>
              <w:left w:val="single" w:sz="6" w:space="0" w:color="000000"/>
              <w:bottom w:val="single" w:sz="4" w:space="0" w:color="000000"/>
              <w:right w:val="single" w:sz="4" w:space="0" w:color="000000"/>
            </w:tcBorders>
            <w:shd w:val="clear" w:color="auto" w:fill="FFFFFF"/>
            <w:vAlign w:val="center"/>
            <w:hideMark/>
          </w:tcPr>
          <w:p w14:paraId="02B736A9"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0,2</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B8A6E5"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E76D32"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325</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54E505"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210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E299BA"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65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305526"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160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3F982C"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20</w:t>
            </w:r>
          </w:p>
        </w:tc>
        <w:tc>
          <w:tcPr>
            <w:tcW w:w="988" w:type="dxa"/>
            <w:tcBorders>
              <w:top w:val="single" w:sz="4" w:space="0" w:color="000000"/>
              <w:left w:val="single" w:sz="4" w:space="0" w:color="000000"/>
              <w:bottom w:val="single" w:sz="4" w:space="0" w:color="000000"/>
              <w:right w:val="single" w:sz="6" w:space="0" w:color="000000"/>
            </w:tcBorders>
            <w:shd w:val="clear" w:color="auto" w:fill="FFFFFF"/>
            <w:vAlign w:val="center"/>
            <w:hideMark/>
          </w:tcPr>
          <w:p w14:paraId="2EBDDC7A"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30</w:t>
            </w:r>
          </w:p>
        </w:tc>
      </w:tr>
      <w:tr w:rsidR="004853EB" w:rsidRPr="002A326C" w14:paraId="6483F72D" w14:textId="77777777">
        <w:trPr>
          <w:trHeight w:val="1"/>
        </w:trPr>
        <w:tc>
          <w:tcPr>
            <w:tcW w:w="1418" w:type="dxa"/>
            <w:tcBorders>
              <w:top w:val="single" w:sz="4" w:space="0" w:color="000000"/>
              <w:left w:val="single" w:sz="6" w:space="0" w:color="000000"/>
              <w:bottom w:val="single" w:sz="4" w:space="0" w:color="000000"/>
              <w:right w:val="single" w:sz="4" w:space="0" w:color="000000"/>
            </w:tcBorders>
            <w:shd w:val="clear" w:color="auto" w:fill="FFFFFF"/>
            <w:vAlign w:val="center"/>
            <w:hideMark/>
          </w:tcPr>
          <w:p w14:paraId="147F2881"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0,33</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4197AE"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64DE9B"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225</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BCA578"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145</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24B92D"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45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E098E4"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110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561662"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15</w:t>
            </w:r>
          </w:p>
        </w:tc>
        <w:tc>
          <w:tcPr>
            <w:tcW w:w="988" w:type="dxa"/>
            <w:tcBorders>
              <w:top w:val="single" w:sz="4" w:space="0" w:color="000000"/>
              <w:left w:val="single" w:sz="4" w:space="0" w:color="000000"/>
              <w:bottom w:val="single" w:sz="4" w:space="0" w:color="000000"/>
              <w:right w:val="single" w:sz="6" w:space="0" w:color="000000"/>
            </w:tcBorders>
            <w:shd w:val="clear" w:color="auto" w:fill="FFFFFF"/>
            <w:vAlign w:val="center"/>
            <w:hideMark/>
          </w:tcPr>
          <w:p w14:paraId="0BA56E45"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20</w:t>
            </w:r>
          </w:p>
        </w:tc>
      </w:tr>
      <w:tr w:rsidR="004853EB" w:rsidRPr="002A326C" w14:paraId="50CA2C6F" w14:textId="77777777">
        <w:trPr>
          <w:trHeight w:val="1"/>
        </w:trPr>
        <w:tc>
          <w:tcPr>
            <w:tcW w:w="1418" w:type="dxa"/>
            <w:tcBorders>
              <w:top w:val="single" w:sz="4" w:space="0" w:color="000000"/>
              <w:left w:val="single" w:sz="6" w:space="0" w:color="000000"/>
              <w:bottom w:val="single" w:sz="4" w:space="0" w:color="000000"/>
              <w:right w:val="single" w:sz="4" w:space="0" w:color="000000"/>
            </w:tcBorders>
            <w:shd w:val="clear" w:color="auto" w:fill="FFFFFF"/>
            <w:vAlign w:val="center"/>
            <w:hideMark/>
          </w:tcPr>
          <w:p w14:paraId="35AE5656"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0,1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32E4AD"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7BACF8"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275</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A78420"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175</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84BE41"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55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839C8E"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135</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19BE5D"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18</w:t>
            </w:r>
          </w:p>
        </w:tc>
        <w:tc>
          <w:tcPr>
            <w:tcW w:w="988" w:type="dxa"/>
            <w:tcBorders>
              <w:top w:val="single" w:sz="4" w:space="0" w:color="000000"/>
              <w:left w:val="single" w:sz="4" w:space="0" w:color="000000"/>
              <w:bottom w:val="single" w:sz="4" w:space="0" w:color="000000"/>
              <w:right w:val="single" w:sz="6" w:space="0" w:color="000000"/>
            </w:tcBorders>
            <w:shd w:val="clear" w:color="auto" w:fill="FFFFFF"/>
            <w:vAlign w:val="center"/>
            <w:hideMark/>
          </w:tcPr>
          <w:p w14:paraId="08A8DA45"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25</w:t>
            </w:r>
          </w:p>
        </w:tc>
      </w:tr>
      <w:tr w:rsidR="004853EB" w:rsidRPr="002A326C" w14:paraId="029A32CC" w14:textId="77777777">
        <w:trPr>
          <w:trHeight w:val="1"/>
        </w:trPr>
        <w:tc>
          <w:tcPr>
            <w:tcW w:w="1418" w:type="dxa"/>
            <w:tcBorders>
              <w:top w:val="single" w:sz="4" w:space="0" w:color="000000"/>
              <w:left w:val="single" w:sz="6" w:space="0" w:color="000000"/>
              <w:bottom w:val="single" w:sz="4" w:space="0" w:color="000000"/>
              <w:right w:val="single" w:sz="4" w:space="0" w:color="000000"/>
            </w:tcBorders>
            <w:shd w:val="clear" w:color="auto" w:fill="FFFFFF"/>
            <w:vAlign w:val="center"/>
            <w:hideMark/>
          </w:tcPr>
          <w:p w14:paraId="77176DF8"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0,2</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E2C684"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E6A6E0"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200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9C8896"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130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30B896"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40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262104"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CD7E14"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13</w:t>
            </w:r>
          </w:p>
        </w:tc>
        <w:tc>
          <w:tcPr>
            <w:tcW w:w="988" w:type="dxa"/>
            <w:tcBorders>
              <w:top w:val="single" w:sz="4" w:space="0" w:color="000000"/>
              <w:left w:val="single" w:sz="4" w:space="0" w:color="000000"/>
              <w:bottom w:val="single" w:sz="4" w:space="0" w:color="000000"/>
              <w:right w:val="single" w:sz="6" w:space="0" w:color="000000"/>
            </w:tcBorders>
            <w:shd w:val="clear" w:color="auto" w:fill="FFFFFF"/>
            <w:vAlign w:val="center"/>
            <w:hideMark/>
          </w:tcPr>
          <w:p w14:paraId="5C6AA71F"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20</w:t>
            </w:r>
          </w:p>
        </w:tc>
      </w:tr>
      <w:tr w:rsidR="004853EB" w:rsidRPr="002A326C" w14:paraId="027D7568" w14:textId="77777777">
        <w:trPr>
          <w:trHeight w:val="1"/>
        </w:trPr>
        <w:tc>
          <w:tcPr>
            <w:tcW w:w="1418" w:type="dxa"/>
            <w:tcBorders>
              <w:top w:val="single" w:sz="4" w:space="0" w:color="000000"/>
              <w:left w:val="single" w:sz="6" w:space="0" w:color="000000"/>
              <w:bottom w:val="single" w:sz="6" w:space="0" w:color="000000"/>
              <w:right w:val="single" w:sz="4" w:space="0" w:color="000000"/>
            </w:tcBorders>
            <w:shd w:val="clear" w:color="auto" w:fill="FFFFFF"/>
            <w:vAlign w:val="center"/>
            <w:hideMark/>
          </w:tcPr>
          <w:p w14:paraId="709B6A1D"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0,33</w:t>
            </w:r>
          </w:p>
        </w:tc>
        <w:tc>
          <w:tcPr>
            <w:tcW w:w="1417" w:type="dxa"/>
            <w:tcBorders>
              <w:top w:val="single" w:sz="4" w:space="0" w:color="000000"/>
              <w:left w:val="single" w:sz="4" w:space="0" w:color="000000"/>
              <w:bottom w:val="single" w:sz="6" w:space="0" w:color="000000"/>
              <w:right w:val="single" w:sz="4" w:space="0" w:color="000000"/>
            </w:tcBorders>
            <w:shd w:val="clear" w:color="auto" w:fill="FFFFFF"/>
            <w:vAlign w:val="center"/>
            <w:hideMark/>
          </w:tcPr>
          <w:p w14:paraId="1542C89C"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40</w:t>
            </w:r>
          </w:p>
        </w:tc>
        <w:tc>
          <w:tcPr>
            <w:tcW w:w="992" w:type="dxa"/>
            <w:tcBorders>
              <w:top w:val="single" w:sz="4" w:space="0" w:color="000000"/>
              <w:left w:val="single" w:sz="4" w:space="0" w:color="000000"/>
              <w:bottom w:val="single" w:sz="6" w:space="0" w:color="000000"/>
              <w:right w:val="single" w:sz="4" w:space="0" w:color="000000"/>
            </w:tcBorders>
            <w:shd w:val="clear" w:color="auto" w:fill="FFFFFF"/>
            <w:vAlign w:val="center"/>
            <w:hideMark/>
          </w:tcPr>
          <w:p w14:paraId="3E16CCA2"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150</w:t>
            </w:r>
          </w:p>
        </w:tc>
        <w:tc>
          <w:tcPr>
            <w:tcW w:w="851" w:type="dxa"/>
            <w:tcBorders>
              <w:top w:val="single" w:sz="4" w:space="0" w:color="000000"/>
              <w:left w:val="single" w:sz="4" w:space="0" w:color="000000"/>
              <w:bottom w:val="single" w:sz="6" w:space="0" w:color="000000"/>
              <w:right w:val="single" w:sz="4" w:space="0" w:color="000000"/>
            </w:tcBorders>
            <w:shd w:val="clear" w:color="auto" w:fill="FFFFFF"/>
            <w:vAlign w:val="center"/>
            <w:hideMark/>
          </w:tcPr>
          <w:p w14:paraId="0BB53307"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95</w:t>
            </w:r>
          </w:p>
        </w:tc>
        <w:tc>
          <w:tcPr>
            <w:tcW w:w="992" w:type="dxa"/>
            <w:tcBorders>
              <w:top w:val="single" w:sz="4" w:space="0" w:color="000000"/>
              <w:left w:val="single" w:sz="4" w:space="0" w:color="000000"/>
              <w:bottom w:val="single" w:sz="6" w:space="0" w:color="000000"/>
              <w:right w:val="single" w:sz="4" w:space="0" w:color="000000"/>
            </w:tcBorders>
            <w:shd w:val="clear" w:color="auto" w:fill="FFFFFF"/>
            <w:vAlign w:val="center"/>
            <w:hideMark/>
          </w:tcPr>
          <w:p w14:paraId="417354A8"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30</w:t>
            </w:r>
          </w:p>
        </w:tc>
        <w:tc>
          <w:tcPr>
            <w:tcW w:w="1134" w:type="dxa"/>
            <w:tcBorders>
              <w:top w:val="single" w:sz="4" w:space="0" w:color="000000"/>
              <w:left w:val="single" w:sz="4" w:space="0" w:color="000000"/>
              <w:bottom w:val="single" w:sz="6" w:space="0" w:color="000000"/>
              <w:right w:val="single" w:sz="4" w:space="0" w:color="000000"/>
            </w:tcBorders>
            <w:shd w:val="clear" w:color="auto" w:fill="FFFFFF"/>
            <w:vAlign w:val="center"/>
            <w:hideMark/>
          </w:tcPr>
          <w:p w14:paraId="008384F5"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75</w:t>
            </w:r>
          </w:p>
        </w:tc>
        <w:tc>
          <w:tcPr>
            <w:tcW w:w="992" w:type="dxa"/>
            <w:tcBorders>
              <w:top w:val="single" w:sz="4" w:space="0" w:color="000000"/>
              <w:left w:val="single" w:sz="4" w:space="0" w:color="000000"/>
              <w:bottom w:val="single" w:sz="6" w:space="0" w:color="000000"/>
              <w:right w:val="single" w:sz="4" w:space="0" w:color="000000"/>
            </w:tcBorders>
            <w:shd w:val="clear" w:color="auto" w:fill="FFFFFF"/>
            <w:vAlign w:val="center"/>
            <w:hideMark/>
          </w:tcPr>
          <w:p w14:paraId="509048E6"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10</w:t>
            </w:r>
          </w:p>
        </w:tc>
        <w:tc>
          <w:tcPr>
            <w:tcW w:w="988" w:type="dxa"/>
            <w:tcBorders>
              <w:top w:val="single" w:sz="4" w:space="0" w:color="000000"/>
              <w:left w:val="single" w:sz="4" w:space="0" w:color="000000"/>
              <w:bottom w:val="single" w:sz="6" w:space="0" w:color="000000"/>
              <w:right w:val="single" w:sz="6" w:space="0" w:color="000000"/>
            </w:tcBorders>
            <w:shd w:val="clear" w:color="auto" w:fill="FFFFFF"/>
            <w:vAlign w:val="center"/>
            <w:hideMark/>
          </w:tcPr>
          <w:p w14:paraId="4A498B9A" w14:textId="77777777" w:rsidR="004853EB" w:rsidRPr="002A326C" w:rsidRDefault="004853EB" w:rsidP="002A326C">
            <w:pPr>
              <w:autoSpaceDE w:val="0"/>
              <w:autoSpaceDN w:val="0"/>
              <w:adjustRightInd w:val="0"/>
              <w:spacing w:before="40" w:after="40"/>
              <w:jc w:val="both"/>
              <w:rPr>
                <w:rFonts w:cstheme="minorHAnsi"/>
                <w:sz w:val="20"/>
                <w:szCs w:val="20"/>
              </w:rPr>
            </w:pPr>
            <w:r w:rsidRPr="002A326C">
              <w:rPr>
                <w:rFonts w:cstheme="minorHAnsi"/>
                <w:sz w:val="20"/>
                <w:szCs w:val="20"/>
              </w:rPr>
              <w:t>15</w:t>
            </w:r>
          </w:p>
        </w:tc>
      </w:tr>
    </w:tbl>
    <w:p w14:paraId="220DBDD2"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ab/>
        <w:t>Biorąc pod uwagę dane zawarte w tablicach 2, 3 klasyfikacja folii odblaskowych przybierze postać podaną w tablicy 4.</w:t>
      </w:r>
    </w:p>
    <w:p w14:paraId="0437ED1F" w14:textId="77777777" w:rsidR="004853EB" w:rsidRPr="002A326C" w:rsidRDefault="004853EB" w:rsidP="002A326C">
      <w:pPr>
        <w:autoSpaceDE w:val="0"/>
        <w:autoSpaceDN w:val="0"/>
        <w:adjustRightInd w:val="0"/>
        <w:spacing w:before="120" w:after="120"/>
        <w:jc w:val="both"/>
        <w:rPr>
          <w:rFonts w:cstheme="minorHAnsi"/>
          <w:sz w:val="20"/>
          <w:szCs w:val="20"/>
        </w:rPr>
      </w:pPr>
      <w:r w:rsidRPr="002A326C">
        <w:rPr>
          <w:rFonts w:cstheme="minorHAnsi"/>
          <w:sz w:val="20"/>
          <w:szCs w:val="20"/>
        </w:rPr>
        <w:t>Tablica 4. Klasyfikacja folii odblaskowych</w:t>
      </w:r>
    </w:p>
    <w:tbl>
      <w:tblPr>
        <w:tblW w:w="0" w:type="auto"/>
        <w:tblInd w:w="221" w:type="dxa"/>
        <w:tblLayout w:type="fixed"/>
        <w:tblLook w:val="04A0" w:firstRow="1" w:lastRow="0" w:firstColumn="1" w:lastColumn="0" w:noHBand="0" w:noVBand="1"/>
      </w:tblPr>
      <w:tblGrid>
        <w:gridCol w:w="709"/>
        <w:gridCol w:w="2212"/>
        <w:gridCol w:w="3004"/>
        <w:gridCol w:w="2864"/>
      </w:tblGrid>
      <w:tr w:rsidR="004853EB" w:rsidRPr="002A326C" w14:paraId="2E552FC6"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9081D8"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lastRenderedPageBreak/>
              <w:t>Typ folii</w:t>
            </w:r>
          </w:p>
        </w:tc>
        <w:tc>
          <w:tcPr>
            <w:tcW w:w="22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D23586"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Rodzaj folii</w:t>
            </w:r>
          </w:p>
        </w:tc>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055C51D7" w14:textId="77777777" w:rsidR="004853EB" w:rsidRPr="002A326C" w:rsidRDefault="004853EB" w:rsidP="002A326C">
            <w:pPr>
              <w:autoSpaceDE w:val="0"/>
              <w:autoSpaceDN w:val="0"/>
              <w:adjustRightInd w:val="0"/>
              <w:jc w:val="both"/>
              <w:rPr>
                <w:rFonts w:cstheme="minorHAnsi"/>
                <w:sz w:val="20"/>
                <w:szCs w:val="20"/>
                <w:lang w:val="el-GR"/>
              </w:rPr>
            </w:pPr>
            <w:r w:rsidRPr="002A326C">
              <w:rPr>
                <w:rFonts w:cstheme="minorHAnsi"/>
                <w:sz w:val="20"/>
                <w:szCs w:val="20"/>
              </w:rPr>
              <w:t xml:space="preserve">Współczynnik odblasku, gdy </w:t>
            </w:r>
            <w:r w:rsidRPr="002A326C">
              <w:rPr>
                <w:rFonts w:cstheme="minorHAnsi"/>
                <w:sz w:val="20"/>
                <w:szCs w:val="20"/>
                <w:lang w:val="el-GR"/>
              </w:rPr>
              <w:t>α=20’; β</w:t>
            </w:r>
            <w:r w:rsidRPr="002A326C">
              <w:rPr>
                <w:rFonts w:cstheme="minorHAnsi"/>
                <w:sz w:val="20"/>
                <w:szCs w:val="20"/>
                <w:vertAlign w:val="subscript"/>
                <w:lang w:val="el-GR"/>
              </w:rPr>
              <w:t>1</w:t>
            </w:r>
            <w:r w:rsidRPr="002A326C">
              <w:rPr>
                <w:rFonts w:cstheme="minorHAnsi"/>
                <w:sz w:val="20"/>
                <w:szCs w:val="20"/>
                <w:lang w:val="el-GR"/>
              </w:rPr>
              <w:t>=+5</w:t>
            </w:r>
            <w:r w:rsidRPr="002A326C">
              <w:rPr>
                <w:rFonts w:cstheme="minorHAnsi"/>
                <w:sz w:val="20"/>
                <w:szCs w:val="20"/>
                <w:vertAlign w:val="superscript"/>
                <w:lang w:val="el-GR"/>
              </w:rPr>
              <w:t>o</w:t>
            </w:r>
            <w:r w:rsidRPr="002A326C">
              <w:rPr>
                <w:rFonts w:cstheme="minorHAnsi"/>
                <w:sz w:val="20"/>
                <w:szCs w:val="20"/>
                <w:lang w:val="el-GR"/>
              </w:rPr>
              <w:t xml:space="preserve"> β</w:t>
            </w:r>
            <w:r w:rsidRPr="002A326C">
              <w:rPr>
                <w:rFonts w:cstheme="minorHAnsi"/>
                <w:sz w:val="20"/>
                <w:szCs w:val="20"/>
                <w:vertAlign w:val="subscript"/>
                <w:lang w:val="el-GR"/>
              </w:rPr>
              <w:t>2</w:t>
            </w:r>
            <w:r w:rsidRPr="002A326C">
              <w:rPr>
                <w:rFonts w:cstheme="minorHAnsi"/>
                <w:sz w:val="20"/>
                <w:szCs w:val="20"/>
                <w:lang w:val="el-GR"/>
              </w:rPr>
              <w:t>=0</w:t>
            </w:r>
            <w:r w:rsidRPr="002A326C">
              <w:rPr>
                <w:rFonts w:cstheme="minorHAnsi"/>
                <w:sz w:val="20"/>
                <w:szCs w:val="20"/>
                <w:vertAlign w:val="superscript"/>
                <w:lang w:val="el-GR"/>
              </w:rPr>
              <w:t>o</w:t>
            </w:r>
          </w:p>
          <w:p w14:paraId="41BC57D5"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folii białej</w:t>
            </w:r>
          </w:p>
          <w:p w14:paraId="71825F17"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[cd lx</w:t>
            </w:r>
            <w:r w:rsidRPr="002A326C">
              <w:rPr>
                <w:rFonts w:cstheme="minorHAnsi"/>
                <w:sz w:val="20"/>
                <w:szCs w:val="20"/>
                <w:vertAlign w:val="superscript"/>
              </w:rPr>
              <w:t>-1</w:t>
            </w:r>
            <w:r w:rsidRPr="002A326C">
              <w:rPr>
                <w:rFonts w:cstheme="minorHAnsi"/>
                <w:sz w:val="20"/>
                <w:szCs w:val="20"/>
              </w:rPr>
              <w:t xml:space="preserve"> m</w:t>
            </w:r>
            <w:r w:rsidRPr="002A326C">
              <w:rPr>
                <w:rFonts w:cstheme="minorHAnsi"/>
                <w:sz w:val="20"/>
                <w:szCs w:val="20"/>
                <w:vertAlign w:val="superscript"/>
              </w:rPr>
              <w:t>-2</w:t>
            </w:r>
            <w:r w:rsidRPr="002A326C">
              <w:rPr>
                <w:rFonts w:cstheme="minorHAnsi"/>
                <w:sz w:val="20"/>
                <w:szCs w:val="20"/>
              </w:rPr>
              <w:t>]</w:t>
            </w:r>
          </w:p>
        </w:tc>
        <w:tc>
          <w:tcPr>
            <w:tcW w:w="2864" w:type="dxa"/>
            <w:tcBorders>
              <w:top w:val="single" w:sz="4" w:space="0" w:color="000000"/>
              <w:left w:val="single" w:sz="4" w:space="0" w:color="000000"/>
              <w:bottom w:val="single" w:sz="4" w:space="0" w:color="000000"/>
              <w:right w:val="single" w:sz="4" w:space="0" w:color="000000"/>
            </w:tcBorders>
            <w:shd w:val="clear" w:color="auto" w:fill="FFFFFF"/>
            <w:hideMark/>
          </w:tcPr>
          <w:p w14:paraId="3186F7F5" w14:textId="77777777" w:rsidR="004853EB" w:rsidRPr="002A326C" w:rsidRDefault="004853EB" w:rsidP="002A326C">
            <w:pPr>
              <w:autoSpaceDE w:val="0"/>
              <w:autoSpaceDN w:val="0"/>
              <w:adjustRightInd w:val="0"/>
              <w:jc w:val="both"/>
              <w:rPr>
                <w:rFonts w:cstheme="minorHAnsi"/>
                <w:sz w:val="20"/>
                <w:szCs w:val="20"/>
                <w:lang w:val="el-GR"/>
              </w:rPr>
            </w:pPr>
            <w:r w:rsidRPr="002A326C">
              <w:rPr>
                <w:rFonts w:cstheme="minorHAnsi"/>
                <w:sz w:val="20"/>
                <w:szCs w:val="20"/>
              </w:rPr>
              <w:t xml:space="preserve">Współczynnik odblasku, gdy </w:t>
            </w:r>
            <w:r w:rsidRPr="002A326C">
              <w:rPr>
                <w:rFonts w:cstheme="minorHAnsi"/>
                <w:sz w:val="20"/>
                <w:szCs w:val="20"/>
                <w:lang w:val="el-GR"/>
              </w:rPr>
              <w:t>α=20’; β</w:t>
            </w:r>
            <w:r w:rsidRPr="002A326C">
              <w:rPr>
                <w:rFonts w:cstheme="minorHAnsi"/>
                <w:sz w:val="20"/>
                <w:szCs w:val="20"/>
                <w:vertAlign w:val="subscript"/>
                <w:lang w:val="el-GR"/>
              </w:rPr>
              <w:t>1</w:t>
            </w:r>
            <w:r w:rsidRPr="002A326C">
              <w:rPr>
                <w:rFonts w:cstheme="minorHAnsi"/>
                <w:sz w:val="20"/>
                <w:szCs w:val="20"/>
                <w:lang w:val="el-GR"/>
              </w:rPr>
              <w:t>=+30</w:t>
            </w:r>
            <w:r w:rsidRPr="002A326C">
              <w:rPr>
                <w:rFonts w:cstheme="minorHAnsi"/>
                <w:sz w:val="20"/>
                <w:szCs w:val="20"/>
                <w:vertAlign w:val="superscript"/>
                <w:lang w:val="el-GR"/>
              </w:rPr>
              <w:t>o</w:t>
            </w:r>
            <w:r w:rsidRPr="002A326C">
              <w:rPr>
                <w:rFonts w:cstheme="minorHAnsi"/>
                <w:sz w:val="20"/>
                <w:szCs w:val="20"/>
                <w:lang w:val="el-GR"/>
              </w:rPr>
              <w:t xml:space="preserve"> β</w:t>
            </w:r>
            <w:r w:rsidRPr="002A326C">
              <w:rPr>
                <w:rFonts w:cstheme="minorHAnsi"/>
                <w:sz w:val="20"/>
                <w:szCs w:val="20"/>
                <w:vertAlign w:val="subscript"/>
                <w:lang w:val="el-GR"/>
              </w:rPr>
              <w:t>2</w:t>
            </w:r>
            <w:r w:rsidRPr="002A326C">
              <w:rPr>
                <w:rFonts w:cstheme="minorHAnsi"/>
                <w:sz w:val="20"/>
                <w:szCs w:val="20"/>
                <w:lang w:val="el-GR"/>
              </w:rPr>
              <w:t>=0</w:t>
            </w:r>
            <w:r w:rsidRPr="002A326C">
              <w:rPr>
                <w:rFonts w:cstheme="minorHAnsi"/>
                <w:sz w:val="20"/>
                <w:szCs w:val="20"/>
                <w:vertAlign w:val="superscript"/>
                <w:lang w:val="el-GR"/>
              </w:rPr>
              <w:t>o</w:t>
            </w:r>
          </w:p>
          <w:p w14:paraId="21E33C8F"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folii białej</w:t>
            </w:r>
          </w:p>
          <w:p w14:paraId="25970986"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[cd lx</w:t>
            </w:r>
            <w:r w:rsidRPr="002A326C">
              <w:rPr>
                <w:rFonts w:cstheme="minorHAnsi"/>
                <w:sz w:val="20"/>
                <w:szCs w:val="20"/>
                <w:vertAlign w:val="superscript"/>
              </w:rPr>
              <w:t>-1</w:t>
            </w:r>
            <w:r w:rsidRPr="002A326C">
              <w:rPr>
                <w:rFonts w:cstheme="minorHAnsi"/>
                <w:sz w:val="20"/>
                <w:szCs w:val="20"/>
              </w:rPr>
              <w:t xml:space="preserve"> m</w:t>
            </w:r>
            <w:r w:rsidRPr="002A326C">
              <w:rPr>
                <w:rFonts w:cstheme="minorHAnsi"/>
                <w:sz w:val="20"/>
                <w:szCs w:val="20"/>
                <w:vertAlign w:val="superscript"/>
              </w:rPr>
              <w:t>-2</w:t>
            </w:r>
            <w:r w:rsidRPr="002A326C">
              <w:rPr>
                <w:rFonts w:cstheme="minorHAnsi"/>
                <w:sz w:val="20"/>
                <w:szCs w:val="20"/>
              </w:rPr>
              <w:t>]</w:t>
            </w:r>
          </w:p>
        </w:tc>
      </w:tr>
      <w:tr w:rsidR="004853EB" w:rsidRPr="002A326C" w14:paraId="797F41CF"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168D75"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1</w:t>
            </w:r>
          </w:p>
        </w:tc>
        <w:tc>
          <w:tcPr>
            <w:tcW w:w="22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3D82C5"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kulkowa</w:t>
            </w:r>
          </w:p>
        </w:tc>
        <w:tc>
          <w:tcPr>
            <w:tcW w:w="30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CE7B0F"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 50</w:t>
            </w:r>
          </w:p>
        </w:tc>
        <w:tc>
          <w:tcPr>
            <w:tcW w:w="28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53D0D5"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 24</w:t>
            </w:r>
          </w:p>
        </w:tc>
      </w:tr>
      <w:tr w:rsidR="004853EB" w:rsidRPr="002A326C" w14:paraId="42B99948"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0C9883"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2</w:t>
            </w:r>
          </w:p>
        </w:tc>
        <w:tc>
          <w:tcPr>
            <w:tcW w:w="22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43AC3C"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kulkowa</w:t>
            </w:r>
          </w:p>
        </w:tc>
        <w:tc>
          <w:tcPr>
            <w:tcW w:w="30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33610D"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 180</w:t>
            </w:r>
          </w:p>
        </w:tc>
        <w:tc>
          <w:tcPr>
            <w:tcW w:w="28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1EEEBD"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 100</w:t>
            </w:r>
          </w:p>
        </w:tc>
      </w:tr>
      <w:tr w:rsidR="004853EB" w:rsidRPr="002A326C" w14:paraId="206B4004"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3A4A14"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3P</w:t>
            </w:r>
          </w:p>
        </w:tc>
        <w:tc>
          <w:tcPr>
            <w:tcW w:w="22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38C2D3"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pryzmatyczna</w:t>
            </w:r>
          </w:p>
        </w:tc>
        <w:tc>
          <w:tcPr>
            <w:tcW w:w="30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96DF2A"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 425</w:t>
            </w:r>
          </w:p>
        </w:tc>
        <w:tc>
          <w:tcPr>
            <w:tcW w:w="28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FBFED0"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 225</w:t>
            </w:r>
          </w:p>
        </w:tc>
      </w:tr>
    </w:tbl>
    <w:p w14:paraId="4D8393BF"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Ponadto należy wziąć pod uwagę następujące zalecenia:</w:t>
      </w:r>
    </w:p>
    <w:p w14:paraId="4BC7EC5D" w14:textId="77777777" w:rsidR="004853EB" w:rsidRPr="002A326C" w:rsidRDefault="004853EB">
      <w:pPr>
        <w:numPr>
          <w:ilvl w:val="0"/>
          <w:numId w:val="182"/>
        </w:numPr>
        <w:autoSpaceDE w:val="0"/>
        <w:autoSpaceDN w:val="0"/>
        <w:adjustRightInd w:val="0"/>
        <w:spacing w:after="0" w:line="240" w:lineRule="auto"/>
        <w:ind w:left="283" w:hanging="283"/>
        <w:jc w:val="both"/>
        <w:rPr>
          <w:rFonts w:cstheme="minorHAnsi"/>
          <w:sz w:val="20"/>
          <w:szCs w:val="20"/>
        </w:rPr>
      </w:pPr>
      <w:r w:rsidRPr="002A326C">
        <w:rPr>
          <w:rFonts w:cstheme="minorHAnsi"/>
          <w:sz w:val="20"/>
          <w:szCs w:val="20"/>
        </w:rPr>
        <w:t>dopuszcza się wycinanie kształtów z folii typu 2 i pryzmatycznej pod warunkiem zabezpieczenia ich krawędzi lakierem zalecanym przez producenta folii,</w:t>
      </w:r>
    </w:p>
    <w:p w14:paraId="4FC38DCA" w14:textId="77777777" w:rsidR="004853EB" w:rsidRPr="002A326C" w:rsidRDefault="004853EB">
      <w:pPr>
        <w:numPr>
          <w:ilvl w:val="0"/>
          <w:numId w:val="182"/>
        </w:numPr>
        <w:tabs>
          <w:tab w:val="left" w:pos="4536"/>
          <w:tab w:val="left" w:pos="9072"/>
        </w:tabs>
        <w:autoSpaceDE w:val="0"/>
        <w:autoSpaceDN w:val="0"/>
        <w:adjustRightInd w:val="0"/>
        <w:spacing w:after="0" w:line="240" w:lineRule="auto"/>
        <w:ind w:left="283" w:hanging="283"/>
        <w:jc w:val="both"/>
        <w:rPr>
          <w:rFonts w:cstheme="minorHAnsi"/>
          <w:sz w:val="20"/>
          <w:szCs w:val="20"/>
        </w:rPr>
      </w:pPr>
      <w:r w:rsidRPr="002A326C">
        <w:rPr>
          <w:rFonts w:cstheme="minorHAnsi"/>
          <w:sz w:val="20"/>
          <w:szCs w:val="20"/>
        </w:rPr>
        <w:t>nie dopuszcza się stosowania folii o okresie trwałości poniżej 7 lat do znaków stałych,</w:t>
      </w:r>
    </w:p>
    <w:p w14:paraId="1C236EB4" w14:textId="77777777" w:rsidR="004853EB" w:rsidRPr="002A326C" w:rsidRDefault="004853EB">
      <w:pPr>
        <w:numPr>
          <w:ilvl w:val="0"/>
          <w:numId w:val="182"/>
        </w:numPr>
        <w:autoSpaceDE w:val="0"/>
        <w:autoSpaceDN w:val="0"/>
        <w:adjustRightInd w:val="0"/>
        <w:spacing w:after="0" w:line="240" w:lineRule="auto"/>
        <w:ind w:left="283" w:hanging="283"/>
        <w:jc w:val="both"/>
        <w:rPr>
          <w:rFonts w:cstheme="minorHAnsi"/>
          <w:sz w:val="20"/>
          <w:szCs w:val="20"/>
        </w:rPr>
      </w:pPr>
      <w:r w:rsidRPr="002A326C">
        <w:rPr>
          <w:rFonts w:cstheme="minorHAnsi"/>
          <w:sz w:val="20"/>
          <w:szCs w:val="20"/>
        </w:rPr>
        <w:t>folie o 2-letnim i 3-letnim okresie trwałości mogą być wykorzystywane do znaków tymczasowych stosowanych do oznakowania robót drogowych, pod warunkiem posiadania aprobaty technicznej lub krajowej oceny technicznej i zachowania zgodności z załącznikiem nr 1 do rozporządzenia [19].</w:t>
      </w:r>
    </w:p>
    <w:p w14:paraId="165AAD95" w14:textId="5954CB94"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Minimalna początkowa wartość współczynnika odblasku R</w:t>
      </w:r>
      <w:r w:rsidRPr="002A326C">
        <w:rPr>
          <w:rFonts w:cstheme="minorHAnsi"/>
          <w:sz w:val="20"/>
          <w:szCs w:val="20"/>
          <w:vertAlign w:val="subscript"/>
        </w:rPr>
        <w:t>A</w:t>
      </w:r>
      <w:r w:rsidRPr="002A326C">
        <w:rPr>
          <w:rFonts w:cstheme="minorHAnsi"/>
          <w:sz w:val="20"/>
          <w:szCs w:val="20"/>
        </w:rPr>
        <w:t xml:space="preserve"> (cd·lx</w:t>
      </w:r>
      <w:r w:rsidRPr="002A326C">
        <w:rPr>
          <w:rFonts w:cstheme="minorHAnsi"/>
          <w:sz w:val="20"/>
          <w:szCs w:val="20"/>
          <w:vertAlign w:val="superscript"/>
        </w:rPr>
        <w:t>-1</w:t>
      </w:r>
      <w:r w:rsidRPr="002A326C">
        <w:rPr>
          <w:rFonts w:cstheme="minorHAnsi"/>
          <w:sz w:val="20"/>
          <w:szCs w:val="20"/>
        </w:rPr>
        <w:t>m</w:t>
      </w:r>
      <w:r w:rsidRPr="002A326C">
        <w:rPr>
          <w:rFonts w:cstheme="minorHAnsi"/>
          <w:sz w:val="20"/>
          <w:szCs w:val="20"/>
          <w:vertAlign w:val="superscript"/>
        </w:rPr>
        <w:t>-2</w:t>
      </w:r>
      <w:r w:rsidRPr="002A326C">
        <w:rPr>
          <w:rFonts w:cstheme="minorHAnsi"/>
          <w:sz w:val="20"/>
          <w:szCs w:val="20"/>
        </w:rPr>
        <w:t>) znaków odblaskowych, zmierzona zgodnie z procedurą zawartą w CIE No.54.2 [27], używając standardowego iluminanta A, powinna spełniać odpowiednio wymagania podane w tablicy 5.</w:t>
      </w:r>
    </w:p>
    <w:p w14:paraId="2FC1FDD4" w14:textId="77777777"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Współczynnik odblasku R</w:t>
      </w:r>
      <w:r w:rsidRPr="002A326C">
        <w:rPr>
          <w:rFonts w:cstheme="minorHAnsi"/>
          <w:sz w:val="20"/>
          <w:szCs w:val="20"/>
          <w:vertAlign w:val="subscript"/>
        </w:rPr>
        <w:t>A</w:t>
      </w:r>
      <w:r w:rsidRPr="002A326C">
        <w:rPr>
          <w:rFonts w:cstheme="minorHAnsi"/>
          <w:sz w:val="20"/>
          <w:szCs w:val="20"/>
        </w:rPr>
        <w:t xml:space="preserve"> dla wszystkich kolorów drukowanych, z wyjątkiem białego, nie powinien być mniejszy niż 70% wartości podanych w tablicy 5 dla znaków z folią typu 1 lub typu 2.</w:t>
      </w:r>
    </w:p>
    <w:p w14:paraId="4033798B" w14:textId="77777777" w:rsidR="004853EB" w:rsidRPr="002A326C" w:rsidRDefault="004853EB" w:rsidP="002A326C">
      <w:pPr>
        <w:autoSpaceDE w:val="0"/>
        <w:autoSpaceDN w:val="0"/>
        <w:adjustRightInd w:val="0"/>
        <w:spacing w:before="120" w:after="120"/>
        <w:jc w:val="both"/>
        <w:rPr>
          <w:rFonts w:cstheme="minorHAnsi"/>
          <w:sz w:val="20"/>
          <w:szCs w:val="20"/>
        </w:rPr>
      </w:pPr>
      <w:r w:rsidRPr="002A326C">
        <w:rPr>
          <w:rFonts w:cstheme="minorHAnsi"/>
          <w:b/>
          <w:bCs/>
          <w:sz w:val="20"/>
          <w:szCs w:val="20"/>
        </w:rPr>
        <w:t xml:space="preserve">2.7.2. </w:t>
      </w:r>
      <w:r w:rsidRPr="002A326C">
        <w:rPr>
          <w:rFonts w:cstheme="minorHAnsi"/>
          <w:sz w:val="20"/>
          <w:szCs w:val="20"/>
        </w:rPr>
        <w:t xml:space="preserve">Wymagania jakościowe </w:t>
      </w:r>
    </w:p>
    <w:p w14:paraId="11CAA6EF"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Powierzchnia licowa znaku powinna być równa, gładka, bez rozwarstwień, pęcherzy i odklejeń na krawędziach. Na powierzchni mogą występować w obrębie jednego pola średnio nie więcej niż 0,7 błędów na powierzchni (kurz, pęcherze) o wielkości najwyżej 1 mm. Dopuszcza się występowanie płytkich rys i wżerów do głębokości maksymalnie 0,1 mm.</w:t>
      </w:r>
    </w:p>
    <w:p w14:paraId="2672E5B5"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Sposób połączenia folii z powierzchnią tarczy znaku powinien uniemożliwiać jej odłączenie od tarczy bez jej zniszczenia.</w:t>
      </w:r>
    </w:p>
    <w:p w14:paraId="20E32427"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Dokładność rysunku znaku powinna być taka, aby wady konturów znaku, które mogą powstać przy nanoszeniu farby na odblaskową powierzchnię znaku, nie były większe niż podane w p. 2.7.3.</w:t>
      </w:r>
    </w:p>
    <w:p w14:paraId="44EEA603" w14:textId="77777777"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Lica znaków wykonane drukiem sitowym powinny być wolne od smug i cieni.</w:t>
      </w:r>
    </w:p>
    <w:p w14:paraId="1263A3A0" w14:textId="77777777" w:rsidR="004853EB" w:rsidRPr="002A326C" w:rsidRDefault="004853EB" w:rsidP="002A326C">
      <w:pPr>
        <w:tabs>
          <w:tab w:val="left" w:pos="708"/>
        </w:tabs>
        <w:autoSpaceDE w:val="0"/>
        <w:autoSpaceDN w:val="0"/>
        <w:adjustRightInd w:val="0"/>
        <w:jc w:val="both"/>
        <w:rPr>
          <w:rFonts w:cstheme="minorHAnsi"/>
          <w:sz w:val="20"/>
          <w:szCs w:val="20"/>
        </w:rPr>
      </w:pPr>
      <w:r w:rsidRPr="002A326C">
        <w:rPr>
          <w:rFonts w:cstheme="minorHAnsi"/>
          <w:sz w:val="20"/>
          <w:szCs w:val="20"/>
        </w:rPr>
        <w:tab/>
        <w:t>Krawędzie lica znaku z folii typu 2 i folii pryzmatycznej powinny być odpowiednio zabezpieczone np. przez lakierowanie lub ramą z profilu ceowego.</w:t>
      </w:r>
    </w:p>
    <w:p w14:paraId="1388DF22" w14:textId="5CC32CA6"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 xml:space="preserve">Powłoka lakiernicza w kolorze RAL 7037 na tylnej stronie znaku powinna być równa, gładka bez smug </w:t>
      </w:r>
      <w:r w:rsidR="00602EF6">
        <w:rPr>
          <w:rFonts w:cstheme="minorHAnsi"/>
          <w:sz w:val="20"/>
          <w:szCs w:val="20"/>
        </w:rPr>
        <w:br/>
      </w:r>
      <w:r w:rsidRPr="002A326C">
        <w:rPr>
          <w:rFonts w:cstheme="minorHAnsi"/>
          <w:sz w:val="20"/>
          <w:szCs w:val="20"/>
        </w:rPr>
        <w:t>i zacieków. Sprawdzenie barwy polega na ocenie wizualnej przez porównanie ze wzorcem [26].</w:t>
      </w:r>
    </w:p>
    <w:p w14:paraId="04E4E310" w14:textId="77777777" w:rsidR="004853EB" w:rsidRPr="002A326C" w:rsidRDefault="004853EB" w:rsidP="002A326C">
      <w:pPr>
        <w:autoSpaceDE w:val="0"/>
        <w:autoSpaceDN w:val="0"/>
        <w:adjustRightInd w:val="0"/>
        <w:spacing w:before="120" w:after="120"/>
        <w:jc w:val="both"/>
        <w:rPr>
          <w:rFonts w:cstheme="minorHAnsi"/>
          <w:b/>
          <w:bCs/>
          <w:sz w:val="20"/>
          <w:szCs w:val="20"/>
        </w:rPr>
      </w:pPr>
      <w:r w:rsidRPr="002A326C">
        <w:rPr>
          <w:rFonts w:cstheme="minorHAnsi"/>
          <w:b/>
          <w:bCs/>
          <w:sz w:val="20"/>
          <w:szCs w:val="20"/>
        </w:rPr>
        <w:t xml:space="preserve">2.7.3. </w:t>
      </w:r>
      <w:r w:rsidRPr="002A326C">
        <w:rPr>
          <w:rFonts w:cstheme="minorHAnsi"/>
          <w:sz w:val="20"/>
          <w:szCs w:val="20"/>
        </w:rPr>
        <w:t>Tolerancje wymiarowe dla lica znaku</w:t>
      </w:r>
      <w:r w:rsidRPr="002A326C">
        <w:rPr>
          <w:rFonts w:cstheme="minorHAnsi"/>
          <w:b/>
          <w:bCs/>
          <w:sz w:val="20"/>
          <w:szCs w:val="20"/>
        </w:rPr>
        <w:t xml:space="preserve"> </w:t>
      </w:r>
    </w:p>
    <w:p w14:paraId="5BE789C5" w14:textId="77777777"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Sprawdzone przymiarem liniowym:</w:t>
      </w:r>
    </w:p>
    <w:p w14:paraId="5C9D23CE" w14:textId="60594BF0" w:rsidR="004853EB" w:rsidRPr="002A326C" w:rsidRDefault="004853EB">
      <w:pPr>
        <w:numPr>
          <w:ilvl w:val="0"/>
          <w:numId w:val="182"/>
        </w:numPr>
        <w:tabs>
          <w:tab w:val="left" w:pos="0"/>
        </w:tabs>
        <w:autoSpaceDE w:val="0"/>
        <w:autoSpaceDN w:val="0"/>
        <w:adjustRightInd w:val="0"/>
        <w:spacing w:after="0" w:line="240" w:lineRule="auto"/>
        <w:ind w:left="284" w:hanging="284"/>
        <w:jc w:val="both"/>
        <w:rPr>
          <w:rFonts w:cstheme="minorHAnsi"/>
          <w:sz w:val="20"/>
          <w:szCs w:val="20"/>
        </w:rPr>
      </w:pPr>
      <w:r w:rsidRPr="002A326C">
        <w:rPr>
          <w:rFonts w:cstheme="minorHAnsi"/>
          <w:sz w:val="20"/>
          <w:szCs w:val="20"/>
        </w:rPr>
        <w:t xml:space="preserve">tolerancje wymiarowe rysunku </w:t>
      </w:r>
      <w:r w:rsidR="00602EF6" w:rsidRPr="002A326C">
        <w:rPr>
          <w:rFonts w:cstheme="minorHAnsi"/>
          <w:sz w:val="20"/>
          <w:szCs w:val="20"/>
        </w:rPr>
        <w:t>lica wykonanego</w:t>
      </w:r>
      <w:r w:rsidRPr="002A326C">
        <w:rPr>
          <w:rFonts w:cstheme="minorHAnsi"/>
          <w:sz w:val="20"/>
          <w:szCs w:val="20"/>
        </w:rPr>
        <w:t xml:space="preserve"> drukiem sitowym wynoszą   1,5 mm,</w:t>
      </w:r>
    </w:p>
    <w:p w14:paraId="13737C7E" w14:textId="77777777" w:rsidR="004853EB" w:rsidRPr="002A326C" w:rsidRDefault="004853EB">
      <w:pPr>
        <w:numPr>
          <w:ilvl w:val="0"/>
          <w:numId w:val="182"/>
        </w:numPr>
        <w:tabs>
          <w:tab w:val="left" w:pos="0"/>
        </w:tabs>
        <w:autoSpaceDE w:val="0"/>
        <w:autoSpaceDN w:val="0"/>
        <w:adjustRightInd w:val="0"/>
        <w:spacing w:after="0" w:line="240" w:lineRule="auto"/>
        <w:ind w:left="284" w:hanging="284"/>
        <w:jc w:val="both"/>
        <w:rPr>
          <w:rFonts w:cstheme="minorHAnsi"/>
          <w:sz w:val="20"/>
          <w:szCs w:val="20"/>
        </w:rPr>
      </w:pPr>
      <w:r w:rsidRPr="002A326C">
        <w:rPr>
          <w:rFonts w:cstheme="minorHAnsi"/>
          <w:sz w:val="20"/>
          <w:szCs w:val="20"/>
        </w:rPr>
        <w:t>tolerancje wymiarowe rysunku lica wykonanego metodą wyklejania wynoszą   2 mm,</w:t>
      </w:r>
    </w:p>
    <w:p w14:paraId="507B9B67" w14:textId="77777777" w:rsidR="004853EB" w:rsidRPr="002A326C" w:rsidRDefault="004853EB">
      <w:pPr>
        <w:numPr>
          <w:ilvl w:val="0"/>
          <w:numId w:val="182"/>
        </w:numPr>
        <w:tabs>
          <w:tab w:val="left" w:pos="0"/>
        </w:tabs>
        <w:autoSpaceDE w:val="0"/>
        <w:autoSpaceDN w:val="0"/>
        <w:adjustRightInd w:val="0"/>
        <w:spacing w:after="0" w:line="240" w:lineRule="auto"/>
        <w:ind w:left="284" w:hanging="284"/>
        <w:jc w:val="both"/>
        <w:rPr>
          <w:rFonts w:cstheme="minorHAnsi"/>
          <w:sz w:val="20"/>
          <w:szCs w:val="20"/>
        </w:rPr>
      </w:pPr>
      <w:r w:rsidRPr="002A326C">
        <w:rPr>
          <w:rFonts w:cstheme="minorHAnsi"/>
          <w:sz w:val="20"/>
          <w:szCs w:val="20"/>
        </w:rPr>
        <w:t>kontury rysunku znaku (obwódka i symbol) muszą być równe z dokładnością w każdym kierunku do 1,0 mm.</w:t>
      </w:r>
    </w:p>
    <w:p w14:paraId="3105B003" w14:textId="4694BCD0"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 xml:space="preserve">W znakach nowych na każdym z fragmentów powierzchni znaku o wymiarach 4 × 4 cm nie może występować więcej niż 0,7 lokalnych usterek (załamania, pęcherzyki) o wymiarach nie większych niż 1 mm </w:t>
      </w:r>
      <w:r w:rsidR="00602EF6">
        <w:rPr>
          <w:rFonts w:cstheme="minorHAnsi"/>
          <w:sz w:val="20"/>
          <w:szCs w:val="20"/>
        </w:rPr>
        <w:br/>
      </w:r>
      <w:r w:rsidRPr="002A326C">
        <w:rPr>
          <w:rFonts w:cstheme="minorHAnsi"/>
          <w:sz w:val="20"/>
          <w:szCs w:val="20"/>
        </w:rPr>
        <w:t>w każdym kierunku. Niedopuszczalne jest występowanie jakichkolwiek zarysowań powierzchni znaku.</w:t>
      </w:r>
    </w:p>
    <w:p w14:paraId="423E24A7"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lastRenderedPageBreak/>
        <w:tab/>
        <w:t>Na znakach w okresie gwarancji, na każdym z fragmentów powierzchni znaku o wymiarach 4 × 4 cm dopuszcza się do 2 usterek jak wyżej, o wymiarach nie większych niż 1 mm w każdym kierunku. Na powierzchni tej dopuszcza się do 3 zarysowań o szerokości nie większej niż 0,8 mm i całkowitej długości nie większej niż 10 cm. Na całkowitej długości znaku dopuszcza się nie więcej niż 5 rys szerokości nie większej niż 0,8 mm i długości przekraczającej 10 cm - pod warunkiem, że zarysowania te nie zniekształcają treści znaku.</w:t>
      </w:r>
    </w:p>
    <w:p w14:paraId="6510F208" w14:textId="531C4F9A"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Na znakach w okresie gwarancji dopuszcza się również lokalne uszkodzenie folii o powierzchni nie przekraczającej 6 mm</w:t>
      </w:r>
      <w:r w:rsidRPr="002A326C">
        <w:rPr>
          <w:rFonts w:cstheme="minorHAnsi"/>
          <w:sz w:val="20"/>
          <w:szCs w:val="20"/>
          <w:vertAlign w:val="superscript"/>
        </w:rPr>
        <w:t>2</w:t>
      </w:r>
      <w:r w:rsidRPr="002A326C">
        <w:rPr>
          <w:rFonts w:cstheme="minorHAnsi"/>
          <w:sz w:val="20"/>
          <w:szCs w:val="20"/>
        </w:rPr>
        <w:t xml:space="preserve"> każde - w liczbie nie większej niż pięć na powierzchni znaku małego lub średniego, oraz </w:t>
      </w:r>
      <w:r w:rsidR="00602EF6">
        <w:rPr>
          <w:rFonts w:cstheme="minorHAnsi"/>
          <w:sz w:val="20"/>
          <w:szCs w:val="20"/>
        </w:rPr>
        <w:br/>
      </w:r>
      <w:r w:rsidRPr="002A326C">
        <w:rPr>
          <w:rFonts w:cstheme="minorHAnsi"/>
          <w:sz w:val="20"/>
          <w:szCs w:val="20"/>
        </w:rPr>
        <w:t>o powierzchni nie przekraczającej 8 mm</w:t>
      </w:r>
      <w:r w:rsidRPr="002A326C">
        <w:rPr>
          <w:rFonts w:cstheme="minorHAnsi"/>
          <w:sz w:val="20"/>
          <w:szCs w:val="20"/>
          <w:vertAlign w:val="superscript"/>
        </w:rPr>
        <w:t>2</w:t>
      </w:r>
      <w:r w:rsidRPr="002A326C">
        <w:rPr>
          <w:rFonts w:cstheme="minorHAnsi"/>
          <w:sz w:val="20"/>
          <w:szCs w:val="20"/>
        </w:rPr>
        <w:t xml:space="preserve"> każde - w liczbie nie większej niż 8 na każdym z fragmentów powierzchni znaku dużego lub wielkiego (włączając znaki informacyjne) o wymiarach 1200 × 1200 mm.</w:t>
      </w:r>
    </w:p>
    <w:p w14:paraId="5622152A"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Uszkodzenia folii nie mogą zniekształcać treści znaku - w przypadku występowania takiego zniekształcenia znak musi być bezzwłocznie wymieniony.</w:t>
      </w:r>
    </w:p>
    <w:p w14:paraId="7492DA8D"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14:paraId="40D73B73"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W znakach eksploatowanych dopuszczalne jest występowanie co najwyżej dwóch lokalnych ognisk korozji o wymiarach nie przekraczających 2,0 mm w każdym kierunku na powierzchni każdego z fragmentów znaku o wymiarach 4 × 4 cm. W znakach nowych oraz w znakach znajdujących się w okresie wymaganej gwarancji żadna korozja tarczy znaku nie może występować.</w:t>
      </w:r>
    </w:p>
    <w:p w14:paraId="1C1077BB"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Wymagana jest taka wytrzymałość połączenia folii odblaskowej z tarczą znaku, by po zgięciu tarczy o 90° przy promieniu łuku zgięcia do 10 mm w żadnym miejscu nie uległo ono zniszczeniu.</w:t>
      </w:r>
    </w:p>
    <w:p w14:paraId="3ECE0951" w14:textId="77777777" w:rsidR="004853EB" w:rsidRPr="002A326C" w:rsidRDefault="004853EB" w:rsidP="002A326C">
      <w:pPr>
        <w:autoSpaceDE w:val="0"/>
        <w:autoSpaceDN w:val="0"/>
        <w:adjustRightInd w:val="0"/>
        <w:spacing w:before="60" w:after="60"/>
        <w:jc w:val="both"/>
        <w:rPr>
          <w:rFonts w:cstheme="minorHAnsi"/>
          <w:sz w:val="20"/>
          <w:szCs w:val="20"/>
        </w:rPr>
      </w:pPr>
      <w:r w:rsidRPr="002A326C">
        <w:rPr>
          <w:rFonts w:cstheme="minorHAnsi"/>
          <w:b/>
          <w:bCs/>
          <w:sz w:val="20"/>
          <w:szCs w:val="20"/>
        </w:rPr>
        <w:t>2.7.4.</w:t>
      </w:r>
      <w:r w:rsidRPr="002A326C">
        <w:rPr>
          <w:rFonts w:cstheme="minorHAnsi"/>
          <w:sz w:val="20"/>
          <w:szCs w:val="20"/>
        </w:rPr>
        <w:t xml:space="preserve"> Zasady doboru typu folii na lica znaków </w:t>
      </w:r>
    </w:p>
    <w:p w14:paraId="01482DBD" w14:textId="77777777"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W zależności od usytuowania znaku drogowego i rodzaju drogi zaleca się stosowanie odpowiedniego rodzaju folii odblaskowej zapewniającej dobrą widoczność znaku w nocy zgodnie z tablicą 5.</w:t>
      </w:r>
    </w:p>
    <w:p w14:paraId="490F5FCF" w14:textId="77777777" w:rsidR="004853EB" w:rsidRPr="002A326C" w:rsidRDefault="004853EB" w:rsidP="002A326C">
      <w:pPr>
        <w:tabs>
          <w:tab w:val="left" w:pos="993"/>
        </w:tabs>
        <w:autoSpaceDE w:val="0"/>
        <w:autoSpaceDN w:val="0"/>
        <w:adjustRightInd w:val="0"/>
        <w:spacing w:before="120" w:after="120"/>
        <w:ind w:left="992" w:hanging="992"/>
        <w:jc w:val="both"/>
        <w:rPr>
          <w:rFonts w:cstheme="minorHAnsi"/>
          <w:sz w:val="20"/>
          <w:szCs w:val="20"/>
        </w:rPr>
      </w:pPr>
      <w:r w:rsidRPr="002A326C">
        <w:rPr>
          <w:rFonts w:cstheme="minorHAnsi"/>
          <w:sz w:val="20"/>
          <w:szCs w:val="20"/>
        </w:rPr>
        <w:t>Tablica 5.</w:t>
      </w:r>
      <w:r w:rsidRPr="002A326C">
        <w:rPr>
          <w:rFonts w:cstheme="minorHAnsi"/>
          <w:sz w:val="20"/>
          <w:szCs w:val="20"/>
        </w:rPr>
        <w:tab/>
        <w:t>Typy foli odblaskowych stosowane na drogach publicznych w zależności od rodzaju i usytuowania znaku drogowego</w:t>
      </w:r>
    </w:p>
    <w:tbl>
      <w:tblPr>
        <w:tblW w:w="0" w:type="auto"/>
        <w:jc w:val="center"/>
        <w:tblLayout w:type="fixed"/>
        <w:tblLook w:val="04A0" w:firstRow="1" w:lastRow="0" w:firstColumn="1" w:lastColumn="0" w:noHBand="0" w:noVBand="1"/>
      </w:tblPr>
      <w:tblGrid>
        <w:gridCol w:w="1340"/>
        <w:gridCol w:w="2766"/>
        <w:gridCol w:w="2160"/>
      </w:tblGrid>
      <w:tr w:rsidR="004853EB" w:rsidRPr="002A326C" w14:paraId="56C7CABC" w14:textId="77777777">
        <w:trPr>
          <w:cantSplit/>
          <w:trHeight w:val="361"/>
          <w:jc w:val="center"/>
        </w:trPr>
        <w:tc>
          <w:tcPr>
            <w:tcW w:w="13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DB7239" w14:textId="77777777" w:rsidR="004853EB" w:rsidRPr="002A326C" w:rsidRDefault="004853EB" w:rsidP="002A326C">
            <w:pPr>
              <w:autoSpaceDE w:val="0"/>
              <w:autoSpaceDN w:val="0"/>
              <w:adjustRightInd w:val="0"/>
              <w:spacing w:before="120" w:after="120"/>
              <w:jc w:val="both"/>
              <w:rPr>
                <w:rFonts w:cstheme="minorHAnsi"/>
                <w:sz w:val="20"/>
                <w:szCs w:val="20"/>
              </w:rPr>
            </w:pPr>
            <w:r w:rsidRPr="002A326C">
              <w:rPr>
                <w:rFonts w:cstheme="minorHAnsi"/>
                <w:sz w:val="20"/>
                <w:szCs w:val="20"/>
              </w:rPr>
              <w:t>Rodzaj znaku*</w:t>
            </w:r>
          </w:p>
        </w:tc>
        <w:tc>
          <w:tcPr>
            <w:tcW w:w="276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B9DAD6" w14:textId="77777777" w:rsidR="004853EB" w:rsidRPr="002A326C" w:rsidRDefault="004853EB" w:rsidP="002A326C">
            <w:pPr>
              <w:autoSpaceDE w:val="0"/>
              <w:autoSpaceDN w:val="0"/>
              <w:adjustRightInd w:val="0"/>
              <w:spacing w:before="120" w:after="120"/>
              <w:jc w:val="both"/>
              <w:rPr>
                <w:rFonts w:cstheme="minorHAnsi"/>
                <w:sz w:val="20"/>
                <w:szCs w:val="20"/>
              </w:rPr>
            </w:pPr>
            <w:r w:rsidRPr="002A326C">
              <w:rPr>
                <w:rFonts w:cstheme="minorHAnsi"/>
                <w:sz w:val="20"/>
                <w:szCs w:val="20"/>
              </w:rPr>
              <w:t>Usytuowanie znaku</w:t>
            </w:r>
          </w:p>
        </w:tc>
        <w:tc>
          <w:tcPr>
            <w:tcW w:w="21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0D0D65"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Warunki otoczenia znaku</w:t>
            </w:r>
          </w:p>
        </w:tc>
      </w:tr>
      <w:tr w:rsidR="004853EB" w:rsidRPr="002A326C" w14:paraId="62CFF08F" w14:textId="77777777">
        <w:trPr>
          <w:cantSplit/>
          <w:trHeight w:val="1"/>
          <w:jc w:val="center"/>
        </w:trPr>
        <w:tc>
          <w:tcPr>
            <w:tcW w:w="1340" w:type="dxa"/>
            <w:vMerge/>
            <w:tcBorders>
              <w:top w:val="single" w:sz="4" w:space="0" w:color="000000"/>
              <w:left w:val="single" w:sz="4" w:space="0" w:color="000000"/>
              <w:bottom w:val="single" w:sz="4" w:space="0" w:color="000000"/>
              <w:right w:val="single" w:sz="4" w:space="0" w:color="000000"/>
            </w:tcBorders>
            <w:vAlign w:val="center"/>
            <w:hideMark/>
          </w:tcPr>
          <w:p w14:paraId="49B96FA1" w14:textId="77777777" w:rsidR="004853EB" w:rsidRPr="002A326C" w:rsidRDefault="004853EB" w:rsidP="002A326C">
            <w:pPr>
              <w:jc w:val="both"/>
              <w:rPr>
                <w:rFonts w:cstheme="minorHAnsi"/>
                <w:sz w:val="20"/>
                <w:szCs w:val="20"/>
              </w:rPr>
            </w:pPr>
          </w:p>
        </w:tc>
        <w:tc>
          <w:tcPr>
            <w:tcW w:w="2766" w:type="dxa"/>
            <w:vMerge/>
            <w:tcBorders>
              <w:top w:val="single" w:sz="4" w:space="0" w:color="000000"/>
              <w:left w:val="single" w:sz="4" w:space="0" w:color="000000"/>
              <w:bottom w:val="single" w:sz="4" w:space="0" w:color="000000"/>
              <w:right w:val="single" w:sz="4" w:space="0" w:color="000000"/>
            </w:tcBorders>
            <w:vAlign w:val="center"/>
            <w:hideMark/>
          </w:tcPr>
          <w:p w14:paraId="69FC4B74" w14:textId="77777777" w:rsidR="004853EB" w:rsidRPr="002A326C" w:rsidRDefault="004853EB" w:rsidP="002A326C">
            <w:pPr>
              <w:jc w:val="both"/>
              <w:rPr>
                <w:rFonts w:cstheme="minorHAnsi"/>
                <w:sz w:val="20"/>
                <w:szCs w:val="20"/>
              </w:rPr>
            </w:pPr>
          </w:p>
        </w:tc>
        <w:tc>
          <w:tcPr>
            <w:tcW w:w="21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E7846D"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Otoczenie oświetlone typowo</w:t>
            </w:r>
          </w:p>
        </w:tc>
      </w:tr>
      <w:tr w:rsidR="004853EB" w:rsidRPr="002A326C" w14:paraId="1BE81197" w14:textId="77777777">
        <w:trPr>
          <w:cantSplit/>
          <w:trHeight w:val="921"/>
          <w:jc w:val="center"/>
        </w:trPr>
        <w:tc>
          <w:tcPr>
            <w:tcW w:w="1340" w:type="dxa"/>
            <w:vMerge/>
            <w:tcBorders>
              <w:top w:val="single" w:sz="4" w:space="0" w:color="000000"/>
              <w:left w:val="single" w:sz="4" w:space="0" w:color="000000"/>
              <w:bottom w:val="single" w:sz="4" w:space="0" w:color="000000"/>
              <w:right w:val="single" w:sz="4" w:space="0" w:color="000000"/>
            </w:tcBorders>
            <w:vAlign w:val="center"/>
            <w:hideMark/>
          </w:tcPr>
          <w:p w14:paraId="5E4C892C" w14:textId="77777777" w:rsidR="004853EB" w:rsidRPr="002A326C" w:rsidRDefault="004853EB" w:rsidP="002A326C">
            <w:pPr>
              <w:jc w:val="both"/>
              <w:rPr>
                <w:rFonts w:cstheme="minorHAnsi"/>
                <w:sz w:val="20"/>
                <w:szCs w:val="20"/>
              </w:rPr>
            </w:pPr>
          </w:p>
        </w:tc>
        <w:tc>
          <w:tcPr>
            <w:tcW w:w="2766" w:type="dxa"/>
            <w:vMerge/>
            <w:tcBorders>
              <w:top w:val="single" w:sz="4" w:space="0" w:color="000000"/>
              <w:left w:val="single" w:sz="4" w:space="0" w:color="000000"/>
              <w:bottom w:val="single" w:sz="4" w:space="0" w:color="000000"/>
              <w:right w:val="single" w:sz="4" w:space="0" w:color="000000"/>
            </w:tcBorders>
            <w:vAlign w:val="center"/>
            <w:hideMark/>
          </w:tcPr>
          <w:p w14:paraId="3937340D" w14:textId="77777777" w:rsidR="004853EB" w:rsidRPr="002A326C" w:rsidRDefault="004853EB" w:rsidP="002A326C">
            <w:pPr>
              <w:jc w:val="both"/>
              <w:rPr>
                <w:rFonts w:cstheme="minorHAnsi"/>
                <w:sz w:val="20"/>
                <w:szCs w:val="20"/>
              </w:rPr>
            </w:pPr>
          </w:p>
        </w:tc>
        <w:tc>
          <w:tcPr>
            <w:tcW w:w="21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D4B31D" w14:textId="77777777" w:rsidR="004853EB" w:rsidRPr="002A326C" w:rsidRDefault="004853EB" w:rsidP="002A326C">
            <w:pPr>
              <w:autoSpaceDE w:val="0"/>
              <w:autoSpaceDN w:val="0"/>
              <w:adjustRightInd w:val="0"/>
              <w:spacing w:before="120" w:after="120"/>
              <w:jc w:val="both"/>
              <w:rPr>
                <w:rFonts w:cstheme="minorHAnsi"/>
                <w:sz w:val="20"/>
                <w:szCs w:val="20"/>
              </w:rPr>
            </w:pPr>
            <w:r w:rsidRPr="002A326C">
              <w:rPr>
                <w:rFonts w:cstheme="minorHAnsi"/>
                <w:sz w:val="20"/>
                <w:szCs w:val="20"/>
              </w:rPr>
              <w:t>drogi pozamiejskie</w:t>
            </w:r>
          </w:p>
        </w:tc>
      </w:tr>
      <w:tr w:rsidR="004853EB" w:rsidRPr="002A326C" w14:paraId="74620D22" w14:textId="77777777">
        <w:trPr>
          <w:cantSplit/>
          <w:trHeight w:val="558"/>
          <w:jc w:val="center"/>
        </w:trPr>
        <w:tc>
          <w:tcPr>
            <w:tcW w:w="1340"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30F78E38" w14:textId="77777777" w:rsidR="004853EB" w:rsidRPr="002A326C" w:rsidRDefault="004853EB" w:rsidP="002A326C">
            <w:pPr>
              <w:autoSpaceDE w:val="0"/>
              <w:autoSpaceDN w:val="0"/>
              <w:adjustRightInd w:val="0"/>
              <w:spacing w:before="60"/>
              <w:jc w:val="both"/>
              <w:rPr>
                <w:rFonts w:cstheme="minorHAnsi"/>
                <w:sz w:val="20"/>
                <w:szCs w:val="20"/>
              </w:rPr>
            </w:pPr>
            <w:r w:rsidRPr="002A326C">
              <w:rPr>
                <w:rFonts w:cstheme="minorHAnsi"/>
                <w:sz w:val="20"/>
                <w:szCs w:val="20"/>
              </w:rPr>
              <w:t>Wszystkie znaki z wyjątkiem n.w.</w:t>
            </w:r>
          </w:p>
        </w:tc>
        <w:tc>
          <w:tcPr>
            <w:tcW w:w="2766" w:type="dxa"/>
            <w:tcBorders>
              <w:top w:val="single" w:sz="4" w:space="0" w:color="000000"/>
              <w:left w:val="single" w:sz="4" w:space="0" w:color="000000"/>
              <w:bottom w:val="single" w:sz="4" w:space="0" w:color="000000"/>
              <w:right w:val="single" w:sz="4" w:space="0" w:color="000000"/>
            </w:tcBorders>
            <w:shd w:val="clear" w:color="auto" w:fill="FFFFFF"/>
            <w:hideMark/>
          </w:tcPr>
          <w:p w14:paraId="2417D54F" w14:textId="77777777" w:rsidR="004853EB" w:rsidRPr="002A326C" w:rsidRDefault="004853EB" w:rsidP="002A326C">
            <w:pPr>
              <w:autoSpaceDE w:val="0"/>
              <w:autoSpaceDN w:val="0"/>
              <w:adjustRightInd w:val="0"/>
              <w:spacing w:before="60" w:after="60"/>
              <w:jc w:val="both"/>
              <w:rPr>
                <w:rFonts w:cstheme="minorHAnsi"/>
                <w:sz w:val="20"/>
                <w:szCs w:val="20"/>
              </w:rPr>
            </w:pPr>
            <w:r w:rsidRPr="002A326C">
              <w:rPr>
                <w:rFonts w:cstheme="minorHAnsi"/>
                <w:sz w:val="20"/>
                <w:szCs w:val="20"/>
              </w:rPr>
              <w:t>Z boku jezdni</w:t>
            </w:r>
          </w:p>
        </w:tc>
        <w:tc>
          <w:tcPr>
            <w:tcW w:w="2160" w:type="dxa"/>
            <w:tcBorders>
              <w:top w:val="single" w:sz="4" w:space="0" w:color="000000"/>
              <w:left w:val="single" w:sz="4" w:space="0" w:color="000000"/>
              <w:bottom w:val="single" w:sz="4" w:space="0" w:color="000000"/>
              <w:right w:val="single" w:sz="4" w:space="0" w:color="000000"/>
            </w:tcBorders>
            <w:shd w:val="clear" w:color="auto" w:fill="FFFFFF"/>
            <w:hideMark/>
          </w:tcPr>
          <w:p w14:paraId="415EFECE" w14:textId="77777777" w:rsidR="004853EB" w:rsidRPr="002A326C" w:rsidRDefault="004853EB" w:rsidP="002A326C">
            <w:pPr>
              <w:autoSpaceDE w:val="0"/>
              <w:autoSpaceDN w:val="0"/>
              <w:adjustRightInd w:val="0"/>
              <w:spacing w:before="60"/>
              <w:jc w:val="both"/>
              <w:rPr>
                <w:rFonts w:cstheme="minorHAnsi"/>
                <w:sz w:val="20"/>
                <w:szCs w:val="20"/>
              </w:rPr>
            </w:pPr>
            <w:r w:rsidRPr="002A326C">
              <w:rPr>
                <w:rFonts w:cstheme="minorHAnsi"/>
                <w:sz w:val="20"/>
                <w:szCs w:val="20"/>
              </w:rPr>
              <w:t>1, 2</w:t>
            </w:r>
          </w:p>
        </w:tc>
      </w:tr>
      <w:tr w:rsidR="004853EB" w:rsidRPr="002A326C" w14:paraId="63787CE9" w14:textId="77777777">
        <w:trPr>
          <w:cantSplit/>
          <w:trHeight w:val="1"/>
          <w:jc w:val="center"/>
        </w:trPr>
        <w:tc>
          <w:tcPr>
            <w:tcW w:w="1340" w:type="dxa"/>
            <w:vMerge/>
            <w:tcBorders>
              <w:top w:val="single" w:sz="4" w:space="0" w:color="000000"/>
              <w:left w:val="single" w:sz="4" w:space="0" w:color="000000"/>
              <w:bottom w:val="single" w:sz="4" w:space="0" w:color="000000"/>
              <w:right w:val="single" w:sz="4" w:space="0" w:color="000000"/>
            </w:tcBorders>
            <w:vAlign w:val="center"/>
            <w:hideMark/>
          </w:tcPr>
          <w:p w14:paraId="709ECB8F" w14:textId="77777777" w:rsidR="004853EB" w:rsidRPr="002A326C" w:rsidRDefault="004853EB" w:rsidP="002A326C">
            <w:pPr>
              <w:jc w:val="both"/>
              <w:rPr>
                <w:rFonts w:cstheme="minorHAnsi"/>
                <w:sz w:val="20"/>
                <w:szCs w:val="20"/>
              </w:rPr>
            </w:pPr>
          </w:p>
        </w:tc>
        <w:tc>
          <w:tcPr>
            <w:tcW w:w="2766" w:type="dxa"/>
            <w:tcBorders>
              <w:top w:val="single" w:sz="4" w:space="0" w:color="000000"/>
              <w:left w:val="single" w:sz="4" w:space="0" w:color="000000"/>
              <w:bottom w:val="single" w:sz="4" w:space="0" w:color="000000"/>
              <w:right w:val="single" w:sz="4" w:space="0" w:color="000000"/>
            </w:tcBorders>
            <w:shd w:val="clear" w:color="auto" w:fill="FFFFFF"/>
            <w:hideMark/>
          </w:tcPr>
          <w:p w14:paraId="16F410AE" w14:textId="77777777" w:rsidR="004853EB" w:rsidRPr="002A326C" w:rsidRDefault="004853EB" w:rsidP="002A326C">
            <w:pPr>
              <w:autoSpaceDE w:val="0"/>
              <w:autoSpaceDN w:val="0"/>
              <w:adjustRightInd w:val="0"/>
              <w:spacing w:before="60" w:after="60"/>
              <w:jc w:val="both"/>
              <w:rPr>
                <w:rFonts w:cstheme="minorHAnsi"/>
                <w:sz w:val="20"/>
                <w:szCs w:val="20"/>
              </w:rPr>
            </w:pPr>
            <w:r w:rsidRPr="002A326C">
              <w:rPr>
                <w:rFonts w:cstheme="minorHAnsi"/>
                <w:sz w:val="20"/>
                <w:szCs w:val="20"/>
              </w:rPr>
              <w:t>Nad jezdnią</w:t>
            </w:r>
          </w:p>
        </w:tc>
        <w:tc>
          <w:tcPr>
            <w:tcW w:w="2160" w:type="dxa"/>
            <w:tcBorders>
              <w:top w:val="single" w:sz="4" w:space="0" w:color="000000"/>
              <w:left w:val="single" w:sz="4" w:space="0" w:color="000000"/>
              <w:bottom w:val="single" w:sz="4" w:space="0" w:color="000000"/>
              <w:right w:val="single" w:sz="4" w:space="0" w:color="000000"/>
            </w:tcBorders>
            <w:shd w:val="clear" w:color="auto" w:fill="FFFFFF"/>
            <w:hideMark/>
          </w:tcPr>
          <w:p w14:paraId="2C30B40F" w14:textId="77777777" w:rsidR="004853EB" w:rsidRPr="002A326C" w:rsidRDefault="004853EB" w:rsidP="002A326C">
            <w:pPr>
              <w:autoSpaceDE w:val="0"/>
              <w:autoSpaceDN w:val="0"/>
              <w:adjustRightInd w:val="0"/>
              <w:spacing w:before="60" w:after="60"/>
              <w:jc w:val="both"/>
              <w:rPr>
                <w:rFonts w:cstheme="minorHAnsi"/>
                <w:sz w:val="20"/>
                <w:szCs w:val="20"/>
              </w:rPr>
            </w:pPr>
            <w:r w:rsidRPr="002A326C">
              <w:rPr>
                <w:rFonts w:cstheme="minorHAnsi"/>
                <w:sz w:val="20"/>
                <w:szCs w:val="20"/>
              </w:rPr>
              <w:t>3P</w:t>
            </w:r>
          </w:p>
        </w:tc>
      </w:tr>
      <w:tr w:rsidR="004853EB" w:rsidRPr="002A326C" w14:paraId="6D372944" w14:textId="77777777">
        <w:trPr>
          <w:trHeight w:val="537"/>
          <w:jc w:val="center"/>
        </w:trPr>
        <w:tc>
          <w:tcPr>
            <w:tcW w:w="1340" w:type="dxa"/>
            <w:tcBorders>
              <w:top w:val="single" w:sz="4" w:space="0" w:color="000000"/>
              <w:left w:val="single" w:sz="4" w:space="0" w:color="000000"/>
              <w:bottom w:val="single" w:sz="4" w:space="0" w:color="000000"/>
              <w:right w:val="single" w:sz="4" w:space="0" w:color="000000"/>
            </w:tcBorders>
            <w:shd w:val="clear" w:color="auto" w:fill="FFFFFF"/>
            <w:hideMark/>
          </w:tcPr>
          <w:p w14:paraId="205CF234" w14:textId="77777777" w:rsidR="004853EB" w:rsidRPr="002A326C" w:rsidRDefault="004853EB" w:rsidP="002A326C">
            <w:pPr>
              <w:autoSpaceDE w:val="0"/>
              <w:autoSpaceDN w:val="0"/>
              <w:adjustRightInd w:val="0"/>
              <w:spacing w:before="60" w:after="60"/>
              <w:jc w:val="both"/>
              <w:rPr>
                <w:rFonts w:cstheme="minorHAnsi"/>
                <w:sz w:val="20"/>
                <w:szCs w:val="20"/>
              </w:rPr>
            </w:pPr>
            <w:r w:rsidRPr="002A326C">
              <w:rPr>
                <w:rFonts w:cstheme="minorHAnsi"/>
                <w:sz w:val="20"/>
                <w:szCs w:val="20"/>
              </w:rPr>
              <w:t>A-7, B-2, B-20, B-25</w:t>
            </w:r>
          </w:p>
        </w:tc>
        <w:tc>
          <w:tcPr>
            <w:tcW w:w="2766" w:type="dxa"/>
            <w:tcBorders>
              <w:top w:val="single" w:sz="4" w:space="0" w:color="000000"/>
              <w:left w:val="single" w:sz="4" w:space="0" w:color="000000"/>
              <w:bottom w:val="single" w:sz="4" w:space="0" w:color="000000"/>
              <w:right w:val="single" w:sz="4" w:space="0" w:color="000000"/>
            </w:tcBorders>
            <w:shd w:val="clear" w:color="auto" w:fill="FFFFFF"/>
            <w:hideMark/>
          </w:tcPr>
          <w:p w14:paraId="28C47C86" w14:textId="77777777" w:rsidR="004853EB" w:rsidRPr="002A326C" w:rsidRDefault="004853EB" w:rsidP="002A326C">
            <w:pPr>
              <w:autoSpaceDE w:val="0"/>
              <w:autoSpaceDN w:val="0"/>
              <w:adjustRightInd w:val="0"/>
              <w:spacing w:before="60" w:after="60"/>
              <w:jc w:val="both"/>
              <w:rPr>
                <w:rFonts w:cstheme="minorHAnsi"/>
                <w:sz w:val="20"/>
                <w:szCs w:val="20"/>
              </w:rPr>
            </w:pPr>
            <w:r w:rsidRPr="002A326C">
              <w:rPr>
                <w:rFonts w:cstheme="minorHAnsi"/>
                <w:sz w:val="20"/>
                <w:szCs w:val="20"/>
              </w:rPr>
              <w:t>Z boku jezdni</w:t>
            </w:r>
          </w:p>
        </w:tc>
        <w:tc>
          <w:tcPr>
            <w:tcW w:w="2160" w:type="dxa"/>
            <w:tcBorders>
              <w:top w:val="single" w:sz="4" w:space="0" w:color="000000"/>
              <w:left w:val="single" w:sz="4" w:space="0" w:color="000000"/>
              <w:bottom w:val="single" w:sz="4" w:space="0" w:color="000000"/>
              <w:right w:val="single" w:sz="4" w:space="0" w:color="000000"/>
            </w:tcBorders>
            <w:shd w:val="clear" w:color="auto" w:fill="FFFFFF"/>
            <w:hideMark/>
          </w:tcPr>
          <w:p w14:paraId="14E9ED09" w14:textId="77777777" w:rsidR="004853EB" w:rsidRPr="002A326C" w:rsidRDefault="004853EB" w:rsidP="002A326C">
            <w:pPr>
              <w:autoSpaceDE w:val="0"/>
              <w:autoSpaceDN w:val="0"/>
              <w:adjustRightInd w:val="0"/>
              <w:spacing w:before="60" w:after="60"/>
              <w:jc w:val="both"/>
              <w:rPr>
                <w:rFonts w:cstheme="minorHAnsi"/>
                <w:sz w:val="20"/>
                <w:szCs w:val="20"/>
              </w:rPr>
            </w:pPr>
            <w:r w:rsidRPr="002A326C">
              <w:rPr>
                <w:rFonts w:cstheme="minorHAnsi"/>
                <w:sz w:val="20"/>
                <w:szCs w:val="20"/>
              </w:rPr>
              <w:t>2</w:t>
            </w:r>
          </w:p>
        </w:tc>
      </w:tr>
      <w:tr w:rsidR="004853EB" w:rsidRPr="002A326C" w14:paraId="1FBACCD0" w14:textId="77777777">
        <w:trPr>
          <w:trHeight w:val="542"/>
          <w:jc w:val="center"/>
        </w:trPr>
        <w:tc>
          <w:tcPr>
            <w:tcW w:w="1340" w:type="dxa"/>
            <w:tcBorders>
              <w:top w:val="single" w:sz="4" w:space="0" w:color="000000"/>
              <w:left w:val="single" w:sz="4" w:space="0" w:color="000000"/>
              <w:bottom w:val="single" w:sz="4" w:space="0" w:color="000000"/>
              <w:right w:val="single" w:sz="4" w:space="0" w:color="000000"/>
            </w:tcBorders>
            <w:shd w:val="clear" w:color="auto" w:fill="FFFFFF"/>
            <w:hideMark/>
          </w:tcPr>
          <w:p w14:paraId="7836FBFA" w14:textId="77777777" w:rsidR="004853EB" w:rsidRPr="002A326C" w:rsidRDefault="004853EB" w:rsidP="002A326C">
            <w:pPr>
              <w:autoSpaceDE w:val="0"/>
              <w:autoSpaceDN w:val="0"/>
              <w:adjustRightInd w:val="0"/>
              <w:spacing w:before="60" w:after="60"/>
              <w:jc w:val="both"/>
              <w:rPr>
                <w:rFonts w:cstheme="minorHAnsi"/>
                <w:sz w:val="20"/>
                <w:szCs w:val="20"/>
              </w:rPr>
            </w:pPr>
            <w:r w:rsidRPr="002A326C">
              <w:rPr>
                <w:rFonts w:cstheme="minorHAnsi"/>
                <w:sz w:val="20"/>
                <w:szCs w:val="20"/>
              </w:rPr>
              <w:t>Znaki nakazu</w:t>
            </w:r>
          </w:p>
        </w:tc>
        <w:tc>
          <w:tcPr>
            <w:tcW w:w="2766" w:type="dxa"/>
            <w:tcBorders>
              <w:top w:val="single" w:sz="4" w:space="0" w:color="000000"/>
              <w:left w:val="single" w:sz="4" w:space="0" w:color="000000"/>
              <w:bottom w:val="single" w:sz="4" w:space="0" w:color="000000"/>
              <w:right w:val="single" w:sz="4" w:space="0" w:color="000000"/>
            </w:tcBorders>
            <w:shd w:val="clear" w:color="auto" w:fill="FFFFFF"/>
            <w:hideMark/>
          </w:tcPr>
          <w:p w14:paraId="706DA3C6" w14:textId="77777777" w:rsidR="004853EB" w:rsidRPr="002A326C" w:rsidRDefault="004853EB" w:rsidP="002A326C">
            <w:pPr>
              <w:autoSpaceDE w:val="0"/>
              <w:autoSpaceDN w:val="0"/>
              <w:adjustRightInd w:val="0"/>
              <w:spacing w:before="60" w:after="60"/>
              <w:jc w:val="both"/>
              <w:rPr>
                <w:rFonts w:cstheme="minorHAnsi"/>
                <w:sz w:val="20"/>
                <w:szCs w:val="20"/>
              </w:rPr>
            </w:pPr>
            <w:r w:rsidRPr="002A326C">
              <w:rPr>
                <w:rFonts w:cstheme="minorHAnsi"/>
                <w:sz w:val="20"/>
                <w:szCs w:val="20"/>
              </w:rPr>
              <w:t>Z boku jezdni</w:t>
            </w:r>
          </w:p>
        </w:tc>
        <w:tc>
          <w:tcPr>
            <w:tcW w:w="2160" w:type="dxa"/>
            <w:tcBorders>
              <w:top w:val="single" w:sz="4" w:space="0" w:color="000000"/>
              <w:left w:val="single" w:sz="4" w:space="0" w:color="000000"/>
              <w:bottom w:val="single" w:sz="4" w:space="0" w:color="000000"/>
              <w:right w:val="single" w:sz="4" w:space="0" w:color="000000"/>
            </w:tcBorders>
            <w:shd w:val="clear" w:color="auto" w:fill="FFFFFF"/>
            <w:hideMark/>
          </w:tcPr>
          <w:p w14:paraId="3930C9CF" w14:textId="77777777" w:rsidR="004853EB" w:rsidRPr="002A326C" w:rsidRDefault="004853EB" w:rsidP="002A326C">
            <w:pPr>
              <w:autoSpaceDE w:val="0"/>
              <w:autoSpaceDN w:val="0"/>
              <w:adjustRightInd w:val="0"/>
              <w:spacing w:before="60" w:after="60"/>
              <w:jc w:val="both"/>
              <w:rPr>
                <w:rFonts w:cstheme="minorHAnsi"/>
                <w:sz w:val="20"/>
                <w:szCs w:val="20"/>
              </w:rPr>
            </w:pPr>
            <w:r w:rsidRPr="002A326C">
              <w:rPr>
                <w:rFonts w:cstheme="minorHAnsi"/>
                <w:sz w:val="20"/>
                <w:szCs w:val="20"/>
              </w:rPr>
              <w:t>2</w:t>
            </w:r>
          </w:p>
        </w:tc>
      </w:tr>
      <w:tr w:rsidR="004853EB" w:rsidRPr="002A326C" w14:paraId="2923B47A" w14:textId="77777777">
        <w:trPr>
          <w:trHeight w:val="525"/>
          <w:jc w:val="center"/>
        </w:trPr>
        <w:tc>
          <w:tcPr>
            <w:tcW w:w="1340" w:type="dxa"/>
            <w:tcBorders>
              <w:top w:val="single" w:sz="4" w:space="0" w:color="000000"/>
              <w:left w:val="single" w:sz="4" w:space="0" w:color="000000"/>
              <w:bottom w:val="single" w:sz="4" w:space="0" w:color="000000"/>
              <w:right w:val="single" w:sz="4" w:space="0" w:color="000000"/>
            </w:tcBorders>
            <w:shd w:val="clear" w:color="auto" w:fill="FFFFFF"/>
            <w:hideMark/>
          </w:tcPr>
          <w:p w14:paraId="5C500D65" w14:textId="77777777" w:rsidR="004853EB" w:rsidRPr="002A326C" w:rsidRDefault="004853EB" w:rsidP="002A326C">
            <w:pPr>
              <w:autoSpaceDE w:val="0"/>
              <w:autoSpaceDN w:val="0"/>
              <w:adjustRightInd w:val="0"/>
              <w:spacing w:before="60" w:after="60"/>
              <w:jc w:val="both"/>
              <w:rPr>
                <w:rFonts w:cstheme="minorHAnsi"/>
                <w:sz w:val="20"/>
                <w:szCs w:val="20"/>
              </w:rPr>
            </w:pPr>
            <w:r w:rsidRPr="002A326C">
              <w:rPr>
                <w:rFonts w:cstheme="minorHAnsi"/>
                <w:sz w:val="20"/>
                <w:szCs w:val="20"/>
              </w:rPr>
              <w:t>Roboty na drodze</w:t>
            </w:r>
          </w:p>
        </w:tc>
        <w:tc>
          <w:tcPr>
            <w:tcW w:w="2766" w:type="dxa"/>
            <w:tcBorders>
              <w:top w:val="single" w:sz="4" w:space="0" w:color="000000"/>
              <w:left w:val="single" w:sz="4" w:space="0" w:color="000000"/>
              <w:bottom w:val="single" w:sz="4" w:space="0" w:color="000000"/>
              <w:right w:val="single" w:sz="4" w:space="0" w:color="000000"/>
            </w:tcBorders>
            <w:shd w:val="clear" w:color="auto" w:fill="FFFFFF"/>
            <w:hideMark/>
          </w:tcPr>
          <w:p w14:paraId="061EC0A0" w14:textId="77777777" w:rsidR="004853EB" w:rsidRPr="002A326C" w:rsidRDefault="004853EB" w:rsidP="002A326C">
            <w:pPr>
              <w:autoSpaceDE w:val="0"/>
              <w:autoSpaceDN w:val="0"/>
              <w:adjustRightInd w:val="0"/>
              <w:spacing w:before="60" w:after="60"/>
              <w:jc w:val="both"/>
              <w:rPr>
                <w:rFonts w:cstheme="minorHAnsi"/>
                <w:sz w:val="20"/>
                <w:szCs w:val="20"/>
              </w:rPr>
            </w:pPr>
            <w:r w:rsidRPr="002A326C">
              <w:rPr>
                <w:rFonts w:cstheme="minorHAnsi"/>
                <w:sz w:val="20"/>
                <w:szCs w:val="20"/>
              </w:rPr>
              <w:t>Z boku jezdni</w:t>
            </w:r>
          </w:p>
        </w:tc>
        <w:tc>
          <w:tcPr>
            <w:tcW w:w="2160" w:type="dxa"/>
            <w:tcBorders>
              <w:top w:val="single" w:sz="4" w:space="0" w:color="000000"/>
              <w:left w:val="single" w:sz="4" w:space="0" w:color="000000"/>
              <w:bottom w:val="single" w:sz="4" w:space="0" w:color="000000"/>
              <w:right w:val="single" w:sz="4" w:space="0" w:color="000000"/>
            </w:tcBorders>
            <w:shd w:val="clear" w:color="auto" w:fill="FFFFFF"/>
            <w:hideMark/>
          </w:tcPr>
          <w:p w14:paraId="64D060F0" w14:textId="77777777" w:rsidR="004853EB" w:rsidRPr="002A326C" w:rsidRDefault="004853EB" w:rsidP="002A326C">
            <w:pPr>
              <w:autoSpaceDE w:val="0"/>
              <w:autoSpaceDN w:val="0"/>
              <w:adjustRightInd w:val="0"/>
              <w:spacing w:before="60" w:after="60"/>
              <w:jc w:val="both"/>
              <w:rPr>
                <w:rFonts w:cstheme="minorHAnsi"/>
                <w:sz w:val="20"/>
                <w:szCs w:val="20"/>
              </w:rPr>
            </w:pPr>
            <w:r w:rsidRPr="002A326C">
              <w:rPr>
                <w:rFonts w:cstheme="minorHAnsi"/>
                <w:sz w:val="20"/>
                <w:szCs w:val="20"/>
              </w:rPr>
              <w:t>2</w:t>
            </w:r>
          </w:p>
        </w:tc>
      </w:tr>
      <w:tr w:rsidR="004853EB" w:rsidRPr="002A326C" w14:paraId="0FF85964" w14:textId="77777777">
        <w:trPr>
          <w:trHeight w:val="505"/>
          <w:jc w:val="center"/>
        </w:trPr>
        <w:tc>
          <w:tcPr>
            <w:tcW w:w="1340" w:type="dxa"/>
            <w:tcBorders>
              <w:top w:val="single" w:sz="4" w:space="0" w:color="000000"/>
              <w:left w:val="single" w:sz="4" w:space="0" w:color="000000"/>
              <w:bottom w:val="single" w:sz="4" w:space="0" w:color="000000"/>
              <w:right w:val="single" w:sz="4" w:space="0" w:color="000000"/>
            </w:tcBorders>
            <w:shd w:val="clear" w:color="auto" w:fill="FFFFFF"/>
            <w:hideMark/>
          </w:tcPr>
          <w:p w14:paraId="59CF6544" w14:textId="77777777" w:rsidR="004853EB" w:rsidRPr="002A326C" w:rsidRDefault="004853EB" w:rsidP="002A326C">
            <w:pPr>
              <w:autoSpaceDE w:val="0"/>
              <w:autoSpaceDN w:val="0"/>
              <w:adjustRightInd w:val="0"/>
              <w:spacing w:before="60" w:after="60"/>
              <w:jc w:val="both"/>
              <w:rPr>
                <w:rFonts w:cstheme="minorHAnsi"/>
                <w:sz w:val="20"/>
                <w:szCs w:val="20"/>
              </w:rPr>
            </w:pPr>
            <w:r w:rsidRPr="002A326C">
              <w:rPr>
                <w:rFonts w:cstheme="minorHAnsi"/>
                <w:sz w:val="20"/>
                <w:szCs w:val="20"/>
              </w:rPr>
              <w:lastRenderedPageBreak/>
              <w:t>Strefy powol-nego ruchu</w:t>
            </w:r>
          </w:p>
        </w:tc>
        <w:tc>
          <w:tcPr>
            <w:tcW w:w="2766" w:type="dxa"/>
            <w:tcBorders>
              <w:top w:val="single" w:sz="4" w:space="0" w:color="000000"/>
              <w:left w:val="single" w:sz="4" w:space="0" w:color="000000"/>
              <w:bottom w:val="single" w:sz="4" w:space="0" w:color="000000"/>
              <w:right w:val="single" w:sz="4" w:space="0" w:color="000000"/>
            </w:tcBorders>
            <w:shd w:val="clear" w:color="auto" w:fill="FFFFFF"/>
            <w:hideMark/>
          </w:tcPr>
          <w:p w14:paraId="046CBD58" w14:textId="77777777" w:rsidR="004853EB" w:rsidRPr="002A326C" w:rsidRDefault="004853EB" w:rsidP="002A326C">
            <w:pPr>
              <w:autoSpaceDE w:val="0"/>
              <w:autoSpaceDN w:val="0"/>
              <w:adjustRightInd w:val="0"/>
              <w:spacing w:before="60"/>
              <w:jc w:val="both"/>
              <w:rPr>
                <w:rFonts w:cstheme="minorHAnsi"/>
                <w:sz w:val="20"/>
                <w:szCs w:val="20"/>
              </w:rPr>
            </w:pPr>
            <w:r w:rsidRPr="002A326C">
              <w:rPr>
                <w:rFonts w:cstheme="minorHAnsi"/>
                <w:sz w:val="20"/>
                <w:szCs w:val="20"/>
              </w:rPr>
              <w:t>Z boku jezdni</w:t>
            </w:r>
          </w:p>
        </w:tc>
        <w:tc>
          <w:tcPr>
            <w:tcW w:w="2160" w:type="dxa"/>
            <w:tcBorders>
              <w:top w:val="single" w:sz="4" w:space="0" w:color="000000"/>
              <w:left w:val="single" w:sz="4" w:space="0" w:color="000000"/>
              <w:bottom w:val="single" w:sz="4" w:space="0" w:color="000000"/>
              <w:right w:val="single" w:sz="4" w:space="0" w:color="000000"/>
            </w:tcBorders>
            <w:shd w:val="clear" w:color="auto" w:fill="FFFFFF"/>
            <w:hideMark/>
          </w:tcPr>
          <w:p w14:paraId="5AA89210" w14:textId="77777777" w:rsidR="004853EB" w:rsidRPr="002A326C" w:rsidRDefault="004853EB" w:rsidP="002A326C">
            <w:pPr>
              <w:autoSpaceDE w:val="0"/>
              <w:autoSpaceDN w:val="0"/>
              <w:adjustRightInd w:val="0"/>
              <w:spacing w:before="60" w:after="60"/>
              <w:jc w:val="both"/>
              <w:rPr>
                <w:rFonts w:cstheme="minorHAnsi"/>
                <w:sz w:val="20"/>
                <w:szCs w:val="20"/>
              </w:rPr>
            </w:pPr>
            <w:r w:rsidRPr="002A326C">
              <w:rPr>
                <w:rFonts w:cstheme="minorHAnsi"/>
                <w:sz w:val="20"/>
                <w:szCs w:val="20"/>
              </w:rPr>
              <w:t>1</w:t>
            </w:r>
          </w:p>
        </w:tc>
      </w:tr>
    </w:tbl>
    <w:p w14:paraId="458A022E" w14:textId="77777777" w:rsidR="004853EB" w:rsidRPr="002A326C" w:rsidRDefault="004853EB" w:rsidP="002A326C">
      <w:pPr>
        <w:autoSpaceDE w:val="0"/>
        <w:autoSpaceDN w:val="0"/>
        <w:adjustRightInd w:val="0"/>
        <w:ind w:left="142" w:hanging="142"/>
        <w:jc w:val="both"/>
        <w:rPr>
          <w:rFonts w:cstheme="minorHAnsi"/>
          <w:sz w:val="20"/>
          <w:szCs w:val="20"/>
        </w:rPr>
      </w:pPr>
      <w:r w:rsidRPr="002A326C">
        <w:rPr>
          <w:rFonts w:cstheme="minorHAnsi"/>
          <w:sz w:val="20"/>
          <w:szCs w:val="20"/>
        </w:rPr>
        <w:t>*</w:t>
      </w:r>
      <w:r w:rsidRPr="002A326C">
        <w:rPr>
          <w:rFonts w:cstheme="minorHAnsi"/>
          <w:sz w:val="20"/>
          <w:szCs w:val="20"/>
        </w:rPr>
        <w:tab/>
        <w:t>Zaleca się oznakowanie szlaków rowerowych z użyciem folii nieodblaskowych oraz w przypadku pojazdów wojskowych dopuszcza się stosowanie folii odblaskowych typu 1.</w:t>
      </w:r>
    </w:p>
    <w:p w14:paraId="5A828908" w14:textId="77777777"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Dopuszcza się, w miejscach podwyższonego niebezpieczeństwa, wykonywania lic znaków D-6, D-6a, D-6b, D-6c, tabliczki T-27, tablicy U-3a i U-3b na tle folii pryzmatycznej odblaskowo – fluorescencyjnej żółto-zielonej typu 3PF.</w:t>
      </w:r>
    </w:p>
    <w:p w14:paraId="5CCFEE71" w14:textId="77777777" w:rsidR="004853EB" w:rsidRPr="002A326C" w:rsidRDefault="004853EB" w:rsidP="002A326C">
      <w:pPr>
        <w:keepNext/>
        <w:autoSpaceDE w:val="0"/>
        <w:autoSpaceDN w:val="0"/>
        <w:adjustRightInd w:val="0"/>
        <w:spacing w:before="60" w:after="60"/>
        <w:jc w:val="both"/>
        <w:rPr>
          <w:rFonts w:cstheme="minorHAnsi"/>
          <w:sz w:val="20"/>
          <w:szCs w:val="20"/>
        </w:rPr>
      </w:pPr>
      <w:r w:rsidRPr="002A326C">
        <w:rPr>
          <w:rFonts w:cstheme="minorHAnsi"/>
          <w:b/>
          <w:bCs/>
          <w:sz w:val="20"/>
          <w:szCs w:val="20"/>
        </w:rPr>
        <w:t>2.7.5</w:t>
      </w:r>
      <w:r w:rsidRPr="002A326C">
        <w:rPr>
          <w:rFonts w:cstheme="minorHAnsi"/>
          <w:sz w:val="20"/>
          <w:szCs w:val="20"/>
        </w:rPr>
        <w:t>. Oznakowanie znaku</w:t>
      </w:r>
    </w:p>
    <w:p w14:paraId="2FFB4C87" w14:textId="77777777" w:rsidR="004853EB" w:rsidRPr="002A326C" w:rsidRDefault="004853EB" w:rsidP="002A326C">
      <w:pPr>
        <w:tabs>
          <w:tab w:val="left" w:pos="708"/>
        </w:tabs>
        <w:autoSpaceDE w:val="0"/>
        <w:autoSpaceDN w:val="0"/>
        <w:adjustRightInd w:val="0"/>
        <w:jc w:val="both"/>
        <w:rPr>
          <w:rFonts w:cstheme="minorHAnsi"/>
          <w:sz w:val="20"/>
          <w:szCs w:val="20"/>
        </w:rPr>
      </w:pPr>
      <w:r w:rsidRPr="002A326C">
        <w:rPr>
          <w:rFonts w:cstheme="minorHAnsi"/>
          <w:sz w:val="20"/>
          <w:szCs w:val="20"/>
        </w:rPr>
        <w:tab/>
        <w:t>Każdy wykonany znak drogowy musi mieć naklejoną na rewersie naklejkę zawierającą następujące informacje:</w:t>
      </w:r>
    </w:p>
    <w:p w14:paraId="56B3AAF6" w14:textId="77777777" w:rsidR="004853EB" w:rsidRPr="002A326C" w:rsidRDefault="004853EB">
      <w:pPr>
        <w:numPr>
          <w:ilvl w:val="0"/>
          <w:numId w:val="182"/>
        </w:numPr>
        <w:tabs>
          <w:tab w:val="left" w:pos="436"/>
        </w:tabs>
        <w:autoSpaceDE w:val="0"/>
        <w:autoSpaceDN w:val="0"/>
        <w:adjustRightInd w:val="0"/>
        <w:spacing w:after="0" w:line="240" w:lineRule="auto"/>
        <w:ind w:left="436" w:hanging="436"/>
        <w:jc w:val="both"/>
        <w:rPr>
          <w:rFonts w:cstheme="minorHAnsi"/>
          <w:sz w:val="20"/>
          <w:szCs w:val="20"/>
        </w:rPr>
      </w:pPr>
      <w:r w:rsidRPr="002A326C">
        <w:rPr>
          <w:rFonts w:cstheme="minorHAnsi"/>
          <w:sz w:val="20"/>
          <w:szCs w:val="20"/>
        </w:rPr>
        <w:t>numer i datę normy tj. PN-EN 12899-1:2010 [1],</w:t>
      </w:r>
    </w:p>
    <w:p w14:paraId="45B289FD" w14:textId="77777777" w:rsidR="004853EB" w:rsidRPr="002A326C" w:rsidRDefault="004853EB">
      <w:pPr>
        <w:numPr>
          <w:ilvl w:val="0"/>
          <w:numId w:val="182"/>
        </w:numPr>
        <w:tabs>
          <w:tab w:val="left" w:pos="436"/>
        </w:tabs>
        <w:autoSpaceDE w:val="0"/>
        <w:autoSpaceDN w:val="0"/>
        <w:adjustRightInd w:val="0"/>
        <w:spacing w:after="0" w:line="240" w:lineRule="auto"/>
        <w:ind w:left="436" w:hanging="436"/>
        <w:jc w:val="both"/>
        <w:rPr>
          <w:rFonts w:cstheme="minorHAnsi"/>
          <w:sz w:val="20"/>
          <w:szCs w:val="20"/>
        </w:rPr>
      </w:pPr>
      <w:r w:rsidRPr="002A326C">
        <w:rPr>
          <w:rFonts w:cstheme="minorHAnsi"/>
          <w:sz w:val="20"/>
          <w:szCs w:val="20"/>
        </w:rPr>
        <w:t>klasy istotnych właściwości wyrobu,</w:t>
      </w:r>
    </w:p>
    <w:p w14:paraId="6D649AF4" w14:textId="77777777" w:rsidR="004853EB" w:rsidRPr="002A326C" w:rsidRDefault="004853EB">
      <w:pPr>
        <w:numPr>
          <w:ilvl w:val="0"/>
          <w:numId w:val="182"/>
        </w:numPr>
        <w:tabs>
          <w:tab w:val="left" w:pos="436"/>
        </w:tabs>
        <w:autoSpaceDE w:val="0"/>
        <w:autoSpaceDN w:val="0"/>
        <w:adjustRightInd w:val="0"/>
        <w:spacing w:after="0" w:line="240" w:lineRule="auto"/>
        <w:ind w:left="436" w:hanging="436"/>
        <w:jc w:val="both"/>
        <w:rPr>
          <w:rFonts w:cstheme="minorHAnsi"/>
          <w:sz w:val="20"/>
          <w:szCs w:val="20"/>
        </w:rPr>
      </w:pPr>
      <w:r w:rsidRPr="002A326C">
        <w:rPr>
          <w:rFonts w:cstheme="minorHAnsi"/>
          <w:sz w:val="20"/>
          <w:szCs w:val="20"/>
        </w:rPr>
        <w:t>miesiąc i dwie ostatnie cyfry roku produkcji</w:t>
      </w:r>
    </w:p>
    <w:p w14:paraId="47997FFF" w14:textId="3210C5C0" w:rsidR="004853EB" w:rsidRPr="002A326C" w:rsidRDefault="004853EB">
      <w:pPr>
        <w:numPr>
          <w:ilvl w:val="0"/>
          <w:numId w:val="182"/>
        </w:numPr>
        <w:tabs>
          <w:tab w:val="left" w:pos="436"/>
        </w:tabs>
        <w:autoSpaceDE w:val="0"/>
        <w:autoSpaceDN w:val="0"/>
        <w:adjustRightInd w:val="0"/>
        <w:spacing w:after="0" w:line="240" w:lineRule="auto"/>
        <w:ind w:left="436" w:hanging="436"/>
        <w:jc w:val="both"/>
        <w:rPr>
          <w:rFonts w:cstheme="minorHAnsi"/>
          <w:sz w:val="20"/>
          <w:szCs w:val="20"/>
        </w:rPr>
      </w:pPr>
      <w:r w:rsidRPr="002A326C">
        <w:rPr>
          <w:rFonts w:cstheme="minorHAnsi"/>
          <w:sz w:val="20"/>
          <w:szCs w:val="20"/>
        </w:rPr>
        <w:t xml:space="preserve">nazwę, znak handlowy i inne oznaczenia identyfikujące producenta lub </w:t>
      </w:r>
      <w:r w:rsidR="00602EF6" w:rsidRPr="002A326C">
        <w:rPr>
          <w:rFonts w:cstheme="minorHAnsi"/>
          <w:sz w:val="20"/>
          <w:szCs w:val="20"/>
        </w:rPr>
        <w:t>dostawcę,</w:t>
      </w:r>
      <w:r w:rsidRPr="002A326C">
        <w:rPr>
          <w:rFonts w:cstheme="minorHAnsi"/>
          <w:sz w:val="20"/>
          <w:szCs w:val="20"/>
        </w:rPr>
        <w:t xml:space="preserve"> jeśli nie jest producentem,</w:t>
      </w:r>
    </w:p>
    <w:p w14:paraId="66D02F21" w14:textId="77777777" w:rsidR="004853EB" w:rsidRPr="002A326C" w:rsidRDefault="004853EB">
      <w:pPr>
        <w:numPr>
          <w:ilvl w:val="0"/>
          <w:numId w:val="182"/>
        </w:numPr>
        <w:tabs>
          <w:tab w:val="left" w:pos="436"/>
        </w:tabs>
        <w:autoSpaceDE w:val="0"/>
        <w:autoSpaceDN w:val="0"/>
        <w:adjustRightInd w:val="0"/>
        <w:spacing w:after="0" w:line="240" w:lineRule="auto"/>
        <w:ind w:left="436" w:hanging="436"/>
        <w:jc w:val="both"/>
        <w:rPr>
          <w:rFonts w:cstheme="minorHAnsi"/>
          <w:sz w:val="20"/>
          <w:szCs w:val="20"/>
        </w:rPr>
      </w:pPr>
      <w:r w:rsidRPr="002A326C">
        <w:rPr>
          <w:rFonts w:cstheme="minorHAnsi"/>
          <w:sz w:val="20"/>
          <w:szCs w:val="20"/>
        </w:rPr>
        <w:t>znak budowlany lub znak CE,</w:t>
      </w:r>
    </w:p>
    <w:p w14:paraId="5BACE87E" w14:textId="77777777" w:rsidR="004853EB" w:rsidRPr="002A326C" w:rsidRDefault="004853EB">
      <w:pPr>
        <w:numPr>
          <w:ilvl w:val="0"/>
          <w:numId w:val="182"/>
        </w:numPr>
        <w:tabs>
          <w:tab w:val="left" w:pos="436"/>
        </w:tabs>
        <w:autoSpaceDE w:val="0"/>
        <w:autoSpaceDN w:val="0"/>
        <w:adjustRightInd w:val="0"/>
        <w:spacing w:after="0" w:line="240" w:lineRule="auto"/>
        <w:ind w:left="436" w:hanging="436"/>
        <w:jc w:val="both"/>
        <w:rPr>
          <w:rFonts w:cstheme="minorHAnsi"/>
          <w:sz w:val="20"/>
          <w:szCs w:val="20"/>
        </w:rPr>
      </w:pPr>
      <w:r w:rsidRPr="002A326C">
        <w:rPr>
          <w:rFonts w:cstheme="minorHAnsi"/>
          <w:sz w:val="20"/>
          <w:szCs w:val="20"/>
        </w:rPr>
        <w:t>numer certyfikatu zgodności lub certyfikatu stałości właściwości użytkowych i numer jednostki certyfikującej.</w:t>
      </w:r>
    </w:p>
    <w:p w14:paraId="13600C02" w14:textId="487F1251"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Oznakowanie znaku powinno być wykonane w sposób trwały i wyraźny, czytelny z normalnej odległości widzenia, a całkowita powierzchnia naklejki nie była większa niż 30 cm</w:t>
      </w:r>
      <w:r w:rsidRPr="002A326C">
        <w:rPr>
          <w:rFonts w:cstheme="minorHAnsi"/>
          <w:sz w:val="20"/>
          <w:szCs w:val="20"/>
          <w:vertAlign w:val="superscript"/>
        </w:rPr>
        <w:t>2</w:t>
      </w:r>
      <w:r w:rsidRPr="002A326C">
        <w:rPr>
          <w:rFonts w:cstheme="minorHAnsi"/>
          <w:sz w:val="20"/>
          <w:szCs w:val="20"/>
        </w:rPr>
        <w:t>. Czytelność i trwałość cechy na tylnej stronie tarczy znaku nie powinna być niższa od wymaganej trwałości znaku. Naklejkę należy wykonać z folii nieodblaskowej.</w:t>
      </w:r>
    </w:p>
    <w:p w14:paraId="66B96138"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2.11. Materiały do montażu znaków</w:t>
      </w:r>
    </w:p>
    <w:p w14:paraId="70D39FE5"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Wszystkie uchwyty montażowe (np. uchwyty uniwersalne, obejmy do mocowania za krawędź) przewidywane do mocowania między sobą elementów konstrukcji wsporczych znaków także śruby, listwy, nakrętki itp. powinny być ocynkowane ogniowo lub wykonane z materiałów odpornych na korozję w czasie nie krótszym niż tarcza znaku i konstrukcja wsporcza. Dopuszcza się także stosowanie certyfikowanych uchwytów plastikowych i taśm montażowych wykonanych ze stali nierdzewnych.</w:t>
      </w:r>
    </w:p>
    <w:p w14:paraId="01AA0C61"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W przypadku stosowania uchwytu uniwersalnego należy wyposażyć się w dodatkowe podkładki w kształcie miseczki, utrudniające demontaż znaku przez osoby niepowołane oraz specjalny klucz służący do przykręcania lub odkręcania nakrętek. Uchwyt uniwersalny umożliwia montaż na słupkach o średnicy od 50 cm do 76 cm. Jest on przykręcany śrubami do profilu montażowego umieszczonego na rewersie tarczy lub do zagiętej krawędzi znaku z otworami. Uchwyt stalowy mocujący za krawędź znaku dzięki dodatkowej stalowej belce umożliwia montaż bez konieczności robienia otworu w krawędzi znaku.</w:t>
      </w:r>
    </w:p>
    <w:p w14:paraId="73A9A633"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System mocowania przy użyciu taśmy stalowej np. Bandimex, umożliwia mocowanie znaków na słupkach o dowolnej średnicy i konstrukcjach różnych rozmiarów z zastosowaniem przyrządu do napinania taśmy i zapinki łączącej końce taśmy.</w:t>
      </w:r>
    </w:p>
    <w:p w14:paraId="4E59DEE0"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2.12. Przechowywanie i składowanie materiałów</w:t>
      </w:r>
    </w:p>
    <w:p w14:paraId="68C80F6A"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Prefabrykaty betonowe powinny być składowane na wyrównanym, utwardzonym i odwodnionym podłożu. Prefabrykaty należy układać na podkładach z zachowaniem prześwitu minimum 10 cm między podłożem a prefabrykatem.</w:t>
      </w:r>
    </w:p>
    <w:p w14:paraId="5E043FC1"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Znaki powinny być przechowywane na regałach w pomieszczeniach suchych, z dala od materiałów działających korodująco i w warunkach zabezpieczających przed uszkodzeniami.</w:t>
      </w:r>
    </w:p>
    <w:p w14:paraId="640EBEAE" w14:textId="77777777" w:rsidR="004853EB" w:rsidRPr="002A326C" w:rsidRDefault="004853EB" w:rsidP="002A326C">
      <w:pPr>
        <w:keepNext/>
        <w:keepLines/>
        <w:suppressAutoHyphens/>
        <w:autoSpaceDE w:val="0"/>
        <w:autoSpaceDN w:val="0"/>
        <w:adjustRightInd w:val="0"/>
        <w:spacing w:before="240" w:after="120"/>
        <w:jc w:val="both"/>
        <w:rPr>
          <w:rFonts w:cstheme="minorHAnsi"/>
          <w:b/>
          <w:bCs/>
          <w:caps/>
          <w:sz w:val="20"/>
          <w:szCs w:val="20"/>
        </w:rPr>
      </w:pPr>
      <w:r w:rsidRPr="002A326C">
        <w:rPr>
          <w:rFonts w:cstheme="minorHAnsi"/>
          <w:b/>
          <w:bCs/>
          <w:caps/>
          <w:sz w:val="20"/>
          <w:szCs w:val="20"/>
        </w:rPr>
        <w:lastRenderedPageBreak/>
        <w:t>3. Sprzęt</w:t>
      </w:r>
    </w:p>
    <w:p w14:paraId="24B604CF"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3.1. Ogólne wymagania dotyczące sprzętu</w:t>
      </w:r>
    </w:p>
    <w:p w14:paraId="75E34CBE" w14:textId="551B129B"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 xml:space="preserve">Ogólne wymagania dotyczące sprzętu podano w </w:t>
      </w:r>
      <w:r w:rsidR="00602EF6" w:rsidRPr="002A326C">
        <w:rPr>
          <w:rFonts w:cstheme="minorHAnsi"/>
          <w:sz w:val="20"/>
          <w:szCs w:val="20"/>
        </w:rPr>
        <w:t>SST D</w:t>
      </w:r>
      <w:r w:rsidRPr="002A326C">
        <w:rPr>
          <w:rFonts w:cstheme="minorHAnsi"/>
          <w:sz w:val="20"/>
          <w:szCs w:val="20"/>
        </w:rPr>
        <w:t>-00.00.00 „Wymagania ogólne” pkt 3.</w:t>
      </w:r>
    </w:p>
    <w:p w14:paraId="2C04032B"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3.2. Sprzęt do wykonania oznakowania pionowego</w:t>
      </w:r>
    </w:p>
    <w:p w14:paraId="30FA6310"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Wykonawca przystępujący do wykonania oznakowania pionowego powinien wykazać się możliwością korzystania z następującego sprzętu:</w:t>
      </w:r>
    </w:p>
    <w:p w14:paraId="10B71982" w14:textId="77777777" w:rsidR="004853EB" w:rsidRPr="00602EF6"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602EF6">
        <w:rPr>
          <w:rFonts w:cstheme="minorHAnsi"/>
          <w:sz w:val="20"/>
          <w:szCs w:val="20"/>
        </w:rPr>
        <w:t>wiertnicy do wykonywania dołów pod słupki w gruncie spoistym,</w:t>
      </w:r>
    </w:p>
    <w:p w14:paraId="5B5A48A5" w14:textId="77777777" w:rsidR="004853EB" w:rsidRPr="00602EF6"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602EF6">
        <w:rPr>
          <w:rFonts w:cstheme="minorHAnsi"/>
          <w:sz w:val="20"/>
          <w:szCs w:val="20"/>
        </w:rPr>
        <w:t>młota pneumatycznego,</w:t>
      </w:r>
    </w:p>
    <w:p w14:paraId="31A1D987" w14:textId="77777777" w:rsidR="004853EB" w:rsidRPr="00602EF6"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602EF6">
        <w:rPr>
          <w:rFonts w:cstheme="minorHAnsi"/>
          <w:sz w:val="20"/>
          <w:szCs w:val="20"/>
        </w:rPr>
        <w:t>betoniarek przewoźnych do wykonywania fundamentów betonowych „na mokro”,</w:t>
      </w:r>
    </w:p>
    <w:p w14:paraId="2922E5FD" w14:textId="77777777" w:rsidR="004853EB" w:rsidRPr="00602EF6"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602EF6">
        <w:rPr>
          <w:rFonts w:cstheme="minorHAnsi"/>
          <w:sz w:val="20"/>
          <w:szCs w:val="20"/>
        </w:rPr>
        <w:t>środków transportowych do przewozu materiałów,</w:t>
      </w:r>
    </w:p>
    <w:p w14:paraId="3ADDDB80" w14:textId="77777777" w:rsidR="004853EB" w:rsidRPr="00602EF6"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602EF6">
        <w:rPr>
          <w:rFonts w:cstheme="minorHAnsi"/>
          <w:sz w:val="20"/>
          <w:szCs w:val="20"/>
        </w:rPr>
        <w:t>przewoźnych zbiorników na wodę,</w:t>
      </w:r>
    </w:p>
    <w:p w14:paraId="6C3A8701" w14:textId="77777777" w:rsidR="004853EB" w:rsidRPr="00602EF6"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602EF6">
        <w:rPr>
          <w:rFonts w:cstheme="minorHAnsi"/>
          <w:sz w:val="20"/>
          <w:szCs w:val="20"/>
        </w:rPr>
        <w:t>sprzętu spawalniczego, itp.</w:t>
      </w:r>
    </w:p>
    <w:p w14:paraId="1C5A1279"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602EF6">
        <w:rPr>
          <w:rFonts w:cstheme="minorHAnsi"/>
          <w:sz w:val="20"/>
          <w:szCs w:val="20"/>
        </w:rPr>
        <w:t>sprzętu pomocniczego, jak np. drabiny</w:t>
      </w:r>
      <w:r w:rsidRPr="002A326C">
        <w:rPr>
          <w:rFonts w:cstheme="minorHAnsi"/>
          <w:sz w:val="20"/>
          <w:szCs w:val="20"/>
        </w:rPr>
        <w:t>, łopaty, poziomnice,</w:t>
      </w:r>
    </w:p>
    <w:p w14:paraId="46836F05"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zagęszczarki do gruntu,</w:t>
      </w:r>
    </w:p>
    <w:p w14:paraId="3B46DC19"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urządzeń bezpieczeństwa ruchu do oznakowania i zabezpieczenia robót,</w:t>
      </w:r>
    </w:p>
    <w:p w14:paraId="28767749"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niwelatora, jeśli jest potrzebny,</w:t>
      </w:r>
    </w:p>
    <w:p w14:paraId="63CAFAF1"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sprzętu dodatkowego zaleconego przez ST.</w:t>
      </w:r>
    </w:p>
    <w:p w14:paraId="7D09DE11"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W przypadku wykonywania znaków wielkopowierzchniowych Wykonawca powinien dysponować:</w:t>
      </w:r>
    </w:p>
    <w:p w14:paraId="7E992F4D"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koparką kołową, np. 0,15 m</w:t>
      </w:r>
      <w:r w:rsidRPr="002A326C">
        <w:rPr>
          <w:rFonts w:cstheme="minorHAnsi"/>
          <w:sz w:val="20"/>
          <w:szCs w:val="20"/>
          <w:vertAlign w:val="superscript"/>
        </w:rPr>
        <w:t>3</w:t>
      </w:r>
      <w:r w:rsidRPr="002A326C">
        <w:rPr>
          <w:rFonts w:cstheme="minorHAnsi"/>
          <w:sz w:val="20"/>
          <w:szCs w:val="20"/>
        </w:rPr>
        <w:t xml:space="preserve"> lub koparką gąsienicową, np. 0,25 m</w:t>
      </w:r>
      <w:r w:rsidRPr="002A326C">
        <w:rPr>
          <w:rFonts w:cstheme="minorHAnsi"/>
          <w:sz w:val="20"/>
          <w:szCs w:val="20"/>
          <w:vertAlign w:val="superscript"/>
        </w:rPr>
        <w:t xml:space="preserve">3 </w:t>
      </w:r>
      <w:r w:rsidRPr="002A326C">
        <w:rPr>
          <w:rFonts w:cstheme="minorHAnsi"/>
          <w:sz w:val="20"/>
          <w:szCs w:val="20"/>
        </w:rPr>
        <w:t>,</w:t>
      </w:r>
    </w:p>
    <w:p w14:paraId="55B8AA5D"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podnośnikiem montażowym samochodowym.</w:t>
      </w:r>
    </w:p>
    <w:p w14:paraId="286C8256"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Wykonawca musi wskazać osoby, które będą uczestniczyć w wykonywaniu zamówienia, legitymujące się kwalifikacjami zawodowymi, doświadczeniem odpowiednim do funkcji jakie im zostaną powierzone: zgodnie z zapisami Rozdziału 2 ustawy Prawo budowlane [29].</w:t>
      </w:r>
    </w:p>
    <w:p w14:paraId="65D0DAD5" w14:textId="77777777" w:rsidR="004853EB" w:rsidRPr="002A326C" w:rsidRDefault="004853EB" w:rsidP="002A326C">
      <w:pPr>
        <w:keepNext/>
        <w:keepLines/>
        <w:suppressAutoHyphens/>
        <w:autoSpaceDE w:val="0"/>
        <w:autoSpaceDN w:val="0"/>
        <w:adjustRightInd w:val="0"/>
        <w:spacing w:before="240" w:after="120"/>
        <w:jc w:val="both"/>
        <w:rPr>
          <w:rFonts w:cstheme="minorHAnsi"/>
          <w:b/>
          <w:bCs/>
          <w:caps/>
          <w:sz w:val="20"/>
          <w:szCs w:val="20"/>
        </w:rPr>
      </w:pPr>
      <w:r w:rsidRPr="002A326C">
        <w:rPr>
          <w:rFonts w:cstheme="minorHAnsi"/>
          <w:b/>
          <w:bCs/>
          <w:caps/>
          <w:sz w:val="20"/>
          <w:szCs w:val="20"/>
        </w:rPr>
        <w:t>4. Transport</w:t>
      </w:r>
    </w:p>
    <w:p w14:paraId="1868030F"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4.1. Ogólne wymagania dotyczące transportu</w:t>
      </w:r>
    </w:p>
    <w:p w14:paraId="694A1C94"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Ogólne wymagania dotyczące transportu podano w SST D-00.00.00 „Wymagania ogólne” pkt 4.</w:t>
      </w:r>
    </w:p>
    <w:p w14:paraId="5B375A91"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4.2. Transport znaków do pionowego oznakowania dróg</w:t>
      </w:r>
    </w:p>
    <w:p w14:paraId="759A4FBA" w14:textId="77777777"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 xml:space="preserve">Zestawy znaków drogowych i poszczególne ich części należy na okres transportu odpowiednio zabezpieczyć, chroniąc przed uszkodzeniem mechanicznym, tak aby nie ulegały przemieszczaniu i w sposób nie uszkodzony dotarły do odbiorcy. Szczególnie starannie należy zabezpieczyć powierzchnie lic tarcz znaków przed uszkodzeniem. </w:t>
      </w:r>
    </w:p>
    <w:p w14:paraId="3BF197B8" w14:textId="77777777" w:rsidR="004853EB" w:rsidRPr="002A326C" w:rsidRDefault="004853EB" w:rsidP="002A326C">
      <w:pPr>
        <w:keepNext/>
        <w:keepLines/>
        <w:suppressAutoHyphens/>
        <w:autoSpaceDE w:val="0"/>
        <w:autoSpaceDN w:val="0"/>
        <w:adjustRightInd w:val="0"/>
        <w:spacing w:before="240" w:after="120"/>
        <w:jc w:val="both"/>
        <w:rPr>
          <w:rFonts w:cstheme="minorHAnsi"/>
          <w:b/>
          <w:bCs/>
          <w:caps/>
          <w:sz w:val="20"/>
          <w:szCs w:val="20"/>
        </w:rPr>
      </w:pPr>
      <w:r w:rsidRPr="002A326C">
        <w:rPr>
          <w:rFonts w:cstheme="minorHAnsi"/>
          <w:b/>
          <w:bCs/>
          <w:caps/>
          <w:sz w:val="20"/>
          <w:szCs w:val="20"/>
        </w:rPr>
        <w:t>5. Wykonanie robót</w:t>
      </w:r>
    </w:p>
    <w:p w14:paraId="3E563F24"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5.1. Ogólne zasady wykonania robót</w:t>
      </w:r>
    </w:p>
    <w:p w14:paraId="0DC124FE"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Ogólne zasady wykonania robót podano w SST D-00.00.00 „Wymagania ogólne” pkt 5.</w:t>
      </w:r>
    </w:p>
    <w:p w14:paraId="45B4E0BE"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5.2. Roboty przygotowawcze</w:t>
      </w:r>
    </w:p>
    <w:p w14:paraId="471EA2E7"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Przed przystąpieniem do robót po przejęciu placu budowy należy:</w:t>
      </w:r>
    </w:p>
    <w:p w14:paraId="7D5C5580" w14:textId="77777777" w:rsidR="004853EB" w:rsidRPr="002A326C" w:rsidRDefault="004853EB">
      <w:pPr>
        <w:numPr>
          <w:ilvl w:val="0"/>
          <w:numId w:val="182"/>
        </w:numPr>
        <w:autoSpaceDE w:val="0"/>
        <w:autoSpaceDN w:val="0"/>
        <w:adjustRightInd w:val="0"/>
        <w:spacing w:after="0" w:line="240" w:lineRule="auto"/>
        <w:ind w:left="405" w:hanging="360"/>
        <w:jc w:val="both"/>
        <w:rPr>
          <w:rFonts w:cstheme="minorHAnsi"/>
          <w:sz w:val="20"/>
          <w:szCs w:val="20"/>
        </w:rPr>
      </w:pPr>
      <w:r w:rsidRPr="002A326C">
        <w:rPr>
          <w:rFonts w:cstheme="minorHAnsi"/>
          <w:sz w:val="20"/>
          <w:szCs w:val="20"/>
        </w:rPr>
        <w:t>wyznaczyć lokalizację znaku, tj. jego pikietaż oraz odległość od krawędzi jezdni, krawędzi pobocza umocnionego lub pasa awaryjnego postoju,</w:t>
      </w:r>
    </w:p>
    <w:p w14:paraId="5A490AAE" w14:textId="77777777" w:rsidR="004853EB" w:rsidRPr="002A326C" w:rsidRDefault="004853EB">
      <w:pPr>
        <w:numPr>
          <w:ilvl w:val="0"/>
          <w:numId w:val="182"/>
        </w:numPr>
        <w:autoSpaceDE w:val="0"/>
        <w:autoSpaceDN w:val="0"/>
        <w:adjustRightInd w:val="0"/>
        <w:spacing w:after="0" w:line="240" w:lineRule="auto"/>
        <w:ind w:left="405" w:hanging="360"/>
        <w:jc w:val="both"/>
        <w:rPr>
          <w:rFonts w:cstheme="minorHAnsi"/>
          <w:sz w:val="20"/>
          <w:szCs w:val="20"/>
        </w:rPr>
      </w:pPr>
      <w:r w:rsidRPr="002A326C">
        <w:rPr>
          <w:rFonts w:cstheme="minorHAnsi"/>
          <w:sz w:val="20"/>
          <w:szCs w:val="20"/>
        </w:rPr>
        <w:t>miejsce wykonywania prac oznakować zgodnie z projektem organizacji ruchu, w celu zabezpieczenia pracowników i kierujących pojazdami na drodze.</w:t>
      </w:r>
    </w:p>
    <w:p w14:paraId="3F2BA6BA"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Punkty stabilizujące miejsca ustawienia znaków należy zabezpieczyć w taki sposób, aby w czasie trwania i odbioru robót istniała możliwość sprawdzenia lokalizacji znaków.</w:t>
      </w:r>
    </w:p>
    <w:p w14:paraId="08A80E88"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Lokalizacja i wysokość zamocowania tarczy znaku powinny być zgodne z dokumentacją projektową.</w:t>
      </w:r>
    </w:p>
    <w:p w14:paraId="32422C88"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lastRenderedPageBreak/>
        <w:t>5.3. Wykonanie wykopów i fundamentów dla konstrukcji wsporczych znaków</w:t>
      </w:r>
    </w:p>
    <w:p w14:paraId="2FB32EEE"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b/>
          <w:bCs/>
          <w:sz w:val="20"/>
          <w:szCs w:val="20"/>
        </w:rPr>
        <w:t>5.3.1.</w:t>
      </w:r>
      <w:r w:rsidRPr="002A326C">
        <w:rPr>
          <w:rFonts w:cstheme="minorHAnsi"/>
          <w:sz w:val="20"/>
          <w:szCs w:val="20"/>
        </w:rPr>
        <w:t xml:space="preserve"> Wykopy</w:t>
      </w:r>
    </w:p>
    <w:p w14:paraId="081C2BEB"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Sposób wykonania wykopu pod fundament znaku pionowego powinien być dostosowany do głębokości wykopu, rodzaju gruntu i posiadanego sprzętu. Wymiary wykopu powinny być zgodne z dokumentacją projektową lub wskazaniami Inżyniera.</w:t>
      </w:r>
    </w:p>
    <w:p w14:paraId="3BCD867A"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Wykopy fundamentowe powinny być wykonane w takim okresie, aby po ich zakończeniu można było przystąpić natychmiast do wykonania w nich robót fundamentowych.</w:t>
      </w:r>
    </w:p>
    <w:p w14:paraId="56ACC153" w14:textId="77777777" w:rsidR="004853EB" w:rsidRPr="002A326C" w:rsidRDefault="004853EB" w:rsidP="002A326C">
      <w:pPr>
        <w:keepNext/>
        <w:autoSpaceDE w:val="0"/>
        <w:autoSpaceDN w:val="0"/>
        <w:adjustRightInd w:val="0"/>
        <w:spacing w:before="240" w:after="120"/>
        <w:jc w:val="both"/>
        <w:rPr>
          <w:rFonts w:cstheme="minorHAnsi"/>
          <w:sz w:val="20"/>
          <w:szCs w:val="20"/>
        </w:rPr>
      </w:pPr>
      <w:r w:rsidRPr="002A326C">
        <w:rPr>
          <w:rFonts w:cstheme="minorHAnsi"/>
          <w:b/>
          <w:bCs/>
          <w:sz w:val="20"/>
          <w:szCs w:val="20"/>
        </w:rPr>
        <w:t>5.4. Konstrukcje wsporcze</w:t>
      </w:r>
    </w:p>
    <w:p w14:paraId="3C81602C" w14:textId="77777777" w:rsidR="004853EB" w:rsidRPr="002A326C" w:rsidRDefault="004853EB" w:rsidP="002A326C">
      <w:pPr>
        <w:autoSpaceDE w:val="0"/>
        <w:autoSpaceDN w:val="0"/>
        <w:adjustRightInd w:val="0"/>
        <w:spacing w:after="120"/>
        <w:jc w:val="both"/>
        <w:rPr>
          <w:rFonts w:cstheme="minorHAnsi"/>
          <w:b/>
          <w:bCs/>
          <w:sz w:val="20"/>
          <w:szCs w:val="20"/>
        </w:rPr>
      </w:pPr>
      <w:r w:rsidRPr="002A326C">
        <w:rPr>
          <w:rFonts w:cstheme="minorHAnsi"/>
          <w:b/>
          <w:bCs/>
          <w:sz w:val="20"/>
          <w:szCs w:val="20"/>
        </w:rPr>
        <w:t>5.4.1.</w:t>
      </w:r>
      <w:r w:rsidRPr="002A326C">
        <w:rPr>
          <w:rFonts w:cstheme="minorHAnsi"/>
          <w:sz w:val="20"/>
          <w:szCs w:val="20"/>
        </w:rPr>
        <w:t xml:space="preserve"> Tolerancje ustawienia znaku pionowego</w:t>
      </w:r>
    </w:p>
    <w:p w14:paraId="4A535BB7"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Konstrukcje wsporcze znaków - słupki powinny być wykonane zgodnie z dokumentacją i SST.</w:t>
      </w:r>
    </w:p>
    <w:p w14:paraId="7AF24C40"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Dopuszczalne tolerancje ustawienia znaku:</w:t>
      </w:r>
    </w:p>
    <w:p w14:paraId="3C642C1C" w14:textId="0D43D9E8"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 xml:space="preserve">odchylenie od pionu, nie więcej </w:t>
      </w:r>
      <w:r w:rsidR="00602EF6" w:rsidRPr="002A326C">
        <w:rPr>
          <w:rFonts w:cstheme="minorHAnsi"/>
          <w:sz w:val="20"/>
          <w:szCs w:val="20"/>
        </w:rPr>
        <w:t>niż 1</w:t>
      </w:r>
      <w:r w:rsidRPr="002A326C">
        <w:rPr>
          <w:rFonts w:cstheme="minorHAnsi"/>
          <w:sz w:val="20"/>
          <w:szCs w:val="20"/>
        </w:rPr>
        <w:t>%,</w:t>
      </w:r>
    </w:p>
    <w:p w14:paraId="69FD078F" w14:textId="6D6D389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 xml:space="preserve">odchylenie w wysokości umieszczenia znaku, nie więcej </w:t>
      </w:r>
      <w:r w:rsidR="00602EF6" w:rsidRPr="002A326C">
        <w:rPr>
          <w:rFonts w:cstheme="minorHAnsi"/>
          <w:sz w:val="20"/>
          <w:szCs w:val="20"/>
        </w:rPr>
        <w:t>niż 2</w:t>
      </w:r>
      <w:r w:rsidRPr="002A326C">
        <w:rPr>
          <w:rFonts w:cstheme="minorHAnsi"/>
          <w:sz w:val="20"/>
          <w:szCs w:val="20"/>
        </w:rPr>
        <w:t xml:space="preserve"> cm,</w:t>
      </w:r>
    </w:p>
    <w:p w14:paraId="2B17ED8A" w14:textId="173A501B"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 xml:space="preserve">odchylenie w odległości ustawienia znaku od krawędzi jezdni utwardzonego pobocza lub pasa awaryjnego postoju, nie więcej </w:t>
      </w:r>
      <w:r w:rsidR="00602EF6" w:rsidRPr="002A326C">
        <w:rPr>
          <w:rFonts w:cstheme="minorHAnsi"/>
          <w:sz w:val="20"/>
          <w:szCs w:val="20"/>
        </w:rPr>
        <w:t>niż 5</w:t>
      </w:r>
      <w:r w:rsidRPr="002A326C">
        <w:rPr>
          <w:rFonts w:cstheme="minorHAnsi"/>
          <w:sz w:val="20"/>
          <w:szCs w:val="20"/>
        </w:rPr>
        <w:t xml:space="preserve"> cm, przy zachowaniu minimalnej odległości umieszczenia znaku zgodnie </w:t>
      </w:r>
      <w:r w:rsidR="00602EF6">
        <w:rPr>
          <w:rFonts w:cstheme="minorHAnsi"/>
          <w:sz w:val="20"/>
          <w:szCs w:val="20"/>
        </w:rPr>
        <w:br/>
      </w:r>
      <w:r w:rsidRPr="002A326C">
        <w:rPr>
          <w:rFonts w:cstheme="minorHAnsi"/>
          <w:sz w:val="20"/>
          <w:szCs w:val="20"/>
        </w:rPr>
        <w:t>z załącznikiem nr 1 do rozporządzenia Ministra Infrastruktury z dnia 3 lipca 2003 r. [19],</w:t>
      </w:r>
    </w:p>
    <w:p w14:paraId="500092E2"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odchylenie poziome tarczy znaku na odcinku prostym drogi 5</w:t>
      </w:r>
      <w:r w:rsidRPr="002A326C">
        <w:rPr>
          <w:rFonts w:cstheme="minorHAnsi"/>
          <w:sz w:val="20"/>
          <w:szCs w:val="20"/>
          <w:vertAlign w:val="superscript"/>
        </w:rPr>
        <w:t>o</w:t>
      </w:r>
      <w:r w:rsidRPr="002A326C">
        <w:rPr>
          <w:rFonts w:cstheme="minorHAnsi"/>
          <w:sz w:val="20"/>
          <w:szCs w:val="20"/>
        </w:rPr>
        <w:t xml:space="preserve"> w kierunku jezdni,</w:t>
      </w:r>
    </w:p>
    <w:p w14:paraId="410FDA71"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odchylenie poziome tarczy znaku na łuku poziomym drogi w prawo 0-5</w:t>
      </w:r>
      <w:r w:rsidRPr="002A326C">
        <w:rPr>
          <w:rFonts w:cstheme="minorHAnsi"/>
          <w:sz w:val="20"/>
          <w:szCs w:val="20"/>
          <w:vertAlign w:val="superscript"/>
        </w:rPr>
        <w:t>o</w:t>
      </w:r>
      <w:r w:rsidRPr="002A326C">
        <w:rPr>
          <w:rFonts w:cstheme="minorHAnsi"/>
          <w:sz w:val="20"/>
          <w:szCs w:val="20"/>
        </w:rPr>
        <w:t xml:space="preserve"> w kierunku jezdni,</w:t>
      </w:r>
    </w:p>
    <w:p w14:paraId="183C01F0"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odchylenie poziome tarczy znaku na łuku poziomym drogi w lewo 5</w:t>
      </w:r>
      <w:r w:rsidRPr="002A326C">
        <w:rPr>
          <w:rFonts w:cstheme="minorHAnsi"/>
          <w:sz w:val="20"/>
          <w:szCs w:val="20"/>
          <w:vertAlign w:val="superscript"/>
        </w:rPr>
        <w:t>o</w:t>
      </w:r>
      <w:r w:rsidRPr="002A326C">
        <w:rPr>
          <w:rFonts w:cstheme="minorHAnsi"/>
          <w:sz w:val="20"/>
          <w:szCs w:val="20"/>
        </w:rPr>
        <w:t xml:space="preserve"> – 10</w:t>
      </w:r>
      <w:r w:rsidRPr="002A326C">
        <w:rPr>
          <w:rFonts w:cstheme="minorHAnsi"/>
          <w:sz w:val="20"/>
          <w:szCs w:val="20"/>
          <w:vertAlign w:val="superscript"/>
        </w:rPr>
        <w:t>o</w:t>
      </w:r>
      <w:r w:rsidRPr="002A326C">
        <w:rPr>
          <w:rFonts w:cstheme="minorHAnsi"/>
          <w:sz w:val="20"/>
          <w:szCs w:val="20"/>
        </w:rPr>
        <w:t xml:space="preserve"> w kierunku jezdni,</w:t>
      </w:r>
    </w:p>
    <w:p w14:paraId="51230258"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odchylenie poziome od dopuszczalnego kąta pomiędzy powierzchnią tarczy znaku a osią jezdni, nie więcej niż 1</w:t>
      </w:r>
      <w:r w:rsidRPr="002A326C">
        <w:rPr>
          <w:rFonts w:cstheme="minorHAnsi"/>
          <w:sz w:val="20"/>
          <w:szCs w:val="20"/>
          <w:vertAlign w:val="superscript"/>
        </w:rPr>
        <w:t>o</w:t>
      </w:r>
      <w:r w:rsidRPr="002A326C">
        <w:rPr>
          <w:rFonts w:cstheme="minorHAnsi"/>
          <w:sz w:val="20"/>
          <w:szCs w:val="20"/>
        </w:rPr>
        <w:t>.</w:t>
      </w:r>
    </w:p>
    <w:p w14:paraId="471DBF9D" w14:textId="77777777" w:rsidR="004853EB" w:rsidRPr="002A326C" w:rsidRDefault="004853EB" w:rsidP="002A326C">
      <w:pPr>
        <w:keepNext/>
        <w:autoSpaceDE w:val="0"/>
        <w:autoSpaceDN w:val="0"/>
        <w:adjustRightInd w:val="0"/>
        <w:spacing w:before="120"/>
        <w:jc w:val="both"/>
        <w:rPr>
          <w:rFonts w:cstheme="minorHAnsi"/>
          <w:sz w:val="20"/>
          <w:szCs w:val="20"/>
        </w:rPr>
      </w:pPr>
      <w:r w:rsidRPr="002A326C">
        <w:rPr>
          <w:rFonts w:cstheme="minorHAnsi"/>
          <w:b/>
          <w:bCs/>
          <w:sz w:val="20"/>
          <w:szCs w:val="20"/>
        </w:rPr>
        <w:t xml:space="preserve">5.4.2. </w:t>
      </w:r>
      <w:r w:rsidRPr="002A326C">
        <w:rPr>
          <w:rFonts w:cstheme="minorHAnsi"/>
          <w:sz w:val="20"/>
          <w:szCs w:val="20"/>
        </w:rPr>
        <w:t>Zabezpieczenie konstrukcji wsporczej przed najechaniem</w:t>
      </w:r>
    </w:p>
    <w:p w14:paraId="5B4CB51D"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ab/>
        <w:t>Konstrukcje wsporcze znaków drogowych bramowych lub wysięgnikowych jedno lub dwustronnych, jak również konstrukcje wsporcze znaków tablicowych bocznych o powierzchni większej od 4,5 m</w:t>
      </w:r>
      <w:r w:rsidRPr="002A326C">
        <w:rPr>
          <w:rFonts w:cstheme="minorHAnsi"/>
          <w:sz w:val="20"/>
          <w:szCs w:val="20"/>
          <w:vertAlign w:val="superscript"/>
        </w:rPr>
        <w:t>2</w:t>
      </w:r>
      <w:r w:rsidRPr="002A326C">
        <w:rPr>
          <w:rFonts w:cstheme="minorHAnsi"/>
          <w:sz w:val="20"/>
          <w:szCs w:val="20"/>
        </w:rPr>
        <w:t>, gdy występuje możliwość bezpośredniego najechania na nie przez pojazd - muszą być zabezpieczone odpowiednio umieszczonymi barierami ochronnymi lub konstrukcją wsporczą bezpieczną, zgodnie z dokumentacją projektową, 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ST lub Inżynier.</w:t>
      </w:r>
    </w:p>
    <w:p w14:paraId="28CCF387" w14:textId="77777777" w:rsidR="004853EB" w:rsidRPr="002A326C" w:rsidRDefault="004853EB" w:rsidP="002A326C">
      <w:pPr>
        <w:autoSpaceDE w:val="0"/>
        <w:autoSpaceDN w:val="0"/>
        <w:adjustRightInd w:val="0"/>
        <w:spacing w:before="120"/>
        <w:ind w:left="709" w:hanging="709"/>
        <w:jc w:val="both"/>
        <w:rPr>
          <w:rFonts w:cstheme="minorHAnsi"/>
          <w:sz w:val="20"/>
          <w:szCs w:val="20"/>
        </w:rPr>
      </w:pPr>
      <w:r w:rsidRPr="002A326C">
        <w:rPr>
          <w:rFonts w:cstheme="minorHAnsi"/>
          <w:b/>
          <w:bCs/>
          <w:sz w:val="20"/>
          <w:szCs w:val="20"/>
        </w:rPr>
        <w:t>5.4.3.</w:t>
      </w:r>
      <w:r w:rsidRPr="002A326C">
        <w:rPr>
          <w:rFonts w:cstheme="minorHAnsi"/>
          <w:sz w:val="20"/>
          <w:szCs w:val="20"/>
        </w:rPr>
        <w:t xml:space="preserve"> </w:t>
      </w:r>
      <w:r w:rsidRPr="002A326C">
        <w:rPr>
          <w:rFonts w:cstheme="minorHAnsi"/>
          <w:sz w:val="20"/>
          <w:szCs w:val="20"/>
        </w:rPr>
        <w:tab/>
        <w:t>Zapobieganie zagrożeniu użytkowników drogi i terenu przyległego - przez konstrukcję wsporczą</w:t>
      </w:r>
    </w:p>
    <w:p w14:paraId="59A73B49"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ab/>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innym rodzaju uszkodzenia znaku.</w:t>
      </w:r>
    </w:p>
    <w:p w14:paraId="7F9A5707"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b/>
          <w:bCs/>
          <w:sz w:val="20"/>
          <w:szCs w:val="20"/>
        </w:rPr>
        <w:t xml:space="preserve">5.4.4. </w:t>
      </w:r>
      <w:r w:rsidRPr="002A326C">
        <w:rPr>
          <w:rFonts w:cstheme="minorHAnsi"/>
          <w:sz w:val="20"/>
          <w:szCs w:val="20"/>
        </w:rPr>
        <w:t>Tablicowe znaki drogowe na dwóch słupach lub podporach</w:t>
      </w:r>
    </w:p>
    <w:p w14:paraId="5F099CE1"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ab/>
        <w:t>Przy stosowaniu tablicowych znaków drogowych (drogowskazów tablicowych, tablic przeddrogowskazowych, tablic szlaku drogowego, tablic objazdów itp.) umieszczanych na dwóch słupach lub podporach - odległość między tymi słupami lub podporami, mierzona prostopadle do przewidywanego kierunku najechania przez pojazd, nie może być mniejsza od 1,75 m. Przy stosowaniu większej liczby słupów niż dwa - odległość między nimi może być mniejsza.</w:t>
      </w:r>
    </w:p>
    <w:p w14:paraId="0ED44EF7"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b/>
          <w:bCs/>
          <w:sz w:val="20"/>
          <w:szCs w:val="20"/>
        </w:rPr>
        <w:t>5.4.5.</w:t>
      </w:r>
      <w:r w:rsidRPr="002A326C">
        <w:rPr>
          <w:rFonts w:cstheme="minorHAnsi"/>
          <w:sz w:val="20"/>
          <w:szCs w:val="20"/>
        </w:rPr>
        <w:t xml:space="preserve"> Barwa konstrukcji wsporczej</w:t>
      </w:r>
    </w:p>
    <w:p w14:paraId="01E60A70" w14:textId="331FD162"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ab/>
        <w:t xml:space="preserve">Konstrukcje wsporcze znaków drogowych pionowych muszą mieć barwę szarą neutralną z tym, </w:t>
      </w:r>
      <w:r w:rsidR="00602EF6">
        <w:rPr>
          <w:rFonts w:cstheme="minorHAnsi"/>
          <w:sz w:val="20"/>
          <w:szCs w:val="20"/>
        </w:rPr>
        <w:br/>
      </w:r>
      <w:r w:rsidRPr="002A326C">
        <w:rPr>
          <w:rFonts w:cstheme="minorHAnsi"/>
          <w:sz w:val="20"/>
          <w:szCs w:val="20"/>
        </w:rPr>
        <w:t xml:space="preserve">że dopuszcza się barwę naturalną pokryć cynkowanych. Zabrania się stosowania pokryć konstrukcji wsporczych </w:t>
      </w:r>
      <w:r w:rsidRPr="002A326C">
        <w:rPr>
          <w:rFonts w:cstheme="minorHAnsi"/>
          <w:sz w:val="20"/>
          <w:szCs w:val="20"/>
        </w:rPr>
        <w:lastRenderedPageBreak/>
        <w:t>o jaskrawej barwie - z wyjątkiem przypadków, gdy jest to wymagane odrębnymi przepisami, wytycznymi lub warunkami technicznymi.</w:t>
      </w:r>
    </w:p>
    <w:p w14:paraId="712B20B5" w14:textId="77777777" w:rsidR="004853EB" w:rsidRPr="002A326C" w:rsidRDefault="004853EB" w:rsidP="002A326C">
      <w:pPr>
        <w:autoSpaceDE w:val="0"/>
        <w:autoSpaceDN w:val="0"/>
        <w:adjustRightInd w:val="0"/>
        <w:spacing w:before="120" w:after="120"/>
        <w:jc w:val="both"/>
        <w:rPr>
          <w:rFonts w:cstheme="minorHAnsi"/>
          <w:b/>
          <w:bCs/>
          <w:sz w:val="20"/>
          <w:szCs w:val="20"/>
        </w:rPr>
      </w:pPr>
      <w:r w:rsidRPr="002A326C">
        <w:rPr>
          <w:rFonts w:cstheme="minorHAnsi"/>
          <w:b/>
          <w:bCs/>
          <w:sz w:val="20"/>
          <w:szCs w:val="20"/>
        </w:rPr>
        <w:t>5.4.6.</w:t>
      </w:r>
      <w:r w:rsidRPr="002A326C">
        <w:rPr>
          <w:rFonts w:cstheme="minorHAnsi"/>
          <w:sz w:val="20"/>
          <w:szCs w:val="20"/>
        </w:rPr>
        <w:t xml:space="preserve"> Połączenie tarczy znaku z konstrukcją wsporczą</w:t>
      </w:r>
    </w:p>
    <w:p w14:paraId="1E92BE8A"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Tarcza znaku musi być zamocowana do konstrukcji wsporczej w sposób uniemożliwiający jej przesunięcie lub obrót. Sposób wykonania połączenia tarczy znaku z konstrukcją wsporczą musi umożliwiać, przy użyciu odpowiednich narzędzi, odłączenie tarczy znaku od tej konstrukcji przez cały okres użytkowania znaku.</w:t>
      </w:r>
    </w:p>
    <w:p w14:paraId="7EA46535"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Na drogach i obszarach, na których występują częste przypadki dewastacji znaków, zaleca się stosowanie elementów złącznych o konstrukcji uniemożliwiającej lub znacznie utrudniającej ich rozłączenie przez osoby niepowołane.</w:t>
      </w:r>
    </w:p>
    <w:p w14:paraId="03CBA17C"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Nie dopuszcza się zamocowania znaku do konstrukcji wsporczej w sposób wymagający bezpośredniego przeprowadzenia śrub mocujących przez lico znaku.</w:t>
      </w:r>
    </w:p>
    <w:p w14:paraId="35FED602" w14:textId="77777777" w:rsidR="004853EB" w:rsidRPr="002A326C" w:rsidRDefault="004853EB" w:rsidP="002A326C">
      <w:pPr>
        <w:autoSpaceDE w:val="0"/>
        <w:autoSpaceDN w:val="0"/>
        <w:adjustRightInd w:val="0"/>
        <w:spacing w:before="120" w:after="120"/>
        <w:jc w:val="both"/>
        <w:rPr>
          <w:rFonts w:cstheme="minorHAnsi"/>
          <w:b/>
          <w:bCs/>
          <w:sz w:val="20"/>
          <w:szCs w:val="20"/>
        </w:rPr>
      </w:pPr>
      <w:r w:rsidRPr="002A326C">
        <w:rPr>
          <w:rFonts w:cstheme="minorHAnsi"/>
          <w:b/>
          <w:bCs/>
          <w:sz w:val="20"/>
          <w:szCs w:val="20"/>
        </w:rPr>
        <w:t>5.4.7.</w:t>
      </w:r>
      <w:r w:rsidRPr="002A326C">
        <w:rPr>
          <w:rFonts w:cstheme="minorHAnsi"/>
          <w:sz w:val="20"/>
          <w:szCs w:val="20"/>
        </w:rPr>
        <w:t xml:space="preserve"> Urządzenia elektryczne na konstrukcji wsporczej</w:t>
      </w:r>
    </w:p>
    <w:p w14:paraId="0C64DAE7" w14:textId="66B07191"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 xml:space="preserve">Przy umieszczaniu na konstrukcji wsporczej znaku drogowego jakichkolwiek urządzeń elektrycznych - obowiązują zasady oznaczania i zabezpieczania tych urządzeń, określone w odpowiednich przepisach </w:t>
      </w:r>
      <w:r w:rsidR="00602EF6">
        <w:rPr>
          <w:rFonts w:cstheme="minorHAnsi"/>
          <w:sz w:val="20"/>
          <w:szCs w:val="20"/>
        </w:rPr>
        <w:br/>
      </w:r>
      <w:r w:rsidRPr="002A326C">
        <w:rPr>
          <w:rFonts w:cstheme="minorHAnsi"/>
          <w:sz w:val="20"/>
          <w:szCs w:val="20"/>
        </w:rPr>
        <w:t>i zaleceniach dotyczących urządzeń elektroenergetycznych.</w:t>
      </w:r>
    </w:p>
    <w:p w14:paraId="142E9109"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Aparaturę elektryczną należy montować na pojedynczym słupie. Na słupie powinna być zamocowana skrzynka elektryczna zgodnie z PN-EN 40-5:2004 [18]. Każda skrzynka elektryczna powinna być zabezpieczona zamkiem natomiast poziomem zabezpieczenia przed przenikaniem kurzu i wody, określonym w EN 60529:2003 [14], powinien być poziom 2 dla cząstek stałych i poziom 3 dla wody.</w:t>
      </w:r>
    </w:p>
    <w:p w14:paraId="597EB3D3" w14:textId="77777777" w:rsidR="004853EB" w:rsidRPr="002A326C" w:rsidRDefault="004853EB" w:rsidP="002A326C">
      <w:pPr>
        <w:keepNext/>
        <w:keepLines/>
        <w:suppressAutoHyphens/>
        <w:autoSpaceDE w:val="0"/>
        <w:autoSpaceDN w:val="0"/>
        <w:adjustRightInd w:val="0"/>
        <w:spacing w:before="240" w:after="120"/>
        <w:jc w:val="both"/>
        <w:rPr>
          <w:rFonts w:cstheme="minorHAnsi"/>
          <w:b/>
          <w:bCs/>
          <w:caps/>
          <w:sz w:val="20"/>
          <w:szCs w:val="20"/>
        </w:rPr>
      </w:pPr>
      <w:r w:rsidRPr="002A326C">
        <w:rPr>
          <w:rFonts w:cstheme="minorHAnsi"/>
          <w:b/>
          <w:bCs/>
          <w:caps/>
          <w:sz w:val="20"/>
          <w:szCs w:val="20"/>
        </w:rPr>
        <w:t>6. Kontrola jakości robót</w:t>
      </w:r>
    </w:p>
    <w:p w14:paraId="6CC59046"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6.1. Ogólne zasady kontroli jakości robót</w:t>
      </w:r>
    </w:p>
    <w:p w14:paraId="723CB979"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Ogólne zasady kontroli jakości robót podano w SST D-00.00.00 „Wymagania ogólne” pkt 6.</w:t>
      </w:r>
    </w:p>
    <w:p w14:paraId="1EA45477"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6.2. Badania przed przystąpieniem do robót</w:t>
      </w:r>
    </w:p>
    <w:p w14:paraId="2149164D"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Przed przystąpieniem do robót Wykonawca powinien:</w:t>
      </w:r>
    </w:p>
    <w:p w14:paraId="0BE93CE0"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uzyskać wymagane dokumenty dopuszczające wyroby budowlane do obrotu i powszechnego stosowania (np. stwierdzenie o oznakowaniu materiału znakiem CE lub znakiem budowlanym, krajową deklarację właściwości użytkowych, krajową deklarację zgodności, krajową ocenę techniczną, aprobatę techniczną [24] ew. badania materiałów wykonane przez dostawców, itp.)</w:t>
      </w:r>
    </w:p>
    <w:p w14:paraId="0DD119FF"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ew. wykonać własne badania właściwości materiałów przeznaczonych do wykonania robót, określone przez Inżyniera.</w:t>
      </w:r>
    </w:p>
    <w:p w14:paraId="29DEFD17"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Wszystkie dokumenty oraz wyniki badań Wykonawca przedstawia Inżynierowi do akceptacji pod względem spełnienia wymogów formalnych oraz technicznych wynikających z dokumentacji projektowej i ST.</w:t>
      </w:r>
    </w:p>
    <w:p w14:paraId="6AA030B2"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6.3. Badania w czasie wykonywania robót</w:t>
      </w:r>
    </w:p>
    <w:p w14:paraId="1E791899" w14:textId="77777777" w:rsidR="004853EB" w:rsidRPr="002A326C" w:rsidRDefault="004853EB" w:rsidP="002A326C">
      <w:pPr>
        <w:autoSpaceDE w:val="0"/>
        <w:autoSpaceDN w:val="0"/>
        <w:adjustRightInd w:val="0"/>
        <w:spacing w:after="120"/>
        <w:jc w:val="both"/>
        <w:rPr>
          <w:rFonts w:cstheme="minorHAnsi"/>
          <w:b/>
          <w:bCs/>
          <w:sz w:val="20"/>
          <w:szCs w:val="20"/>
        </w:rPr>
      </w:pPr>
      <w:r w:rsidRPr="002A326C">
        <w:rPr>
          <w:rFonts w:cstheme="minorHAnsi"/>
          <w:b/>
          <w:bCs/>
          <w:sz w:val="20"/>
          <w:szCs w:val="20"/>
        </w:rPr>
        <w:t>6.3.1.</w:t>
      </w:r>
      <w:r w:rsidRPr="002A326C">
        <w:rPr>
          <w:rFonts w:cstheme="minorHAnsi"/>
          <w:sz w:val="20"/>
          <w:szCs w:val="20"/>
        </w:rPr>
        <w:t xml:space="preserve"> Badania materiałów do wykonania fundamentów betonowych</w:t>
      </w:r>
    </w:p>
    <w:p w14:paraId="26B169B2"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14:paraId="7F308968"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b/>
          <w:bCs/>
          <w:sz w:val="20"/>
          <w:szCs w:val="20"/>
        </w:rPr>
        <w:t xml:space="preserve">6.3.2. </w:t>
      </w:r>
      <w:r w:rsidRPr="002A326C">
        <w:rPr>
          <w:rFonts w:cstheme="minorHAnsi"/>
          <w:sz w:val="20"/>
          <w:szCs w:val="20"/>
        </w:rPr>
        <w:t>Badania materiałów w czasie wykonywania robót</w:t>
      </w:r>
    </w:p>
    <w:p w14:paraId="04146062"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ab/>
        <w:t>Wszystkie materiały dostarczone na budowę powinny być sprawdzone w zakresie powierzchni wyrobu i jego wymiarów. Szczególnie należy zwrócić uwagę na rodzaj zastosowanej folii odblaskowej i grubość blachy.</w:t>
      </w:r>
    </w:p>
    <w:p w14:paraId="1CC23DFC" w14:textId="77777777"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Częstotliwość badań i ocena ich wyników powinna być zgodna z ustaleniami zawartymi w tablicy 7.</w:t>
      </w:r>
    </w:p>
    <w:p w14:paraId="62D0B0BB" w14:textId="77777777" w:rsidR="004853EB" w:rsidRPr="002A326C" w:rsidRDefault="004853EB" w:rsidP="002A326C">
      <w:pPr>
        <w:keepNext/>
        <w:tabs>
          <w:tab w:val="left" w:pos="1134"/>
        </w:tabs>
        <w:autoSpaceDE w:val="0"/>
        <w:autoSpaceDN w:val="0"/>
        <w:adjustRightInd w:val="0"/>
        <w:spacing w:before="120" w:after="120"/>
        <w:ind w:left="1134" w:hanging="992"/>
        <w:jc w:val="both"/>
        <w:rPr>
          <w:rFonts w:cstheme="minorHAnsi"/>
          <w:sz w:val="20"/>
          <w:szCs w:val="20"/>
        </w:rPr>
      </w:pPr>
      <w:r w:rsidRPr="002A326C">
        <w:rPr>
          <w:rFonts w:cstheme="minorHAnsi"/>
          <w:sz w:val="20"/>
          <w:szCs w:val="20"/>
        </w:rPr>
        <w:lastRenderedPageBreak/>
        <w:t>Tablica 7.</w:t>
      </w:r>
      <w:r w:rsidRPr="002A326C">
        <w:rPr>
          <w:rFonts w:cstheme="minorHAnsi"/>
          <w:sz w:val="20"/>
          <w:szCs w:val="20"/>
        </w:rPr>
        <w:tab/>
        <w:t>Częstotliwość badań przy sprawdzeniu powierzchni i wymiarów wyrobów dostarczonych przez producentów</w:t>
      </w:r>
    </w:p>
    <w:tbl>
      <w:tblPr>
        <w:tblW w:w="0" w:type="auto"/>
        <w:tblInd w:w="140" w:type="dxa"/>
        <w:tblLayout w:type="fixed"/>
        <w:tblCellMar>
          <w:left w:w="70" w:type="dxa"/>
          <w:right w:w="70" w:type="dxa"/>
        </w:tblCellMar>
        <w:tblLook w:val="04A0" w:firstRow="1" w:lastRow="0" w:firstColumn="1" w:lastColumn="0" w:noHBand="0" w:noVBand="1"/>
      </w:tblPr>
      <w:tblGrid>
        <w:gridCol w:w="567"/>
        <w:gridCol w:w="1418"/>
        <w:gridCol w:w="1735"/>
        <w:gridCol w:w="3720"/>
        <w:gridCol w:w="1417"/>
      </w:tblGrid>
      <w:tr w:rsidR="004853EB" w:rsidRPr="002A326C" w14:paraId="7668EB46"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14:paraId="7B18DB02"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Lp.</w:t>
            </w:r>
          </w:p>
        </w:tc>
        <w:tc>
          <w:tcPr>
            <w:tcW w:w="1418" w:type="dxa"/>
            <w:tcBorders>
              <w:top w:val="single" w:sz="4" w:space="0" w:color="000000"/>
              <w:left w:val="single" w:sz="4" w:space="0" w:color="000000"/>
              <w:bottom w:val="single" w:sz="4" w:space="0" w:color="000000"/>
              <w:right w:val="single" w:sz="4" w:space="0" w:color="000000"/>
            </w:tcBorders>
            <w:shd w:val="clear" w:color="auto" w:fill="FFFFFF"/>
            <w:hideMark/>
          </w:tcPr>
          <w:p w14:paraId="0396DD35"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Rodzaj badania</w:t>
            </w:r>
          </w:p>
        </w:tc>
        <w:tc>
          <w:tcPr>
            <w:tcW w:w="1735" w:type="dxa"/>
            <w:tcBorders>
              <w:top w:val="single" w:sz="4" w:space="0" w:color="000000"/>
              <w:left w:val="single" w:sz="4" w:space="0" w:color="000000"/>
              <w:bottom w:val="single" w:sz="4" w:space="0" w:color="000000"/>
              <w:right w:val="single" w:sz="4" w:space="0" w:color="000000"/>
            </w:tcBorders>
            <w:shd w:val="clear" w:color="auto" w:fill="FFFFFF"/>
            <w:hideMark/>
          </w:tcPr>
          <w:p w14:paraId="4DB0E8EF"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Liczba badań</w:t>
            </w:r>
          </w:p>
        </w:tc>
        <w:tc>
          <w:tcPr>
            <w:tcW w:w="3720" w:type="dxa"/>
            <w:tcBorders>
              <w:top w:val="single" w:sz="4" w:space="0" w:color="000000"/>
              <w:left w:val="single" w:sz="4" w:space="0" w:color="000000"/>
              <w:bottom w:val="single" w:sz="4" w:space="0" w:color="000000"/>
              <w:right w:val="single" w:sz="4" w:space="0" w:color="000000"/>
            </w:tcBorders>
            <w:shd w:val="clear" w:color="auto" w:fill="FFFFFF"/>
            <w:hideMark/>
          </w:tcPr>
          <w:p w14:paraId="16E4F8E3"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Opis badań</w:t>
            </w:r>
          </w:p>
        </w:tc>
        <w:tc>
          <w:tcPr>
            <w:tcW w:w="1417" w:type="dxa"/>
            <w:tcBorders>
              <w:top w:val="single" w:sz="4" w:space="0" w:color="000000"/>
              <w:left w:val="single" w:sz="4" w:space="0" w:color="000000"/>
              <w:bottom w:val="single" w:sz="4" w:space="0" w:color="000000"/>
              <w:right w:val="single" w:sz="4" w:space="0" w:color="000000"/>
            </w:tcBorders>
            <w:shd w:val="clear" w:color="auto" w:fill="FFFFFF"/>
            <w:hideMark/>
          </w:tcPr>
          <w:p w14:paraId="692CCAB2"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Ocena wyników badań</w:t>
            </w:r>
          </w:p>
        </w:tc>
      </w:tr>
      <w:tr w:rsidR="004853EB" w:rsidRPr="002A326C" w14:paraId="7B75500C" w14:textId="77777777">
        <w:trPr>
          <w:cantSplit/>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14:paraId="3216C9C0"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FFFFFF"/>
            <w:hideMark/>
          </w:tcPr>
          <w:p w14:paraId="2F46A531"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Sprawdzenie powierzchni i rodzaju materiału</w:t>
            </w:r>
          </w:p>
        </w:tc>
        <w:tc>
          <w:tcPr>
            <w:tcW w:w="1735"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443C057E" w14:textId="77777777" w:rsidR="004853EB" w:rsidRPr="002A326C" w:rsidRDefault="004853EB" w:rsidP="002A326C">
            <w:pPr>
              <w:autoSpaceDE w:val="0"/>
              <w:autoSpaceDN w:val="0"/>
              <w:adjustRightInd w:val="0"/>
              <w:spacing w:before="120" w:after="120"/>
              <w:jc w:val="both"/>
              <w:rPr>
                <w:rFonts w:cstheme="minorHAnsi"/>
                <w:sz w:val="20"/>
                <w:szCs w:val="20"/>
              </w:rPr>
            </w:pPr>
            <w:r w:rsidRPr="002A326C">
              <w:rPr>
                <w:rFonts w:cstheme="minorHAnsi"/>
                <w:sz w:val="20"/>
                <w:szCs w:val="20"/>
              </w:rPr>
              <w:t xml:space="preserve">Od 1% do 2% wyrobów wybranych losowo z każdej dostarczonej partii wyrobów </w:t>
            </w:r>
          </w:p>
        </w:tc>
        <w:tc>
          <w:tcPr>
            <w:tcW w:w="3720" w:type="dxa"/>
            <w:tcBorders>
              <w:top w:val="single" w:sz="4" w:space="0" w:color="000000"/>
              <w:left w:val="single" w:sz="4" w:space="0" w:color="000000"/>
              <w:bottom w:val="single" w:sz="4" w:space="0" w:color="000000"/>
              <w:right w:val="single" w:sz="4" w:space="0" w:color="000000"/>
            </w:tcBorders>
            <w:shd w:val="clear" w:color="auto" w:fill="FFFFFF"/>
            <w:hideMark/>
          </w:tcPr>
          <w:p w14:paraId="4DAB918F" w14:textId="77777777" w:rsidR="004853EB" w:rsidRPr="002A326C" w:rsidRDefault="004853EB" w:rsidP="002A326C">
            <w:pPr>
              <w:autoSpaceDE w:val="0"/>
              <w:autoSpaceDN w:val="0"/>
              <w:adjustRightInd w:val="0"/>
              <w:spacing w:before="60"/>
              <w:jc w:val="both"/>
              <w:rPr>
                <w:rFonts w:cstheme="minorHAnsi"/>
                <w:sz w:val="20"/>
                <w:szCs w:val="20"/>
              </w:rPr>
            </w:pPr>
            <w:r w:rsidRPr="002A326C">
              <w:rPr>
                <w:rFonts w:cstheme="minorHAnsi"/>
                <w:sz w:val="20"/>
                <w:szCs w:val="20"/>
              </w:rPr>
              <w:t>Powierzchnię zbadać organoleptycznie i stosując dostępne narzędzia (np. liniały, suwmiarki, mikrometry, grubościomierze itp.</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9FBEC2C" w14:textId="77777777" w:rsidR="004853EB" w:rsidRPr="002A326C" w:rsidRDefault="004853EB" w:rsidP="002A326C">
            <w:pPr>
              <w:autoSpaceDE w:val="0"/>
              <w:autoSpaceDN w:val="0"/>
              <w:adjustRightInd w:val="0"/>
              <w:jc w:val="both"/>
              <w:rPr>
                <w:rFonts w:cstheme="minorHAnsi"/>
                <w:sz w:val="20"/>
                <w:szCs w:val="20"/>
              </w:rPr>
            </w:pPr>
          </w:p>
          <w:p w14:paraId="60A029ED" w14:textId="77777777" w:rsidR="004853EB" w:rsidRPr="002A326C" w:rsidRDefault="004853EB" w:rsidP="002A326C">
            <w:pPr>
              <w:autoSpaceDE w:val="0"/>
              <w:autoSpaceDN w:val="0"/>
              <w:adjustRightInd w:val="0"/>
              <w:spacing w:before="120" w:after="120"/>
              <w:jc w:val="both"/>
              <w:rPr>
                <w:rFonts w:cstheme="minorHAnsi"/>
                <w:sz w:val="20"/>
                <w:szCs w:val="20"/>
              </w:rPr>
            </w:pPr>
            <w:r w:rsidRPr="002A326C">
              <w:rPr>
                <w:rFonts w:cstheme="minorHAnsi"/>
                <w:sz w:val="20"/>
                <w:szCs w:val="20"/>
              </w:rPr>
              <w:t>Wyniki badań powinny być zgodne z wymagania-mi punktu 2</w:t>
            </w:r>
          </w:p>
        </w:tc>
      </w:tr>
      <w:tr w:rsidR="004853EB" w:rsidRPr="002A326C" w14:paraId="3129C415" w14:textId="77777777">
        <w:trPr>
          <w:cantSplit/>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14:paraId="5E8CCC3A"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hideMark/>
          </w:tcPr>
          <w:p w14:paraId="5A83AE40" w14:textId="77777777" w:rsidR="004853EB" w:rsidRPr="002A326C" w:rsidRDefault="004853EB" w:rsidP="002A326C">
            <w:pPr>
              <w:autoSpaceDE w:val="0"/>
              <w:autoSpaceDN w:val="0"/>
              <w:adjustRightInd w:val="0"/>
              <w:spacing w:before="120"/>
              <w:jc w:val="both"/>
              <w:rPr>
                <w:rFonts w:cstheme="minorHAnsi"/>
                <w:sz w:val="20"/>
                <w:szCs w:val="20"/>
              </w:rPr>
            </w:pPr>
            <w:r w:rsidRPr="002A326C">
              <w:rPr>
                <w:rFonts w:cstheme="minorHAnsi"/>
                <w:sz w:val="20"/>
                <w:szCs w:val="20"/>
              </w:rPr>
              <w:t>Sprawdzenie wymiarów i wybranych właściwości</w:t>
            </w:r>
          </w:p>
        </w:tc>
        <w:tc>
          <w:tcPr>
            <w:tcW w:w="1735" w:type="dxa"/>
            <w:vMerge/>
            <w:tcBorders>
              <w:top w:val="single" w:sz="4" w:space="0" w:color="000000"/>
              <w:left w:val="single" w:sz="4" w:space="0" w:color="000000"/>
              <w:bottom w:val="single" w:sz="4" w:space="0" w:color="000000"/>
              <w:right w:val="single" w:sz="4" w:space="0" w:color="000000"/>
            </w:tcBorders>
            <w:vAlign w:val="center"/>
            <w:hideMark/>
          </w:tcPr>
          <w:p w14:paraId="08C0BDA5" w14:textId="77777777" w:rsidR="004853EB" w:rsidRPr="002A326C" w:rsidRDefault="004853EB" w:rsidP="002A326C">
            <w:pPr>
              <w:jc w:val="both"/>
              <w:rPr>
                <w:rFonts w:cstheme="minorHAnsi"/>
                <w:sz w:val="20"/>
                <w:szCs w:val="20"/>
              </w:rPr>
            </w:pPr>
          </w:p>
        </w:tc>
        <w:tc>
          <w:tcPr>
            <w:tcW w:w="3720" w:type="dxa"/>
            <w:tcBorders>
              <w:top w:val="single" w:sz="4" w:space="0" w:color="000000"/>
              <w:left w:val="single" w:sz="4" w:space="0" w:color="000000"/>
              <w:bottom w:val="single" w:sz="4" w:space="0" w:color="000000"/>
              <w:right w:val="single" w:sz="4" w:space="0" w:color="000000"/>
            </w:tcBorders>
            <w:shd w:val="clear" w:color="auto" w:fill="FFFFFF"/>
            <w:hideMark/>
          </w:tcPr>
          <w:p w14:paraId="65382819" w14:textId="77777777" w:rsidR="004853EB" w:rsidRPr="002A326C" w:rsidRDefault="004853EB" w:rsidP="002A326C">
            <w:pPr>
              <w:autoSpaceDE w:val="0"/>
              <w:autoSpaceDN w:val="0"/>
              <w:adjustRightInd w:val="0"/>
              <w:spacing w:after="60"/>
              <w:jc w:val="both"/>
              <w:rPr>
                <w:rFonts w:cstheme="minorHAnsi"/>
                <w:sz w:val="20"/>
                <w:szCs w:val="20"/>
              </w:rPr>
            </w:pPr>
            <w:r w:rsidRPr="002A326C">
              <w:rPr>
                <w:rFonts w:cstheme="minorHAnsi"/>
                <w:sz w:val="20"/>
                <w:szCs w:val="20"/>
              </w:rPr>
              <w:t>Przeprowadzić sprawdzianami lub przyrządami pomiarowymi (np. liniałami, przymiarami, reflektometrem, kolorymetrem, itp.)</w:t>
            </w: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14:paraId="36673A06" w14:textId="77777777" w:rsidR="004853EB" w:rsidRPr="002A326C" w:rsidRDefault="004853EB" w:rsidP="002A326C">
            <w:pPr>
              <w:jc w:val="both"/>
              <w:rPr>
                <w:rFonts w:cstheme="minorHAnsi"/>
                <w:sz w:val="20"/>
                <w:szCs w:val="20"/>
              </w:rPr>
            </w:pPr>
          </w:p>
        </w:tc>
      </w:tr>
    </w:tbl>
    <w:p w14:paraId="2A54338B" w14:textId="77777777" w:rsidR="004853EB" w:rsidRPr="002A326C" w:rsidRDefault="004853EB" w:rsidP="002A326C">
      <w:pPr>
        <w:autoSpaceDE w:val="0"/>
        <w:autoSpaceDN w:val="0"/>
        <w:adjustRightInd w:val="0"/>
        <w:spacing w:before="120"/>
        <w:ind w:firstLine="709"/>
        <w:jc w:val="both"/>
        <w:rPr>
          <w:rFonts w:cstheme="minorHAnsi"/>
          <w:sz w:val="20"/>
          <w:szCs w:val="20"/>
        </w:rPr>
      </w:pPr>
      <w:r w:rsidRPr="002A326C">
        <w:rPr>
          <w:rFonts w:cstheme="minorHAnsi"/>
          <w:sz w:val="20"/>
          <w:szCs w:val="20"/>
        </w:rPr>
        <w:t>Sprawdzenie własności odblaskowych i kolorymetrycznych (współczynnika luminancji i współrzędnych chromatyczności) zaleca się przeprowadzić na licach tarcz znaków przed zamontowaniem na konstrukcjach wsporczych.</w:t>
      </w:r>
    </w:p>
    <w:p w14:paraId="7B4A3422" w14:textId="77777777" w:rsidR="004853EB" w:rsidRPr="00602EF6" w:rsidRDefault="004853EB" w:rsidP="002A326C">
      <w:pPr>
        <w:autoSpaceDE w:val="0"/>
        <w:autoSpaceDN w:val="0"/>
        <w:adjustRightInd w:val="0"/>
        <w:ind w:firstLine="709"/>
        <w:jc w:val="both"/>
        <w:rPr>
          <w:rFonts w:cstheme="minorHAnsi"/>
          <w:sz w:val="20"/>
          <w:szCs w:val="20"/>
        </w:rPr>
      </w:pPr>
      <w:r w:rsidRPr="00602EF6">
        <w:rPr>
          <w:rFonts w:cstheme="minorHAnsi"/>
          <w:sz w:val="20"/>
          <w:szCs w:val="20"/>
        </w:rPr>
        <w:t>W przypadkach budzących wątpliwości należy zlecić uprawnionej jednostce zbadanie właściwości dostarczonych wyrobów i materiałów w zakresie wymagań podanych w punkcie 2. Przykładowy zestaw badań kontrolnych może obejmować sprawdzenie:</w:t>
      </w:r>
    </w:p>
    <w:p w14:paraId="68BEF7FB" w14:textId="77777777" w:rsidR="004853EB" w:rsidRPr="00602EF6" w:rsidRDefault="004853EB">
      <w:pPr>
        <w:numPr>
          <w:ilvl w:val="0"/>
          <w:numId w:val="182"/>
        </w:numPr>
        <w:autoSpaceDE w:val="0"/>
        <w:autoSpaceDN w:val="0"/>
        <w:adjustRightInd w:val="0"/>
        <w:spacing w:after="0" w:line="240" w:lineRule="auto"/>
        <w:ind w:left="426" w:hanging="360"/>
        <w:jc w:val="both"/>
        <w:rPr>
          <w:rFonts w:cstheme="minorHAnsi"/>
          <w:sz w:val="20"/>
          <w:szCs w:val="20"/>
        </w:rPr>
      </w:pPr>
      <w:r w:rsidRPr="00602EF6">
        <w:rPr>
          <w:rFonts w:cstheme="minorHAnsi"/>
          <w:sz w:val="20"/>
          <w:szCs w:val="20"/>
        </w:rPr>
        <w:t>surowców:</w:t>
      </w:r>
    </w:p>
    <w:p w14:paraId="013C4D4D" w14:textId="77777777" w:rsidR="004853EB" w:rsidRPr="002A326C" w:rsidRDefault="004853EB">
      <w:pPr>
        <w:numPr>
          <w:ilvl w:val="0"/>
          <w:numId w:val="182"/>
        </w:numPr>
        <w:autoSpaceDE w:val="0"/>
        <w:autoSpaceDN w:val="0"/>
        <w:adjustRightInd w:val="0"/>
        <w:spacing w:after="0" w:line="240" w:lineRule="auto"/>
        <w:ind w:left="709" w:hanging="218"/>
        <w:jc w:val="both"/>
        <w:rPr>
          <w:rFonts w:cstheme="minorHAnsi"/>
          <w:sz w:val="20"/>
          <w:szCs w:val="20"/>
        </w:rPr>
      </w:pPr>
      <w:r w:rsidRPr="002A326C">
        <w:rPr>
          <w:rFonts w:cstheme="minorHAnsi"/>
          <w:sz w:val="20"/>
          <w:szCs w:val="20"/>
        </w:rPr>
        <w:t>grubości blachy i grubości ścianki słupka,</w:t>
      </w:r>
    </w:p>
    <w:p w14:paraId="016E32C8" w14:textId="77777777" w:rsidR="004853EB" w:rsidRPr="002A326C" w:rsidRDefault="004853EB">
      <w:pPr>
        <w:numPr>
          <w:ilvl w:val="0"/>
          <w:numId w:val="182"/>
        </w:numPr>
        <w:autoSpaceDE w:val="0"/>
        <w:autoSpaceDN w:val="0"/>
        <w:adjustRightInd w:val="0"/>
        <w:spacing w:after="0" w:line="240" w:lineRule="auto"/>
        <w:ind w:left="709" w:hanging="218"/>
        <w:jc w:val="both"/>
        <w:rPr>
          <w:rFonts w:cstheme="minorHAnsi"/>
          <w:sz w:val="20"/>
          <w:szCs w:val="20"/>
        </w:rPr>
      </w:pPr>
      <w:r w:rsidRPr="002A326C">
        <w:rPr>
          <w:rFonts w:cstheme="minorHAnsi"/>
          <w:sz w:val="20"/>
          <w:szCs w:val="20"/>
        </w:rPr>
        <w:t>wytrzymałości folii na oderwanie,</w:t>
      </w:r>
    </w:p>
    <w:p w14:paraId="7B9ED1C9" w14:textId="77777777" w:rsidR="004853EB" w:rsidRPr="002A326C" w:rsidRDefault="004853EB">
      <w:pPr>
        <w:numPr>
          <w:ilvl w:val="0"/>
          <w:numId w:val="182"/>
        </w:numPr>
        <w:autoSpaceDE w:val="0"/>
        <w:autoSpaceDN w:val="0"/>
        <w:adjustRightInd w:val="0"/>
        <w:spacing w:after="0" w:line="240" w:lineRule="auto"/>
        <w:ind w:left="426" w:hanging="360"/>
        <w:jc w:val="both"/>
        <w:rPr>
          <w:rFonts w:cstheme="minorHAnsi"/>
          <w:sz w:val="20"/>
          <w:szCs w:val="20"/>
        </w:rPr>
      </w:pPr>
      <w:r w:rsidRPr="002A326C">
        <w:rPr>
          <w:rFonts w:cstheme="minorHAnsi"/>
          <w:sz w:val="20"/>
          <w:szCs w:val="20"/>
        </w:rPr>
        <w:t>półproduktów lub gotowej tarczy znaku:</w:t>
      </w:r>
    </w:p>
    <w:p w14:paraId="16E2FB07" w14:textId="77777777" w:rsidR="004853EB" w:rsidRPr="002A326C" w:rsidRDefault="004853EB">
      <w:pPr>
        <w:numPr>
          <w:ilvl w:val="0"/>
          <w:numId w:val="182"/>
        </w:numPr>
        <w:autoSpaceDE w:val="0"/>
        <w:autoSpaceDN w:val="0"/>
        <w:adjustRightInd w:val="0"/>
        <w:spacing w:after="0" w:line="240" w:lineRule="auto"/>
        <w:ind w:left="709" w:hanging="218"/>
        <w:jc w:val="both"/>
        <w:rPr>
          <w:rFonts w:cstheme="minorHAnsi"/>
          <w:sz w:val="20"/>
          <w:szCs w:val="20"/>
        </w:rPr>
      </w:pPr>
      <w:r w:rsidRPr="002A326C">
        <w:rPr>
          <w:rFonts w:cstheme="minorHAnsi"/>
          <w:sz w:val="20"/>
          <w:szCs w:val="20"/>
        </w:rPr>
        <w:t>grubości powłoki lakierniczej,</w:t>
      </w:r>
    </w:p>
    <w:p w14:paraId="1CC4EF2C" w14:textId="77777777" w:rsidR="004853EB" w:rsidRPr="002A326C" w:rsidRDefault="004853EB">
      <w:pPr>
        <w:numPr>
          <w:ilvl w:val="0"/>
          <w:numId w:val="182"/>
        </w:numPr>
        <w:autoSpaceDE w:val="0"/>
        <w:autoSpaceDN w:val="0"/>
        <w:adjustRightInd w:val="0"/>
        <w:spacing w:after="0" w:line="240" w:lineRule="auto"/>
        <w:ind w:left="709" w:hanging="218"/>
        <w:jc w:val="both"/>
        <w:rPr>
          <w:rFonts w:cstheme="minorHAnsi"/>
          <w:sz w:val="20"/>
          <w:szCs w:val="20"/>
        </w:rPr>
      </w:pPr>
      <w:r w:rsidRPr="002A326C">
        <w:rPr>
          <w:rFonts w:cstheme="minorHAnsi"/>
          <w:sz w:val="20"/>
          <w:szCs w:val="20"/>
        </w:rPr>
        <w:t>płaskości powierzchni znaku.</w:t>
      </w:r>
    </w:p>
    <w:p w14:paraId="4A18243B" w14:textId="77777777" w:rsidR="004853EB" w:rsidRPr="002A326C" w:rsidRDefault="004853EB">
      <w:pPr>
        <w:numPr>
          <w:ilvl w:val="0"/>
          <w:numId w:val="182"/>
        </w:numPr>
        <w:autoSpaceDE w:val="0"/>
        <w:autoSpaceDN w:val="0"/>
        <w:adjustRightInd w:val="0"/>
        <w:spacing w:after="0" w:line="240" w:lineRule="auto"/>
        <w:ind w:left="709" w:hanging="218"/>
        <w:jc w:val="both"/>
        <w:rPr>
          <w:rFonts w:cstheme="minorHAnsi"/>
          <w:sz w:val="20"/>
          <w:szCs w:val="20"/>
        </w:rPr>
      </w:pPr>
      <w:r w:rsidRPr="002A326C">
        <w:rPr>
          <w:rFonts w:cstheme="minorHAnsi"/>
          <w:sz w:val="20"/>
          <w:szCs w:val="20"/>
        </w:rPr>
        <w:t>wymiarów tarczy, lica znaku i rysunków na nim zawartych,</w:t>
      </w:r>
    </w:p>
    <w:p w14:paraId="1B32BC95" w14:textId="77777777" w:rsidR="004853EB" w:rsidRPr="002A326C" w:rsidRDefault="004853EB">
      <w:pPr>
        <w:numPr>
          <w:ilvl w:val="0"/>
          <w:numId w:val="182"/>
        </w:numPr>
        <w:autoSpaceDE w:val="0"/>
        <w:autoSpaceDN w:val="0"/>
        <w:adjustRightInd w:val="0"/>
        <w:spacing w:after="0" w:line="240" w:lineRule="auto"/>
        <w:ind w:left="709" w:hanging="218"/>
        <w:jc w:val="both"/>
        <w:rPr>
          <w:rFonts w:cstheme="minorHAnsi"/>
          <w:sz w:val="20"/>
          <w:szCs w:val="20"/>
        </w:rPr>
      </w:pPr>
      <w:r w:rsidRPr="002A326C">
        <w:rPr>
          <w:rFonts w:cstheme="minorHAnsi"/>
          <w:sz w:val="20"/>
          <w:szCs w:val="20"/>
        </w:rPr>
        <w:t>wartości współczynnika odblasku folii na licu znaku,</w:t>
      </w:r>
    </w:p>
    <w:p w14:paraId="04796F1B" w14:textId="77777777" w:rsidR="004853EB" w:rsidRPr="002A326C" w:rsidRDefault="004853EB">
      <w:pPr>
        <w:numPr>
          <w:ilvl w:val="0"/>
          <w:numId w:val="182"/>
        </w:numPr>
        <w:autoSpaceDE w:val="0"/>
        <w:autoSpaceDN w:val="0"/>
        <w:adjustRightInd w:val="0"/>
        <w:spacing w:after="0" w:line="240" w:lineRule="auto"/>
        <w:ind w:left="709" w:hanging="218"/>
        <w:jc w:val="both"/>
        <w:rPr>
          <w:rFonts w:cstheme="minorHAnsi"/>
          <w:sz w:val="20"/>
          <w:szCs w:val="20"/>
        </w:rPr>
      </w:pPr>
      <w:r w:rsidRPr="002A326C">
        <w:rPr>
          <w:rFonts w:cstheme="minorHAnsi"/>
          <w:sz w:val="20"/>
          <w:szCs w:val="20"/>
        </w:rPr>
        <w:t>wartości współrzędnych chromatyczności i współczynnika luminancji na licu i rewersie znaku,</w:t>
      </w:r>
    </w:p>
    <w:p w14:paraId="41A82385" w14:textId="77777777" w:rsidR="004853EB" w:rsidRPr="002A326C" w:rsidRDefault="004853EB">
      <w:pPr>
        <w:numPr>
          <w:ilvl w:val="0"/>
          <w:numId w:val="182"/>
        </w:numPr>
        <w:autoSpaceDE w:val="0"/>
        <w:autoSpaceDN w:val="0"/>
        <w:adjustRightInd w:val="0"/>
        <w:spacing w:after="0" w:line="240" w:lineRule="auto"/>
        <w:ind w:left="709" w:hanging="218"/>
        <w:jc w:val="both"/>
        <w:rPr>
          <w:rFonts w:cstheme="minorHAnsi"/>
          <w:sz w:val="20"/>
          <w:szCs w:val="20"/>
        </w:rPr>
      </w:pPr>
      <w:r w:rsidRPr="002A326C">
        <w:rPr>
          <w:rFonts w:cstheme="minorHAnsi"/>
          <w:sz w:val="20"/>
          <w:szCs w:val="20"/>
        </w:rPr>
        <w:t>chwilowego i trwałego odkształcenia zginającego tarczę znaku i słupek,</w:t>
      </w:r>
    </w:p>
    <w:p w14:paraId="6A676E72" w14:textId="77777777" w:rsidR="004853EB" w:rsidRPr="002A326C" w:rsidRDefault="004853EB">
      <w:pPr>
        <w:numPr>
          <w:ilvl w:val="0"/>
          <w:numId w:val="182"/>
        </w:numPr>
        <w:autoSpaceDE w:val="0"/>
        <w:autoSpaceDN w:val="0"/>
        <w:adjustRightInd w:val="0"/>
        <w:spacing w:after="0" w:line="240" w:lineRule="auto"/>
        <w:ind w:left="709" w:hanging="218"/>
        <w:jc w:val="both"/>
        <w:rPr>
          <w:rFonts w:cstheme="minorHAnsi"/>
          <w:sz w:val="20"/>
          <w:szCs w:val="20"/>
        </w:rPr>
      </w:pPr>
      <w:r w:rsidRPr="002A326C">
        <w:rPr>
          <w:rFonts w:cstheme="minorHAnsi"/>
          <w:sz w:val="20"/>
          <w:szCs w:val="20"/>
        </w:rPr>
        <w:t>odporności na uderzenie kulą.</w:t>
      </w:r>
    </w:p>
    <w:p w14:paraId="1D04F00C" w14:textId="77777777" w:rsidR="004853EB" w:rsidRPr="002A326C" w:rsidRDefault="004853EB" w:rsidP="002A326C">
      <w:pPr>
        <w:autoSpaceDE w:val="0"/>
        <w:autoSpaceDN w:val="0"/>
        <w:adjustRightInd w:val="0"/>
        <w:spacing w:before="120" w:after="120"/>
        <w:jc w:val="both"/>
        <w:rPr>
          <w:rFonts w:cstheme="minorHAnsi"/>
          <w:sz w:val="20"/>
          <w:szCs w:val="20"/>
        </w:rPr>
      </w:pPr>
      <w:r w:rsidRPr="002A326C">
        <w:rPr>
          <w:rFonts w:cstheme="minorHAnsi"/>
          <w:b/>
          <w:bCs/>
          <w:sz w:val="20"/>
          <w:szCs w:val="20"/>
        </w:rPr>
        <w:t xml:space="preserve">6.3.3. </w:t>
      </w:r>
      <w:r w:rsidRPr="002A326C">
        <w:rPr>
          <w:rFonts w:cstheme="minorHAnsi"/>
          <w:sz w:val="20"/>
          <w:szCs w:val="20"/>
        </w:rPr>
        <w:t>Kontrola w czasie wykonywania robót</w:t>
      </w:r>
    </w:p>
    <w:p w14:paraId="6179ADA9"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W czasie wykonywania robót należy sprawdzać:</w:t>
      </w:r>
    </w:p>
    <w:p w14:paraId="14081A2B" w14:textId="77777777" w:rsidR="004853EB" w:rsidRPr="002A326C" w:rsidRDefault="004853EB">
      <w:pPr>
        <w:numPr>
          <w:ilvl w:val="0"/>
          <w:numId w:val="182"/>
        </w:numPr>
        <w:autoSpaceDE w:val="0"/>
        <w:autoSpaceDN w:val="0"/>
        <w:adjustRightInd w:val="0"/>
        <w:spacing w:after="0" w:line="240" w:lineRule="auto"/>
        <w:ind w:left="405" w:hanging="360"/>
        <w:jc w:val="both"/>
        <w:rPr>
          <w:rFonts w:cstheme="minorHAnsi"/>
          <w:sz w:val="20"/>
          <w:szCs w:val="20"/>
        </w:rPr>
      </w:pPr>
      <w:r w:rsidRPr="002A326C">
        <w:rPr>
          <w:rFonts w:cstheme="minorHAnsi"/>
          <w:sz w:val="20"/>
          <w:szCs w:val="20"/>
        </w:rPr>
        <w:t>zgodność wykonania znaków pionowych z dokumentacją projektową (lokalizacja, wymiary znaków, wysokość zamocowania znaków),</w:t>
      </w:r>
    </w:p>
    <w:p w14:paraId="15E09B12" w14:textId="77777777" w:rsidR="004853EB" w:rsidRPr="002A326C" w:rsidRDefault="004853EB">
      <w:pPr>
        <w:numPr>
          <w:ilvl w:val="0"/>
          <w:numId w:val="182"/>
        </w:numPr>
        <w:autoSpaceDE w:val="0"/>
        <w:autoSpaceDN w:val="0"/>
        <w:adjustRightInd w:val="0"/>
        <w:spacing w:after="0" w:line="240" w:lineRule="auto"/>
        <w:ind w:left="405" w:hanging="360"/>
        <w:jc w:val="both"/>
        <w:rPr>
          <w:rFonts w:cstheme="minorHAnsi"/>
          <w:sz w:val="20"/>
          <w:szCs w:val="20"/>
        </w:rPr>
      </w:pPr>
      <w:r w:rsidRPr="002A326C">
        <w:rPr>
          <w:rFonts w:cstheme="minorHAnsi"/>
          <w:sz w:val="20"/>
          <w:szCs w:val="20"/>
        </w:rPr>
        <w:t>zachowanie dopuszczalnych odchyłek wymiarów, zgodnie z punktem 2 i 5,</w:t>
      </w:r>
    </w:p>
    <w:p w14:paraId="64A9C4E6" w14:textId="77777777" w:rsidR="004853EB" w:rsidRPr="002A326C" w:rsidRDefault="004853EB">
      <w:pPr>
        <w:numPr>
          <w:ilvl w:val="0"/>
          <w:numId w:val="182"/>
        </w:numPr>
        <w:autoSpaceDE w:val="0"/>
        <w:autoSpaceDN w:val="0"/>
        <w:adjustRightInd w:val="0"/>
        <w:spacing w:after="0" w:line="240" w:lineRule="auto"/>
        <w:ind w:left="405" w:hanging="360"/>
        <w:jc w:val="both"/>
        <w:rPr>
          <w:rFonts w:cstheme="minorHAnsi"/>
          <w:sz w:val="20"/>
          <w:szCs w:val="20"/>
        </w:rPr>
      </w:pPr>
      <w:r w:rsidRPr="002A326C">
        <w:rPr>
          <w:rFonts w:cstheme="minorHAnsi"/>
          <w:sz w:val="20"/>
          <w:szCs w:val="20"/>
        </w:rPr>
        <w:t>prawidłowość wykonania wykopów pod konstrukcje wsporcze, zgodnie z punktem 5.3,</w:t>
      </w:r>
    </w:p>
    <w:p w14:paraId="5FF390B5" w14:textId="77777777" w:rsidR="004853EB" w:rsidRPr="002A326C" w:rsidRDefault="004853EB">
      <w:pPr>
        <w:numPr>
          <w:ilvl w:val="0"/>
          <w:numId w:val="182"/>
        </w:numPr>
        <w:autoSpaceDE w:val="0"/>
        <w:autoSpaceDN w:val="0"/>
        <w:adjustRightInd w:val="0"/>
        <w:spacing w:after="0" w:line="240" w:lineRule="auto"/>
        <w:ind w:left="405" w:hanging="360"/>
        <w:jc w:val="both"/>
        <w:rPr>
          <w:rFonts w:cstheme="minorHAnsi"/>
          <w:sz w:val="20"/>
          <w:szCs w:val="20"/>
        </w:rPr>
      </w:pPr>
      <w:r w:rsidRPr="002A326C">
        <w:rPr>
          <w:rFonts w:cstheme="minorHAnsi"/>
          <w:sz w:val="20"/>
          <w:szCs w:val="20"/>
        </w:rPr>
        <w:t>poprawność wykonania fundamentów pod słupki zgodnie z punktem 5.3,</w:t>
      </w:r>
    </w:p>
    <w:p w14:paraId="1E0351D6" w14:textId="77777777" w:rsidR="004853EB" w:rsidRPr="002A326C" w:rsidRDefault="004853EB">
      <w:pPr>
        <w:numPr>
          <w:ilvl w:val="0"/>
          <w:numId w:val="182"/>
        </w:numPr>
        <w:autoSpaceDE w:val="0"/>
        <w:autoSpaceDN w:val="0"/>
        <w:adjustRightInd w:val="0"/>
        <w:spacing w:after="0" w:line="240" w:lineRule="auto"/>
        <w:ind w:left="405" w:hanging="360"/>
        <w:jc w:val="both"/>
        <w:rPr>
          <w:rFonts w:cstheme="minorHAnsi"/>
          <w:sz w:val="20"/>
          <w:szCs w:val="20"/>
        </w:rPr>
      </w:pPr>
      <w:r w:rsidRPr="002A326C">
        <w:rPr>
          <w:rFonts w:cstheme="minorHAnsi"/>
          <w:sz w:val="20"/>
          <w:szCs w:val="20"/>
        </w:rPr>
        <w:t>poprawność ustawienia słupków i konstrukcji wsporczych, zgodnie z punktem 5.4,</w:t>
      </w:r>
    </w:p>
    <w:p w14:paraId="00674FAB" w14:textId="77777777" w:rsidR="004853EB" w:rsidRPr="002A326C" w:rsidRDefault="004853EB">
      <w:pPr>
        <w:numPr>
          <w:ilvl w:val="0"/>
          <w:numId w:val="182"/>
        </w:numPr>
        <w:autoSpaceDE w:val="0"/>
        <w:autoSpaceDN w:val="0"/>
        <w:adjustRightInd w:val="0"/>
        <w:spacing w:after="0" w:line="240" w:lineRule="auto"/>
        <w:ind w:left="405" w:hanging="360"/>
        <w:jc w:val="both"/>
        <w:rPr>
          <w:rFonts w:cstheme="minorHAnsi"/>
          <w:sz w:val="20"/>
          <w:szCs w:val="20"/>
        </w:rPr>
      </w:pPr>
      <w:r w:rsidRPr="002A326C">
        <w:rPr>
          <w:rFonts w:cstheme="minorHAnsi"/>
          <w:sz w:val="20"/>
          <w:szCs w:val="20"/>
        </w:rPr>
        <w:t>zgodność rodzaju i grubości blachy ze specyfikacją,</w:t>
      </w:r>
    </w:p>
    <w:p w14:paraId="16680D32" w14:textId="77777777" w:rsidR="004853EB" w:rsidRPr="002A326C" w:rsidRDefault="004853EB">
      <w:pPr>
        <w:numPr>
          <w:ilvl w:val="0"/>
          <w:numId w:val="182"/>
        </w:numPr>
        <w:autoSpaceDE w:val="0"/>
        <w:autoSpaceDN w:val="0"/>
        <w:adjustRightInd w:val="0"/>
        <w:spacing w:after="0" w:line="240" w:lineRule="auto"/>
        <w:ind w:left="405" w:hanging="360"/>
        <w:jc w:val="both"/>
        <w:rPr>
          <w:rFonts w:cstheme="minorHAnsi"/>
          <w:sz w:val="20"/>
          <w:szCs w:val="20"/>
        </w:rPr>
      </w:pPr>
      <w:r w:rsidRPr="002A326C">
        <w:rPr>
          <w:rFonts w:cstheme="minorHAnsi"/>
          <w:sz w:val="20"/>
          <w:szCs w:val="20"/>
        </w:rPr>
        <w:t>grubość warstwy cynku na słupkach i blasze stalowej,</w:t>
      </w:r>
    </w:p>
    <w:p w14:paraId="30CEE1E0" w14:textId="77777777" w:rsidR="004853EB" w:rsidRPr="002A326C" w:rsidRDefault="004853EB">
      <w:pPr>
        <w:numPr>
          <w:ilvl w:val="0"/>
          <w:numId w:val="182"/>
        </w:numPr>
        <w:autoSpaceDE w:val="0"/>
        <w:autoSpaceDN w:val="0"/>
        <w:adjustRightInd w:val="0"/>
        <w:spacing w:after="0" w:line="240" w:lineRule="auto"/>
        <w:ind w:left="405" w:hanging="360"/>
        <w:jc w:val="both"/>
        <w:rPr>
          <w:rFonts w:cstheme="minorHAnsi"/>
          <w:sz w:val="20"/>
          <w:szCs w:val="20"/>
        </w:rPr>
      </w:pPr>
      <w:r w:rsidRPr="002A326C">
        <w:rPr>
          <w:rFonts w:cstheme="minorHAnsi"/>
          <w:sz w:val="20"/>
          <w:szCs w:val="20"/>
        </w:rPr>
        <w:t>grubość warstwy lakieru na rewersie tarczy znaku.</w:t>
      </w:r>
    </w:p>
    <w:p w14:paraId="0BBC24C1" w14:textId="77777777" w:rsidR="004853EB" w:rsidRPr="002A326C" w:rsidRDefault="004853EB" w:rsidP="002A326C">
      <w:pPr>
        <w:autoSpaceDE w:val="0"/>
        <w:autoSpaceDN w:val="0"/>
        <w:adjustRightInd w:val="0"/>
        <w:spacing w:before="120" w:after="120"/>
        <w:jc w:val="both"/>
        <w:rPr>
          <w:rFonts w:cstheme="minorHAnsi"/>
          <w:sz w:val="20"/>
          <w:szCs w:val="20"/>
        </w:rPr>
      </w:pPr>
      <w:r w:rsidRPr="002A326C">
        <w:rPr>
          <w:rFonts w:cstheme="minorHAnsi"/>
          <w:b/>
          <w:bCs/>
          <w:sz w:val="20"/>
          <w:szCs w:val="20"/>
        </w:rPr>
        <w:t xml:space="preserve">6.3.4. </w:t>
      </w:r>
      <w:r w:rsidRPr="002A326C">
        <w:rPr>
          <w:rFonts w:cstheme="minorHAnsi"/>
          <w:sz w:val="20"/>
          <w:szCs w:val="20"/>
        </w:rPr>
        <w:t>Kontrola przed odbiorem końcowym</w:t>
      </w:r>
    </w:p>
    <w:p w14:paraId="4BDAA5A7"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Do odbioru końcowego robót należy:</w:t>
      </w:r>
    </w:p>
    <w:p w14:paraId="1E11D196"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sprawdzić zgodność wykonania zlecenia z podpisaną umową i ST,</w:t>
      </w:r>
    </w:p>
    <w:p w14:paraId="2CA219C5"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dokonać objazdu nocnego i ocenić odblaskowość wykonanego oznakowania,</w:t>
      </w:r>
    </w:p>
    <w:p w14:paraId="61C36FD5" w14:textId="77777777" w:rsidR="004853EB" w:rsidRPr="002A326C" w:rsidRDefault="004853EB">
      <w:pPr>
        <w:numPr>
          <w:ilvl w:val="0"/>
          <w:numId w:val="182"/>
        </w:numPr>
        <w:autoSpaceDE w:val="0"/>
        <w:autoSpaceDN w:val="0"/>
        <w:adjustRightInd w:val="0"/>
        <w:spacing w:after="0" w:line="240" w:lineRule="auto"/>
        <w:ind w:left="360" w:hanging="360"/>
        <w:jc w:val="both"/>
        <w:rPr>
          <w:rFonts w:cstheme="minorHAnsi"/>
          <w:sz w:val="20"/>
          <w:szCs w:val="20"/>
        </w:rPr>
      </w:pPr>
      <w:r w:rsidRPr="002A326C">
        <w:rPr>
          <w:rFonts w:cstheme="minorHAnsi"/>
          <w:sz w:val="20"/>
          <w:szCs w:val="20"/>
        </w:rPr>
        <w:t>jeśli są wątpliwości wykonać własnym sprzętem lub zlecić wykonanie badań odblaskowości.</w:t>
      </w:r>
    </w:p>
    <w:p w14:paraId="21A63358" w14:textId="77777777" w:rsidR="004853EB" w:rsidRPr="002A326C" w:rsidRDefault="004853EB" w:rsidP="002A326C">
      <w:pPr>
        <w:keepNext/>
        <w:keepLines/>
        <w:suppressAutoHyphens/>
        <w:autoSpaceDE w:val="0"/>
        <w:autoSpaceDN w:val="0"/>
        <w:adjustRightInd w:val="0"/>
        <w:spacing w:before="240" w:after="120"/>
        <w:jc w:val="both"/>
        <w:rPr>
          <w:rFonts w:cstheme="minorHAnsi"/>
          <w:b/>
          <w:bCs/>
          <w:caps/>
          <w:sz w:val="20"/>
          <w:szCs w:val="20"/>
        </w:rPr>
      </w:pPr>
      <w:r w:rsidRPr="002A326C">
        <w:rPr>
          <w:rFonts w:cstheme="minorHAnsi"/>
          <w:b/>
          <w:bCs/>
          <w:caps/>
          <w:sz w:val="20"/>
          <w:szCs w:val="20"/>
        </w:rPr>
        <w:lastRenderedPageBreak/>
        <w:t>7. Obmiar robót</w:t>
      </w:r>
    </w:p>
    <w:p w14:paraId="000C7F34" w14:textId="77777777" w:rsidR="004853EB" w:rsidRPr="002A326C" w:rsidRDefault="004853EB" w:rsidP="002A326C">
      <w:pPr>
        <w:keepNext/>
        <w:autoSpaceDE w:val="0"/>
        <w:autoSpaceDN w:val="0"/>
        <w:adjustRightInd w:val="0"/>
        <w:spacing w:before="120" w:after="60"/>
        <w:jc w:val="both"/>
        <w:rPr>
          <w:rFonts w:cstheme="minorHAnsi"/>
          <w:b/>
          <w:bCs/>
          <w:sz w:val="20"/>
          <w:szCs w:val="20"/>
        </w:rPr>
      </w:pPr>
      <w:r w:rsidRPr="002A326C">
        <w:rPr>
          <w:rFonts w:cstheme="minorHAnsi"/>
          <w:b/>
          <w:bCs/>
          <w:sz w:val="20"/>
          <w:szCs w:val="20"/>
        </w:rPr>
        <w:t>7.1. Ogólne zasady obmiaru robót</w:t>
      </w:r>
    </w:p>
    <w:p w14:paraId="7A78A542" w14:textId="514115B4"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 xml:space="preserve">Ogólne zasady obmiaru robót podano w </w:t>
      </w:r>
      <w:r w:rsidR="00602EF6" w:rsidRPr="002A326C">
        <w:rPr>
          <w:rFonts w:cstheme="minorHAnsi"/>
          <w:sz w:val="20"/>
          <w:szCs w:val="20"/>
        </w:rPr>
        <w:t>SST D</w:t>
      </w:r>
      <w:r w:rsidRPr="002A326C">
        <w:rPr>
          <w:rFonts w:cstheme="minorHAnsi"/>
          <w:sz w:val="20"/>
          <w:szCs w:val="20"/>
        </w:rPr>
        <w:t>-00.00.00 „Wymagania ogólne” pkt 7.</w:t>
      </w:r>
    </w:p>
    <w:p w14:paraId="0168DE1A" w14:textId="77777777" w:rsidR="004853EB" w:rsidRPr="002A326C" w:rsidRDefault="004853EB" w:rsidP="002A326C">
      <w:pPr>
        <w:autoSpaceDE w:val="0"/>
        <w:autoSpaceDN w:val="0"/>
        <w:adjustRightInd w:val="0"/>
        <w:jc w:val="both"/>
        <w:rPr>
          <w:rFonts w:cstheme="minorHAnsi"/>
          <w:sz w:val="20"/>
          <w:szCs w:val="20"/>
        </w:rPr>
      </w:pPr>
    </w:p>
    <w:p w14:paraId="2F1D35C8"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7.2. Jednostka obmiarowa</w:t>
      </w:r>
    </w:p>
    <w:p w14:paraId="0EA50530" w14:textId="77777777"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Jednostkami obmiarowymi są:</w:t>
      </w:r>
    </w:p>
    <w:p w14:paraId="6BC4C502" w14:textId="77777777" w:rsidR="004853EB" w:rsidRPr="002A326C" w:rsidRDefault="004853EB">
      <w:pPr>
        <w:numPr>
          <w:ilvl w:val="0"/>
          <w:numId w:val="183"/>
        </w:numPr>
        <w:autoSpaceDE w:val="0"/>
        <w:autoSpaceDN w:val="0"/>
        <w:adjustRightInd w:val="0"/>
        <w:spacing w:after="0" w:line="240" w:lineRule="auto"/>
        <w:jc w:val="both"/>
        <w:rPr>
          <w:rFonts w:cstheme="minorHAnsi"/>
          <w:sz w:val="20"/>
          <w:szCs w:val="20"/>
        </w:rPr>
      </w:pPr>
      <w:r w:rsidRPr="002A326C">
        <w:rPr>
          <w:rFonts w:cstheme="minorHAnsi"/>
          <w:sz w:val="20"/>
          <w:szCs w:val="20"/>
        </w:rPr>
        <w:t>szt. (sztuka), dla znaków drogowych konwencjonalnych oraz konstrukcji wsporczych,</w:t>
      </w:r>
    </w:p>
    <w:p w14:paraId="76C6D99E" w14:textId="77777777" w:rsidR="004853EB" w:rsidRPr="002A326C" w:rsidRDefault="004853EB">
      <w:pPr>
        <w:numPr>
          <w:ilvl w:val="0"/>
          <w:numId w:val="183"/>
        </w:numPr>
        <w:autoSpaceDE w:val="0"/>
        <w:autoSpaceDN w:val="0"/>
        <w:adjustRightInd w:val="0"/>
        <w:spacing w:after="0" w:line="240" w:lineRule="auto"/>
        <w:jc w:val="both"/>
        <w:rPr>
          <w:rFonts w:cstheme="minorHAnsi"/>
          <w:sz w:val="20"/>
          <w:szCs w:val="20"/>
        </w:rPr>
      </w:pPr>
      <w:r w:rsidRPr="002A326C">
        <w:rPr>
          <w:rFonts w:cstheme="minorHAnsi"/>
          <w:sz w:val="20"/>
          <w:szCs w:val="20"/>
        </w:rPr>
        <w:t>m</w:t>
      </w:r>
      <w:r w:rsidRPr="002A326C">
        <w:rPr>
          <w:rFonts w:cstheme="minorHAnsi"/>
          <w:sz w:val="20"/>
          <w:szCs w:val="20"/>
          <w:vertAlign w:val="superscript"/>
        </w:rPr>
        <w:t>2</w:t>
      </w:r>
      <w:r w:rsidRPr="002A326C">
        <w:rPr>
          <w:rFonts w:cstheme="minorHAnsi"/>
          <w:sz w:val="20"/>
          <w:szCs w:val="20"/>
        </w:rPr>
        <w:t xml:space="preserve"> (metr kwadratowy) powierzchni tablic dla znaków pozostałych.</w:t>
      </w:r>
    </w:p>
    <w:p w14:paraId="45977C9B" w14:textId="77777777" w:rsidR="004853EB" w:rsidRPr="002A326C" w:rsidRDefault="004853EB" w:rsidP="002A326C">
      <w:pPr>
        <w:keepNext/>
        <w:keepLines/>
        <w:suppressAutoHyphens/>
        <w:autoSpaceDE w:val="0"/>
        <w:autoSpaceDN w:val="0"/>
        <w:adjustRightInd w:val="0"/>
        <w:spacing w:before="240" w:after="120"/>
        <w:jc w:val="both"/>
        <w:rPr>
          <w:rFonts w:cstheme="minorHAnsi"/>
          <w:b/>
          <w:bCs/>
          <w:caps/>
          <w:sz w:val="20"/>
          <w:szCs w:val="20"/>
        </w:rPr>
      </w:pPr>
      <w:r w:rsidRPr="002A326C">
        <w:rPr>
          <w:rFonts w:cstheme="minorHAnsi"/>
          <w:b/>
          <w:bCs/>
          <w:caps/>
          <w:sz w:val="20"/>
          <w:szCs w:val="20"/>
        </w:rPr>
        <w:t>8. Odbiór robót</w:t>
      </w:r>
    </w:p>
    <w:p w14:paraId="5F942A09" w14:textId="77777777" w:rsidR="004853EB" w:rsidRPr="002A326C" w:rsidRDefault="004853EB" w:rsidP="002A326C">
      <w:pPr>
        <w:keepNext/>
        <w:autoSpaceDE w:val="0"/>
        <w:autoSpaceDN w:val="0"/>
        <w:adjustRightInd w:val="0"/>
        <w:spacing w:before="60" w:after="120"/>
        <w:jc w:val="both"/>
        <w:rPr>
          <w:rFonts w:cstheme="minorHAnsi"/>
          <w:b/>
          <w:bCs/>
          <w:sz w:val="20"/>
          <w:szCs w:val="20"/>
        </w:rPr>
      </w:pPr>
      <w:r w:rsidRPr="002A326C">
        <w:rPr>
          <w:rFonts w:cstheme="minorHAnsi"/>
          <w:b/>
          <w:bCs/>
          <w:sz w:val="20"/>
          <w:szCs w:val="20"/>
        </w:rPr>
        <w:t>8.1. Ogólne zasady odbioru robót</w:t>
      </w:r>
    </w:p>
    <w:p w14:paraId="521D9268" w14:textId="65D5C8F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 xml:space="preserve">Ogólne zasady odbioru robót podano w </w:t>
      </w:r>
      <w:r w:rsidR="00602EF6" w:rsidRPr="002A326C">
        <w:rPr>
          <w:rFonts w:cstheme="minorHAnsi"/>
          <w:sz w:val="20"/>
          <w:szCs w:val="20"/>
        </w:rPr>
        <w:t>SST D</w:t>
      </w:r>
      <w:r w:rsidRPr="002A326C">
        <w:rPr>
          <w:rFonts w:cstheme="minorHAnsi"/>
          <w:sz w:val="20"/>
          <w:szCs w:val="20"/>
        </w:rPr>
        <w:t>-00.00.00 „Wymagania ogólne” pkt 8.</w:t>
      </w:r>
    </w:p>
    <w:p w14:paraId="53867247"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Roboty uznaje się za wykonane zgodnie z dokumentacją projektową, SST i wymaganiami Inżyniera, jeżeli przeprowadzone badania i pomiary z zachowaniem tolerancji według pktu 6 dały wyniki pozytywne.</w:t>
      </w:r>
    </w:p>
    <w:p w14:paraId="67DAE71B"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8.2. Odbiór ostateczny</w:t>
      </w:r>
    </w:p>
    <w:p w14:paraId="53E0E46E" w14:textId="4F0C1016"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 xml:space="preserve">Odbiór robót oznakowania pionowego dokonywany jest na zasadzie odbioru ostatecznego. Odbiór ostateczny polega na finalnej ocenie rzeczywistego wykonania robót w odniesieniu do ich ilości, jakości i wartości [30]. Całkowite zakończenie robót oraz gotowość do odbioru ostatecznego będzie potwierdzona przez Wykonawcę wpisem do dziennika budowy z bezzwłocznym powiadomieniem na piśmie Inspektora Nadzoru. Odbioru ostatecznego robót dokonuje komisja wyznaczona przez Zamawiającego w obecności Inspektora Nadzoru i Wykonawcy. Komisja odbierająca roboty dokonuje ich oceny jakościowej na podstawie oceny wizualnej, przedłożonych dokumentów, wyników badań i pomiarów oraz zgodności wykonania oznakowania </w:t>
      </w:r>
      <w:r w:rsidR="0082360A">
        <w:rPr>
          <w:rFonts w:cstheme="minorHAnsi"/>
          <w:sz w:val="20"/>
          <w:szCs w:val="20"/>
        </w:rPr>
        <w:br/>
      </w:r>
      <w:r w:rsidRPr="002A326C">
        <w:rPr>
          <w:rFonts w:cstheme="minorHAnsi"/>
          <w:sz w:val="20"/>
          <w:szCs w:val="20"/>
        </w:rPr>
        <w:t>z dokumentacja projektową i ST.</w:t>
      </w:r>
    </w:p>
    <w:p w14:paraId="75A81FD5"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8.3. Odbiór pogwarancyjny</w:t>
      </w:r>
    </w:p>
    <w:p w14:paraId="4DDA2058"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Przed upływem okresu gwarancyjnego jakości należy wykonać przegląd znaków i wybraną grupę poddać badaniom fotometrycznym lica. Pozytywne wyniki przeglądu i badań mogą być podstawą odbioru pogwarancyjnego.</w:t>
      </w:r>
    </w:p>
    <w:p w14:paraId="4417B473" w14:textId="1CD20E69"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 xml:space="preserve">Odbiór pogwarancyjny polega na ocenie wykonanych robót związanych z usunięciem wad stwierdzonych </w:t>
      </w:r>
      <w:r w:rsidR="0082360A">
        <w:rPr>
          <w:rFonts w:cstheme="minorHAnsi"/>
          <w:sz w:val="20"/>
          <w:szCs w:val="20"/>
        </w:rPr>
        <w:br/>
      </w:r>
      <w:r w:rsidRPr="002A326C">
        <w:rPr>
          <w:rFonts w:cstheme="minorHAnsi"/>
          <w:sz w:val="20"/>
          <w:szCs w:val="20"/>
        </w:rPr>
        <w:t>w trakcie odbioru ostatecznego i zaistniałych w okresie gwarancyjnym.</w:t>
      </w:r>
    </w:p>
    <w:p w14:paraId="5C726981" w14:textId="77777777" w:rsidR="004853EB" w:rsidRPr="002A326C" w:rsidRDefault="004853EB" w:rsidP="002A326C">
      <w:pPr>
        <w:autoSpaceDE w:val="0"/>
        <w:autoSpaceDN w:val="0"/>
        <w:adjustRightInd w:val="0"/>
        <w:ind w:firstLine="709"/>
        <w:jc w:val="both"/>
        <w:rPr>
          <w:rFonts w:cstheme="minorHAnsi"/>
          <w:sz w:val="20"/>
          <w:szCs w:val="20"/>
        </w:rPr>
      </w:pPr>
      <w:r w:rsidRPr="002A326C">
        <w:rPr>
          <w:rFonts w:cstheme="minorHAnsi"/>
          <w:sz w:val="20"/>
          <w:szCs w:val="20"/>
        </w:rPr>
        <w:t>Odbiór pogwarancyjny zaleca się przeprowadzić w ciągu 1 miesiąca po upływie okresu gwarancyjnego, ustalonego w ST.</w:t>
      </w:r>
    </w:p>
    <w:p w14:paraId="2C466FE0" w14:textId="77777777" w:rsidR="004853EB" w:rsidRPr="002A326C" w:rsidRDefault="004853EB" w:rsidP="002A326C">
      <w:pPr>
        <w:keepNext/>
        <w:keepLines/>
        <w:suppressAutoHyphens/>
        <w:autoSpaceDE w:val="0"/>
        <w:autoSpaceDN w:val="0"/>
        <w:adjustRightInd w:val="0"/>
        <w:spacing w:before="240" w:after="120"/>
        <w:jc w:val="both"/>
        <w:rPr>
          <w:rFonts w:cstheme="minorHAnsi"/>
          <w:b/>
          <w:bCs/>
          <w:caps/>
          <w:sz w:val="20"/>
          <w:szCs w:val="20"/>
        </w:rPr>
      </w:pPr>
      <w:r w:rsidRPr="002A326C">
        <w:rPr>
          <w:rFonts w:cstheme="minorHAnsi"/>
          <w:b/>
          <w:bCs/>
          <w:caps/>
          <w:sz w:val="20"/>
          <w:szCs w:val="20"/>
        </w:rPr>
        <w:t>9. Podstawa płatności</w:t>
      </w:r>
    </w:p>
    <w:p w14:paraId="253EC170"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9.1. Ogólne ustalenia dotyczące podstawy płatności</w:t>
      </w:r>
    </w:p>
    <w:p w14:paraId="738FB017"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 xml:space="preserve">Ogólne ustalenia dotyczące podstawy płatności podano w SST D-00.00.00 „Wymagania ogólne” pkt 9. </w:t>
      </w:r>
    </w:p>
    <w:p w14:paraId="6A634A5B"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9.2. Cena jednostki obmiarowej</w:t>
      </w:r>
    </w:p>
    <w:p w14:paraId="7E286364" w14:textId="77777777" w:rsidR="004853EB" w:rsidRPr="002A326C" w:rsidRDefault="004853EB" w:rsidP="002A326C">
      <w:pPr>
        <w:autoSpaceDE w:val="0"/>
        <w:autoSpaceDN w:val="0"/>
        <w:adjustRightInd w:val="0"/>
        <w:jc w:val="both"/>
        <w:rPr>
          <w:rFonts w:cstheme="minorHAnsi"/>
          <w:sz w:val="20"/>
          <w:szCs w:val="20"/>
        </w:rPr>
      </w:pPr>
      <w:r w:rsidRPr="002A326C">
        <w:rPr>
          <w:rFonts w:cstheme="minorHAnsi"/>
          <w:sz w:val="20"/>
          <w:szCs w:val="20"/>
        </w:rPr>
        <w:tab/>
        <w:t>Cena wykonania jednostki obmiarowej oznakowania pionowego obejmuje:</w:t>
      </w:r>
    </w:p>
    <w:p w14:paraId="6E79E777" w14:textId="77777777" w:rsidR="004853EB" w:rsidRPr="002A326C" w:rsidRDefault="004853EB">
      <w:pPr>
        <w:numPr>
          <w:ilvl w:val="0"/>
          <w:numId w:val="182"/>
        </w:numPr>
        <w:autoSpaceDE w:val="0"/>
        <w:autoSpaceDN w:val="0"/>
        <w:adjustRightInd w:val="0"/>
        <w:spacing w:after="0" w:line="240" w:lineRule="auto"/>
        <w:ind w:left="405" w:hanging="360"/>
        <w:jc w:val="both"/>
        <w:rPr>
          <w:rFonts w:cstheme="minorHAnsi"/>
          <w:sz w:val="20"/>
          <w:szCs w:val="20"/>
        </w:rPr>
      </w:pPr>
      <w:r w:rsidRPr="002A326C">
        <w:rPr>
          <w:rFonts w:cstheme="minorHAnsi"/>
          <w:sz w:val="20"/>
          <w:szCs w:val="20"/>
        </w:rPr>
        <w:t>prace pomiarowe i roboty przygotowawcze,</w:t>
      </w:r>
    </w:p>
    <w:p w14:paraId="55B1AF0C" w14:textId="77777777" w:rsidR="004853EB" w:rsidRPr="002A326C" w:rsidRDefault="004853EB">
      <w:pPr>
        <w:numPr>
          <w:ilvl w:val="0"/>
          <w:numId w:val="182"/>
        </w:numPr>
        <w:autoSpaceDE w:val="0"/>
        <w:autoSpaceDN w:val="0"/>
        <w:adjustRightInd w:val="0"/>
        <w:spacing w:after="0" w:line="240" w:lineRule="auto"/>
        <w:ind w:left="405" w:hanging="360"/>
        <w:jc w:val="both"/>
        <w:rPr>
          <w:rFonts w:cstheme="minorHAnsi"/>
          <w:sz w:val="20"/>
          <w:szCs w:val="20"/>
        </w:rPr>
      </w:pPr>
      <w:r w:rsidRPr="002A326C">
        <w:rPr>
          <w:rFonts w:cstheme="minorHAnsi"/>
          <w:sz w:val="20"/>
          <w:szCs w:val="20"/>
        </w:rPr>
        <w:t>wykonanie fundamentów,</w:t>
      </w:r>
    </w:p>
    <w:p w14:paraId="1C955214" w14:textId="77777777" w:rsidR="004853EB" w:rsidRPr="002A326C" w:rsidRDefault="004853EB">
      <w:pPr>
        <w:numPr>
          <w:ilvl w:val="0"/>
          <w:numId w:val="182"/>
        </w:numPr>
        <w:autoSpaceDE w:val="0"/>
        <w:autoSpaceDN w:val="0"/>
        <w:adjustRightInd w:val="0"/>
        <w:spacing w:after="0" w:line="240" w:lineRule="auto"/>
        <w:ind w:left="405" w:hanging="360"/>
        <w:jc w:val="both"/>
        <w:rPr>
          <w:rFonts w:cstheme="minorHAnsi"/>
          <w:sz w:val="20"/>
          <w:szCs w:val="20"/>
        </w:rPr>
      </w:pPr>
      <w:r w:rsidRPr="002A326C">
        <w:rPr>
          <w:rFonts w:cstheme="minorHAnsi"/>
          <w:sz w:val="20"/>
          <w:szCs w:val="20"/>
        </w:rPr>
        <w:t>dostarczenie i ustawienie konstrukcji wsporczych,</w:t>
      </w:r>
    </w:p>
    <w:p w14:paraId="277A8044" w14:textId="77777777" w:rsidR="004853EB" w:rsidRPr="002A326C" w:rsidRDefault="004853EB">
      <w:pPr>
        <w:numPr>
          <w:ilvl w:val="0"/>
          <w:numId w:val="182"/>
        </w:numPr>
        <w:autoSpaceDE w:val="0"/>
        <w:autoSpaceDN w:val="0"/>
        <w:adjustRightInd w:val="0"/>
        <w:spacing w:after="0" w:line="240" w:lineRule="auto"/>
        <w:ind w:left="405" w:hanging="360"/>
        <w:jc w:val="both"/>
        <w:rPr>
          <w:rFonts w:cstheme="minorHAnsi"/>
          <w:sz w:val="20"/>
          <w:szCs w:val="20"/>
        </w:rPr>
      </w:pPr>
      <w:r w:rsidRPr="002A326C">
        <w:rPr>
          <w:rFonts w:cstheme="minorHAnsi"/>
          <w:sz w:val="20"/>
          <w:szCs w:val="20"/>
        </w:rPr>
        <w:t>zamocowanie tarcz znaków drogowych,</w:t>
      </w:r>
    </w:p>
    <w:p w14:paraId="2197709F" w14:textId="77777777" w:rsidR="004853EB" w:rsidRPr="002A326C" w:rsidRDefault="004853EB">
      <w:pPr>
        <w:numPr>
          <w:ilvl w:val="0"/>
          <w:numId w:val="182"/>
        </w:numPr>
        <w:autoSpaceDE w:val="0"/>
        <w:autoSpaceDN w:val="0"/>
        <w:adjustRightInd w:val="0"/>
        <w:spacing w:after="0" w:line="240" w:lineRule="auto"/>
        <w:ind w:left="405" w:hanging="360"/>
        <w:jc w:val="both"/>
        <w:rPr>
          <w:rFonts w:cstheme="minorHAnsi"/>
          <w:sz w:val="20"/>
          <w:szCs w:val="20"/>
        </w:rPr>
      </w:pPr>
      <w:r w:rsidRPr="002A326C">
        <w:rPr>
          <w:rFonts w:cstheme="minorHAnsi"/>
          <w:sz w:val="20"/>
          <w:szCs w:val="20"/>
        </w:rPr>
        <w:t>przeprowadzenie pomiarów i badań wymaganych w ST.</w:t>
      </w:r>
    </w:p>
    <w:p w14:paraId="49C834EA" w14:textId="77777777" w:rsidR="004853EB" w:rsidRPr="002A326C" w:rsidRDefault="004853EB" w:rsidP="002A326C">
      <w:pPr>
        <w:keepNext/>
        <w:keepLines/>
        <w:suppressAutoHyphens/>
        <w:autoSpaceDE w:val="0"/>
        <w:autoSpaceDN w:val="0"/>
        <w:adjustRightInd w:val="0"/>
        <w:spacing w:before="240" w:after="120"/>
        <w:jc w:val="both"/>
        <w:rPr>
          <w:rFonts w:cstheme="minorHAnsi"/>
          <w:b/>
          <w:bCs/>
          <w:caps/>
          <w:sz w:val="20"/>
          <w:szCs w:val="20"/>
        </w:rPr>
      </w:pPr>
      <w:r w:rsidRPr="002A326C">
        <w:rPr>
          <w:rFonts w:cstheme="minorHAnsi"/>
          <w:b/>
          <w:bCs/>
          <w:caps/>
          <w:sz w:val="20"/>
          <w:szCs w:val="20"/>
        </w:rPr>
        <w:lastRenderedPageBreak/>
        <w:t>10. Przepisy związane</w:t>
      </w:r>
    </w:p>
    <w:p w14:paraId="20A2D4D8" w14:textId="77777777" w:rsidR="004853EB" w:rsidRPr="002A326C" w:rsidRDefault="004853EB" w:rsidP="002A326C">
      <w:pPr>
        <w:keepNext/>
        <w:autoSpaceDE w:val="0"/>
        <w:autoSpaceDN w:val="0"/>
        <w:adjustRightInd w:val="0"/>
        <w:spacing w:before="120" w:after="120"/>
        <w:jc w:val="both"/>
        <w:rPr>
          <w:rFonts w:cstheme="minorHAnsi"/>
          <w:b/>
          <w:bCs/>
          <w:sz w:val="20"/>
          <w:szCs w:val="20"/>
        </w:rPr>
      </w:pPr>
      <w:r w:rsidRPr="002A326C">
        <w:rPr>
          <w:rFonts w:cstheme="minorHAnsi"/>
          <w:b/>
          <w:bCs/>
          <w:sz w:val="20"/>
          <w:szCs w:val="20"/>
        </w:rPr>
        <w:t>10.1. Normy</w:t>
      </w:r>
    </w:p>
    <w:tbl>
      <w:tblPr>
        <w:tblW w:w="0" w:type="auto"/>
        <w:tblInd w:w="70" w:type="dxa"/>
        <w:tblLayout w:type="fixed"/>
        <w:tblCellMar>
          <w:left w:w="70" w:type="dxa"/>
          <w:right w:w="70" w:type="dxa"/>
        </w:tblCellMar>
        <w:tblLook w:val="04A0" w:firstRow="1" w:lastRow="0" w:firstColumn="1" w:lastColumn="0" w:noHBand="0" w:noVBand="1"/>
      </w:tblPr>
      <w:tblGrid>
        <w:gridCol w:w="496"/>
        <w:gridCol w:w="2268"/>
        <w:gridCol w:w="6066"/>
      </w:tblGrid>
      <w:tr w:rsidR="004853EB" w:rsidRPr="0082360A" w14:paraId="785BCA60" w14:textId="77777777">
        <w:trPr>
          <w:trHeight w:val="1"/>
        </w:trPr>
        <w:tc>
          <w:tcPr>
            <w:tcW w:w="496" w:type="dxa"/>
            <w:shd w:val="clear" w:color="auto" w:fill="FFFFFF"/>
            <w:hideMark/>
          </w:tcPr>
          <w:p w14:paraId="21CC2229"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 xml:space="preserve">  1.</w:t>
            </w:r>
          </w:p>
        </w:tc>
        <w:tc>
          <w:tcPr>
            <w:tcW w:w="2268" w:type="dxa"/>
            <w:shd w:val="clear" w:color="auto" w:fill="FFFFFF"/>
            <w:hideMark/>
          </w:tcPr>
          <w:p w14:paraId="2F474182"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 xml:space="preserve">PN-EN 12899-1:2010 </w:t>
            </w:r>
          </w:p>
        </w:tc>
        <w:tc>
          <w:tcPr>
            <w:tcW w:w="6066" w:type="dxa"/>
            <w:shd w:val="clear" w:color="auto" w:fill="FFFFFF"/>
            <w:hideMark/>
          </w:tcPr>
          <w:p w14:paraId="5BA8DE0F"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Stałe, pionowe znaki drogowe - Część 1: Znaki stałe</w:t>
            </w:r>
          </w:p>
        </w:tc>
      </w:tr>
      <w:tr w:rsidR="004853EB" w:rsidRPr="0082360A" w14:paraId="7CFE7672" w14:textId="77777777">
        <w:trPr>
          <w:trHeight w:val="1"/>
        </w:trPr>
        <w:tc>
          <w:tcPr>
            <w:tcW w:w="496" w:type="dxa"/>
            <w:shd w:val="clear" w:color="auto" w:fill="FFFFFF"/>
            <w:hideMark/>
          </w:tcPr>
          <w:p w14:paraId="746FB869"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 xml:space="preserve">  2.</w:t>
            </w:r>
          </w:p>
        </w:tc>
        <w:tc>
          <w:tcPr>
            <w:tcW w:w="2268" w:type="dxa"/>
            <w:shd w:val="clear" w:color="auto" w:fill="FFFFFF"/>
            <w:hideMark/>
          </w:tcPr>
          <w:p w14:paraId="7D0297F1"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PN-EN 12767:2008</w:t>
            </w:r>
          </w:p>
        </w:tc>
        <w:tc>
          <w:tcPr>
            <w:tcW w:w="6066" w:type="dxa"/>
            <w:shd w:val="clear" w:color="auto" w:fill="FFFFFF"/>
            <w:hideMark/>
          </w:tcPr>
          <w:p w14:paraId="678BE5DE" w14:textId="77777777" w:rsidR="004853EB" w:rsidRPr="0082360A" w:rsidRDefault="004853EB" w:rsidP="0082360A">
            <w:pPr>
              <w:tabs>
                <w:tab w:val="left" w:pos="4536"/>
                <w:tab w:val="left" w:pos="9072"/>
              </w:tabs>
              <w:autoSpaceDE w:val="0"/>
              <w:autoSpaceDN w:val="0"/>
              <w:adjustRightInd w:val="0"/>
              <w:spacing w:after="0"/>
              <w:jc w:val="both"/>
              <w:rPr>
                <w:rFonts w:cstheme="minorHAnsi"/>
                <w:sz w:val="20"/>
                <w:szCs w:val="20"/>
              </w:rPr>
            </w:pPr>
            <w:r w:rsidRPr="0082360A">
              <w:rPr>
                <w:rFonts w:cstheme="minorHAnsi"/>
                <w:sz w:val="20"/>
                <w:szCs w:val="20"/>
              </w:rPr>
              <w:t>Bierne bezpieczeństwo konstrukcji wsporczych dla urządzeń drogowych - Wymagania i metody badań</w:t>
            </w:r>
          </w:p>
        </w:tc>
      </w:tr>
      <w:tr w:rsidR="004853EB" w:rsidRPr="0082360A" w14:paraId="3750CA8F" w14:textId="77777777">
        <w:trPr>
          <w:trHeight w:val="1"/>
        </w:trPr>
        <w:tc>
          <w:tcPr>
            <w:tcW w:w="496" w:type="dxa"/>
            <w:shd w:val="clear" w:color="auto" w:fill="FFFFFF"/>
            <w:hideMark/>
          </w:tcPr>
          <w:p w14:paraId="4912FCD5"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 xml:space="preserve">  3.</w:t>
            </w:r>
          </w:p>
        </w:tc>
        <w:tc>
          <w:tcPr>
            <w:tcW w:w="2268" w:type="dxa"/>
            <w:shd w:val="clear" w:color="auto" w:fill="FFFFFF"/>
            <w:hideMark/>
          </w:tcPr>
          <w:p w14:paraId="787A564F"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 xml:space="preserve">PN-EN 1992-1-1: 2008/NA:2016-11 </w:t>
            </w:r>
          </w:p>
        </w:tc>
        <w:tc>
          <w:tcPr>
            <w:tcW w:w="6066" w:type="dxa"/>
            <w:shd w:val="clear" w:color="auto" w:fill="FFFFFF"/>
            <w:hideMark/>
          </w:tcPr>
          <w:p w14:paraId="084E1A3A"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 xml:space="preserve">Eurokod 2: Projektowanie konstrukcji z betonu – Część 1-1: Reguły ogólne i reguły dla budynków </w:t>
            </w:r>
          </w:p>
        </w:tc>
      </w:tr>
      <w:tr w:rsidR="004853EB" w:rsidRPr="0082360A" w14:paraId="629F2FF4" w14:textId="77777777">
        <w:trPr>
          <w:trHeight w:val="1"/>
        </w:trPr>
        <w:tc>
          <w:tcPr>
            <w:tcW w:w="496" w:type="dxa"/>
            <w:shd w:val="clear" w:color="auto" w:fill="FFFFFF"/>
            <w:hideMark/>
          </w:tcPr>
          <w:p w14:paraId="31779F39"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 xml:space="preserve">  4. </w:t>
            </w:r>
          </w:p>
        </w:tc>
        <w:tc>
          <w:tcPr>
            <w:tcW w:w="2268" w:type="dxa"/>
            <w:shd w:val="clear" w:color="auto" w:fill="FFFFFF"/>
            <w:hideMark/>
          </w:tcPr>
          <w:p w14:paraId="55242E4A"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PN-EN 206+A1:2016-12</w:t>
            </w:r>
          </w:p>
        </w:tc>
        <w:tc>
          <w:tcPr>
            <w:tcW w:w="6066" w:type="dxa"/>
            <w:shd w:val="clear" w:color="auto" w:fill="FFFFFF"/>
            <w:hideMark/>
          </w:tcPr>
          <w:p w14:paraId="6810ABE4"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Beton - Wymagania, właściwości, produkcja i zgodność</w:t>
            </w:r>
          </w:p>
        </w:tc>
      </w:tr>
      <w:tr w:rsidR="004853EB" w:rsidRPr="0082360A" w14:paraId="3D8432D2" w14:textId="77777777">
        <w:trPr>
          <w:trHeight w:val="1"/>
        </w:trPr>
        <w:tc>
          <w:tcPr>
            <w:tcW w:w="496" w:type="dxa"/>
            <w:shd w:val="clear" w:color="auto" w:fill="FFFFFF"/>
            <w:hideMark/>
          </w:tcPr>
          <w:p w14:paraId="0FFF9396"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 xml:space="preserve">  5.</w:t>
            </w:r>
          </w:p>
        </w:tc>
        <w:tc>
          <w:tcPr>
            <w:tcW w:w="2268" w:type="dxa"/>
            <w:shd w:val="clear" w:color="auto" w:fill="FFFFFF"/>
            <w:hideMark/>
          </w:tcPr>
          <w:p w14:paraId="5ACDA334"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 xml:space="preserve">PN-EN 1993-1-8: 2006/NA:2011 </w:t>
            </w:r>
          </w:p>
        </w:tc>
        <w:tc>
          <w:tcPr>
            <w:tcW w:w="6066" w:type="dxa"/>
            <w:shd w:val="clear" w:color="auto" w:fill="FFFFFF"/>
            <w:hideMark/>
          </w:tcPr>
          <w:p w14:paraId="1DFAE732"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Eurokod 3: Projektowanie konstrukcji stalowych – Część 1-8: Projektowanie węzłów</w:t>
            </w:r>
          </w:p>
        </w:tc>
      </w:tr>
      <w:tr w:rsidR="004853EB" w:rsidRPr="0082360A" w14:paraId="712EB1CF" w14:textId="77777777">
        <w:trPr>
          <w:trHeight w:val="1"/>
        </w:trPr>
        <w:tc>
          <w:tcPr>
            <w:tcW w:w="496" w:type="dxa"/>
            <w:shd w:val="clear" w:color="auto" w:fill="FFFFFF"/>
            <w:hideMark/>
          </w:tcPr>
          <w:p w14:paraId="139E6AF9"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 xml:space="preserve">  6.</w:t>
            </w:r>
          </w:p>
        </w:tc>
        <w:tc>
          <w:tcPr>
            <w:tcW w:w="2268" w:type="dxa"/>
            <w:shd w:val="clear" w:color="auto" w:fill="FFFFFF"/>
            <w:hideMark/>
          </w:tcPr>
          <w:p w14:paraId="3F7A8D47"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PN-EN 10255+A1:2009</w:t>
            </w:r>
          </w:p>
        </w:tc>
        <w:tc>
          <w:tcPr>
            <w:tcW w:w="6066" w:type="dxa"/>
            <w:shd w:val="clear" w:color="auto" w:fill="FFFFFF"/>
            <w:hideMark/>
          </w:tcPr>
          <w:p w14:paraId="5B8AA6D2"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Rury ze stali niskostopowych do spawania i gwintowana – Warunki techniczne dostawy</w:t>
            </w:r>
          </w:p>
        </w:tc>
      </w:tr>
      <w:tr w:rsidR="004853EB" w:rsidRPr="0082360A" w14:paraId="6F45AF80" w14:textId="77777777">
        <w:trPr>
          <w:trHeight w:val="1"/>
        </w:trPr>
        <w:tc>
          <w:tcPr>
            <w:tcW w:w="496" w:type="dxa"/>
            <w:shd w:val="clear" w:color="auto" w:fill="FFFFFF"/>
            <w:hideMark/>
          </w:tcPr>
          <w:p w14:paraId="27684524"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 xml:space="preserve">  7</w:t>
            </w:r>
          </w:p>
        </w:tc>
        <w:tc>
          <w:tcPr>
            <w:tcW w:w="2268" w:type="dxa"/>
            <w:shd w:val="clear" w:color="auto" w:fill="FFFFFF"/>
            <w:hideMark/>
          </w:tcPr>
          <w:p w14:paraId="66314221"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PN-EN 10346:2009</w:t>
            </w:r>
          </w:p>
        </w:tc>
        <w:tc>
          <w:tcPr>
            <w:tcW w:w="6066" w:type="dxa"/>
            <w:shd w:val="clear" w:color="auto" w:fill="FFFFFF"/>
            <w:hideMark/>
          </w:tcPr>
          <w:p w14:paraId="0AC2D3D8"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Wyroby płaskie stalowe powlekane ogniowo w sposób ciągły - Warunki techniczne dostawy</w:t>
            </w:r>
          </w:p>
        </w:tc>
      </w:tr>
      <w:tr w:rsidR="004853EB" w:rsidRPr="0082360A" w14:paraId="18E0F6D6" w14:textId="77777777">
        <w:trPr>
          <w:trHeight w:val="1"/>
        </w:trPr>
        <w:tc>
          <w:tcPr>
            <w:tcW w:w="496" w:type="dxa"/>
            <w:shd w:val="clear" w:color="auto" w:fill="FFFFFF"/>
            <w:hideMark/>
          </w:tcPr>
          <w:p w14:paraId="5F6ABDE1"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 xml:space="preserve">  8.</w:t>
            </w:r>
          </w:p>
        </w:tc>
        <w:tc>
          <w:tcPr>
            <w:tcW w:w="2268" w:type="dxa"/>
            <w:shd w:val="clear" w:color="auto" w:fill="FFFFFF"/>
          </w:tcPr>
          <w:p w14:paraId="1D034EA9"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PN-EN 485-4:1997</w:t>
            </w:r>
          </w:p>
          <w:p w14:paraId="22ED6EC8" w14:textId="77777777" w:rsidR="004853EB" w:rsidRPr="0082360A" w:rsidRDefault="004853EB" w:rsidP="0082360A">
            <w:pPr>
              <w:autoSpaceDE w:val="0"/>
              <w:autoSpaceDN w:val="0"/>
              <w:adjustRightInd w:val="0"/>
              <w:spacing w:after="0"/>
              <w:jc w:val="both"/>
              <w:rPr>
                <w:rFonts w:cstheme="minorHAnsi"/>
                <w:sz w:val="20"/>
                <w:szCs w:val="20"/>
              </w:rPr>
            </w:pPr>
          </w:p>
        </w:tc>
        <w:tc>
          <w:tcPr>
            <w:tcW w:w="6066" w:type="dxa"/>
            <w:shd w:val="clear" w:color="auto" w:fill="FFFFFF"/>
            <w:hideMark/>
          </w:tcPr>
          <w:p w14:paraId="09BFA9C7"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Aluminium i stopy aluminium - Blachy, taśmy i płyty - Tolerancje kształtu i wymiarów wyrobów walcowanych na zimno</w:t>
            </w:r>
          </w:p>
        </w:tc>
      </w:tr>
      <w:tr w:rsidR="004853EB" w:rsidRPr="0082360A" w14:paraId="4CB0AEF0" w14:textId="77777777">
        <w:trPr>
          <w:trHeight w:val="1"/>
        </w:trPr>
        <w:tc>
          <w:tcPr>
            <w:tcW w:w="496" w:type="dxa"/>
            <w:shd w:val="clear" w:color="auto" w:fill="FFFFFF"/>
            <w:hideMark/>
          </w:tcPr>
          <w:p w14:paraId="096A246C"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 xml:space="preserve">  9.</w:t>
            </w:r>
          </w:p>
        </w:tc>
        <w:tc>
          <w:tcPr>
            <w:tcW w:w="2268" w:type="dxa"/>
            <w:shd w:val="clear" w:color="auto" w:fill="FFFFFF"/>
            <w:hideMark/>
          </w:tcPr>
          <w:p w14:paraId="4803EAF2" w14:textId="70CC79C2"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PN-</w:t>
            </w:r>
            <w:r w:rsidR="0082360A" w:rsidRPr="0082360A">
              <w:rPr>
                <w:rFonts w:cstheme="minorHAnsi"/>
                <w:sz w:val="20"/>
                <w:szCs w:val="20"/>
              </w:rPr>
              <w:t>EN ISO</w:t>
            </w:r>
            <w:r w:rsidRPr="0082360A">
              <w:rPr>
                <w:rFonts w:cstheme="minorHAnsi"/>
                <w:sz w:val="20"/>
                <w:szCs w:val="20"/>
              </w:rPr>
              <w:t xml:space="preserve"> 1461:2011</w:t>
            </w:r>
          </w:p>
        </w:tc>
        <w:tc>
          <w:tcPr>
            <w:tcW w:w="6066" w:type="dxa"/>
            <w:shd w:val="clear" w:color="auto" w:fill="FFFFFF"/>
            <w:hideMark/>
          </w:tcPr>
          <w:p w14:paraId="59592A18"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 xml:space="preserve">Powłoki cynkowe nanoszone na wyroby stalowe i żeliwne metodą zanurzeniową - Wymaganie i metody badań </w:t>
            </w:r>
          </w:p>
        </w:tc>
      </w:tr>
      <w:tr w:rsidR="004853EB" w:rsidRPr="0082360A" w14:paraId="257E27C5" w14:textId="77777777">
        <w:trPr>
          <w:trHeight w:val="1"/>
        </w:trPr>
        <w:tc>
          <w:tcPr>
            <w:tcW w:w="496" w:type="dxa"/>
            <w:shd w:val="clear" w:color="auto" w:fill="FFFFFF"/>
            <w:hideMark/>
          </w:tcPr>
          <w:p w14:paraId="31340D52"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10.</w:t>
            </w:r>
          </w:p>
        </w:tc>
        <w:tc>
          <w:tcPr>
            <w:tcW w:w="2268" w:type="dxa"/>
            <w:shd w:val="clear" w:color="auto" w:fill="FFFFFF"/>
            <w:hideMark/>
          </w:tcPr>
          <w:p w14:paraId="34EFDE5A"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PN-EN 10240:2001</w:t>
            </w:r>
          </w:p>
        </w:tc>
        <w:tc>
          <w:tcPr>
            <w:tcW w:w="6066" w:type="dxa"/>
            <w:shd w:val="clear" w:color="auto" w:fill="FFFFFF"/>
            <w:hideMark/>
          </w:tcPr>
          <w:p w14:paraId="7131FB2F"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Wewnętrzne i/lub zewnętrzne powłoki ochronne rur stalowych - Wymagania dotyczące powłok wykonanych przez cynkowanie ogniowe w ocynkowniach zautomatyzowanych</w:t>
            </w:r>
          </w:p>
        </w:tc>
      </w:tr>
      <w:tr w:rsidR="004853EB" w:rsidRPr="0082360A" w14:paraId="350A6757" w14:textId="77777777">
        <w:trPr>
          <w:trHeight w:val="1"/>
        </w:trPr>
        <w:tc>
          <w:tcPr>
            <w:tcW w:w="496" w:type="dxa"/>
            <w:shd w:val="clear" w:color="auto" w:fill="FFFFFF"/>
            <w:hideMark/>
          </w:tcPr>
          <w:p w14:paraId="73C88768"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11.</w:t>
            </w:r>
          </w:p>
        </w:tc>
        <w:tc>
          <w:tcPr>
            <w:tcW w:w="2268" w:type="dxa"/>
            <w:shd w:val="clear" w:color="auto" w:fill="FFFFFF"/>
            <w:hideMark/>
          </w:tcPr>
          <w:p w14:paraId="6EFF8EA0"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PN ISO 7253:2000</w:t>
            </w:r>
          </w:p>
        </w:tc>
        <w:tc>
          <w:tcPr>
            <w:tcW w:w="6066" w:type="dxa"/>
            <w:shd w:val="clear" w:color="auto" w:fill="FFFFFF"/>
            <w:hideMark/>
          </w:tcPr>
          <w:p w14:paraId="5D0F750D"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Wyroby lakierowe – Oznaczenie odporności powłok na działanie mgły solnej</w:t>
            </w:r>
          </w:p>
        </w:tc>
      </w:tr>
      <w:tr w:rsidR="004853EB" w:rsidRPr="0082360A" w14:paraId="7516D823" w14:textId="77777777">
        <w:trPr>
          <w:trHeight w:val="1"/>
        </w:trPr>
        <w:tc>
          <w:tcPr>
            <w:tcW w:w="496" w:type="dxa"/>
            <w:shd w:val="clear" w:color="auto" w:fill="FFFFFF"/>
            <w:hideMark/>
          </w:tcPr>
          <w:p w14:paraId="6B2B327E"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12.</w:t>
            </w:r>
          </w:p>
        </w:tc>
        <w:tc>
          <w:tcPr>
            <w:tcW w:w="2268" w:type="dxa"/>
            <w:shd w:val="clear" w:color="auto" w:fill="FFFFFF"/>
            <w:hideMark/>
          </w:tcPr>
          <w:p w14:paraId="733D0D52"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PN-EN ISO 2808: 2008+A2:2014-07</w:t>
            </w:r>
          </w:p>
        </w:tc>
        <w:tc>
          <w:tcPr>
            <w:tcW w:w="6066" w:type="dxa"/>
            <w:shd w:val="clear" w:color="auto" w:fill="FFFFFF"/>
            <w:hideMark/>
          </w:tcPr>
          <w:p w14:paraId="0835053E"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Farby i lakiery - Oznaczanie grubości powłoki</w:t>
            </w:r>
          </w:p>
        </w:tc>
      </w:tr>
      <w:tr w:rsidR="004853EB" w:rsidRPr="0082360A" w14:paraId="6DE2F0B6" w14:textId="77777777">
        <w:trPr>
          <w:trHeight w:val="1"/>
        </w:trPr>
        <w:tc>
          <w:tcPr>
            <w:tcW w:w="496" w:type="dxa"/>
            <w:shd w:val="clear" w:color="auto" w:fill="FFFFFF"/>
            <w:hideMark/>
          </w:tcPr>
          <w:p w14:paraId="086EB4E6"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13.</w:t>
            </w:r>
          </w:p>
        </w:tc>
        <w:tc>
          <w:tcPr>
            <w:tcW w:w="2268" w:type="dxa"/>
            <w:shd w:val="clear" w:color="auto" w:fill="FFFFFF"/>
            <w:hideMark/>
          </w:tcPr>
          <w:p w14:paraId="1A1E8A8A"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PN-EN 60598-2-2:2012</w:t>
            </w:r>
          </w:p>
        </w:tc>
        <w:tc>
          <w:tcPr>
            <w:tcW w:w="6066" w:type="dxa"/>
            <w:shd w:val="clear" w:color="auto" w:fill="FFFFFF"/>
            <w:hideMark/>
          </w:tcPr>
          <w:p w14:paraId="20B57F57" w14:textId="6572FC5A"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Oprawy oświetleniowe – Część 2-</w:t>
            </w:r>
            <w:r w:rsidR="0082360A" w:rsidRPr="0082360A">
              <w:rPr>
                <w:rFonts w:cstheme="minorHAnsi"/>
                <w:sz w:val="20"/>
                <w:szCs w:val="20"/>
              </w:rPr>
              <w:t>2: Wymagania</w:t>
            </w:r>
            <w:r w:rsidRPr="0082360A">
              <w:rPr>
                <w:rFonts w:cstheme="minorHAnsi"/>
                <w:sz w:val="20"/>
                <w:szCs w:val="20"/>
              </w:rPr>
              <w:t xml:space="preserve"> szczegółowe - Oprawy oświetleniowe wbudowane</w:t>
            </w:r>
          </w:p>
        </w:tc>
      </w:tr>
      <w:tr w:rsidR="004853EB" w:rsidRPr="0082360A" w14:paraId="635076C2" w14:textId="77777777">
        <w:trPr>
          <w:trHeight w:val="1"/>
        </w:trPr>
        <w:tc>
          <w:tcPr>
            <w:tcW w:w="496" w:type="dxa"/>
            <w:shd w:val="clear" w:color="auto" w:fill="FFFFFF"/>
            <w:hideMark/>
          </w:tcPr>
          <w:p w14:paraId="36397A97"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14.</w:t>
            </w:r>
          </w:p>
        </w:tc>
        <w:tc>
          <w:tcPr>
            <w:tcW w:w="2268" w:type="dxa"/>
            <w:shd w:val="clear" w:color="auto" w:fill="FFFFFF"/>
            <w:hideMark/>
          </w:tcPr>
          <w:p w14:paraId="5620D217"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PN-EN 60529:2003</w:t>
            </w:r>
          </w:p>
        </w:tc>
        <w:tc>
          <w:tcPr>
            <w:tcW w:w="6066" w:type="dxa"/>
            <w:shd w:val="clear" w:color="auto" w:fill="FFFFFF"/>
            <w:hideMark/>
          </w:tcPr>
          <w:p w14:paraId="44289106" w14:textId="77777777" w:rsidR="004853EB" w:rsidRPr="0082360A" w:rsidRDefault="004853EB" w:rsidP="0082360A">
            <w:pPr>
              <w:tabs>
                <w:tab w:val="left" w:pos="4536"/>
                <w:tab w:val="left" w:pos="9072"/>
              </w:tabs>
              <w:autoSpaceDE w:val="0"/>
              <w:autoSpaceDN w:val="0"/>
              <w:adjustRightInd w:val="0"/>
              <w:spacing w:after="0"/>
              <w:jc w:val="both"/>
              <w:rPr>
                <w:rFonts w:cstheme="minorHAnsi"/>
                <w:sz w:val="20"/>
                <w:szCs w:val="20"/>
              </w:rPr>
            </w:pPr>
            <w:r w:rsidRPr="0082360A">
              <w:rPr>
                <w:rFonts w:cstheme="minorHAnsi"/>
                <w:sz w:val="20"/>
                <w:szCs w:val="20"/>
              </w:rPr>
              <w:t>Stopnie ochrony zapewnianej przez obudowy (Kod IP)</w:t>
            </w:r>
          </w:p>
        </w:tc>
      </w:tr>
      <w:tr w:rsidR="004853EB" w:rsidRPr="0082360A" w14:paraId="09A7B0C1" w14:textId="77777777">
        <w:trPr>
          <w:trHeight w:val="1"/>
        </w:trPr>
        <w:tc>
          <w:tcPr>
            <w:tcW w:w="496" w:type="dxa"/>
            <w:shd w:val="clear" w:color="auto" w:fill="FFFFFF"/>
            <w:hideMark/>
          </w:tcPr>
          <w:p w14:paraId="20E8D9AE"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15.</w:t>
            </w:r>
          </w:p>
        </w:tc>
        <w:tc>
          <w:tcPr>
            <w:tcW w:w="2268" w:type="dxa"/>
            <w:shd w:val="clear" w:color="auto" w:fill="FFFFFF"/>
            <w:hideMark/>
          </w:tcPr>
          <w:p w14:paraId="1FF39C97"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PN-EN 60598-1: 2015-04</w:t>
            </w:r>
          </w:p>
        </w:tc>
        <w:tc>
          <w:tcPr>
            <w:tcW w:w="6066" w:type="dxa"/>
            <w:shd w:val="clear" w:color="auto" w:fill="FFFFFF"/>
            <w:hideMark/>
          </w:tcPr>
          <w:p w14:paraId="5FCAFF0E" w14:textId="77777777" w:rsidR="004853EB" w:rsidRPr="0082360A" w:rsidRDefault="004853EB" w:rsidP="0082360A">
            <w:pPr>
              <w:tabs>
                <w:tab w:val="left" w:pos="4536"/>
                <w:tab w:val="left" w:pos="9072"/>
              </w:tabs>
              <w:autoSpaceDE w:val="0"/>
              <w:autoSpaceDN w:val="0"/>
              <w:adjustRightInd w:val="0"/>
              <w:spacing w:after="0"/>
              <w:jc w:val="both"/>
              <w:rPr>
                <w:rFonts w:cstheme="minorHAnsi"/>
                <w:sz w:val="20"/>
                <w:szCs w:val="20"/>
              </w:rPr>
            </w:pPr>
            <w:r w:rsidRPr="0082360A">
              <w:rPr>
                <w:rFonts w:cstheme="minorHAnsi"/>
                <w:sz w:val="20"/>
                <w:szCs w:val="20"/>
              </w:rPr>
              <w:t>Oprawy oświetleniowe – Część 1: Wymagania ogólne i badania</w:t>
            </w:r>
          </w:p>
        </w:tc>
      </w:tr>
      <w:tr w:rsidR="004853EB" w:rsidRPr="0082360A" w14:paraId="208549C1" w14:textId="77777777">
        <w:trPr>
          <w:trHeight w:val="1"/>
        </w:trPr>
        <w:tc>
          <w:tcPr>
            <w:tcW w:w="496" w:type="dxa"/>
            <w:shd w:val="clear" w:color="auto" w:fill="FFFFFF"/>
            <w:hideMark/>
          </w:tcPr>
          <w:p w14:paraId="0134887A"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16.</w:t>
            </w:r>
          </w:p>
        </w:tc>
        <w:tc>
          <w:tcPr>
            <w:tcW w:w="2268" w:type="dxa"/>
            <w:shd w:val="clear" w:color="auto" w:fill="FFFFFF"/>
            <w:hideMark/>
          </w:tcPr>
          <w:p w14:paraId="576451D0"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 xml:space="preserve">PN-HD 60364-1: 2010 </w:t>
            </w:r>
          </w:p>
        </w:tc>
        <w:tc>
          <w:tcPr>
            <w:tcW w:w="6066" w:type="dxa"/>
            <w:shd w:val="clear" w:color="auto" w:fill="FFFFFF"/>
            <w:hideMark/>
          </w:tcPr>
          <w:p w14:paraId="3EA379D2"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Instalacje elektryczne niskiego napięcia – Wymagania podstawowe, ustalanie ogólnych charakterystyk, definicje</w:t>
            </w:r>
          </w:p>
        </w:tc>
      </w:tr>
      <w:tr w:rsidR="004853EB" w:rsidRPr="0082360A" w14:paraId="415F198E" w14:textId="77777777">
        <w:trPr>
          <w:trHeight w:val="1"/>
        </w:trPr>
        <w:tc>
          <w:tcPr>
            <w:tcW w:w="496" w:type="dxa"/>
            <w:shd w:val="clear" w:color="auto" w:fill="FFFFFF"/>
            <w:hideMark/>
          </w:tcPr>
          <w:p w14:paraId="346B2A22"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17.</w:t>
            </w:r>
          </w:p>
        </w:tc>
        <w:tc>
          <w:tcPr>
            <w:tcW w:w="2268" w:type="dxa"/>
            <w:shd w:val="clear" w:color="auto" w:fill="FFFFFF"/>
            <w:hideMark/>
          </w:tcPr>
          <w:p w14:paraId="0E3C3CF6"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PN-S-02205:1998</w:t>
            </w:r>
          </w:p>
        </w:tc>
        <w:tc>
          <w:tcPr>
            <w:tcW w:w="6066" w:type="dxa"/>
            <w:shd w:val="clear" w:color="auto" w:fill="FFFFFF"/>
            <w:hideMark/>
          </w:tcPr>
          <w:p w14:paraId="37FB5E58"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Drogi samochodowe. Roboty ziemne. Wymagania i badania</w:t>
            </w:r>
          </w:p>
        </w:tc>
      </w:tr>
      <w:tr w:rsidR="004853EB" w:rsidRPr="0082360A" w14:paraId="640CC31A" w14:textId="77777777">
        <w:trPr>
          <w:trHeight w:val="1"/>
        </w:trPr>
        <w:tc>
          <w:tcPr>
            <w:tcW w:w="496" w:type="dxa"/>
            <w:shd w:val="clear" w:color="auto" w:fill="FFFFFF"/>
            <w:hideMark/>
          </w:tcPr>
          <w:p w14:paraId="78643047"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18</w:t>
            </w:r>
          </w:p>
        </w:tc>
        <w:tc>
          <w:tcPr>
            <w:tcW w:w="2268" w:type="dxa"/>
            <w:shd w:val="clear" w:color="auto" w:fill="FFFFFF"/>
            <w:hideMark/>
          </w:tcPr>
          <w:p w14:paraId="369D0FE0"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PN-EN 40-5:2004</w:t>
            </w:r>
          </w:p>
        </w:tc>
        <w:tc>
          <w:tcPr>
            <w:tcW w:w="6066" w:type="dxa"/>
            <w:shd w:val="clear" w:color="auto" w:fill="FFFFFF"/>
            <w:hideMark/>
          </w:tcPr>
          <w:p w14:paraId="4276D66C" w14:textId="77777777" w:rsidR="004853EB" w:rsidRPr="0082360A" w:rsidRDefault="004853EB" w:rsidP="0082360A">
            <w:pPr>
              <w:autoSpaceDE w:val="0"/>
              <w:autoSpaceDN w:val="0"/>
              <w:adjustRightInd w:val="0"/>
              <w:spacing w:after="0"/>
              <w:jc w:val="both"/>
              <w:rPr>
                <w:rFonts w:cstheme="minorHAnsi"/>
                <w:sz w:val="20"/>
                <w:szCs w:val="20"/>
              </w:rPr>
            </w:pPr>
            <w:r w:rsidRPr="0082360A">
              <w:rPr>
                <w:rFonts w:cstheme="minorHAnsi"/>
                <w:sz w:val="20"/>
                <w:szCs w:val="20"/>
              </w:rPr>
              <w:t>Słupy oświetleniowe – Część 5: Słupy oświetleniowe stalowe - Wymagania</w:t>
            </w:r>
          </w:p>
        </w:tc>
      </w:tr>
    </w:tbl>
    <w:p w14:paraId="58A59C6D" w14:textId="72EBCA71" w:rsidR="004853EB" w:rsidRPr="0082360A" w:rsidRDefault="0082360A" w:rsidP="0082360A">
      <w:pPr>
        <w:autoSpaceDE w:val="0"/>
        <w:autoSpaceDN w:val="0"/>
        <w:adjustRightInd w:val="0"/>
        <w:spacing w:before="120" w:after="0"/>
        <w:jc w:val="both"/>
        <w:rPr>
          <w:rFonts w:cstheme="minorHAnsi"/>
          <w:b/>
          <w:bCs/>
          <w:sz w:val="20"/>
          <w:szCs w:val="20"/>
        </w:rPr>
      </w:pPr>
      <w:r w:rsidRPr="0082360A">
        <w:rPr>
          <w:rFonts w:cstheme="minorHAnsi"/>
          <w:b/>
          <w:bCs/>
          <w:sz w:val="20"/>
          <w:szCs w:val="20"/>
        </w:rPr>
        <w:t>10.2 Przepisy</w:t>
      </w:r>
      <w:r w:rsidR="004853EB" w:rsidRPr="0082360A">
        <w:rPr>
          <w:rFonts w:cstheme="minorHAnsi"/>
          <w:b/>
          <w:bCs/>
          <w:sz w:val="20"/>
          <w:szCs w:val="20"/>
        </w:rPr>
        <w:t xml:space="preserve"> związane</w:t>
      </w:r>
    </w:p>
    <w:p w14:paraId="646EF596" w14:textId="77777777" w:rsidR="004853EB" w:rsidRPr="0082360A" w:rsidRDefault="004853EB">
      <w:pPr>
        <w:numPr>
          <w:ilvl w:val="0"/>
          <w:numId w:val="182"/>
        </w:numPr>
        <w:tabs>
          <w:tab w:val="left" w:pos="567"/>
          <w:tab w:val="left" w:pos="720"/>
        </w:tabs>
        <w:autoSpaceDE w:val="0"/>
        <w:autoSpaceDN w:val="0"/>
        <w:adjustRightInd w:val="0"/>
        <w:spacing w:after="0" w:line="240" w:lineRule="auto"/>
        <w:ind w:left="567" w:hanging="567"/>
        <w:jc w:val="both"/>
        <w:rPr>
          <w:rFonts w:cstheme="minorHAnsi"/>
          <w:sz w:val="20"/>
          <w:szCs w:val="20"/>
        </w:rPr>
      </w:pPr>
      <w:r w:rsidRPr="0082360A">
        <w:rPr>
          <w:rFonts w:cstheme="minorHAnsi"/>
          <w:sz w:val="20"/>
          <w:szCs w:val="20"/>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14:paraId="0FD05C3A" w14:textId="77777777" w:rsidR="004853EB" w:rsidRPr="0082360A" w:rsidRDefault="004853EB">
      <w:pPr>
        <w:numPr>
          <w:ilvl w:val="0"/>
          <w:numId w:val="182"/>
        </w:numPr>
        <w:tabs>
          <w:tab w:val="left" w:pos="567"/>
          <w:tab w:val="left" w:pos="720"/>
        </w:tabs>
        <w:autoSpaceDE w:val="0"/>
        <w:autoSpaceDN w:val="0"/>
        <w:adjustRightInd w:val="0"/>
        <w:spacing w:after="0" w:line="240" w:lineRule="auto"/>
        <w:ind w:left="567" w:hanging="567"/>
        <w:jc w:val="both"/>
        <w:rPr>
          <w:rFonts w:cstheme="minorHAnsi"/>
          <w:sz w:val="20"/>
          <w:szCs w:val="20"/>
        </w:rPr>
      </w:pPr>
      <w:r w:rsidRPr="0082360A">
        <w:rPr>
          <w:rFonts w:cstheme="minorHAnsi"/>
          <w:sz w:val="20"/>
          <w:szCs w:val="20"/>
        </w:rPr>
        <w:t>Rozporządzenie Ministra Infrastruktury, Spraw Wewnętrznych i Administracji z dnia 12 października 2002 r. w sprawie znaków i symboli drogowych (Dz. U. nr 170, poz. 1393)</w:t>
      </w:r>
    </w:p>
    <w:p w14:paraId="476EE3A7" w14:textId="77777777" w:rsidR="004853EB" w:rsidRPr="0082360A" w:rsidRDefault="004853EB">
      <w:pPr>
        <w:numPr>
          <w:ilvl w:val="0"/>
          <w:numId w:val="182"/>
        </w:numPr>
        <w:tabs>
          <w:tab w:val="left" w:pos="567"/>
          <w:tab w:val="left" w:pos="720"/>
        </w:tabs>
        <w:autoSpaceDE w:val="0"/>
        <w:autoSpaceDN w:val="0"/>
        <w:adjustRightInd w:val="0"/>
        <w:spacing w:after="0" w:line="240" w:lineRule="auto"/>
        <w:ind w:left="567" w:hanging="567"/>
        <w:jc w:val="both"/>
        <w:rPr>
          <w:rFonts w:cstheme="minorHAnsi"/>
          <w:sz w:val="20"/>
          <w:szCs w:val="20"/>
        </w:rPr>
      </w:pPr>
      <w:r w:rsidRPr="0082360A">
        <w:rPr>
          <w:rFonts w:cstheme="minorHAnsi"/>
          <w:sz w:val="20"/>
          <w:szCs w:val="20"/>
        </w:rPr>
        <w:t>Rozporządzenie Parlamentu Europejskiego i Rady (UE) Nr 305/2011 z dnia 9 marca 2011 r. ustanawiające zharmonizowane warunki wprowadzania do obrotu wyrobów budowlanych i uchylające dyrektywę Rady 89/106/EWG</w:t>
      </w:r>
    </w:p>
    <w:p w14:paraId="04205B8F" w14:textId="77777777" w:rsidR="004853EB" w:rsidRPr="0082360A" w:rsidRDefault="004853EB">
      <w:pPr>
        <w:numPr>
          <w:ilvl w:val="0"/>
          <w:numId w:val="182"/>
        </w:numPr>
        <w:tabs>
          <w:tab w:val="left" w:pos="567"/>
          <w:tab w:val="left" w:pos="720"/>
        </w:tabs>
        <w:autoSpaceDE w:val="0"/>
        <w:autoSpaceDN w:val="0"/>
        <w:adjustRightInd w:val="0"/>
        <w:spacing w:after="0" w:line="240" w:lineRule="auto"/>
        <w:ind w:left="567" w:hanging="567"/>
        <w:jc w:val="both"/>
        <w:rPr>
          <w:rFonts w:cstheme="minorHAnsi"/>
          <w:sz w:val="20"/>
          <w:szCs w:val="20"/>
        </w:rPr>
      </w:pPr>
      <w:r w:rsidRPr="0082360A">
        <w:rPr>
          <w:rFonts w:cstheme="minorHAnsi"/>
          <w:sz w:val="20"/>
          <w:szCs w:val="20"/>
        </w:rPr>
        <w:t>Rozporządzenie Ministra Infrastruktury z dnia 17 listopada 2016 w sprawie sposobu deklarowania właściwości użytkowych wyrobów budowlanych oraz sposobu ich znakowania znakiem budowlanym (Dz. U. z 2016 r., poz.1966),</w:t>
      </w:r>
    </w:p>
    <w:p w14:paraId="686520EA" w14:textId="77777777" w:rsidR="004853EB" w:rsidRPr="0082360A" w:rsidRDefault="004853EB">
      <w:pPr>
        <w:numPr>
          <w:ilvl w:val="0"/>
          <w:numId w:val="182"/>
        </w:numPr>
        <w:tabs>
          <w:tab w:val="left" w:pos="567"/>
          <w:tab w:val="left" w:pos="720"/>
        </w:tabs>
        <w:autoSpaceDE w:val="0"/>
        <w:autoSpaceDN w:val="0"/>
        <w:adjustRightInd w:val="0"/>
        <w:spacing w:after="0" w:line="240" w:lineRule="auto"/>
        <w:ind w:left="567" w:hanging="567"/>
        <w:jc w:val="both"/>
        <w:rPr>
          <w:rFonts w:cstheme="minorHAnsi"/>
          <w:sz w:val="20"/>
          <w:szCs w:val="20"/>
        </w:rPr>
      </w:pPr>
      <w:r w:rsidRPr="0082360A">
        <w:rPr>
          <w:rFonts w:cstheme="minorHAnsi"/>
          <w:sz w:val="20"/>
          <w:szCs w:val="20"/>
        </w:rPr>
        <w:t>Pryzmatyczne folie odblaskowe (Microprismatic retro-reflective sheetings), EAD 120001-00-0106, EOTA, 2015</w:t>
      </w:r>
    </w:p>
    <w:p w14:paraId="0AAC920B" w14:textId="77777777" w:rsidR="004853EB" w:rsidRPr="0082360A" w:rsidRDefault="004853EB">
      <w:pPr>
        <w:numPr>
          <w:ilvl w:val="0"/>
          <w:numId w:val="182"/>
        </w:numPr>
        <w:tabs>
          <w:tab w:val="left" w:pos="567"/>
          <w:tab w:val="left" w:pos="720"/>
        </w:tabs>
        <w:autoSpaceDE w:val="0"/>
        <w:autoSpaceDN w:val="0"/>
        <w:adjustRightInd w:val="0"/>
        <w:spacing w:after="0" w:line="240" w:lineRule="auto"/>
        <w:ind w:left="567" w:hanging="567"/>
        <w:jc w:val="both"/>
        <w:rPr>
          <w:rFonts w:cstheme="minorHAnsi"/>
          <w:sz w:val="20"/>
          <w:szCs w:val="20"/>
        </w:rPr>
      </w:pPr>
      <w:r w:rsidRPr="0082360A">
        <w:rPr>
          <w:rFonts w:cstheme="minorHAnsi"/>
          <w:sz w:val="20"/>
          <w:szCs w:val="20"/>
        </w:rPr>
        <w:t>Ustawa o wyrobach budowlanych (tekst jednolity Dz. U. z 2016 r., poz. 1570 z późn. zm.)</w:t>
      </w:r>
    </w:p>
    <w:p w14:paraId="196B6C17" w14:textId="77777777" w:rsidR="004853EB" w:rsidRPr="0082360A" w:rsidRDefault="004853EB">
      <w:pPr>
        <w:numPr>
          <w:ilvl w:val="0"/>
          <w:numId w:val="182"/>
        </w:numPr>
        <w:tabs>
          <w:tab w:val="left" w:pos="567"/>
          <w:tab w:val="left" w:pos="720"/>
        </w:tabs>
        <w:autoSpaceDE w:val="0"/>
        <w:autoSpaceDN w:val="0"/>
        <w:adjustRightInd w:val="0"/>
        <w:spacing w:after="0" w:line="240" w:lineRule="auto"/>
        <w:ind w:left="567" w:hanging="567"/>
        <w:jc w:val="both"/>
        <w:rPr>
          <w:rFonts w:cstheme="minorHAnsi"/>
          <w:sz w:val="20"/>
          <w:szCs w:val="20"/>
        </w:rPr>
      </w:pPr>
      <w:r w:rsidRPr="0082360A">
        <w:rPr>
          <w:rFonts w:cstheme="minorHAnsi"/>
          <w:sz w:val="20"/>
          <w:szCs w:val="20"/>
        </w:rPr>
        <w:t>Ustawa o systemach oceny zgodności i nadzoru rynku z 13 kwietnia 2016 r. (Dz.U. z 2016 r., poz. 542 i 1228)</w:t>
      </w:r>
    </w:p>
    <w:p w14:paraId="491E7BC2" w14:textId="7803760F" w:rsidR="004853EB" w:rsidRPr="0082360A" w:rsidRDefault="004853EB">
      <w:pPr>
        <w:numPr>
          <w:ilvl w:val="0"/>
          <w:numId w:val="182"/>
        </w:numPr>
        <w:tabs>
          <w:tab w:val="left" w:pos="567"/>
          <w:tab w:val="left" w:pos="720"/>
        </w:tabs>
        <w:autoSpaceDE w:val="0"/>
        <w:autoSpaceDN w:val="0"/>
        <w:adjustRightInd w:val="0"/>
        <w:spacing w:after="0" w:line="240" w:lineRule="auto"/>
        <w:ind w:left="567" w:hanging="567"/>
        <w:jc w:val="both"/>
        <w:rPr>
          <w:rFonts w:cstheme="minorHAnsi"/>
          <w:sz w:val="20"/>
          <w:szCs w:val="20"/>
        </w:rPr>
      </w:pPr>
      <w:r w:rsidRPr="0082360A">
        <w:rPr>
          <w:rFonts w:cstheme="minorHAnsi"/>
          <w:sz w:val="20"/>
          <w:szCs w:val="20"/>
        </w:rPr>
        <w:t xml:space="preserve">RAL Control Chart, Niemiecki Instytut Jakości i Oznaczeń RAL „Deutsches Institut für Gütesicherung und Kennzeichnung e. </w:t>
      </w:r>
      <w:r w:rsidR="0082360A" w:rsidRPr="0082360A">
        <w:rPr>
          <w:rFonts w:cstheme="minorHAnsi"/>
          <w:sz w:val="20"/>
          <w:szCs w:val="20"/>
        </w:rPr>
        <w:t>V. “</w:t>
      </w:r>
      <w:r w:rsidRPr="0082360A">
        <w:rPr>
          <w:rFonts w:cstheme="minorHAnsi"/>
          <w:sz w:val="20"/>
          <w:szCs w:val="20"/>
        </w:rPr>
        <w:t xml:space="preserve">, </w:t>
      </w:r>
      <w:hyperlink r:id="rId41" w:history="1">
        <w:r w:rsidRPr="0082360A">
          <w:rPr>
            <w:rStyle w:val="Hipercze"/>
            <w:rFonts w:cstheme="minorHAnsi"/>
            <w:color w:val="auto"/>
            <w:sz w:val="20"/>
            <w:szCs w:val="20"/>
          </w:rPr>
          <w:t>www.ralcolor.com</w:t>
        </w:r>
      </w:hyperlink>
      <w:r w:rsidRPr="0082360A">
        <w:rPr>
          <w:rFonts w:cstheme="minorHAnsi"/>
          <w:sz w:val="20"/>
          <w:szCs w:val="20"/>
        </w:rPr>
        <w:t xml:space="preserve"> </w:t>
      </w:r>
    </w:p>
    <w:p w14:paraId="317E8D4E" w14:textId="77777777" w:rsidR="004853EB" w:rsidRPr="0082360A" w:rsidRDefault="004853EB">
      <w:pPr>
        <w:numPr>
          <w:ilvl w:val="0"/>
          <w:numId w:val="182"/>
        </w:numPr>
        <w:tabs>
          <w:tab w:val="left" w:pos="567"/>
          <w:tab w:val="left" w:pos="720"/>
        </w:tabs>
        <w:autoSpaceDE w:val="0"/>
        <w:autoSpaceDN w:val="0"/>
        <w:adjustRightInd w:val="0"/>
        <w:spacing w:after="0" w:line="240" w:lineRule="auto"/>
        <w:ind w:left="567" w:hanging="567"/>
        <w:jc w:val="both"/>
        <w:rPr>
          <w:rFonts w:cstheme="minorHAnsi"/>
          <w:sz w:val="20"/>
          <w:szCs w:val="20"/>
        </w:rPr>
      </w:pPr>
      <w:r w:rsidRPr="0082360A">
        <w:rPr>
          <w:rFonts w:cstheme="minorHAnsi"/>
          <w:sz w:val="20"/>
          <w:szCs w:val="20"/>
        </w:rPr>
        <w:lastRenderedPageBreak/>
        <w:t>CIE No. 54 (TC-2.3) Retroreflection - Definition and measurement (Powierzchniowy współczynnik odblasku - definicja i pomiary). Bureau Central, Paris, 1982</w:t>
      </w:r>
    </w:p>
    <w:p w14:paraId="5EFFBC48" w14:textId="77777777" w:rsidR="004853EB" w:rsidRPr="0082360A" w:rsidRDefault="004853EB">
      <w:pPr>
        <w:numPr>
          <w:ilvl w:val="0"/>
          <w:numId w:val="182"/>
        </w:numPr>
        <w:tabs>
          <w:tab w:val="left" w:pos="567"/>
          <w:tab w:val="left" w:pos="720"/>
        </w:tabs>
        <w:autoSpaceDE w:val="0"/>
        <w:autoSpaceDN w:val="0"/>
        <w:adjustRightInd w:val="0"/>
        <w:spacing w:after="0" w:line="240" w:lineRule="auto"/>
        <w:ind w:left="567" w:hanging="567"/>
        <w:jc w:val="both"/>
        <w:rPr>
          <w:rFonts w:cstheme="minorHAnsi"/>
          <w:sz w:val="20"/>
          <w:szCs w:val="20"/>
        </w:rPr>
      </w:pPr>
      <w:r w:rsidRPr="0082360A">
        <w:rPr>
          <w:rFonts w:cstheme="minorHAnsi"/>
          <w:sz w:val="20"/>
          <w:szCs w:val="20"/>
        </w:rPr>
        <w:t>Aktywne Pionowe Znaki Drogowe i Urządzenia Bezpieczeństwa Ruchu Drogowego, Zalecenia nr Z/2010-03-024, Zeszyt 80, seria I, IBDiM, 2010</w:t>
      </w:r>
    </w:p>
    <w:p w14:paraId="13E6F2EC" w14:textId="06CDF6C2" w:rsidR="004853EB" w:rsidRPr="0082360A" w:rsidRDefault="004853EB">
      <w:pPr>
        <w:numPr>
          <w:ilvl w:val="0"/>
          <w:numId w:val="182"/>
        </w:numPr>
        <w:tabs>
          <w:tab w:val="left" w:pos="567"/>
          <w:tab w:val="left" w:pos="720"/>
        </w:tabs>
        <w:autoSpaceDE w:val="0"/>
        <w:autoSpaceDN w:val="0"/>
        <w:adjustRightInd w:val="0"/>
        <w:spacing w:after="0" w:line="240" w:lineRule="auto"/>
        <w:ind w:left="567" w:hanging="567"/>
        <w:jc w:val="both"/>
        <w:rPr>
          <w:rFonts w:cstheme="minorHAnsi"/>
          <w:sz w:val="20"/>
          <w:szCs w:val="20"/>
        </w:rPr>
      </w:pPr>
      <w:r w:rsidRPr="0082360A">
        <w:rPr>
          <w:rFonts w:cstheme="minorHAnsi"/>
          <w:sz w:val="20"/>
          <w:szCs w:val="20"/>
        </w:rPr>
        <w:t xml:space="preserve">Prawo </w:t>
      </w:r>
      <w:r w:rsidR="0082360A" w:rsidRPr="0082360A">
        <w:rPr>
          <w:rFonts w:cstheme="minorHAnsi"/>
          <w:sz w:val="20"/>
          <w:szCs w:val="20"/>
        </w:rPr>
        <w:t>budowlane (</w:t>
      </w:r>
      <w:r w:rsidRPr="0082360A">
        <w:rPr>
          <w:rFonts w:cstheme="minorHAnsi"/>
          <w:sz w:val="20"/>
          <w:szCs w:val="20"/>
        </w:rPr>
        <w:t>tekst jednolity Dz. U. z 2017 r., poz.1332)</w:t>
      </w:r>
    </w:p>
    <w:p w14:paraId="1E01F644" w14:textId="77777777" w:rsidR="004853EB" w:rsidRPr="0082360A" w:rsidRDefault="004853EB">
      <w:pPr>
        <w:numPr>
          <w:ilvl w:val="0"/>
          <w:numId w:val="182"/>
        </w:numPr>
        <w:tabs>
          <w:tab w:val="left" w:pos="567"/>
          <w:tab w:val="left" w:pos="720"/>
        </w:tabs>
        <w:autoSpaceDE w:val="0"/>
        <w:autoSpaceDN w:val="0"/>
        <w:adjustRightInd w:val="0"/>
        <w:spacing w:after="0" w:line="240" w:lineRule="auto"/>
        <w:ind w:left="567" w:hanging="567"/>
        <w:jc w:val="both"/>
        <w:rPr>
          <w:rFonts w:cstheme="minorHAnsi"/>
          <w:sz w:val="20"/>
          <w:szCs w:val="20"/>
        </w:rPr>
      </w:pPr>
      <w:r w:rsidRPr="0082360A">
        <w:rPr>
          <w:rFonts w:cstheme="minorHAnsi"/>
          <w:sz w:val="20"/>
          <w:szCs w:val="20"/>
        </w:rPr>
        <w:t>Prawo zamówień publicznych (tekst jednolity Dz. U. z 2017 r., poz. 1579)</w:t>
      </w:r>
    </w:p>
    <w:p w14:paraId="4C5160D3" w14:textId="77777777" w:rsidR="004853EB" w:rsidRPr="0082360A" w:rsidRDefault="004853EB">
      <w:pPr>
        <w:numPr>
          <w:ilvl w:val="0"/>
          <w:numId w:val="182"/>
        </w:numPr>
        <w:tabs>
          <w:tab w:val="left" w:pos="567"/>
          <w:tab w:val="left" w:pos="720"/>
        </w:tabs>
        <w:autoSpaceDE w:val="0"/>
        <w:autoSpaceDN w:val="0"/>
        <w:adjustRightInd w:val="0"/>
        <w:spacing w:after="0" w:line="240" w:lineRule="auto"/>
        <w:ind w:left="567" w:hanging="567"/>
        <w:jc w:val="both"/>
        <w:rPr>
          <w:rFonts w:cstheme="minorHAnsi"/>
          <w:sz w:val="20"/>
          <w:szCs w:val="20"/>
        </w:rPr>
      </w:pPr>
      <w:r w:rsidRPr="0082360A">
        <w:rPr>
          <w:rFonts w:cstheme="minorHAnsi"/>
          <w:sz w:val="20"/>
          <w:szCs w:val="20"/>
        </w:rPr>
        <w:t>Rozporządzenie Ministra Infrastruktury z dnia17 listopada 2016 r. w sprawie krajowych ocen technicznych (Dz. U. z 2016 r., poz. 1968)</w:t>
      </w:r>
    </w:p>
    <w:p w14:paraId="68FC5B7C" w14:textId="77777777" w:rsidR="004853EB" w:rsidRPr="002A326C" w:rsidRDefault="004853EB" w:rsidP="002A326C">
      <w:pPr>
        <w:jc w:val="both"/>
        <w:rPr>
          <w:rFonts w:cstheme="minorHAnsi"/>
          <w:sz w:val="20"/>
          <w:szCs w:val="20"/>
        </w:rPr>
      </w:pPr>
    </w:p>
    <w:p w14:paraId="344EA646" w14:textId="77777777" w:rsidR="004853EB" w:rsidRPr="002A326C" w:rsidRDefault="004853EB" w:rsidP="002A326C">
      <w:pPr>
        <w:jc w:val="both"/>
        <w:rPr>
          <w:rFonts w:cstheme="minorHAnsi"/>
          <w:sz w:val="20"/>
          <w:szCs w:val="20"/>
        </w:rPr>
      </w:pPr>
    </w:p>
    <w:p w14:paraId="484D996E" w14:textId="77777777" w:rsidR="004853EB" w:rsidRPr="002A326C" w:rsidRDefault="004853EB" w:rsidP="002A326C">
      <w:pPr>
        <w:jc w:val="both"/>
        <w:rPr>
          <w:rFonts w:cstheme="minorHAnsi"/>
          <w:sz w:val="20"/>
          <w:szCs w:val="20"/>
        </w:rPr>
      </w:pPr>
    </w:p>
    <w:p w14:paraId="6403EE2B" w14:textId="77777777" w:rsidR="004853EB" w:rsidRPr="004853EB" w:rsidRDefault="004853EB" w:rsidP="004853EB">
      <w:pPr>
        <w:rPr>
          <w:rFonts w:cstheme="minorHAnsi"/>
          <w:sz w:val="20"/>
          <w:szCs w:val="20"/>
        </w:rPr>
      </w:pPr>
    </w:p>
    <w:p w14:paraId="05D4E654" w14:textId="77777777" w:rsidR="004853EB" w:rsidRPr="004853EB" w:rsidRDefault="004853EB" w:rsidP="004853EB">
      <w:pPr>
        <w:rPr>
          <w:rFonts w:cstheme="minorHAnsi"/>
          <w:sz w:val="20"/>
          <w:szCs w:val="20"/>
        </w:rPr>
      </w:pPr>
    </w:p>
    <w:p w14:paraId="5394DDE9" w14:textId="77777777" w:rsidR="004853EB" w:rsidRPr="004853EB" w:rsidRDefault="004853EB" w:rsidP="004853EB">
      <w:pPr>
        <w:rPr>
          <w:rFonts w:cstheme="minorHAnsi"/>
          <w:sz w:val="20"/>
          <w:szCs w:val="20"/>
        </w:rPr>
      </w:pPr>
    </w:p>
    <w:p w14:paraId="111212BB" w14:textId="77777777" w:rsidR="004853EB" w:rsidRPr="004853EB" w:rsidRDefault="004853EB" w:rsidP="004853EB">
      <w:pPr>
        <w:rPr>
          <w:rFonts w:cstheme="minorHAnsi"/>
          <w:sz w:val="20"/>
          <w:szCs w:val="20"/>
        </w:rPr>
      </w:pPr>
    </w:p>
    <w:p w14:paraId="7D6556AA" w14:textId="77777777" w:rsidR="004853EB" w:rsidRPr="004853EB" w:rsidRDefault="004853EB" w:rsidP="004853EB">
      <w:pPr>
        <w:rPr>
          <w:rFonts w:cstheme="minorHAnsi"/>
          <w:sz w:val="20"/>
          <w:szCs w:val="20"/>
        </w:rPr>
      </w:pPr>
    </w:p>
    <w:p w14:paraId="33BAA395" w14:textId="77777777" w:rsidR="004853EB" w:rsidRPr="004853EB" w:rsidRDefault="004853EB" w:rsidP="004853EB">
      <w:pPr>
        <w:rPr>
          <w:rFonts w:cstheme="minorHAnsi"/>
          <w:sz w:val="20"/>
          <w:szCs w:val="20"/>
        </w:rPr>
      </w:pPr>
    </w:p>
    <w:p w14:paraId="24C5BAA0" w14:textId="77777777" w:rsidR="004853EB" w:rsidRPr="004853EB" w:rsidRDefault="004853EB" w:rsidP="003A11E0">
      <w:pPr>
        <w:pStyle w:val="Nagwek1"/>
        <w:rPr>
          <w:rFonts w:asciiTheme="minorHAnsi" w:hAnsiTheme="minorHAnsi" w:cstheme="minorHAnsi"/>
          <w:sz w:val="22"/>
          <w:szCs w:val="22"/>
        </w:rPr>
      </w:pPr>
    </w:p>
    <w:p w14:paraId="5AEAADF8" w14:textId="77777777" w:rsidR="004853EB" w:rsidRPr="004853EB" w:rsidRDefault="004853EB" w:rsidP="004853EB">
      <w:pPr>
        <w:rPr>
          <w:rFonts w:cstheme="minorHAnsi"/>
          <w:lang w:eastAsia="pl-PL"/>
        </w:rPr>
      </w:pPr>
    </w:p>
    <w:p w14:paraId="22972E2B" w14:textId="77777777" w:rsidR="004853EB" w:rsidRPr="004853EB" w:rsidRDefault="004853EB" w:rsidP="004853EB">
      <w:pPr>
        <w:rPr>
          <w:rFonts w:cstheme="minorHAnsi"/>
          <w:lang w:eastAsia="pl-PL"/>
        </w:rPr>
      </w:pPr>
    </w:p>
    <w:p w14:paraId="60EF96F5" w14:textId="77777777" w:rsidR="004853EB" w:rsidRPr="004853EB" w:rsidRDefault="004853EB" w:rsidP="004853EB">
      <w:pPr>
        <w:rPr>
          <w:rFonts w:cstheme="minorHAnsi"/>
          <w:lang w:eastAsia="pl-PL"/>
        </w:rPr>
      </w:pPr>
    </w:p>
    <w:p w14:paraId="435758E0" w14:textId="77777777" w:rsidR="004853EB" w:rsidRDefault="004853EB" w:rsidP="004853EB">
      <w:pPr>
        <w:rPr>
          <w:rFonts w:cstheme="minorHAnsi"/>
          <w:lang w:eastAsia="pl-PL"/>
        </w:rPr>
      </w:pPr>
    </w:p>
    <w:p w14:paraId="1F711C7A" w14:textId="77777777" w:rsidR="0082360A" w:rsidRDefault="0082360A" w:rsidP="004853EB">
      <w:pPr>
        <w:rPr>
          <w:rFonts w:cstheme="minorHAnsi"/>
          <w:lang w:eastAsia="pl-PL"/>
        </w:rPr>
      </w:pPr>
    </w:p>
    <w:p w14:paraId="245A6C96" w14:textId="77777777" w:rsidR="0082360A" w:rsidRDefault="0082360A" w:rsidP="004853EB">
      <w:pPr>
        <w:rPr>
          <w:rFonts w:cstheme="minorHAnsi"/>
          <w:lang w:eastAsia="pl-PL"/>
        </w:rPr>
      </w:pPr>
    </w:p>
    <w:p w14:paraId="1150B609" w14:textId="77777777" w:rsidR="0082360A" w:rsidRDefault="0082360A" w:rsidP="004853EB">
      <w:pPr>
        <w:rPr>
          <w:rFonts w:cstheme="minorHAnsi"/>
          <w:lang w:eastAsia="pl-PL"/>
        </w:rPr>
      </w:pPr>
    </w:p>
    <w:p w14:paraId="7E330E45" w14:textId="77777777" w:rsidR="0082360A" w:rsidRDefault="0082360A" w:rsidP="004853EB">
      <w:pPr>
        <w:rPr>
          <w:rFonts w:cstheme="minorHAnsi"/>
          <w:lang w:eastAsia="pl-PL"/>
        </w:rPr>
      </w:pPr>
    </w:p>
    <w:p w14:paraId="22FBE0FC" w14:textId="77777777" w:rsidR="0082360A" w:rsidRDefault="0082360A" w:rsidP="004853EB">
      <w:pPr>
        <w:rPr>
          <w:rFonts w:cstheme="minorHAnsi"/>
          <w:lang w:eastAsia="pl-PL"/>
        </w:rPr>
      </w:pPr>
    </w:p>
    <w:p w14:paraId="09A24B27" w14:textId="77777777" w:rsidR="0082360A" w:rsidRPr="004853EB" w:rsidRDefault="0082360A" w:rsidP="004853EB">
      <w:pPr>
        <w:rPr>
          <w:rFonts w:cstheme="minorHAnsi"/>
          <w:lang w:eastAsia="pl-PL"/>
        </w:rPr>
      </w:pPr>
    </w:p>
    <w:p w14:paraId="4682CC3A" w14:textId="77777777" w:rsidR="004853EB" w:rsidRDefault="004853EB" w:rsidP="004853EB">
      <w:pPr>
        <w:rPr>
          <w:rFonts w:cstheme="minorHAnsi"/>
          <w:lang w:eastAsia="pl-PL"/>
        </w:rPr>
      </w:pPr>
    </w:p>
    <w:p w14:paraId="4EC4C69D" w14:textId="77777777" w:rsidR="002A326C" w:rsidRDefault="002A326C" w:rsidP="004853EB">
      <w:pPr>
        <w:rPr>
          <w:rFonts w:cstheme="minorHAnsi"/>
          <w:lang w:eastAsia="pl-PL"/>
        </w:rPr>
      </w:pPr>
    </w:p>
    <w:p w14:paraId="38BF9D1D" w14:textId="77777777" w:rsidR="002A326C" w:rsidRPr="004853EB" w:rsidRDefault="002A326C" w:rsidP="004853EB">
      <w:pPr>
        <w:rPr>
          <w:rFonts w:cstheme="minorHAnsi"/>
          <w:lang w:eastAsia="pl-PL"/>
        </w:rPr>
      </w:pPr>
    </w:p>
    <w:p w14:paraId="475F7836" w14:textId="77777777" w:rsidR="004853EB" w:rsidRPr="004853EB" w:rsidRDefault="004853EB" w:rsidP="004853EB">
      <w:pPr>
        <w:rPr>
          <w:rFonts w:cstheme="minorHAnsi"/>
          <w:lang w:eastAsia="pl-PL"/>
        </w:rPr>
      </w:pPr>
    </w:p>
    <w:p w14:paraId="5F2E3290" w14:textId="0BB11D82" w:rsidR="00E95D02" w:rsidRPr="004853EB" w:rsidRDefault="00E95D02" w:rsidP="003A11E0">
      <w:pPr>
        <w:pStyle w:val="Nagwek1"/>
        <w:rPr>
          <w:rFonts w:asciiTheme="minorHAnsi" w:hAnsiTheme="minorHAnsi" w:cstheme="minorHAnsi"/>
          <w:sz w:val="22"/>
          <w:szCs w:val="22"/>
        </w:rPr>
      </w:pPr>
      <w:bookmarkStart w:id="3865" w:name="_Toc227825632"/>
      <w:r w:rsidRPr="004853EB">
        <w:rPr>
          <w:rFonts w:asciiTheme="minorHAnsi" w:hAnsiTheme="minorHAnsi" w:cstheme="minorHAnsi"/>
          <w:sz w:val="22"/>
          <w:szCs w:val="22"/>
        </w:rPr>
        <w:lastRenderedPageBreak/>
        <w:t>D - 08.01.01 KRAWĘŻNIKI BETONOWE</w:t>
      </w:r>
      <w:bookmarkEnd w:id="3865"/>
    </w:p>
    <w:p w14:paraId="0A56A74A"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866" w:name="_Toc428759421"/>
      <w:bookmarkStart w:id="3867" w:name="_Toc194477150"/>
      <w:bookmarkStart w:id="3868" w:name="_Toc227825633"/>
      <w:r w:rsidRPr="004853EB">
        <w:rPr>
          <w:rFonts w:eastAsia="Times New Roman" w:cstheme="minorHAnsi"/>
          <w:b/>
          <w:caps/>
          <w:kern w:val="28"/>
          <w:sz w:val="20"/>
          <w:szCs w:val="20"/>
          <w:lang w:eastAsia="pl-PL"/>
        </w:rPr>
        <w:t>1. WSTĘP</w:t>
      </w:r>
      <w:bookmarkEnd w:id="3866"/>
      <w:bookmarkEnd w:id="3867"/>
      <w:bookmarkEnd w:id="3868"/>
    </w:p>
    <w:p w14:paraId="395C87B7"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69" w:name="_Toc194477151"/>
      <w:bookmarkStart w:id="3870" w:name="_Toc227825634"/>
      <w:r w:rsidRPr="004853EB">
        <w:rPr>
          <w:rFonts w:eastAsia="Times New Roman" w:cstheme="minorHAnsi"/>
          <w:b/>
          <w:sz w:val="20"/>
          <w:szCs w:val="20"/>
          <w:lang w:eastAsia="pl-PL"/>
        </w:rPr>
        <w:t>1.1. Przedmiot SST</w:t>
      </w:r>
      <w:bookmarkEnd w:id="3869"/>
      <w:bookmarkEnd w:id="3870"/>
    </w:p>
    <w:p w14:paraId="2DCF5C69"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Przedmiotem niniejszej szczegółowe specyfikacji technicznej (SST) są wymagania dotyczące wykonania i odbioru robót związanych z ustawieniem krawężników betonowych.</w:t>
      </w:r>
    </w:p>
    <w:p w14:paraId="0718F553"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71" w:name="_Toc194477152"/>
      <w:bookmarkStart w:id="3872" w:name="_Toc227825635"/>
      <w:r w:rsidRPr="004853EB">
        <w:rPr>
          <w:rFonts w:eastAsia="Times New Roman" w:cstheme="minorHAnsi"/>
          <w:b/>
          <w:sz w:val="20"/>
          <w:szCs w:val="20"/>
          <w:lang w:eastAsia="pl-PL"/>
        </w:rPr>
        <w:t>1.2. Zakres stosowania SST</w:t>
      </w:r>
      <w:bookmarkEnd w:id="3871"/>
      <w:bookmarkEnd w:id="3872"/>
    </w:p>
    <w:p w14:paraId="6388281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Specyfikacja techniczna jest stosowana jako dokument przetargowy i kontraktowy przy zlecaniu i realizacji robót wymienionych w pkt 1.1.</w:t>
      </w:r>
    </w:p>
    <w:p w14:paraId="79764035"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73" w:name="_Toc194477153"/>
      <w:bookmarkStart w:id="3874" w:name="_Toc227825636"/>
      <w:r w:rsidRPr="004853EB">
        <w:rPr>
          <w:rFonts w:eastAsia="Times New Roman" w:cstheme="minorHAnsi"/>
          <w:b/>
          <w:sz w:val="20"/>
          <w:szCs w:val="20"/>
          <w:lang w:eastAsia="pl-PL"/>
        </w:rPr>
        <w:t>1.3. Zakres robót objętych SST</w:t>
      </w:r>
      <w:bookmarkEnd w:id="3873"/>
      <w:bookmarkEnd w:id="3874"/>
    </w:p>
    <w:p w14:paraId="488A3341" w14:textId="24EB3184"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 xml:space="preserve">Ustalenia zawarte w niniejszej specyfikacji związane są z </w:t>
      </w:r>
      <w:r w:rsidRPr="004853EB">
        <w:rPr>
          <w:rFonts w:eastAsia="Times New Roman" w:cstheme="minorHAnsi"/>
          <w:b/>
          <w:sz w:val="20"/>
          <w:szCs w:val="20"/>
          <w:lang w:eastAsia="pl-PL"/>
        </w:rPr>
        <w:t xml:space="preserve">Przebudową drogi powiatowej nr </w:t>
      </w:r>
      <w:r w:rsidR="002A326C" w:rsidRPr="002A326C">
        <w:rPr>
          <w:rFonts w:eastAsia="Times New Roman" w:cstheme="minorHAnsi"/>
          <w:b/>
          <w:bCs/>
          <w:sz w:val="20"/>
          <w:szCs w:val="20"/>
          <w:lang w:eastAsia="pl-PL"/>
        </w:rPr>
        <w:t>4506W Zwoleń – Sarnów w miejscowości Łuczynów</w:t>
      </w:r>
      <w:r w:rsidRPr="004853EB">
        <w:rPr>
          <w:rFonts w:eastAsia="Times New Roman" w:cstheme="minorHAnsi"/>
          <w:b/>
          <w:sz w:val="20"/>
          <w:szCs w:val="20"/>
          <w:lang w:eastAsia="pl-PL"/>
        </w:rPr>
        <w:t xml:space="preserve"> </w:t>
      </w:r>
      <w:r w:rsidRPr="004853EB">
        <w:rPr>
          <w:rFonts w:eastAsia="Times New Roman" w:cstheme="minorHAnsi"/>
          <w:sz w:val="20"/>
          <w:szCs w:val="20"/>
          <w:lang w:eastAsia="pl-PL"/>
        </w:rPr>
        <w:t>i obejmują roboty związane z ustawieniem krawężników:</w:t>
      </w:r>
    </w:p>
    <w:p w14:paraId="78DD2425"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betonowych na ławie betonowej z oporem lub zwykłej,</w:t>
      </w:r>
    </w:p>
    <w:p w14:paraId="56C08FFC"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betonowych wtopionych na ławie betonowej, </w:t>
      </w:r>
    </w:p>
    <w:p w14:paraId="346089CB"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76930304"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75" w:name="_Toc194477154"/>
      <w:bookmarkStart w:id="3876" w:name="_Toc227825637"/>
      <w:r w:rsidRPr="004853EB">
        <w:rPr>
          <w:rFonts w:eastAsia="Times New Roman" w:cstheme="minorHAnsi"/>
          <w:b/>
          <w:sz w:val="20"/>
          <w:szCs w:val="20"/>
          <w:lang w:eastAsia="pl-PL"/>
        </w:rPr>
        <w:t>1.4. Określenia podstawowe</w:t>
      </w:r>
      <w:bookmarkEnd w:id="3875"/>
      <w:bookmarkEnd w:id="3876"/>
    </w:p>
    <w:p w14:paraId="00E79B3B"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1.4.1. </w:t>
      </w:r>
      <w:r w:rsidRPr="004853EB">
        <w:rPr>
          <w:rFonts w:eastAsia="Times New Roman" w:cstheme="minorHAnsi"/>
          <w:sz w:val="20"/>
          <w:szCs w:val="20"/>
          <w:lang w:eastAsia="pl-PL"/>
        </w:rPr>
        <w:t>Krawężniki betonowe - prefabrykowane belki betonowe ograniczające chodniki dla pieszych, pasy dzielące, wyspy kierujące oraz nawierzchnie drogowe.</w:t>
      </w:r>
    </w:p>
    <w:p w14:paraId="503AD3C4" w14:textId="3229CB05"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1.4.2. </w:t>
      </w:r>
      <w:r w:rsidRPr="004853EB">
        <w:rPr>
          <w:rFonts w:eastAsia="Times New Roman" w:cstheme="minorHAnsi"/>
          <w:sz w:val="20"/>
          <w:szCs w:val="20"/>
          <w:lang w:eastAsia="pl-PL"/>
        </w:rPr>
        <w:t xml:space="preserve">Pozostałe określenia podstawowe są zgodne z obowiązującymi, odpowiednimi polskimi normami </w:t>
      </w:r>
      <w:r w:rsidR="0082360A">
        <w:rPr>
          <w:rFonts w:eastAsia="Times New Roman" w:cstheme="minorHAnsi"/>
          <w:sz w:val="20"/>
          <w:szCs w:val="20"/>
          <w:lang w:eastAsia="pl-PL"/>
        </w:rPr>
        <w:br/>
      </w:r>
      <w:r w:rsidRPr="004853EB">
        <w:rPr>
          <w:rFonts w:eastAsia="Times New Roman" w:cstheme="minorHAnsi"/>
          <w:sz w:val="20"/>
          <w:szCs w:val="20"/>
          <w:lang w:eastAsia="pl-PL"/>
        </w:rPr>
        <w:t>i z definicjami podanymi w SST D-00.00.00 „Wymagania ogólne” pkt 1.4.</w:t>
      </w:r>
    </w:p>
    <w:p w14:paraId="7BDADBEB"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77" w:name="_Toc194477155"/>
      <w:bookmarkStart w:id="3878" w:name="_Toc227825638"/>
      <w:r w:rsidRPr="004853EB">
        <w:rPr>
          <w:rFonts w:eastAsia="Times New Roman" w:cstheme="minorHAnsi"/>
          <w:b/>
          <w:sz w:val="20"/>
          <w:szCs w:val="20"/>
          <w:lang w:eastAsia="pl-PL"/>
        </w:rPr>
        <w:t>1.5. Ogólne wymagania dotyczące robót</w:t>
      </w:r>
      <w:bookmarkEnd w:id="3877"/>
      <w:bookmarkEnd w:id="3878"/>
    </w:p>
    <w:p w14:paraId="1633CA3F"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robót podano w SST D-00.00.00 „Wymagania ogólne” pkt 1.5.</w:t>
      </w:r>
    </w:p>
    <w:p w14:paraId="5BE2A0BC" w14:textId="77777777" w:rsidR="00E95D02" w:rsidRPr="004853EB" w:rsidRDefault="00E95D02" w:rsidP="00E95D02">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879" w:name="_Toc428243643"/>
      <w:bookmarkStart w:id="3880" w:name="_Toc428323648"/>
      <w:bookmarkStart w:id="3881" w:name="_Toc428759422"/>
      <w:bookmarkStart w:id="3882" w:name="_Toc194477156"/>
      <w:bookmarkStart w:id="3883" w:name="_Toc227825639"/>
      <w:r w:rsidRPr="004853EB">
        <w:rPr>
          <w:rFonts w:eastAsia="Times New Roman" w:cstheme="minorHAnsi"/>
          <w:b/>
          <w:caps/>
          <w:kern w:val="28"/>
          <w:sz w:val="20"/>
          <w:szCs w:val="20"/>
          <w:lang w:eastAsia="pl-PL"/>
        </w:rPr>
        <w:t>2. MATERIAŁY</w:t>
      </w:r>
      <w:bookmarkEnd w:id="3879"/>
      <w:bookmarkEnd w:id="3880"/>
      <w:bookmarkEnd w:id="3881"/>
      <w:bookmarkEnd w:id="3882"/>
      <w:bookmarkEnd w:id="3883"/>
    </w:p>
    <w:p w14:paraId="203D41F0"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84" w:name="_Toc194477157"/>
      <w:bookmarkStart w:id="3885" w:name="_Toc227825640"/>
      <w:r w:rsidRPr="004853EB">
        <w:rPr>
          <w:rFonts w:eastAsia="Times New Roman" w:cstheme="minorHAnsi"/>
          <w:b/>
          <w:sz w:val="20"/>
          <w:szCs w:val="20"/>
          <w:lang w:eastAsia="pl-PL"/>
        </w:rPr>
        <w:t>2.1. Ogólne wymagania dotyczące materiałów</w:t>
      </w:r>
      <w:bookmarkEnd w:id="3884"/>
      <w:bookmarkEnd w:id="3885"/>
    </w:p>
    <w:p w14:paraId="69174E68" w14:textId="24BB8AE1"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Ogólne wymagania dotyczące materiałów, ich pozyskiwania i składowania, podano </w:t>
      </w:r>
      <w:r w:rsidR="0082360A" w:rsidRPr="004853EB">
        <w:rPr>
          <w:rFonts w:eastAsia="Times New Roman" w:cstheme="minorHAnsi"/>
          <w:sz w:val="20"/>
          <w:szCs w:val="20"/>
          <w:lang w:eastAsia="pl-PL"/>
        </w:rPr>
        <w:t>w SST</w:t>
      </w:r>
      <w:r w:rsidRPr="004853EB">
        <w:rPr>
          <w:rFonts w:eastAsia="Times New Roman" w:cstheme="minorHAnsi"/>
          <w:sz w:val="20"/>
          <w:szCs w:val="20"/>
          <w:lang w:eastAsia="pl-PL"/>
        </w:rPr>
        <w:t xml:space="preserve"> D-00.00.00 „Wymagania ogólne” pkt 2.</w:t>
      </w:r>
    </w:p>
    <w:p w14:paraId="3E27CACA"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86" w:name="_Toc194477158"/>
      <w:bookmarkStart w:id="3887" w:name="_Toc227825641"/>
      <w:r w:rsidRPr="004853EB">
        <w:rPr>
          <w:rFonts w:eastAsia="Times New Roman" w:cstheme="minorHAnsi"/>
          <w:b/>
          <w:sz w:val="20"/>
          <w:szCs w:val="20"/>
          <w:lang w:eastAsia="pl-PL"/>
        </w:rPr>
        <w:t>2.2. Stosowane materiały</w:t>
      </w:r>
      <w:bookmarkEnd w:id="3886"/>
      <w:bookmarkEnd w:id="3887"/>
    </w:p>
    <w:p w14:paraId="179B8D83"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Materiałami stosowanymi są:</w:t>
      </w:r>
    </w:p>
    <w:p w14:paraId="4590A42B"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krawężniki betonowe,</w:t>
      </w:r>
    </w:p>
    <w:p w14:paraId="58F6EDB2"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piasek na podsypkę i do zapraw,</w:t>
      </w:r>
    </w:p>
    <w:p w14:paraId="1409AAF8"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cement do podsypki i zapraw,</w:t>
      </w:r>
    </w:p>
    <w:p w14:paraId="51F0B5BF"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woda,</w:t>
      </w:r>
    </w:p>
    <w:p w14:paraId="1A794F6F"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materiały do wykonania ławy pod krawężniki.</w:t>
      </w:r>
    </w:p>
    <w:p w14:paraId="3AE91025"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88" w:name="_Toc194477159"/>
      <w:bookmarkStart w:id="3889" w:name="_Toc227825642"/>
      <w:r w:rsidRPr="004853EB">
        <w:rPr>
          <w:rFonts w:eastAsia="Times New Roman" w:cstheme="minorHAnsi"/>
          <w:b/>
          <w:sz w:val="20"/>
          <w:szCs w:val="20"/>
          <w:lang w:eastAsia="pl-PL"/>
        </w:rPr>
        <w:t>2.3. Krawężniki betonowe - klasyfikacja</w:t>
      </w:r>
      <w:bookmarkEnd w:id="3888"/>
      <w:bookmarkEnd w:id="3889"/>
    </w:p>
    <w:p w14:paraId="1A1D2579"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Klasyfikacja jest zgodna z BN-80/6775-03/01 [14].</w:t>
      </w:r>
    </w:p>
    <w:p w14:paraId="6B33581D"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2.3.1. </w:t>
      </w:r>
      <w:r w:rsidRPr="004853EB">
        <w:rPr>
          <w:rFonts w:eastAsia="Times New Roman" w:cstheme="minorHAnsi"/>
          <w:sz w:val="20"/>
          <w:szCs w:val="20"/>
          <w:lang w:eastAsia="pl-PL"/>
        </w:rPr>
        <w:t>Typy</w:t>
      </w:r>
    </w:p>
    <w:p w14:paraId="2BC8437A"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Należy zastosować następujący typ krawężników betonowych:</w:t>
      </w:r>
    </w:p>
    <w:p w14:paraId="3CD16B60"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   -   drogowe.</w:t>
      </w:r>
    </w:p>
    <w:p w14:paraId="4911035D" w14:textId="253F5740"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prostokątne </w:t>
      </w:r>
      <w:r w:rsidR="0082360A" w:rsidRPr="004853EB">
        <w:rPr>
          <w:rFonts w:eastAsia="Times New Roman" w:cstheme="minorHAnsi"/>
          <w:sz w:val="20"/>
          <w:szCs w:val="20"/>
          <w:lang w:eastAsia="pl-PL"/>
        </w:rPr>
        <w:t>ścięte -</w:t>
      </w:r>
      <w:r w:rsidRPr="004853EB">
        <w:rPr>
          <w:rFonts w:eastAsia="Times New Roman" w:cstheme="minorHAnsi"/>
          <w:sz w:val="20"/>
          <w:szCs w:val="20"/>
          <w:lang w:eastAsia="pl-PL"/>
        </w:rPr>
        <w:t xml:space="preserve"> rodzaj „a”,</w:t>
      </w:r>
    </w:p>
    <w:p w14:paraId="2CBAD72F"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1 - krawężnik betonowy jednowarstwowy,</w:t>
      </w:r>
    </w:p>
    <w:p w14:paraId="16DDFC18"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gatunek 1 - G1,</w:t>
      </w:r>
    </w:p>
    <w:p w14:paraId="5D1CEC46"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Przykład oznaczenia krawężnika betonowego ulicznego (U), prostokątnego (b), jednowarstwowego (1) o wymiarach 12 x 15 x 100 cm, gat. 1: Ub-1/12/15/100                     BN-80/6775-03/04 [15].</w:t>
      </w:r>
    </w:p>
    <w:p w14:paraId="39A1252D"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90" w:name="_Toc194477160"/>
      <w:bookmarkStart w:id="3891" w:name="_Toc227825643"/>
      <w:r w:rsidRPr="004853EB">
        <w:rPr>
          <w:rFonts w:eastAsia="Times New Roman" w:cstheme="minorHAnsi"/>
          <w:b/>
          <w:sz w:val="20"/>
          <w:szCs w:val="20"/>
          <w:lang w:eastAsia="pl-PL"/>
        </w:rPr>
        <w:t>2.4. Krawężniki betonowe - wymagania techniczne</w:t>
      </w:r>
      <w:bookmarkEnd w:id="3890"/>
      <w:bookmarkEnd w:id="3891"/>
    </w:p>
    <w:p w14:paraId="761C10D4"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2.4.1. </w:t>
      </w:r>
      <w:r w:rsidRPr="004853EB">
        <w:rPr>
          <w:rFonts w:eastAsia="Times New Roman" w:cstheme="minorHAnsi"/>
          <w:sz w:val="20"/>
          <w:szCs w:val="20"/>
          <w:lang w:eastAsia="pl-PL"/>
        </w:rPr>
        <w:t>Kształt i wymiary</w:t>
      </w:r>
    </w:p>
    <w:p w14:paraId="2DBE7AEB"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t>Kształt krawężników betonowych przedstawiono na rysunku 1, a wymiary podano w tablicy 1.</w:t>
      </w:r>
    </w:p>
    <w:p w14:paraId="7F7E6468" w14:textId="77777777" w:rsidR="00E95D02" w:rsidRPr="004853EB" w:rsidRDefault="00E95D02" w:rsidP="00E95D02">
      <w:pPr>
        <w:numPr>
          <w:ilvl w:val="12"/>
          <w:numId w:val="0"/>
        </w:num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Wymiary krawężników betonowych podano w tablicy 1.</w:t>
      </w:r>
    </w:p>
    <w:p w14:paraId="2EDEDE39" w14:textId="77777777" w:rsidR="00E95D02" w:rsidRPr="004853EB" w:rsidRDefault="00E95D02" w:rsidP="00E95D02">
      <w:pPr>
        <w:numPr>
          <w:ilvl w:val="12"/>
          <w:numId w:val="0"/>
        </w:numPr>
        <w:overflowPunct w:val="0"/>
        <w:autoSpaceDE w:val="0"/>
        <w:autoSpaceDN w:val="0"/>
        <w:adjustRightInd w:val="0"/>
        <w:spacing w:after="0" w:line="240" w:lineRule="auto"/>
        <w:ind w:firstLine="709"/>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Dopuszczalne odchyłki wymiarów krawężników betonowych podano w tablicy 2.</w:t>
      </w:r>
    </w:p>
    <w:p w14:paraId="36FFEEAC"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p>
    <w:p w14:paraId="13741EA5"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 krawężnik rodzaju „a”</w:t>
      </w:r>
    </w:p>
    <w:p w14:paraId="68C85178" w14:textId="77777777" w:rsidR="00E95D02" w:rsidRPr="004853EB" w:rsidRDefault="00E95D02" w:rsidP="00E95D02">
      <w:pPr>
        <w:framePr w:hSpace="141" w:wrap="auto" w:vAnchor="text" w:hAnchor="page" w:x="2587" w:y="201"/>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noProof/>
          <w:sz w:val="20"/>
          <w:szCs w:val="20"/>
          <w:lang w:eastAsia="pl-PL"/>
        </w:rPr>
        <w:drawing>
          <wp:inline distT="0" distB="0" distL="0" distR="0" wp14:anchorId="7030615B" wp14:editId="4D79AA50">
            <wp:extent cx="2552700" cy="1123950"/>
            <wp:effectExtent l="0" t="0" r="0" b="0"/>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52700" cy="1123950"/>
                    </a:xfrm>
                    <a:prstGeom prst="rect">
                      <a:avLst/>
                    </a:prstGeom>
                    <a:noFill/>
                    <a:ln>
                      <a:noFill/>
                    </a:ln>
                  </pic:spPr>
                </pic:pic>
              </a:graphicData>
            </a:graphic>
          </wp:inline>
        </w:drawing>
      </w:r>
    </w:p>
    <w:p w14:paraId="67EA44E7"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216249BB"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2B34F6B"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43FA9676"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7F6AF77E"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45A599AE"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7D057A41"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56300BD8"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0C433D9B"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0A9F1883"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147C0BB8"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75DA592C"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Rys. 1. Wymiarowanie krawężników</w:t>
      </w:r>
    </w:p>
    <w:p w14:paraId="549BEA30" w14:textId="77777777" w:rsidR="00E95D02" w:rsidRPr="004853EB" w:rsidRDefault="00E95D02" w:rsidP="00E95D02">
      <w:pPr>
        <w:numPr>
          <w:ilvl w:val="12"/>
          <w:numId w:val="0"/>
        </w:num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1. Wymiary krawężników betonowych</w:t>
      </w:r>
    </w:p>
    <w:tbl>
      <w:tblPr>
        <w:tblW w:w="0" w:type="auto"/>
        <w:tblLayout w:type="fixed"/>
        <w:tblCellMar>
          <w:left w:w="70" w:type="dxa"/>
          <w:right w:w="70" w:type="dxa"/>
        </w:tblCellMar>
        <w:tblLook w:val="0000" w:firstRow="0" w:lastRow="0" w:firstColumn="0" w:lastColumn="0" w:noHBand="0" w:noVBand="0"/>
      </w:tblPr>
      <w:tblGrid>
        <w:gridCol w:w="1063"/>
        <w:gridCol w:w="1134"/>
        <w:gridCol w:w="704"/>
        <w:gridCol w:w="669"/>
        <w:gridCol w:w="668"/>
        <w:gridCol w:w="1088"/>
        <w:gridCol w:w="1088"/>
        <w:gridCol w:w="1088"/>
        <w:gridCol w:w="7"/>
      </w:tblGrid>
      <w:tr w:rsidR="00E95D02" w:rsidRPr="004853EB" w14:paraId="283FAC12" w14:textId="77777777" w:rsidTr="00E95D02">
        <w:tc>
          <w:tcPr>
            <w:tcW w:w="1063" w:type="dxa"/>
            <w:tcBorders>
              <w:top w:val="single" w:sz="6" w:space="0" w:color="auto"/>
              <w:left w:val="single" w:sz="6" w:space="0" w:color="auto"/>
            </w:tcBorders>
          </w:tcPr>
          <w:p w14:paraId="7C74215B" w14:textId="77777777" w:rsidR="00E95D02" w:rsidRPr="004853EB" w:rsidRDefault="00E95D02" w:rsidP="00E95D02">
            <w:pPr>
              <w:numPr>
                <w:ilvl w:val="12"/>
                <w:numId w:val="0"/>
              </w:num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Typ</w:t>
            </w:r>
          </w:p>
        </w:tc>
        <w:tc>
          <w:tcPr>
            <w:tcW w:w="1134" w:type="dxa"/>
            <w:tcBorders>
              <w:top w:val="single" w:sz="6" w:space="0" w:color="auto"/>
              <w:left w:val="single" w:sz="6" w:space="0" w:color="auto"/>
            </w:tcBorders>
          </w:tcPr>
          <w:p w14:paraId="0E308BCF" w14:textId="77777777" w:rsidR="00E95D02" w:rsidRPr="004853EB" w:rsidRDefault="00E95D02" w:rsidP="00E95D02">
            <w:pPr>
              <w:numPr>
                <w:ilvl w:val="12"/>
                <w:numId w:val="0"/>
              </w:num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Rodzaj</w:t>
            </w:r>
          </w:p>
        </w:tc>
        <w:tc>
          <w:tcPr>
            <w:tcW w:w="5312" w:type="dxa"/>
            <w:gridSpan w:val="7"/>
            <w:tcBorders>
              <w:top w:val="single" w:sz="6" w:space="0" w:color="auto"/>
              <w:left w:val="single" w:sz="6" w:space="0" w:color="auto"/>
              <w:bottom w:val="single" w:sz="6" w:space="0" w:color="auto"/>
              <w:right w:val="single" w:sz="6" w:space="0" w:color="auto"/>
            </w:tcBorders>
          </w:tcPr>
          <w:p w14:paraId="77703F77" w14:textId="1DFA3D9F"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Wymiary </w:t>
            </w:r>
            <w:r w:rsidR="0082360A" w:rsidRPr="004853EB">
              <w:rPr>
                <w:rFonts w:eastAsia="Times New Roman" w:cstheme="minorHAnsi"/>
                <w:sz w:val="20"/>
                <w:szCs w:val="20"/>
                <w:lang w:eastAsia="pl-PL"/>
              </w:rPr>
              <w:t>krawężników, cm</w:t>
            </w:r>
          </w:p>
        </w:tc>
      </w:tr>
      <w:tr w:rsidR="00E95D02" w:rsidRPr="004853EB" w14:paraId="35D14C07" w14:textId="77777777" w:rsidTr="00E95D02">
        <w:trPr>
          <w:gridAfter w:val="1"/>
          <w:wAfter w:w="7" w:type="dxa"/>
        </w:trPr>
        <w:tc>
          <w:tcPr>
            <w:tcW w:w="1063" w:type="dxa"/>
            <w:tcBorders>
              <w:left w:val="single" w:sz="6" w:space="0" w:color="auto"/>
              <w:bottom w:val="double" w:sz="6" w:space="0" w:color="auto"/>
              <w:right w:val="single" w:sz="6" w:space="0" w:color="auto"/>
            </w:tcBorders>
          </w:tcPr>
          <w:p w14:paraId="2DB9017C"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krawężnika</w:t>
            </w:r>
          </w:p>
        </w:tc>
        <w:tc>
          <w:tcPr>
            <w:tcW w:w="1134" w:type="dxa"/>
            <w:tcBorders>
              <w:bottom w:val="double" w:sz="6" w:space="0" w:color="auto"/>
            </w:tcBorders>
          </w:tcPr>
          <w:p w14:paraId="2D7ACECF"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krawężnika</w:t>
            </w:r>
          </w:p>
        </w:tc>
        <w:tc>
          <w:tcPr>
            <w:tcW w:w="704" w:type="dxa"/>
            <w:tcBorders>
              <w:top w:val="single" w:sz="6" w:space="0" w:color="auto"/>
              <w:left w:val="single" w:sz="6" w:space="0" w:color="auto"/>
              <w:bottom w:val="double" w:sz="6" w:space="0" w:color="auto"/>
              <w:right w:val="single" w:sz="6" w:space="0" w:color="auto"/>
            </w:tcBorders>
          </w:tcPr>
          <w:p w14:paraId="5B5CB017"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l</w:t>
            </w:r>
          </w:p>
        </w:tc>
        <w:tc>
          <w:tcPr>
            <w:tcW w:w="669" w:type="dxa"/>
            <w:tcBorders>
              <w:top w:val="single" w:sz="6" w:space="0" w:color="auto"/>
              <w:left w:val="single" w:sz="6" w:space="0" w:color="auto"/>
              <w:bottom w:val="double" w:sz="6" w:space="0" w:color="auto"/>
              <w:right w:val="single" w:sz="6" w:space="0" w:color="auto"/>
            </w:tcBorders>
          </w:tcPr>
          <w:p w14:paraId="0DDC5AD8"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b</w:t>
            </w:r>
          </w:p>
        </w:tc>
        <w:tc>
          <w:tcPr>
            <w:tcW w:w="668" w:type="dxa"/>
            <w:tcBorders>
              <w:top w:val="single" w:sz="6" w:space="0" w:color="auto"/>
              <w:left w:val="single" w:sz="6" w:space="0" w:color="auto"/>
              <w:bottom w:val="double" w:sz="6" w:space="0" w:color="auto"/>
              <w:right w:val="single" w:sz="6" w:space="0" w:color="auto"/>
            </w:tcBorders>
          </w:tcPr>
          <w:p w14:paraId="5995C6F1"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h</w:t>
            </w:r>
          </w:p>
        </w:tc>
        <w:tc>
          <w:tcPr>
            <w:tcW w:w="1088" w:type="dxa"/>
            <w:tcBorders>
              <w:top w:val="single" w:sz="6" w:space="0" w:color="auto"/>
              <w:left w:val="single" w:sz="6" w:space="0" w:color="auto"/>
              <w:bottom w:val="double" w:sz="6" w:space="0" w:color="auto"/>
              <w:right w:val="single" w:sz="6" w:space="0" w:color="auto"/>
            </w:tcBorders>
          </w:tcPr>
          <w:p w14:paraId="61FDE769"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c</w:t>
            </w:r>
          </w:p>
        </w:tc>
        <w:tc>
          <w:tcPr>
            <w:tcW w:w="1088" w:type="dxa"/>
            <w:tcBorders>
              <w:top w:val="single" w:sz="6" w:space="0" w:color="auto"/>
              <w:left w:val="single" w:sz="6" w:space="0" w:color="auto"/>
              <w:bottom w:val="double" w:sz="6" w:space="0" w:color="auto"/>
              <w:right w:val="single" w:sz="6" w:space="0" w:color="auto"/>
            </w:tcBorders>
          </w:tcPr>
          <w:p w14:paraId="64A39B82"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d</w:t>
            </w:r>
          </w:p>
        </w:tc>
        <w:tc>
          <w:tcPr>
            <w:tcW w:w="1088" w:type="dxa"/>
            <w:tcBorders>
              <w:top w:val="single" w:sz="6" w:space="0" w:color="auto"/>
              <w:left w:val="single" w:sz="6" w:space="0" w:color="auto"/>
              <w:bottom w:val="double" w:sz="6" w:space="0" w:color="auto"/>
              <w:right w:val="single" w:sz="6" w:space="0" w:color="auto"/>
            </w:tcBorders>
          </w:tcPr>
          <w:p w14:paraId="7391A76F"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r</w:t>
            </w:r>
          </w:p>
        </w:tc>
      </w:tr>
      <w:tr w:rsidR="00E95D02" w:rsidRPr="004853EB" w14:paraId="44AACF6F" w14:textId="77777777" w:rsidTr="00E95D02">
        <w:trPr>
          <w:gridAfter w:val="1"/>
          <w:wAfter w:w="7" w:type="dxa"/>
        </w:trPr>
        <w:tc>
          <w:tcPr>
            <w:tcW w:w="1063" w:type="dxa"/>
            <w:tcBorders>
              <w:left w:val="single" w:sz="6" w:space="0" w:color="auto"/>
              <w:bottom w:val="single" w:sz="6" w:space="0" w:color="auto"/>
              <w:right w:val="single" w:sz="6" w:space="0" w:color="auto"/>
            </w:tcBorders>
          </w:tcPr>
          <w:p w14:paraId="395E8861" w14:textId="77777777" w:rsidR="00E95D02" w:rsidRPr="004853EB" w:rsidRDefault="00E95D02" w:rsidP="00E95D02">
            <w:pPr>
              <w:numPr>
                <w:ilvl w:val="12"/>
                <w:numId w:val="0"/>
              </w:numPr>
              <w:overflowPunct w:val="0"/>
              <w:autoSpaceDE w:val="0"/>
              <w:autoSpaceDN w:val="0"/>
              <w:adjustRightInd w:val="0"/>
              <w:spacing w:before="180" w:after="0" w:line="240" w:lineRule="auto"/>
              <w:jc w:val="center"/>
              <w:textAlignment w:val="baseline"/>
              <w:rPr>
                <w:rFonts w:eastAsia="Times New Roman" w:cstheme="minorHAnsi"/>
                <w:sz w:val="20"/>
                <w:szCs w:val="20"/>
                <w:lang w:val="en-US" w:eastAsia="pl-PL"/>
              </w:rPr>
            </w:pPr>
            <w:r w:rsidRPr="004853EB">
              <w:rPr>
                <w:rFonts w:eastAsia="Times New Roman" w:cstheme="minorHAnsi"/>
                <w:sz w:val="20"/>
                <w:szCs w:val="20"/>
                <w:lang w:val="en-US" w:eastAsia="pl-PL"/>
              </w:rPr>
              <w:t>U</w:t>
            </w:r>
          </w:p>
        </w:tc>
        <w:tc>
          <w:tcPr>
            <w:tcW w:w="1134" w:type="dxa"/>
            <w:tcBorders>
              <w:left w:val="single" w:sz="6" w:space="0" w:color="auto"/>
              <w:bottom w:val="single" w:sz="6" w:space="0" w:color="auto"/>
            </w:tcBorders>
          </w:tcPr>
          <w:p w14:paraId="7AA2B0ED" w14:textId="77777777" w:rsidR="00E95D02" w:rsidRPr="004853EB" w:rsidRDefault="00E95D02" w:rsidP="00E95D02">
            <w:pPr>
              <w:numPr>
                <w:ilvl w:val="12"/>
                <w:numId w:val="0"/>
              </w:numPr>
              <w:overflowPunct w:val="0"/>
              <w:autoSpaceDE w:val="0"/>
              <w:autoSpaceDN w:val="0"/>
              <w:adjustRightInd w:val="0"/>
              <w:spacing w:before="180" w:after="0" w:line="240" w:lineRule="auto"/>
              <w:jc w:val="center"/>
              <w:textAlignment w:val="baseline"/>
              <w:rPr>
                <w:rFonts w:eastAsia="Times New Roman" w:cstheme="minorHAnsi"/>
                <w:sz w:val="20"/>
                <w:szCs w:val="20"/>
                <w:lang w:val="en-US" w:eastAsia="pl-PL"/>
              </w:rPr>
            </w:pPr>
            <w:r w:rsidRPr="004853EB">
              <w:rPr>
                <w:rFonts w:eastAsia="Times New Roman" w:cstheme="minorHAnsi"/>
                <w:sz w:val="20"/>
                <w:szCs w:val="20"/>
                <w:lang w:val="en-US" w:eastAsia="pl-PL"/>
              </w:rPr>
              <w:t>a</w:t>
            </w:r>
          </w:p>
        </w:tc>
        <w:tc>
          <w:tcPr>
            <w:tcW w:w="704" w:type="dxa"/>
            <w:tcBorders>
              <w:left w:val="single" w:sz="6" w:space="0" w:color="auto"/>
              <w:bottom w:val="single" w:sz="6" w:space="0" w:color="auto"/>
              <w:right w:val="single" w:sz="6" w:space="0" w:color="auto"/>
            </w:tcBorders>
          </w:tcPr>
          <w:p w14:paraId="4E6A5D12" w14:textId="77777777" w:rsidR="00E95D02" w:rsidRPr="004853EB" w:rsidRDefault="00E95D02" w:rsidP="00E95D02">
            <w:pPr>
              <w:numPr>
                <w:ilvl w:val="12"/>
                <w:numId w:val="0"/>
              </w:numPr>
              <w:overflowPunct w:val="0"/>
              <w:autoSpaceDE w:val="0"/>
              <w:autoSpaceDN w:val="0"/>
              <w:adjustRightInd w:val="0"/>
              <w:spacing w:before="180" w:after="0" w:line="240" w:lineRule="auto"/>
              <w:jc w:val="center"/>
              <w:textAlignment w:val="baseline"/>
              <w:rPr>
                <w:rFonts w:eastAsia="Times New Roman" w:cstheme="minorHAnsi"/>
                <w:sz w:val="20"/>
                <w:szCs w:val="20"/>
                <w:lang w:val="en-US" w:eastAsia="pl-PL"/>
              </w:rPr>
            </w:pPr>
            <w:r w:rsidRPr="004853EB">
              <w:rPr>
                <w:rFonts w:eastAsia="Times New Roman" w:cstheme="minorHAnsi"/>
                <w:sz w:val="20"/>
                <w:szCs w:val="20"/>
                <w:lang w:val="en-US" w:eastAsia="pl-PL"/>
              </w:rPr>
              <w:t>100</w:t>
            </w:r>
          </w:p>
        </w:tc>
        <w:tc>
          <w:tcPr>
            <w:tcW w:w="669" w:type="dxa"/>
            <w:tcBorders>
              <w:left w:val="single" w:sz="6" w:space="0" w:color="auto"/>
              <w:bottom w:val="single" w:sz="6" w:space="0" w:color="auto"/>
              <w:right w:val="single" w:sz="6" w:space="0" w:color="auto"/>
            </w:tcBorders>
          </w:tcPr>
          <w:p w14:paraId="618167CF" w14:textId="77777777" w:rsidR="00E95D02" w:rsidRPr="004853EB" w:rsidRDefault="00E95D02" w:rsidP="00E95D02">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val="en-US" w:eastAsia="pl-PL"/>
              </w:rPr>
            </w:pPr>
            <w:r w:rsidRPr="004853EB">
              <w:rPr>
                <w:rFonts w:eastAsia="Times New Roman" w:cstheme="minorHAnsi"/>
                <w:sz w:val="20"/>
                <w:szCs w:val="20"/>
                <w:lang w:val="en-US" w:eastAsia="pl-PL"/>
              </w:rPr>
              <w:t>15</w:t>
            </w:r>
          </w:p>
          <w:p w14:paraId="3C785C19" w14:textId="77777777" w:rsidR="00E95D02" w:rsidRPr="004853EB" w:rsidRDefault="00E95D02" w:rsidP="00E95D02">
            <w:pPr>
              <w:numPr>
                <w:ilvl w:val="12"/>
                <w:numId w:val="0"/>
              </w:numPr>
              <w:overflowPunct w:val="0"/>
              <w:autoSpaceDE w:val="0"/>
              <w:autoSpaceDN w:val="0"/>
              <w:adjustRightInd w:val="0"/>
              <w:spacing w:after="60" w:line="240" w:lineRule="auto"/>
              <w:jc w:val="center"/>
              <w:textAlignment w:val="baseline"/>
              <w:rPr>
                <w:rFonts w:eastAsia="Times New Roman" w:cstheme="minorHAnsi"/>
                <w:sz w:val="20"/>
                <w:szCs w:val="20"/>
                <w:lang w:val="en-US" w:eastAsia="pl-PL"/>
              </w:rPr>
            </w:pPr>
          </w:p>
        </w:tc>
        <w:tc>
          <w:tcPr>
            <w:tcW w:w="668" w:type="dxa"/>
            <w:tcBorders>
              <w:left w:val="single" w:sz="6" w:space="0" w:color="auto"/>
              <w:bottom w:val="single" w:sz="6" w:space="0" w:color="auto"/>
              <w:right w:val="single" w:sz="6" w:space="0" w:color="auto"/>
            </w:tcBorders>
          </w:tcPr>
          <w:p w14:paraId="7071F422" w14:textId="77777777" w:rsidR="00E95D02" w:rsidRPr="004853EB" w:rsidRDefault="00E95D02" w:rsidP="00E95D02">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val="en-US" w:eastAsia="pl-PL"/>
              </w:rPr>
            </w:pPr>
            <w:r w:rsidRPr="004853EB">
              <w:rPr>
                <w:rFonts w:eastAsia="Times New Roman" w:cstheme="minorHAnsi"/>
                <w:sz w:val="20"/>
                <w:szCs w:val="20"/>
                <w:lang w:val="en-US" w:eastAsia="pl-PL"/>
              </w:rPr>
              <w:t>30</w:t>
            </w:r>
          </w:p>
        </w:tc>
        <w:tc>
          <w:tcPr>
            <w:tcW w:w="1088" w:type="dxa"/>
            <w:tcBorders>
              <w:left w:val="single" w:sz="6" w:space="0" w:color="auto"/>
              <w:bottom w:val="single" w:sz="6" w:space="0" w:color="auto"/>
              <w:right w:val="single" w:sz="6" w:space="0" w:color="auto"/>
            </w:tcBorders>
          </w:tcPr>
          <w:p w14:paraId="5EAFC060" w14:textId="77777777" w:rsidR="00E95D02" w:rsidRPr="004853EB" w:rsidRDefault="00E95D02" w:rsidP="00E95D02">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val="en-US" w:eastAsia="pl-PL"/>
              </w:rPr>
            </w:pPr>
            <w:r w:rsidRPr="004853EB">
              <w:rPr>
                <w:rFonts w:eastAsia="Times New Roman" w:cstheme="minorHAnsi"/>
                <w:sz w:val="20"/>
                <w:szCs w:val="20"/>
                <w:lang w:val="en-US" w:eastAsia="pl-PL"/>
              </w:rPr>
              <w:t>min. 3</w:t>
            </w:r>
          </w:p>
          <w:p w14:paraId="1773FED1"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val="en-US" w:eastAsia="pl-PL"/>
              </w:rPr>
            </w:pPr>
            <w:r w:rsidRPr="004853EB">
              <w:rPr>
                <w:rFonts w:eastAsia="Times New Roman" w:cstheme="minorHAnsi"/>
                <w:sz w:val="20"/>
                <w:szCs w:val="20"/>
                <w:lang w:val="en-US" w:eastAsia="pl-PL"/>
              </w:rPr>
              <w:t>max. 7</w:t>
            </w:r>
          </w:p>
        </w:tc>
        <w:tc>
          <w:tcPr>
            <w:tcW w:w="1088" w:type="dxa"/>
            <w:tcBorders>
              <w:left w:val="single" w:sz="6" w:space="0" w:color="auto"/>
              <w:bottom w:val="single" w:sz="6" w:space="0" w:color="auto"/>
              <w:right w:val="single" w:sz="6" w:space="0" w:color="auto"/>
            </w:tcBorders>
          </w:tcPr>
          <w:p w14:paraId="58034688" w14:textId="77777777" w:rsidR="00E95D02" w:rsidRPr="004853EB" w:rsidRDefault="00E95D02" w:rsidP="00E95D02">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val="de-DE" w:eastAsia="pl-PL"/>
              </w:rPr>
            </w:pPr>
            <w:r w:rsidRPr="004853EB">
              <w:rPr>
                <w:rFonts w:eastAsia="Times New Roman" w:cstheme="minorHAnsi"/>
                <w:sz w:val="20"/>
                <w:szCs w:val="20"/>
                <w:lang w:val="de-DE" w:eastAsia="pl-PL"/>
              </w:rPr>
              <w:t>min. 12</w:t>
            </w:r>
          </w:p>
          <w:p w14:paraId="10B5A880"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val="de-DE" w:eastAsia="pl-PL"/>
              </w:rPr>
            </w:pPr>
            <w:r w:rsidRPr="004853EB">
              <w:rPr>
                <w:rFonts w:eastAsia="Times New Roman" w:cstheme="minorHAnsi"/>
                <w:sz w:val="20"/>
                <w:szCs w:val="20"/>
                <w:lang w:val="de-DE" w:eastAsia="pl-PL"/>
              </w:rPr>
              <w:t>max. 15</w:t>
            </w:r>
          </w:p>
        </w:tc>
        <w:tc>
          <w:tcPr>
            <w:tcW w:w="1088" w:type="dxa"/>
            <w:tcBorders>
              <w:left w:val="single" w:sz="6" w:space="0" w:color="auto"/>
              <w:bottom w:val="single" w:sz="6" w:space="0" w:color="auto"/>
              <w:right w:val="single" w:sz="6" w:space="0" w:color="auto"/>
            </w:tcBorders>
          </w:tcPr>
          <w:p w14:paraId="240DE8DB" w14:textId="77777777" w:rsidR="00E95D02" w:rsidRPr="004853EB" w:rsidRDefault="00E95D02" w:rsidP="00E95D02">
            <w:pPr>
              <w:numPr>
                <w:ilvl w:val="12"/>
                <w:numId w:val="0"/>
              </w:numPr>
              <w:overflowPunct w:val="0"/>
              <w:autoSpaceDE w:val="0"/>
              <w:autoSpaceDN w:val="0"/>
              <w:adjustRightInd w:val="0"/>
              <w:spacing w:before="180" w:after="0" w:line="240" w:lineRule="auto"/>
              <w:jc w:val="center"/>
              <w:textAlignment w:val="baseline"/>
              <w:rPr>
                <w:rFonts w:eastAsia="Times New Roman" w:cstheme="minorHAnsi"/>
                <w:sz w:val="20"/>
                <w:szCs w:val="20"/>
                <w:lang w:val="de-DE" w:eastAsia="pl-PL"/>
              </w:rPr>
            </w:pPr>
            <w:r w:rsidRPr="004853EB">
              <w:rPr>
                <w:rFonts w:eastAsia="Times New Roman" w:cstheme="minorHAnsi"/>
                <w:sz w:val="20"/>
                <w:szCs w:val="20"/>
                <w:lang w:val="de-DE" w:eastAsia="pl-PL"/>
              </w:rPr>
              <w:t>1,0</w:t>
            </w:r>
          </w:p>
        </w:tc>
      </w:tr>
      <w:tr w:rsidR="00E95D02" w:rsidRPr="004853EB" w14:paraId="387F30A7" w14:textId="77777777" w:rsidTr="00E95D02">
        <w:trPr>
          <w:gridAfter w:val="1"/>
          <w:wAfter w:w="7" w:type="dxa"/>
        </w:trPr>
        <w:tc>
          <w:tcPr>
            <w:tcW w:w="1063" w:type="dxa"/>
            <w:tcBorders>
              <w:top w:val="single" w:sz="6" w:space="0" w:color="auto"/>
              <w:left w:val="single" w:sz="6" w:space="0" w:color="auto"/>
              <w:bottom w:val="single" w:sz="6" w:space="0" w:color="auto"/>
              <w:right w:val="single" w:sz="6" w:space="0" w:color="auto"/>
            </w:tcBorders>
          </w:tcPr>
          <w:p w14:paraId="67E49FCD" w14:textId="77777777" w:rsidR="00E95D02" w:rsidRPr="004853EB" w:rsidRDefault="00E95D02" w:rsidP="00E95D02">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val="de-DE" w:eastAsia="pl-PL"/>
              </w:rPr>
            </w:pPr>
          </w:p>
        </w:tc>
        <w:tc>
          <w:tcPr>
            <w:tcW w:w="1134" w:type="dxa"/>
            <w:tcBorders>
              <w:top w:val="single" w:sz="6" w:space="0" w:color="auto"/>
              <w:left w:val="single" w:sz="6" w:space="0" w:color="auto"/>
              <w:bottom w:val="single" w:sz="6" w:space="0" w:color="auto"/>
            </w:tcBorders>
          </w:tcPr>
          <w:p w14:paraId="48D36A71" w14:textId="77777777" w:rsidR="00E95D02" w:rsidRPr="004853EB" w:rsidRDefault="00E95D02" w:rsidP="00E95D02">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p>
        </w:tc>
        <w:tc>
          <w:tcPr>
            <w:tcW w:w="704" w:type="dxa"/>
            <w:tcBorders>
              <w:top w:val="single" w:sz="6" w:space="0" w:color="auto"/>
              <w:left w:val="single" w:sz="6" w:space="0" w:color="auto"/>
              <w:bottom w:val="single" w:sz="6" w:space="0" w:color="auto"/>
              <w:right w:val="single" w:sz="6" w:space="0" w:color="auto"/>
            </w:tcBorders>
          </w:tcPr>
          <w:p w14:paraId="71A74B43" w14:textId="77777777" w:rsidR="00E95D02" w:rsidRPr="004853EB" w:rsidRDefault="00E95D02" w:rsidP="00E95D02">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p>
        </w:tc>
        <w:tc>
          <w:tcPr>
            <w:tcW w:w="669" w:type="dxa"/>
            <w:tcBorders>
              <w:top w:val="single" w:sz="6" w:space="0" w:color="auto"/>
              <w:left w:val="single" w:sz="6" w:space="0" w:color="auto"/>
              <w:bottom w:val="single" w:sz="6" w:space="0" w:color="auto"/>
              <w:right w:val="single" w:sz="6" w:space="0" w:color="auto"/>
            </w:tcBorders>
          </w:tcPr>
          <w:p w14:paraId="39FF3DDB"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tc>
        <w:tc>
          <w:tcPr>
            <w:tcW w:w="668" w:type="dxa"/>
            <w:tcBorders>
              <w:top w:val="single" w:sz="6" w:space="0" w:color="auto"/>
              <w:left w:val="single" w:sz="6" w:space="0" w:color="auto"/>
              <w:bottom w:val="single" w:sz="6" w:space="0" w:color="auto"/>
              <w:right w:val="single" w:sz="6" w:space="0" w:color="auto"/>
            </w:tcBorders>
          </w:tcPr>
          <w:p w14:paraId="0FF4BF6C" w14:textId="77777777" w:rsidR="00E95D02" w:rsidRPr="004853EB" w:rsidRDefault="00E95D02" w:rsidP="00E95D02">
            <w:pPr>
              <w:numPr>
                <w:ilvl w:val="12"/>
                <w:numId w:val="0"/>
              </w:numPr>
              <w:overflowPunct w:val="0"/>
              <w:autoSpaceDE w:val="0"/>
              <w:autoSpaceDN w:val="0"/>
              <w:adjustRightInd w:val="0"/>
              <w:spacing w:after="60" w:line="240" w:lineRule="auto"/>
              <w:jc w:val="center"/>
              <w:textAlignment w:val="baseline"/>
              <w:rPr>
                <w:rFonts w:eastAsia="Times New Roman" w:cstheme="minorHAnsi"/>
                <w:sz w:val="20"/>
                <w:szCs w:val="20"/>
                <w:lang w:eastAsia="pl-PL"/>
              </w:rPr>
            </w:pPr>
          </w:p>
        </w:tc>
        <w:tc>
          <w:tcPr>
            <w:tcW w:w="1088" w:type="dxa"/>
            <w:tcBorders>
              <w:top w:val="single" w:sz="6" w:space="0" w:color="auto"/>
              <w:left w:val="single" w:sz="6" w:space="0" w:color="auto"/>
              <w:bottom w:val="single" w:sz="6" w:space="0" w:color="auto"/>
              <w:right w:val="single" w:sz="6" w:space="0" w:color="auto"/>
            </w:tcBorders>
          </w:tcPr>
          <w:p w14:paraId="3B6042F0" w14:textId="77777777" w:rsidR="00E95D02" w:rsidRPr="004853EB" w:rsidRDefault="00E95D02" w:rsidP="00E95D02">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p>
        </w:tc>
        <w:tc>
          <w:tcPr>
            <w:tcW w:w="1088" w:type="dxa"/>
            <w:tcBorders>
              <w:top w:val="single" w:sz="6" w:space="0" w:color="auto"/>
              <w:left w:val="single" w:sz="6" w:space="0" w:color="auto"/>
              <w:bottom w:val="single" w:sz="6" w:space="0" w:color="auto"/>
              <w:right w:val="single" w:sz="6" w:space="0" w:color="auto"/>
            </w:tcBorders>
          </w:tcPr>
          <w:p w14:paraId="76F4CD92" w14:textId="77777777" w:rsidR="00E95D02" w:rsidRPr="004853EB" w:rsidRDefault="00E95D02" w:rsidP="00E95D02">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p>
        </w:tc>
        <w:tc>
          <w:tcPr>
            <w:tcW w:w="1088" w:type="dxa"/>
            <w:tcBorders>
              <w:top w:val="single" w:sz="6" w:space="0" w:color="auto"/>
              <w:left w:val="single" w:sz="6" w:space="0" w:color="auto"/>
              <w:bottom w:val="single" w:sz="6" w:space="0" w:color="auto"/>
              <w:right w:val="single" w:sz="6" w:space="0" w:color="auto"/>
            </w:tcBorders>
          </w:tcPr>
          <w:p w14:paraId="287F58D2" w14:textId="77777777" w:rsidR="00E95D02" w:rsidRPr="004853EB" w:rsidRDefault="00E95D02" w:rsidP="00E95D02">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p>
        </w:tc>
      </w:tr>
    </w:tbl>
    <w:p w14:paraId="027A51A3"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299A7AF6" w14:textId="77777777" w:rsidR="00E95D02" w:rsidRPr="004853EB" w:rsidRDefault="00E95D02" w:rsidP="00E95D02">
      <w:pPr>
        <w:numPr>
          <w:ilvl w:val="12"/>
          <w:numId w:val="0"/>
        </w:num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2. Dopuszczalne odchyłki wymiarów krawężników betonowych</w:t>
      </w:r>
    </w:p>
    <w:tbl>
      <w:tblPr>
        <w:tblW w:w="0" w:type="auto"/>
        <w:tblInd w:w="70" w:type="dxa"/>
        <w:tblLayout w:type="fixed"/>
        <w:tblCellMar>
          <w:left w:w="70" w:type="dxa"/>
          <w:right w:w="70" w:type="dxa"/>
        </w:tblCellMar>
        <w:tblLook w:val="0000" w:firstRow="0" w:lastRow="0" w:firstColumn="0" w:lastColumn="0" w:noHBand="0" w:noVBand="0"/>
      </w:tblPr>
      <w:tblGrid>
        <w:gridCol w:w="1701"/>
        <w:gridCol w:w="4111"/>
      </w:tblGrid>
      <w:tr w:rsidR="00E95D02" w:rsidRPr="004853EB" w14:paraId="44B36DAA" w14:textId="77777777" w:rsidTr="00E95D02">
        <w:tc>
          <w:tcPr>
            <w:tcW w:w="1701" w:type="dxa"/>
            <w:tcBorders>
              <w:top w:val="single" w:sz="6" w:space="0" w:color="auto"/>
              <w:left w:val="single" w:sz="6" w:space="0" w:color="auto"/>
            </w:tcBorders>
          </w:tcPr>
          <w:p w14:paraId="266BF14F" w14:textId="77777777" w:rsidR="00E95D02" w:rsidRPr="004853EB" w:rsidRDefault="00E95D02" w:rsidP="00E95D02">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Rodzaj</w:t>
            </w:r>
          </w:p>
        </w:tc>
        <w:tc>
          <w:tcPr>
            <w:tcW w:w="4111" w:type="dxa"/>
            <w:tcBorders>
              <w:top w:val="single" w:sz="6" w:space="0" w:color="auto"/>
              <w:left w:val="single" w:sz="6" w:space="0" w:color="auto"/>
              <w:bottom w:val="single" w:sz="6" w:space="0" w:color="auto"/>
              <w:right w:val="single" w:sz="6" w:space="0" w:color="auto"/>
            </w:tcBorders>
          </w:tcPr>
          <w:p w14:paraId="16152830" w14:textId="77777777" w:rsidR="00E95D02" w:rsidRPr="004853EB" w:rsidRDefault="00E95D02" w:rsidP="00E95D02">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Dopuszczalna odchyłka, mm</w:t>
            </w:r>
          </w:p>
        </w:tc>
      </w:tr>
      <w:tr w:rsidR="00E95D02" w:rsidRPr="004853EB" w14:paraId="389E4E33" w14:textId="77777777" w:rsidTr="00E95D02">
        <w:tc>
          <w:tcPr>
            <w:tcW w:w="1701" w:type="dxa"/>
            <w:tcBorders>
              <w:left w:val="single" w:sz="6" w:space="0" w:color="auto"/>
              <w:bottom w:val="double" w:sz="6" w:space="0" w:color="auto"/>
            </w:tcBorders>
          </w:tcPr>
          <w:p w14:paraId="3282DD63" w14:textId="77777777" w:rsidR="00E95D02" w:rsidRPr="004853EB" w:rsidRDefault="00E95D02" w:rsidP="00E95D02">
            <w:pPr>
              <w:numPr>
                <w:ilvl w:val="12"/>
                <w:numId w:val="0"/>
              </w:numPr>
              <w:overflowPunct w:val="0"/>
              <w:autoSpaceDE w:val="0"/>
              <w:autoSpaceDN w:val="0"/>
              <w:adjustRightInd w:val="0"/>
              <w:spacing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wymiaru</w:t>
            </w:r>
          </w:p>
        </w:tc>
        <w:tc>
          <w:tcPr>
            <w:tcW w:w="4111" w:type="dxa"/>
            <w:tcBorders>
              <w:top w:val="single" w:sz="6" w:space="0" w:color="auto"/>
              <w:left w:val="single" w:sz="6" w:space="0" w:color="auto"/>
              <w:bottom w:val="double" w:sz="6" w:space="0" w:color="auto"/>
              <w:right w:val="single" w:sz="6" w:space="0" w:color="auto"/>
            </w:tcBorders>
          </w:tcPr>
          <w:p w14:paraId="6173F581" w14:textId="77777777" w:rsidR="00E95D02" w:rsidRPr="004853EB" w:rsidRDefault="00E95D02" w:rsidP="00E95D02">
            <w:pPr>
              <w:numPr>
                <w:ilvl w:val="12"/>
                <w:numId w:val="0"/>
              </w:numPr>
              <w:overflowPunct w:val="0"/>
              <w:autoSpaceDE w:val="0"/>
              <w:autoSpaceDN w:val="0"/>
              <w:adjustRightInd w:val="0"/>
              <w:spacing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Gatunek 1</w:t>
            </w:r>
          </w:p>
        </w:tc>
      </w:tr>
      <w:tr w:rsidR="00E95D02" w:rsidRPr="004853EB" w14:paraId="06384CA5" w14:textId="77777777" w:rsidTr="00E95D02">
        <w:tc>
          <w:tcPr>
            <w:tcW w:w="1701" w:type="dxa"/>
            <w:tcBorders>
              <w:left w:val="single" w:sz="6" w:space="0" w:color="auto"/>
              <w:bottom w:val="single" w:sz="6" w:space="0" w:color="auto"/>
              <w:right w:val="single" w:sz="6" w:space="0" w:color="auto"/>
            </w:tcBorders>
          </w:tcPr>
          <w:p w14:paraId="2C2AC96E"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l</w:t>
            </w:r>
          </w:p>
        </w:tc>
        <w:tc>
          <w:tcPr>
            <w:tcW w:w="4111" w:type="dxa"/>
            <w:tcBorders>
              <w:left w:val="single" w:sz="6" w:space="0" w:color="auto"/>
              <w:bottom w:val="single" w:sz="6" w:space="0" w:color="auto"/>
              <w:right w:val="single" w:sz="6" w:space="0" w:color="auto"/>
            </w:tcBorders>
          </w:tcPr>
          <w:p w14:paraId="007E3EB5"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8</w:t>
            </w:r>
          </w:p>
        </w:tc>
      </w:tr>
      <w:tr w:rsidR="00E95D02" w:rsidRPr="004853EB" w14:paraId="22427DDF" w14:textId="77777777" w:rsidTr="00E95D02">
        <w:tc>
          <w:tcPr>
            <w:tcW w:w="1701" w:type="dxa"/>
            <w:tcBorders>
              <w:top w:val="single" w:sz="6" w:space="0" w:color="auto"/>
              <w:left w:val="single" w:sz="6" w:space="0" w:color="auto"/>
              <w:bottom w:val="single" w:sz="6" w:space="0" w:color="auto"/>
              <w:right w:val="single" w:sz="6" w:space="0" w:color="auto"/>
            </w:tcBorders>
          </w:tcPr>
          <w:p w14:paraId="38E113D6" w14:textId="00723BBF" w:rsidR="00E95D02" w:rsidRPr="004853EB" w:rsidRDefault="0082360A"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b, h</w:t>
            </w:r>
          </w:p>
        </w:tc>
        <w:tc>
          <w:tcPr>
            <w:tcW w:w="4111" w:type="dxa"/>
            <w:tcBorders>
              <w:top w:val="single" w:sz="6" w:space="0" w:color="auto"/>
              <w:left w:val="single" w:sz="6" w:space="0" w:color="auto"/>
              <w:bottom w:val="single" w:sz="6" w:space="0" w:color="auto"/>
              <w:right w:val="single" w:sz="6" w:space="0" w:color="auto"/>
            </w:tcBorders>
          </w:tcPr>
          <w:p w14:paraId="2DC2B911"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3</w:t>
            </w:r>
          </w:p>
        </w:tc>
      </w:tr>
    </w:tbl>
    <w:p w14:paraId="6BE38C6E"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b/>
          <w:sz w:val="20"/>
          <w:szCs w:val="20"/>
          <w:lang w:eastAsia="pl-PL"/>
        </w:rPr>
      </w:pPr>
    </w:p>
    <w:p w14:paraId="138F4F8D"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2.4.2. </w:t>
      </w:r>
      <w:r w:rsidRPr="004853EB">
        <w:rPr>
          <w:rFonts w:eastAsia="Times New Roman" w:cstheme="minorHAnsi"/>
          <w:sz w:val="20"/>
          <w:szCs w:val="20"/>
          <w:lang w:eastAsia="pl-PL"/>
        </w:rPr>
        <w:t>Dopuszczalne wady i uszkodzenia</w:t>
      </w:r>
    </w:p>
    <w:p w14:paraId="7BEB83CC"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Powierzchnie krawężników betonowych powinny być bez rys, pęknięć i ubytków betonu, o fakturze z formy lub zatartej. Krawędzie elementów powinny być równe i proste.</w:t>
      </w:r>
    </w:p>
    <w:p w14:paraId="152C366D"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Dopuszczalne wady oraz uszkodzenia powierzchni i krawędzi elementów, zgodnie z BN-80/6775-03/01 [14], nie powinny przekraczać wartości podanych w tablicy 3.</w:t>
      </w:r>
    </w:p>
    <w:p w14:paraId="5C30BD40" w14:textId="77777777" w:rsidR="00E95D02" w:rsidRPr="004853EB" w:rsidRDefault="00E95D02" w:rsidP="00E95D02">
      <w:pPr>
        <w:numPr>
          <w:ilvl w:val="12"/>
          <w:numId w:val="0"/>
        </w:num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3. Dopuszczalne wady i uszkodzenia krawężników betonowych</w:t>
      </w:r>
    </w:p>
    <w:tbl>
      <w:tblPr>
        <w:tblW w:w="0" w:type="auto"/>
        <w:tblLayout w:type="fixed"/>
        <w:tblCellMar>
          <w:left w:w="70" w:type="dxa"/>
          <w:right w:w="70" w:type="dxa"/>
        </w:tblCellMar>
        <w:tblLook w:val="0000" w:firstRow="0" w:lastRow="0" w:firstColumn="0" w:lastColumn="0" w:noHBand="0" w:noVBand="0"/>
      </w:tblPr>
      <w:tblGrid>
        <w:gridCol w:w="2055"/>
        <w:gridCol w:w="3260"/>
        <w:gridCol w:w="1098"/>
        <w:gridCol w:w="1098"/>
      </w:tblGrid>
      <w:tr w:rsidR="00E95D02" w:rsidRPr="004853EB" w14:paraId="551E5F6E" w14:textId="77777777" w:rsidTr="00E95D02">
        <w:tc>
          <w:tcPr>
            <w:tcW w:w="5315" w:type="dxa"/>
            <w:gridSpan w:val="2"/>
            <w:tcBorders>
              <w:top w:val="single" w:sz="6" w:space="0" w:color="auto"/>
              <w:left w:val="single" w:sz="6" w:space="0" w:color="auto"/>
            </w:tcBorders>
          </w:tcPr>
          <w:p w14:paraId="54D92F4B"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2AF8316E" w14:textId="77777777" w:rsidR="00E95D02" w:rsidRPr="004853EB" w:rsidRDefault="00E95D02" w:rsidP="00E95D02">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Rodzaj wad i uszkodzeń</w:t>
            </w:r>
          </w:p>
        </w:tc>
        <w:tc>
          <w:tcPr>
            <w:tcW w:w="2196" w:type="dxa"/>
            <w:gridSpan w:val="2"/>
            <w:tcBorders>
              <w:top w:val="single" w:sz="6" w:space="0" w:color="auto"/>
              <w:left w:val="single" w:sz="6" w:space="0" w:color="auto"/>
              <w:bottom w:val="single" w:sz="6" w:space="0" w:color="auto"/>
              <w:right w:val="single" w:sz="6" w:space="0" w:color="auto"/>
            </w:tcBorders>
          </w:tcPr>
          <w:p w14:paraId="0E8D12FE" w14:textId="77777777" w:rsidR="00E95D02" w:rsidRPr="004853EB" w:rsidRDefault="00E95D02" w:rsidP="00E95D02">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Dopuszczalna wielkość wad i uszkodzeń</w:t>
            </w:r>
          </w:p>
        </w:tc>
      </w:tr>
      <w:tr w:rsidR="00E95D02" w:rsidRPr="004853EB" w14:paraId="4C1CB034" w14:textId="77777777" w:rsidTr="00E95D02">
        <w:tc>
          <w:tcPr>
            <w:tcW w:w="5315" w:type="dxa"/>
            <w:gridSpan w:val="2"/>
            <w:tcBorders>
              <w:left w:val="single" w:sz="6" w:space="0" w:color="auto"/>
              <w:bottom w:val="double" w:sz="6" w:space="0" w:color="auto"/>
            </w:tcBorders>
          </w:tcPr>
          <w:p w14:paraId="093FF1E8"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c>
          <w:tcPr>
            <w:tcW w:w="2196" w:type="dxa"/>
            <w:gridSpan w:val="2"/>
            <w:tcBorders>
              <w:top w:val="single" w:sz="6" w:space="0" w:color="auto"/>
              <w:left w:val="single" w:sz="6" w:space="0" w:color="auto"/>
              <w:bottom w:val="double" w:sz="6" w:space="0" w:color="auto"/>
              <w:right w:val="single" w:sz="6" w:space="0" w:color="auto"/>
            </w:tcBorders>
          </w:tcPr>
          <w:p w14:paraId="752FF6D1" w14:textId="77777777" w:rsidR="00E95D02" w:rsidRPr="004853EB" w:rsidRDefault="00E95D02" w:rsidP="00E95D02">
            <w:pPr>
              <w:numPr>
                <w:ilvl w:val="12"/>
                <w:numId w:val="0"/>
              </w:numPr>
              <w:overflowPunct w:val="0"/>
              <w:autoSpaceDE w:val="0"/>
              <w:autoSpaceDN w:val="0"/>
              <w:adjustRightInd w:val="0"/>
              <w:spacing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Gatunek 1</w:t>
            </w:r>
          </w:p>
        </w:tc>
      </w:tr>
      <w:tr w:rsidR="00E95D02" w:rsidRPr="004853EB" w14:paraId="76D5C472" w14:textId="77777777" w:rsidTr="00E95D02">
        <w:tc>
          <w:tcPr>
            <w:tcW w:w="5315" w:type="dxa"/>
            <w:gridSpan w:val="2"/>
            <w:tcBorders>
              <w:left w:val="single" w:sz="6" w:space="0" w:color="auto"/>
            </w:tcBorders>
          </w:tcPr>
          <w:p w14:paraId="03A09389" w14:textId="77777777" w:rsidR="00E95D02" w:rsidRPr="004853EB" w:rsidRDefault="00E95D02" w:rsidP="00E95D02">
            <w:pPr>
              <w:numPr>
                <w:ilvl w:val="12"/>
                <w:numId w:val="0"/>
              </w:num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Wklęsłość lub wypukłość powierzchni krawężników w mm</w:t>
            </w:r>
          </w:p>
        </w:tc>
        <w:tc>
          <w:tcPr>
            <w:tcW w:w="2196" w:type="dxa"/>
            <w:gridSpan w:val="2"/>
            <w:tcBorders>
              <w:left w:val="single" w:sz="6" w:space="0" w:color="auto"/>
              <w:bottom w:val="single" w:sz="6" w:space="0" w:color="auto"/>
              <w:right w:val="single" w:sz="6" w:space="0" w:color="auto"/>
            </w:tcBorders>
          </w:tcPr>
          <w:p w14:paraId="42489DAD"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r>
      <w:tr w:rsidR="00E95D02" w:rsidRPr="004853EB" w14:paraId="56F9BF46" w14:textId="77777777" w:rsidTr="00E95D02">
        <w:tc>
          <w:tcPr>
            <w:tcW w:w="2055" w:type="dxa"/>
            <w:tcBorders>
              <w:top w:val="single" w:sz="6" w:space="0" w:color="auto"/>
              <w:left w:val="single" w:sz="6" w:space="0" w:color="auto"/>
            </w:tcBorders>
          </w:tcPr>
          <w:p w14:paraId="01DE3803" w14:textId="77777777" w:rsidR="00E95D02" w:rsidRPr="004853EB" w:rsidRDefault="00E95D02" w:rsidP="00E95D02">
            <w:pPr>
              <w:numPr>
                <w:ilvl w:val="12"/>
                <w:numId w:val="0"/>
              </w:numPr>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Szczerby i uszkodzenia</w:t>
            </w:r>
          </w:p>
          <w:p w14:paraId="45178276" w14:textId="77777777" w:rsidR="00E95D02" w:rsidRPr="004853EB" w:rsidRDefault="00E95D02" w:rsidP="00E95D02">
            <w:pPr>
              <w:numPr>
                <w:ilvl w:val="12"/>
                <w:numId w:val="0"/>
              </w:num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krawędzi i naroży</w:t>
            </w:r>
          </w:p>
        </w:tc>
        <w:tc>
          <w:tcPr>
            <w:tcW w:w="3260" w:type="dxa"/>
            <w:tcBorders>
              <w:top w:val="single" w:sz="6" w:space="0" w:color="auto"/>
              <w:left w:val="single" w:sz="6" w:space="0" w:color="auto"/>
              <w:bottom w:val="single" w:sz="6" w:space="0" w:color="auto"/>
              <w:right w:val="single" w:sz="6" w:space="0" w:color="auto"/>
            </w:tcBorders>
          </w:tcPr>
          <w:p w14:paraId="31F4CBA0" w14:textId="77777777" w:rsidR="00E95D02" w:rsidRPr="004853EB" w:rsidRDefault="00E95D02" w:rsidP="00E95D02">
            <w:pPr>
              <w:numPr>
                <w:ilvl w:val="12"/>
                <w:numId w:val="0"/>
              </w:num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ograniczających powierzchnie górne (ścieralne),   mm</w:t>
            </w:r>
          </w:p>
        </w:tc>
        <w:tc>
          <w:tcPr>
            <w:tcW w:w="2196" w:type="dxa"/>
            <w:gridSpan w:val="2"/>
            <w:tcBorders>
              <w:top w:val="single" w:sz="6" w:space="0" w:color="auto"/>
              <w:left w:val="single" w:sz="6" w:space="0" w:color="auto"/>
              <w:bottom w:val="single" w:sz="6" w:space="0" w:color="auto"/>
              <w:right w:val="single" w:sz="6" w:space="0" w:color="auto"/>
            </w:tcBorders>
          </w:tcPr>
          <w:p w14:paraId="1734930B" w14:textId="77777777" w:rsidR="00E95D02" w:rsidRPr="004853EB" w:rsidRDefault="00E95D02" w:rsidP="00E95D02">
            <w:pPr>
              <w:numPr>
                <w:ilvl w:val="12"/>
                <w:numId w:val="0"/>
              </w:numPr>
              <w:overflowPunct w:val="0"/>
              <w:autoSpaceDE w:val="0"/>
              <w:autoSpaceDN w:val="0"/>
              <w:adjustRightInd w:val="0"/>
              <w:spacing w:before="18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niedopuszczalne</w:t>
            </w:r>
          </w:p>
        </w:tc>
      </w:tr>
      <w:tr w:rsidR="00E95D02" w:rsidRPr="004853EB" w14:paraId="50C5D285" w14:textId="77777777" w:rsidTr="00E95D02">
        <w:tc>
          <w:tcPr>
            <w:tcW w:w="2055" w:type="dxa"/>
            <w:tcBorders>
              <w:left w:val="single" w:sz="6" w:space="0" w:color="auto"/>
            </w:tcBorders>
          </w:tcPr>
          <w:p w14:paraId="462BB5B3"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c>
          <w:tcPr>
            <w:tcW w:w="3260" w:type="dxa"/>
            <w:tcBorders>
              <w:top w:val="single" w:sz="6" w:space="0" w:color="auto"/>
              <w:left w:val="single" w:sz="6" w:space="0" w:color="auto"/>
              <w:right w:val="single" w:sz="6" w:space="0" w:color="auto"/>
            </w:tcBorders>
          </w:tcPr>
          <w:p w14:paraId="15E662A1" w14:textId="77777777" w:rsidR="00E95D02" w:rsidRPr="004853EB" w:rsidRDefault="00E95D02" w:rsidP="00E95D02">
            <w:pPr>
              <w:numPr>
                <w:ilvl w:val="12"/>
                <w:numId w:val="0"/>
              </w:numPr>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ograniczających pozostałe </w:t>
            </w:r>
          </w:p>
          <w:p w14:paraId="426282B8" w14:textId="77777777" w:rsidR="00E95D02" w:rsidRPr="004853EB" w:rsidRDefault="00E95D02" w:rsidP="00E95D02">
            <w:pPr>
              <w:numPr>
                <w:ilvl w:val="12"/>
                <w:numId w:val="0"/>
              </w:num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powierzchnie:</w:t>
            </w:r>
          </w:p>
        </w:tc>
        <w:tc>
          <w:tcPr>
            <w:tcW w:w="2196" w:type="dxa"/>
            <w:gridSpan w:val="2"/>
            <w:tcBorders>
              <w:top w:val="single" w:sz="6" w:space="0" w:color="auto"/>
              <w:left w:val="single" w:sz="6" w:space="0" w:color="auto"/>
              <w:right w:val="single" w:sz="6" w:space="0" w:color="auto"/>
            </w:tcBorders>
          </w:tcPr>
          <w:p w14:paraId="583DAA94"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tc>
      </w:tr>
      <w:tr w:rsidR="00E95D02" w:rsidRPr="004853EB" w14:paraId="6E6B673C" w14:textId="77777777" w:rsidTr="00E95D02">
        <w:tc>
          <w:tcPr>
            <w:tcW w:w="2055" w:type="dxa"/>
            <w:tcBorders>
              <w:left w:val="single" w:sz="6" w:space="0" w:color="auto"/>
            </w:tcBorders>
          </w:tcPr>
          <w:p w14:paraId="502A2197" w14:textId="77777777" w:rsidR="00E95D02" w:rsidRPr="004853EB" w:rsidRDefault="00E95D02" w:rsidP="00E95D02">
            <w:pPr>
              <w:numPr>
                <w:ilvl w:val="12"/>
                <w:numId w:val="0"/>
              </w:num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p>
        </w:tc>
        <w:tc>
          <w:tcPr>
            <w:tcW w:w="3260" w:type="dxa"/>
            <w:tcBorders>
              <w:left w:val="single" w:sz="6" w:space="0" w:color="auto"/>
              <w:bottom w:val="single" w:sz="6" w:space="0" w:color="auto"/>
              <w:right w:val="single" w:sz="6" w:space="0" w:color="auto"/>
            </w:tcBorders>
          </w:tcPr>
          <w:p w14:paraId="7B577F8F" w14:textId="77777777" w:rsidR="00E95D02" w:rsidRPr="004853EB" w:rsidRDefault="00E95D02" w:rsidP="00E95D02">
            <w:pPr>
              <w:numPr>
                <w:ilvl w:val="12"/>
                <w:numId w:val="0"/>
              </w:num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liczba max</w:t>
            </w:r>
          </w:p>
        </w:tc>
        <w:tc>
          <w:tcPr>
            <w:tcW w:w="1098" w:type="dxa"/>
            <w:tcBorders>
              <w:left w:val="single" w:sz="6" w:space="0" w:color="auto"/>
              <w:bottom w:val="single" w:sz="6" w:space="0" w:color="auto"/>
              <w:right w:val="single" w:sz="6" w:space="0" w:color="auto"/>
            </w:tcBorders>
          </w:tcPr>
          <w:p w14:paraId="66C58BC1"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1098" w:type="dxa"/>
            <w:tcBorders>
              <w:left w:val="single" w:sz="6" w:space="0" w:color="auto"/>
              <w:bottom w:val="single" w:sz="6" w:space="0" w:color="auto"/>
              <w:right w:val="single" w:sz="6" w:space="0" w:color="auto"/>
            </w:tcBorders>
          </w:tcPr>
          <w:p w14:paraId="438F603A"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p>
        </w:tc>
      </w:tr>
      <w:tr w:rsidR="00E95D02" w:rsidRPr="004853EB" w14:paraId="512786BB" w14:textId="77777777" w:rsidTr="00E95D02">
        <w:tc>
          <w:tcPr>
            <w:tcW w:w="2055" w:type="dxa"/>
            <w:tcBorders>
              <w:left w:val="single" w:sz="6" w:space="0" w:color="auto"/>
            </w:tcBorders>
          </w:tcPr>
          <w:p w14:paraId="296464A8" w14:textId="77777777" w:rsidR="00E95D02" w:rsidRPr="004853EB" w:rsidRDefault="00E95D02" w:rsidP="00E95D02">
            <w:pPr>
              <w:numPr>
                <w:ilvl w:val="12"/>
                <w:numId w:val="0"/>
              </w:num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p>
        </w:tc>
        <w:tc>
          <w:tcPr>
            <w:tcW w:w="3260" w:type="dxa"/>
            <w:tcBorders>
              <w:top w:val="single" w:sz="6" w:space="0" w:color="auto"/>
              <w:left w:val="single" w:sz="6" w:space="0" w:color="auto"/>
              <w:bottom w:val="single" w:sz="6" w:space="0" w:color="auto"/>
              <w:right w:val="single" w:sz="6" w:space="0" w:color="auto"/>
            </w:tcBorders>
          </w:tcPr>
          <w:p w14:paraId="0B763E40" w14:textId="77777777" w:rsidR="00E95D02" w:rsidRPr="004853EB" w:rsidRDefault="00E95D02" w:rsidP="00E95D02">
            <w:pPr>
              <w:numPr>
                <w:ilvl w:val="12"/>
                <w:numId w:val="0"/>
              </w:num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długość, mm, max</w:t>
            </w:r>
          </w:p>
        </w:tc>
        <w:tc>
          <w:tcPr>
            <w:tcW w:w="2196" w:type="dxa"/>
            <w:gridSpan w:val="2"/>
            <w:tcBorders>
              <w:top w:val="single" w:sz="6" w:space="0" w:color="auto"/>
              <w:left w:val="single" w:sz="6" w:space="0" w:color="auto"/>
              <w:bottom w:val="single" w:sz="6" w:space="0" w:color="auto"/>
              <w:right w:val="single" w:sz="6" w:space="0" w:color="auto"/>
            </w:tcBorders>
          </w:tcPr>
          <w:p w14:paraId="523EE016"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20</w:t>
            </w:r>
          </w:p>
        </w:tc>
      </w:tr>
      <w:tr w:rsidR="00E95D02" w:rsidRPr="004853EB" w14:paraId="351E3CE4" w14:textId="77777777" w:rsidTr="00E95D02">
        <w:tc>
          <w:tcPr>
            <w:tcW w:w="2055" w:type="dxa"/>
            <w:tcBorders>
              <w:left w:val="single" w:sz="6" w:space="0" w:color="auto"/>
              <w:bottom w:val="single" w:sz="6" w:space="0" w:color="auto"/>
            </w:tcBorders>
          </w:tcPr>
          <w:p w14:paraId="74688C7F" w14:textId="77777777" w:rsidR="00E95D02" w:rsidRPr="004853EB" w:rsidRDefault="00E95D02" w:rsidP="00E95D02">
            <w:pPr>
              <w:numPr>
                <w:ilvl w:val="12"/>
                <w:numId w:val="0"/>
              </w:num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p>
        </w:tc>
        <w:tc>
          <w:tcPr>
            <w:tcW w:w="3260" w:type="dxa"/>
            <w:tcBorders>
              <w:top w:val="single" w:sz="6" w:space="0" w:color="auto"/>
              <w:left w:val="single" w:sz="6" w:space="0" w:color="auto"/>
              <w:bottom w:val="single" w:sz="6" w:space="0" w:color="auto"/>
              <w:right w:val="single" w:sz="6" w:space="0" w:color="auto"/>
            </w:tcBorders>
          </w:tcPr>
          <w:p w14:paraId="69E2D8CC" w14:textId="77777777" w:rsidR="00E95D02" w:rsidRPr="004853EB" w:rsidRDefault="00E95D02" w:rsidP="00E95D02">
            <w:pPr>
              <w:numPr>
                <w:ilvl w:val="12"/>
                <w:numId w:val="0"/>
              </w:num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głębokość, mm, max</w:t>
            </w:r>
          </w:p>
        </w:tc>
        <w:tc>
          <w:tcPr>
            <w:tcW w:w="2196" w:type="dxa"/>
            <w:gridSpan w:val="2"/>
            <w:tcBorders>
              <w:top w:val="single" w:sz="6" w:space="0" w:color="auto"/>
              <w:left w:val="single" w:sz="6" w:space="0" w:color="auto"/>
              <w:bottom w:val="single" w:sz="6" w:space="0" w:color="auto"/>
              <w:right w:val="single" w:sz="6" w:space="0" w:color="auto"/>
            </w:tcBorders>
          </w:tcPr>
          <w:p w14:paraId="3EA40345"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tc>
      </w:tr>
    </w:tbl>
    <w:p w14:paraId="6412D3F6"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415A7C1A"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2.4.3. </w:t>
      </w:r>
      <w:r w:rsidRPr="004853EB">
        <w:rPr>
          <w:rFonts w:eastAsia="Times New Roman" w:cstheme="minorHAnsi"/>
          <w:sz w:val="20"/>
          <w:szCs w:val="20"/>
          <w:lang w:eastAsia="pl-PL"/>
        </w:rPr>
        <w:t>Składowanie</w:t>
      </w:r>
    </w:p>
    <w:p w14:paraId="4757D553"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Krawężniki betonowe mogą być przechowywane na składowiskach otwartych, posegregowane według typów, rodzajów, odmian, gatunków i wielkości.</w:t>
      </w:r>
    </w:p>
    <w:p w14:paraId="0F9FAFDD"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Krawężniki betonowe należy układać z zastosowaniem podkładek i przekładek drewnianych o wymiarach: grubość 2,5 cm, szerokość 5 cm, długość min. 5 cm większa niż szerokość krawężnika.</w:t>
      </w:r>
    </w:p>
    <w:p w14:paraId="7C2A7B89" w14:textId="77777777" w:rsidR="00E95D02" w:rsidRPr="004853EB" w:rsidRDefault="00E95D02" w:rsidP="00E95D02">
      <w:pPr>
        <w:keepNext/>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2.4.4. </w:t>
      </w:r>
      <w:r w:rsidRPr="004853EB">
        <w:rPr>
          <w:rFonts w:eastAsia="Times New Roman" w:cstheme="minorHAnsi"/>
          <w:sz w:val="20"/>
          <w:szCs w:val="20"/>
          <w:lang w:eastAsia="pl-PL"/>
        </w:rPr>
        <w:t>Beton i jego składniki</w:t>
      </w:r>
    </w:p>
    <w:p w14:paraId="04D23733" w14:textId="77777777" w:rsidR="00E95D02" w:rsidRPr="004853EB" w:rsidRDefault="00E95D02" w:rsidP="00E95D02">
      <w:pPr>
        <w:keepNext/>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2.4.4.1. </w:t>
      </w:r>
      <w:r w:rsidRPr="004853EB">
        <w:rPr>
          <w:rFonts w:eastAsia="Times New Roman" w:cstheme="minorHAnsi"/>
          <w:sz w:val="20"/>
          <w:szCs w:val="20"/>
          <w:lang w:eastAsia="pl-PL"/>
        </w:rPr>
        <w:t>Beton do produkcji krawężników</w:t>
      </w:r>
    </w:p>
    <w:p w14:paraId="0F9C5FE5"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Do produkcji krawężników należy stosować beton wg PN-B-06250 [2], klasy B 25 i B 30. </w:t>
      </w:r>
    </w:p>
    <w:p w14:paraId="7D1788CA"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Beton użyty do produkcji krawężników powinien charakteryzować się:</w:t>
      </w:r>
    </w:p>
    <w:p w14:paraId="0AE79ADB"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nasiąkliwością, poniżej 4%,</w:t>
      </w:r>
    </w:p>
    <w:p w14:paraId="722C8591"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ścieralnością na tarczy Boehmego, dla gatunku 1: 3 mm, dla gatunku 2: 4 mm,</w:t>
      </w:r>
    </w:p>
    <w:p w14:paraId="310D0CDA"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mrozoodpornością i wodoszczelnością, zgodnie z normą PN-B-06250 [2].</w:t>
      </w:r>
    </w:p>
    <w:p w14:paraId="5CB2E6BA" w14:textId="58484386" w:rsidR="00E95D02" w:rsidRPr="004853EB" w:rsidRDefault="0082360A"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2.4.4.2. </w:t>
      </w:r>
      <w:r w:rsidRPr="004853EB">
        <w:rPr>
          <w:rFonts w:eastAsia="Times New Roman" w:cstheme="minorHAnsi"/>
          <w:sz w:val="20"/>
          <w:szCs w:val="20"/>
          <w:lang w:eastAsia="pl-PL"/>
        </w:rPr>
        <w:t>Cement</w:t>
      </w:r>
    </w:p>
    <w:p w14:paraId="564A5E1D"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Cement stosowany do betonu powinien być cementem portlandzkim klasy nie niższej niż „32,5” wg PN-B-19701 [10].</w:t>
      </w:r>
    </w:p>
    <w:p w14:paraId="7E0951A1"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Przechowywanie cementu powinno być zgodne z BN-88/6731-08 [12].</w:t>
      </w:r>
    </w:p>
    <w:p w14:paraId="468D7830"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2.4.4.3. </w:t>
      </w:r>
      <w:r w:rsidRPr="004853EB">
        <w:rPr>
          <w:rFonts w:eastAsia="Times New Roman" w:cstheme="minorHAnsi"/>
          <w:sz w:val="20"/>
          <w:szCs w:val="20"/>
          <w:lang w:eastAsia="pl-PL"/>
        </w:rPr>
        <w:t>Kruszywo</w:t>
      </w:r>
    </w:p>
    <w:p w14:paraId="3C489617"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Kruszywo powinno odpowiadać wymaganiom PN-B-06712 [5].</w:t>
      </w:r>
    </w:p>
    <w:p w14:paraId="47B2C33A"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Kruszywo należy przechowywać w warunkach zabezpieczających je przed zanieczyszczeniem, zmieszaniem z kruszywami innych asortymentów, gatunków i marek.</w:t>
      </w:r>
    </w:p>
    <w:p w14:paraId="2FF85DDD"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2.4.4.4. </w:t>
      </w:r>
      <w:r w:rsidRPr="004853EB">
        <w:rPr>
          <w:rFonts w:eastAsia="Times New Roman" w:cstheme="minorHAnsi"/>
          <w:sz w:val="20"/>
          <w:szCs w:val="20"/>
          <w:lang w:eastAsia="pl-PL"/>
        </w:rPr>
        <w:t>Woda</w:t>
      </w:r>
    </w:p>
    <w:p w14:paraId="6635C04C"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Woda powinna być odmiany „1” i odpowiadać wymaganiom PN-B-32250 [11].</w:t>
      </w:r>
    </w:p>
    <w:p w14:paraId="371F1BB8"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92" w:name="_Toc194477161"/>
      <w:bookmarkStart w:id="3893" w:name="_Toc227825644"/>
      <w:r w:rsidRPr="004853EB">
        <w:rPr>
          <w:rFonts w:eastAsia="Times New Roman" w:cstheme="minorHAnsi"/>
          <w:b/>
          <w:sz w:val="20"/>
          <w:szCs w:val="20"/>
          <w:lang w:eastAsia="pl-PL"/>
        </w:rPr>
        <w:t>2.5. Materiały na podsypkę i do zapraw</w:t>
      </w:r>
      <w:bookmarkEnd w:id="3892"/>
      <w:bookmarkEnd w:id="3893"/>
    </w:p>
    <w:p w14:paraId="3F774234"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Piasek na podsypkę cementowo-piaskową powinien odpowiadać wymaganiom PN-B-06712 [5], a do zaprawy cementowo-piaskowej PN-B-06711 [4].</w:t>
      </w:r>
    </w:p>
    <w:p w14:paraId="5D338EFE"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Cement na podsypkę i do zaprawy cementowo-piaskowej powinien być cementem portlandzkim klasy nie mniejszej niż „32,5”, odpowiadający wymaganiom PN-B-19701 [10].</w:t>
      </w:r>
    </w:p>
    <w:p w14:paraId="1E0198C4"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Woda powinna być odmiany „1” i odpowiadać wymaganiom PN-B-32250 [11].</w:t>
      </w:r>
    </w:p>
    <w:p w14:paraId="3E4E5FA9"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894" w:name="_Toc194477162"/>
      <w:bookmarkStart w:id="3895" w:name="_Toc227825645"/>
      <w:r w:rsidRPr="004853EB">
        <w:rPr>
          <w:rFonts w:eastAsia="Times New Roman" w:cstheme="minorHAnsi"/>
          <w:b/>
          <w:sz w:val="20"/>
          <w:szCs w:val="20"/>
          <w:lang w:eastAsia="pl-PL"/>
        </w:rPr>
        <w:t>2.6. Materiały na ławy</w:t>
      </w:r>
      <w:bookmarkEnd w:id="3894"/>
      <w:bookmarkEnd w:id="3895"/>
    </w:p>
    <w:p w14:paraId="5FB8A2AC"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 wykonania ław pod krawężniki należy stosować, dla:</w:t>
      </w:r>
    </w:p>
    <w:p w14:paraId="494576E0" w14:textId="77777777" w:rsidR="00E95D02" w:rsidRPr="004853EB" w:rsidRDefault="00E95D02">
      <w:pPr>
        <w:numPr>
          <w:ilvl w:val="0"/>
          <w:numId w:val="14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ławy betonowej - beton klasy B 15, wg PN-B-06250 [2], którego składniki powinny odpowiadać wymaganiom punktu 2.4.4,</w:t>
      </w:r>
    </w:p>
    <w:p w14:paraId="08EE59C7"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896" w:name="_Toc428239274"/>
      <w:bookmarkStart w:id="3897" w:name="_Toc428759423"/>
      <w:bookmarkStart w:id="3898" w:name="_Toc194477163"/>
      <w:bookmarkStart w:id="3899" w:name="_Toc227825646"/>
      <w:r w:rsidRPr="004853EB">
        <w:rPr>
          <w:rFonts w:eastAsia="Times New Roman" w:cstheme="minorHAnsi"/>
          <w:b/>
          <w:caps/>
          <w:kern w:val="28"/>
          <w:sz w:val="20"/>
          <w:szCs w:val="20"/>
          <w:lang w:eastAsia="pl-PL"/>
        </w:rPr>
        <w:t>3. SPRZĘT</w:t>
      </w:r>
      <w:bookmarkEnd w:id="3896"/>
      <w:bookmarkEnd w:id="3897"/>
      <w:bookmarkEnd w:id="3898"/>
      <w:bookmarkEnd w:id="3899"/>
    </w:p>
    <w:p w14:paraId="3AF6D812"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00" w:name="_Toc194477164"/>
      <w:bookmarkStart w:id="3901" w:name="_Toc227825647"/>
      <w:r w:rsidRPr="004853EB">
        <w:rPr>
          <w:rFonts w:eastAsia="Times New Roman" w:cstheme="minorHAnsi"/>
          <w:b/>
          <w:sz w:val="20"/>
          <w:szCs w:val="20"/>
          <w:lang w:eastAsia="pl-PL"/>
        </w:rPr>
        <w:t>3.1. Ogólne wymagania dotyczące sprzętu</w:t>
      </w:r>
      <w:bookmarkEnd w:id="3900"/>
      <w:bookmarkEnd w:id="3901"/>
    </w:p>
    <w:p w14:paraId="2ACC0DE5" w14:textId="77777777" w:rsidR="00E95D02" w:rsidRPr="004853EB" w:rsidRDefault="00E95D02" w:rsidP="00E95D02">
      <w:pPr>
        <w:tabs>
          <w:tab w:val="right" w:leader="dot" w:pos="-1985"/>
          <w:tab w:val="left" w:pos="284"/>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b/>
          <w:sz w:val="20"/>
          <w:szCs w:val="20"/>
          <w:lang w:eastAsia="pl-PL"/>
        </w:rPr>
        <w:tab/>
      </w:r>
      <w:r w:rsidRPr="004853EB">
        <w:rPr>
          <w:rFonts w:eastAsia="Times New Roman" w:cstheme="minorHAnsi"/>
          <w:sz w:val="20"/>
          <w:szCs w:val="20"/>
          <w:lang w:eastAsia="pl-PL"/>
        </w:rPr>
        <w:t>Ogólne wymagania dotyczące sprzętu podano w SST D-00.00.00 „Wymagania ogólne” pkt 3.</w:t>
      </w:r>
    </w:p>
    <w:p w14:paraId="713DDE7C"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02" w:name="_Toc194477165"/>
      <w:bookmarkStart w:id="3903" w:name="_Toc227825648"/>
      <w:r w:rsidRPr="004853EB">
        <w:rPr>
          <w:rFonts w:eastAsia="Times New Roman" w:cstheme="minorHAnsi"/>
          <w:b/>
          <w:sz w:val="20"/>
          <w:szCs w:val="20"/>
          <w:lang w:eastAsia="pl-PL"/>
        </w:rPr>
        <w:t>3.2. Sprzęt</w:t>
      </w:r>
      <w:bookmarkEnd w:id="3902"/>
      <w:bookmarkEnd w:id="3903"/>
      <w:r w:rsidRPr="004853EB">
        <w:rPr>
          <w:rFonts w:eastAsia="Times New Roman" w:cstheme="minorHAnsi"/>
          <w:b/>
          <w:sz w:val="20"/>
          <w:szCs w:val="20"/>
          <w:lang w:eastAsia="pl-PL"/>
        </w:rPr>
        <w:t xml:space="preserve"> </w:t>
      </w:r>
    </w:p>
    <w:p w14:paraId="6D8D2225" w14:textId="77777777" w:rsidR="00E95D02" w:rsidRPr="004853EB" w:rsidRDefault="00E95D02" w:rsidP="00E95D02">
      <w:pPr>
        <w:tabs>
          <w:tab w:val="right" w:leader="dot" w:pos="-1985"/>
          <w:tab w:val="left" w:pos="284"/>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b/>
          <w:sz w:val="20"/>
          <w:szCs w:val="20"/>
          <w:lang w:eastAsia="pl-PL"/>
        </w:rPr>
        <w:tab/>
      </w:r>
      <w:r w:rsidRPr="004853EB">
        <w:rPr>
          <w:rFonts w:eastAsia="Times New Roman" w:cstheme="minorHAnsi"/>
          <w:sz w:val="20"/>
          <w:szCs w:val="20"/>
          <w:lang w:eastAsia="pl-PL"/>
        </w:rPr>
        <w:t>Roboty wykonuje się ręcznie przy zastosowaniu:</w:t>
      </w:r>
    </w:p>
    <w:p w14:paraId="5A63E33F" w14:textId="77777777" w:rsidR="00E95D02" w:rsidRPr="004853EB" w:rsidRDefault="00E95D02" w:rsidP="00E95D02">
      <w:pPr>
        <w:numPr>
          <w:ilvl w:val="0"/>
          <w:numId w:val="9"/>
        </w:numPr>
        <w:tabs>
          <w:tab w:val="right" w:leader="dot" w:pos="-1985"/>
          <w:tab w:val="left" w:pos="284"/>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betoniarek do wytwarzania betonu i zapraw oraz przygotowania podsypki cementowo-piaskowej,</w:t>
      </w:r>
    </w:p>
    <w:p w14:paraId="4511C0D4" w14:textId="77777777" w:rsidR="00E95D02" w:rsidRPr="004853EB" w:rsidRDefault="00E95D02" w:rsidP="00E95D02">
      <w:pPr>
        <w:numPr>
          <w:ilvl w:val="0"/>
          <w:numId w:val="9"/>
        </w:numPr>
        <w:tabs>
          <w:tab w:val="right" w:leader="dot" w:pos="-1985"/>
          <w:tab w:val="left" w:pos="284"/>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wibratorów płytowych, ubijaków ręcznych lub mechanicznych.</w:t>
      </w:r>
    </w:p>
    <w:p w14:paraId="551F4FCB"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904" w:name="_Toc428239275"/>
      <w:bookmarkStart w:id="3905" w:name="_Toc428759424"/>
      <w:bookmarkStart w:id="3906" w:name="_Toc194477166"/>
      <w:bookmarkStart w:id="3907" w:name="_Toc227825649"/>
      <w:r w:rsidRPr="004853EB">
        <w:rPr>
          <w:rFonts w:eastAsia="Times New Roman" w:cstheme="minorHAnsi"/>
          <w:b/>
          <w:caps/>
          <w:kern w:val="28"/>
          <w:sz w:val="20"/>
          <w:szCs w:val="20"/>
          <w:lang w:eastAsia="pl-PL"/>
        </w:rPr>
        <w:lastRenderedPageBreak/>
        <w:t>4. TRANSPORT</w:t>
      </w:r>
      <w:bookmarkEnd w:id="3904"/>
      <w:bookmarkEnd w:id="3905"/>
      <w:bookmarkEnd w:id="3906"/>
      <w:bookmarkEnd w:id="3907"/>
    </w:p>
    <w:p w14:paraId="2D45033A"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08" w:name="_Toc194477167"/>
      <w:bookmarkStart w:id="3909" w:name="_Toc227825650"/>
      <w:r w:rsidRPr="004853EB">
        <w:rPr>
          <w:rFonts w:eastAsia="Times New Roman" w:cstheme="minorHAnsi"/>
          <w:b/>
          <w:sz w:val="20"/>
          <w:szCs w:val="20"/>
          <w:lang w:eastAsia="pl-PL"/>
        </w:rPr>
        <w:t>4.1. Ogólne wymagania dotyczące transportu</w:t>
      </w:r>
      <w:bookmarkEnd w:id="3908"/>
      <w:bookmarkEnd w:id="3909"/>
    </w:p>
    <w:p w14:paraId="4B9991CD" w14:textId="77777777" w:rsidR="00E95D02" w:rsidRPr="004853EB" w:rsidRDefault="00E95D02" w:rsidP="00E95D02">
      <w:pPr>
        <w:tabs>
          <w:tab w:val="right" w:leader="dot" w:pos="-1985"/>
          <w:tab w:val="left" w:pos="284"/>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r>
      <w:r w:rsidRPr="004853EB">
        <w:rPr>
          <w:rFonts w:eastAsia="Times New Roman" w:cstheme="minorHAnsi"/>
          <w:sz w:val="20"/>
          <w:szCs w:val="20"/>
          <w:lang w:eastAsia="pl-PL"/>
        </w:rPr>
        <w:tab/>
        <w:t>Ogólne wymagania dotyczące transportu podano w SST D-00.00.00 „Wymagania ogólne” pkt 4.</w:t>
      </w:r>
    </w:p>
    <w:p w14:paraId="5D7B351F"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10" w:name="_Toc194477168"/>
      <w:bookmarkStart w:id="3911" w:name="_Toc227825651"/>
      <w:r w:rsidRPr="004853EB">
        <w:rPr>
          <w:rFonts w:eastAsia="Times New Roman" w:cstheme="minorHAnsi"/>
          <w:b/>
          <w:sz w:val="20"/>
          <w:szCs w:val="20"/>
          <w:lang w:eastAsia="pl-PL"/>
        </w:rPr>
        <w:t>4.2. Transport krawężników</w:t>
      </w:r>
      <w:bookmarkEnd w:id="3910"/>
      <w:bookmarkEnd w:id="3911"/>
    </w:p>
    <w:p w14:paraId="5AB1C352" w14:textId="77777777" w:rsidR="00E95D02" w:rsidRPr="004853EB" w:rsidRDefault="00E95D02" w:rsidP="00E95D02">
      <w:pPr>
        <w:tabs>
          <w:tab w:val="right" w:leader="dot" w:pos="-1985"/>
          <w:tab w:val="left" w:pos="284"/>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b/>
          <w:sz w:val="20"/>
          <w:szCs w:val="20"/>
          <w:lang w:eastAsia="pl-PL"/>
        </w:rPr>
        <w:tab/>
      </w:r>
      <w:r w:rsidRPr="004853EB">
        <w:rPr>
          <w:rFonts w:eastAsia="Times New Roman" w:cstheme="minorHAnsi"/>
          <w:sz w:val="20"/>
          <w:szCs w:val="20"/>
          <w:lang w:eastAsia="pl-PL"/>
        </w:rPr>
        <w:t>Krawężniki betonowe mogą być przewożone dowolnymi środkami transportowymi.</w:t>
      </w:r>
    </w:p>
    <w:p w14:paraId="709F118E" w14:textId="67534FC8" w:rsidR="00E95D02" w:rsidRPr="004853EB" w:rsidRDefault="00E95D02" w:rsidP="00E95D02">
      <w:pPr>
        <w:tabs>
          <w:tab w:val="right" w:leader="dot" w:pos="-1985"/>
          <w:tab w:val="left" w:pos="284"/>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r>
      <w:r w:rsidRPr="004853EB">
        <w:rPr>
          <w:rFonts w:eastAsia="Times New Roman" w:cstheme="minorHAnsi"/>
          <w:sz w:val="20"/>
          <w:szCs w:val="20"/>
          <w:lang w:eastAsia="pl-PL"/>
        </w:rPr>
        <w:tab/>
        <w:t xml:space="preserve">Krawężniki betonowe układać należy na środkach transportowych w pozycji pionowej z nachyleniem </w:t>
      </w:r>
      <w:r w:rsidR="0082360A">
        <w:rPr>
          <w:rFonts w:eastAsia="Times New Roman" w:cstheme="minorHAnsi"/>
          <w:sz w:val="20"/>
          <w:szCs w:val="20"/>
          <w:lang w:eastAsia="pl-PL"/>
        </w:rPr>
        <w:br/>
      </w:r>
      <w:r w:rsidRPr="004853EB">
        <w:rPr>
          <w:rFonts w:eastAsia="Times New Roman" w:cstheme="minorHAnsi"/>
          <w:sz w:val="20"/>
          <w:szCs w:val="20"/>
          <w:lang w:eastAsia="pl-PL"/>
        </w:rPr>
        <w:t>w kierunku jazdy.</w:t>
      </w:r>
    </w:p>
    <w:p w14:paraId="21715C97" w14:textId="77777777" w:rsidR="00E95D02" w:rsidRPr="004853EB" w:rsidRDefault="00E95D02" w:rsidP="00E95D02">
      <w:pPr>
        <w:tabs>
          <w:tab w:val="right" w:leader="dot" w:pos="-1985"/>
          <w:tab w:val="left" w:pos="284"/>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r>
      <w:r w:rsidRPr="004853EB">
        <w:rPr>
          <w:rFonts w:eastAsia="Times New Roman" w:cstheme="minorHAnsi"/>
          <w:sz w:val="20"/>
          <w:szCs w:val="20"/>
          <w:lang w:eastAsia="pl-PL"/>
        </w:rPr>
        <w:tab/>
        <w:t>Krawężniki powinny być zabezpieczone przed przemieszczeniem się i uszkodzeniami w czasie transportu, a górna warstwa nie powinna wystawać poza ściany środka transportowego więcej niż 1/3 wysokości tej warstwy.</w:t>
      </w:r>
    </w:p>
    <w:p w14:paraId="14F9C4D4"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12" w:name="_Toc194477169"/>
      <w:bookmarkStart w:id="3913" w:name="_Toc227825652"/>
      <w:r w:rsidRPr="004853EB">
        <w:rPr>
          <w:rFonts w:eastAsia="Times New Roman" w:cstheme="minorHAnsi"/>
          <w:b/>
          <w:sz w:val="20"/>
          <w:szCs w:val="20"/>
          <w:lang w:eastAsia="pl-PL"/>
        </w:rPr>
        <w:t>4.3. Transport pozostałych materiałów</w:t>
      </w:r>
      <w:bookmarkEnd w:id="3912"/>
      <w:bookmarkEnd w:id="3913"/>
    </w:p>
    <w:p w14:paraId="4D00C6CA"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Transport cementu powinien się odbywać w warunkach zgodnych z BN-88/6731-08 [12].</w:t>
      </w:r>
    </w:p>
    <w:p w14:paraId="31D7220E"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Kruszywa można przewozić dowolnym środkiem transportu, w warunkach zabezpieczających je przed zanieczyszczeniem i zmieszaniem z innymi materiałami. Podczas transportu kruszywa powinny być zabezpieczone przed wysypaniem, a kruszywo drobne - przed rozpyleniem.</w:t>
      </w:r>
    </w:p>
    <w:p w14:paraId="2542316E"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914" w:name="_Toc428239276"/>
      <w:bookmarkStart w:id="3915" w:name="_Toc428759425"/>
      <w:bookmarkStart w:id="3916" w:name="_Toc194477170"/>
      <w:bookmarkStart w:id="3917" w:name="_Toc227825653"/>
      <w:r w:rsidRPr="004853EB">
        <w:rPr>
          <w:rFonts w:eastAsia="Times New Roman" w:cstheme="minorHAnsi"/>
          <w:b/>
          <w:caps/>
          <w:kern w:val="28"/>
          <w:sz w:val="20"/>
          <w:szCs w:val="20"/>
          <w:lang w:eastAsia="pl-PL"/>
        </w:rPr>
        <w:t>5. WYKONANIE ROBÓT</w:t>
      </w:r>
      <w:bookmarkEnd w:id="3914"/>
      <w:bookmarkEnd w:id="3915"/>
      <w:bookmarkEnd w:id="3916"/>
      <w:bookmarkEnd w:id="3917"/>
    </w:p>
    <w:p w14:paraId="776F013B"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18" w:name="_Toc194477171"/>
      <w:bookmarkStart w:id="3919" w:name="_Toc227825654"/>
      <w:r w:rsidRPr="004853EB">
        <w:rPr>
          <w:rFonts w:eastAsia="Times New Roman" w:cstheme="minorHAnsi"/>
          <w:b/>
          <w:sz w:val="20"/>
          <w:szCs w:val="20"/>
          <w:lang w:eastAsia="pl-PL"/>
        </w:rPr>
        <w:t>5.1. Ogólne zasady wykonania robót</w:t>
      </w:r>
      <w:bookmarkEnd w:id="3918"/>
      <w:bookmarkEnd w:id="3919"/>
    </w:p>
    <w:p w14:paraId="788F1E14"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Ogólne zasady wykonania robót podano w SST D-00.00.00 „Wymagania ogólne” pkt 5.</w:t>
      </w:r>
    </w:p>
    <w:p w14:paraId="2581E9F7"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20" w:name="_Toc194477172"/>
      <w:bookmarkStart w:id="3921" w:name="_Toc227825655"/>
      <w:r w:rsidRPr="004853EB">
        <w:rPr>
          <w:rFonts w:eastAsia="Times New Roman" w:cstheme="minorHAnsi"/>
          <w:b/>
          <w:sz w:val="20"/>
          <w:szCs w:val="20"/>
          <w:lang w:eastAsia="pl-PL"/>
        </w:rPr>
        <w:t>5.2. Wykonanie koryta pod ławy</w:t>
      </w:r>
      <w:bookmarkEnd w:id="3920"/>
      <w:bookmarkEnd w:id="3921"/>
    </w:p>
    <w:p w14:paraId="03F97696"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Koryto pod ławy należy wykonywać zgodnie z PN-B-06050 [1].</w:t>
      </w:r>
    </w:p>
    <w:p w14:paraId="14470168"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Wymiary wykopu powinny odpowiadać wymiarom ławy w planie z uwzględnieniem w szerokości dna wykopu ew. konstrukcji szalunku.</w:t>
      </w:r>
    </w:p>
    <w:p w14:paraId="030DAD01"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Wskaźnik zagęszczenia dna wykonanego koryta pod ławę powinien wynosić co najmniej 0,97 według normalnej metody Proctora.</w:t>
      </w:r>
    </w:p>
    <w:p w14:paraId="3EB2B802"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22" w:name="_Toc194477173"/>
      <w:bookmarkStart w:id="3923" w:name="_Toc227825656"/>
      <w:r w:rsidRPr="004853EB">
        <w:rPr>
          <w:rFonts w:eastAsia="Times New Roman" w:cstheme="minorHAnsi"/>
          <w:b/>
          <w:sz w:val="20"/>
          <w:szCs w:val="20"/>
          <w:lang w:eastAsia="pl-PL"/>
        </w:rPr>
        <w:t>5.3. Wykonanie ław</w:t>
      </w:r>
      <w:bookmarkEnd w:id="3922"/>
      <w:bookmarkEnd w:id="3923"/>
    </w:p>
    <w:p w14:paraId="694A0ADB"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Wykonanie ław powinno być zgodne z BN-64/8845-02 [16].</w:t>
      </w:r>
    </w:p>
    <w:p w14:paraId="588F5424"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5.3.1. </w:t>
      </w:r>
      <w:r w:rsidRPr="004853EB">
        <w:rPr>
          <w:rFonts w:eastAsia="Times New Roman" w:cstheme="minorHAnsi"/>
          <w:sz w:val="20"/>
          <w:szCs w:val="20"/>
          <w:lang w:eastAsia="pl-PL"/>
        </w:rPr>
        <w:t>Ława betonowa</w:t>
      </w:r>
    </w:p>
    <w:p w14:paraId="0D9BC817"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Ławy betonowe zwykłe w gruntach spoistych wykonuje się bez szalowania, przy gruntach sypkich należy stosować szalowanie.</w:t>
      </w:r>
    </w:p>
    <w:p w14:paraId="2C57DA1F"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Ławy betonowe z oporem wykonuje się w szalowaniu. Beton rozścielony w szalowaniu lub bezpośrednio w korycie powinien być wyrównywany warstwami. Betonowanie ław należy wykonywać zgodnie z wymaganiami PN-B-06251 [3], przy czym należy stosować co 50 m szczeliny dylatacyjne wypełnione bitumiczną masą zalewową.</w:t>
      </w:r>
    </w:p>
    <w:p w14:paraId="4157A0D7"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24" w:name="_Toc194477174"/>
      <w:bookmarkStart w:id="3925" w:name="_Toc227825657"/>
      <w:r w:rsidRPr="004853EB">
        <w:rPr>
          <w:rFonts w:eastAsia="Times New Roman" w:cstheme="minorHAnsi"/>
          <w:b/>
          <w:sz w:val="20"/>
          <w:szCs w:val="20"/>
          <w:lang w:eastAsia="pl-PL"/>
        </w:rPr>
        <w:t>5.4. Ustawienie krawężników betonowych</w:t>
      </w:r>
      <w:bookmarkEnd w:id="3924"/>
      <w:bookmarkEnd w:id="3925"/>
    </w:p>
    <w:p w14:paraId="59C2402E"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5.4.1. </w:t>
      </w:r>
      <w:r w:rsidRPr="004853EB">
        <w:rPr>
          <w:rFonts w:eastAsia="Times New Roman" w:cstheme="minorHAnsi"/>
          <w:sz w:val="20"/>
          <w:szCs w:val="20"/>
          <w:lang w:eastAsia="pl-PL"/>
        </w:rPr>
        <w:t>Zasady ustawiania krawężników</w:t>
      </w:r>
    </w:p>
    <w:p w14:paraId="0C250A04"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Światło (odległość górnej powierzchni krawężnika od jezdni) powinno być zgodne z ustaleniami dokumentacji projektowej i wynosić 12 cm.</w:t>
      </w:r>
    </w:p>
    <w:p w14:paraId="03FE051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Zewnętrzna ściana krawężnika od strony chodnika powinna być po ustawieniu krawężnika obsypana piaskiem, żwirem, tłuczniem lub miejscowym gruntem przepuszczalnym, starannie ubitym.</w:t>
      </w:r>
    </w:p>
    <w:p w14:paraId="4316CBDA"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Ustawienie krawężników powinno być zgodne z BN-64/8845-02 [16].</w:t>
      </w:r>
    </w:p>
    <w:p w14:paraId="5C974B60"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5.4.2. </w:t>
      </w:r>
      <w:r w:rsidRPr="004853EB">
        <w:rPr>
          <w:rFonts w:eastAsia="Times New Roman" w:cstheme="minorHAnsi"/>
          <w:sz w:val="20"/>
          <w:szCs w:val="20"/>
          <w:lang w:eastAsia="pl-PL"/>
        </w:rPr>
        <w:t>Ustawienie krawężników na ławie betonowej</w:t>
      </w:r>
    </w:p>
    <w:p w14:paraId="33339245" w14:textId="35936AFB"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Ustawianie krawężników na ławie betonowej wykonuje </w:t>
      </w:r>
      <w:r w:rsidR="0082360A" w:rsidRPr="004853EB">
        <w:rPr>
          <w:rFonts w:eastAsia="Times New Roman" w:cstheme="minorHAnsi"/>
          <w:sz w:val="20"/>
          <w:szCs w:val="20"/>
          <w:lang w:eastAsia="pl-PL"/>
        </w:rPr>
        <w:t>się na</w:t>
      </w:r>
      <w:r w:rsidRPr="004853EB">
        <w:rPr>
          <w:rFonts w:eastAsia="Times New Roman" w:cstheme="minorHAnsi"/>
          <w:sz w:val="20"/>
          <w:szCs w:val="20"/>
          <w:lang w:eastAsia="pl-PL"/>
        </w:rPr>
        <w:t xml:space="preserve"> podsypce cementowo-piaskowej </w:t>
      </w:r>
      <w:r w:rsidR="0082360A">
        <w:rPr>
          <w:rFonts w:eastAsia="Times New Roman" w:cstheme="minorHAnsi"/>
          <w:sz w:val="20"/>
          <w:szCs w:val="20"/>
          <w:lang w:eastAsia="pl-PL"/>
        </w:rPr>
        <w:br/>
      </w:r>
      <w:r w:rsidRPr="004853EB">
        <w:rPr>
          <w:rFonts w:eastAsia="Times New Roman" w:cstheme="minorHAnsi"/>
          <w:sz w:val="20"/>
          <w:szCs w:val="20"/>
          <w:lang w:eastAsia="pl-PL"/>
        </w:rPr>
        <w:t>o grubości 3 do 5 cm po zagęszczeniu.</w:t>
      </w:r>
    </w:p>
    <w:p w14:paraId="5C7F2639"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5.4.3. </w:t>
      </w:r>
      <w:r w:rsidRPr="004853EB">
        <w:rPr>
          <w:rFonts w:eastAsia="Times New Roman" w:cstheme="minorHAnsi"/>
          <w:sz w:val="20"/>
          <w:szCs w:val="20"/>
          <w:lang w:eastAsia="pl-PL"/>
        </w:rPr>
        <w:t>Wypełnianie spoin</w:t>
      </w:r>
    </w:p>
    <w:p w14:paraId="14EA4BA6"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Spoiny krawężników nie powinny przekraczać szerokości 1 cm. Spoiny należy wypełnić żwirem, piaskiem lub zaprawą cementowo-piaskową, przygotowaną w stosunku 1:2. Zalewanie spoin krawężników zaprawą cementowo-piaskową stosuje się wyłącznie do krawężników ustawionych na ławie betonowej.</w:t>
      </w:r>
    </w:p>
    <w:p w14:paraId="7B64EB34"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t>Spoiny krawężników przed zalaniem zaprawą należy oczyścić i zmyć wodą. Dla zabezpieczenia przed wpływami temperatury krawężniki ustawione na podsypce cementowo-piaskowej i o spoinach zalanych zaprawą należy zalewać co 50 m bitumiczną masą zalewową nad szczeliną dylatacyjną ławy.</w:t>
      </w:r>
    </w:p>
    <w:p w14:paraId="69A02A2A"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926" w:name="_Toc428759426"/>
      <w:bookmarkStart w:id="3927" w:name="_Toc194477175"/>
      <w:bookmarkStart w:id="3928" w:name="_Toc227825658"/>
      <w:r w:rsidRPr="004853EB">
        <w:rPr>
          <w:rFonts w:eastAsia="Times New Roman" w:cstheme="minorHAnsi"/>
          <w:b/>
          <w:caps/>
          <w:kern w:val="28"/>
          <w:sz w:val="20"/>
          <w:szCs w:val="20"/>
          <w:lang w:eastAsia="pl-PL"/>
        </w:rPr>
        <w:t>6. kontrola jakości robót</w:t>
      </w:r>
      <w:bookmarkEnd w:id="3926"/>
      <w:bookmarkEnd w:id="3927"/>
      <w:bookmarkEnd w:id="3928"/>
    </w:p>
    <w:p w14:paraId="407E8C43"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29" w:name="_Toc194477176"/>
      <w:bookmarkStart w:id="3930" w:name="_Toc227825659"/>
      <w:r w:rsidRPr="004853EB">
        <w:rPr>
          <w:rFonts w:eastAsia="Times New Roman" w:cstheme="minorHAnsi"/>
          <w:b/>
          <w:sz w:val="20"/>
          <w:szCs w:val="20"/>
          <w:lang w:eastAsia="pl-PL"/>
        </w:rPr>
        <w:t>6.1. Ogólne zasady kontroli jakości robót</w:t>
      </w:r>
      <w:bookmarkEnd w:id="3929"/>
      <w:bookmarkEnd w:id="3930"/>
    </w:p>
    <w:p w14:paraId="51D7BB9C"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kontroli jakości robót podano w SST D-00.00.00 „Wymagania ogólne” pkt 6.</w:t>
      </w:r>
    </w:p>
    <w:p w14:paraId="5C451E45"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31" w:name="_Toc194477177"/>
      <w:bookmarkStart w:id="3932" w:name="_Toc227825660"/>
      <w:r w:rsidRPr="004853EB">
        <w:rPr>
          <w:rFonts w:eastAsia="Times New Roman" w:cstheme="minorHAnsi"/>
          <w:b/>
          <w:sz w:val="20"/>
          <w:szCs w:val="20"/>
          <w:lang w:eastAsia="pl-PL"/>
        </w:rPr>
        <w:t>6.2. Badania przed przystąpieniem do robót</w:t>
      </w:r>
      <w:bookmarkEnd w:id="3931"/>
      <w:bookmarkEnd w:id="3932"/>
    </w:p>
    <w:p w14:paraId="62A72BA9" w14:textId="77777777" w:rsidR="00E95D02" w:rsidRPr="004853EB" w:rsidRDefault="00E95D02" w:rsidP="00E95D02">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6.2.1. </w:t>
      </w:r>
      <w:r w:rsidRPr="004853EB">
        <w:rPr>
          <w:rFonts w:eastAsia="Times New Roman" w:cstheme="minorHAnsi"/>
          <w:sz w:val="20"/>
          <w:szCs w:val="20"/>
          <w:lang w:eastAsia="pl-PL"/>
        </w:rPr>
        <w:t>Badania krawężników</w:t>
      </w:r>
    </w:p>
    <w:p w14:paraId="4242D021" w14:textId="7413439C"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Przed przystąpieniem do robót Wykonawca powinien wykonać badania materiałów przeznaczonych do ustawienia krawężników betonowych i przedstawić wyniki tych badań </w:t>
      </w:r>
      <w:r w:rsidR="0082360A" w:rsidRPr="004853EB">
        <w:rPr>
          <w:rFonts w:eastAsia="Times New Roman" w:cstheme="minorHAnsi"/>
          <w:sz w:val="20"/>
          <w:szCs w:val="20"/>
          <w:lang w:eastAsia="pl-PL"/>
        </w:rPr>
        <w:t>Inżynierowi do</w:t>
      </w:r>
      <w:r w:rsidRPr="004853EB">
        <w:rPr>
          <w:rFonts w:eastAsia="Times New Roman" w:cstheme="minorHAnsi"/>
          <w:sz w:val="20"/>
          <w:szCs w:val="20"/>
          <w:lang w:eastAsia="pl-PL"/>
        </w:rPr>
        <w:t xml:space="preserve"> akceptacji.</w:t>
      </w:r>
    </w:p>
    <w:p w14:paraId="183764BF"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1 mm, zgodnie z ustaleniami PN-B-10021 [6].</w:t>
      </w:r>
    </w:p>
    <w:p w14:paraId="2020B64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dokładnością do 1 mm.</w:t>
      </w:r>
    </w:p>
    <w:p w14:paraId="21FE6351" w14:textId="77777777" w:rsidR="00E95D02" w:rsidRPr="004853EB" w:rsidRDefault="00E95D02" w:rsidP="00E95D02">
      <w:pPr>
        <w:keepNext/>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6.2.2. </w:t>
      </w:r>
      <w:r w:rsidRPr="004853EB">
        <w:rPr>
          <w:rFonts w:eastAsia="Times New Roman" w:cstheme="minorHAnsi"/>
          <w:sz w:val="20"/>
          <w:szCs w:val="20"/>
          <w:lang w:eastAsia="pl-PL"/>
        </w:rPr>
        <w:t>Badania pozostałych materiałów</w:t>
      </w:r>
    </w:p>
    <w:p w14:paraId="3734EEDF"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Badania pozostałych materiałów stosowanych przy ustawianiu krawężników betonowych powinny obejmować wszystkie właściwości, określone w normach podanych dla odpowiednich materiałów w pkt 2.</w:t>
      </w:r>
    </w:p>
    <w:p w14:paraId="04BCAFB1"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b/>
          <w:sz w:val="20"/>
          <w:szCs w:val="20"/>
          <w:lang w:eastAsia="pl-PL"/>
        </w:rPr>
      </w:pPr>
      <w:r w:rsidRPr="004853EB">
        <w:rPr>
          <w:rFonts w:eastAsia="Times New Roman" w:cstheme="minorHAnsi"/>
          <w:b/>
          <w:sz w:val="20"/>
          <w:szCs w:val="20"/>
          <w:lang w:eastAsia="pl-PL"/>
        </w:rPr>
        <w:t>6.3. Badania w czasie robót</w:t>
      </w:r>
    </w:p>
    <w:p w14:paraId="55ACC223"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6.3.1. </w:t>
      </w:r>
      <w:r w:rsidRPr="004853EB">
        <w:rPr>
          <w:rFonts w:eastAsia="Times New Roman" w:cstheme="minorHAnsi"/>
          <w:sz w:val="20"/>
          <w:szCs w:val="20"/>
          <w:lang w:eastAsia="pl-PL"/>
        </w:rPr>
        <w:t>Sprawdzenie koryta pod ławę</w:t>
      </w:r>
    </w:p>
    <w:p w14:paraId="5FA09254"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Należy sprawdzać wymiary koryta oraz zagęszczenie podłoża na dnie wykopu.</w:t>
      </w:r>
    </w:p>
    <w:p w14:paraId="2E1A83A6"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Tolerancja dla szerokości wykopu wynosi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2 cm. Zagęszczenie podłoża powinno być zgodne z pkt 5.2.</w:t>
      </w:r>
    </w:p>
    <w:p w14:paraId="4A3936B2"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6.3.2. </w:t>
      </w:r>
      <w:r w:rsidRPr="004853EB">
        <w:rPr>
          <w:rFonts w:eastAsia="Times New Roman" w:cstheme="minorHAnsi"/>
          <w:sz w:val="20"/>
          <w:szCs w:val="20"/>
          <w:lang w:eastAsia="pl-PL"/>
        </w:rPr>
        <w:t>Sprawdzenie ław</w:t>
      </w:r>
    </w:p>
    <w:p w14:paraId="0FF417C5"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Przy wykonywaniu ław badaniu podlegają:</w:t>
      </w:r>
    </w:p>
    <w:p w14:paraId="22409086" w14:textId="77777777" w:rsidR="00E95D02" w:rsidRPr="004853EB" w:rsidRDefault="00E95D02">
      <w:pPr>
        <w:numPr>
          <w:ilvl w:val="0"/>
          <w:numId w:val="15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Zgodność profilu podłużnego górnej powierzchni ław z dokumentacją projektową.</w:t>
      </w:r>
    </w:p>
    <w:p w14:paraId="21F521C0" w14:textId="77777777" w:rsidR="00E95D02" w:rsidRPr="004853EB" w:rsidRDefault="00E95D02" w:rsidP="00E95D02">
      <w:p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Profil podłużny górnej powierzchni ławy powinien być zgodny z projektowaną niweletą. Dopuszczalne odchylenia mogą wynosić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1 cm na każde 100 m ławy.</w:t>
      </w:r>
    </w:p>
    <w:p w14:paraId="541C77A6" w14:textId="77777777" w:rsidR="00E95D02" w:rsidRPr="004853EB" w:rsidRDefault="00E95D02" w:rsidP="00E95D02">
      <w:p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w:t>
      </w:r>
      <w:r w:rsidRPr="004853EB">
        <w:rPr>
          <w:rFonts w:eastAsia="Times New Roman" w:cstheme="minorHAnsi"/>
          <w:sz w:val="20"/>
          <w:szCs w:val="20"/>
          <w:lang w:eastAsia="pl-PL"/>
        </w:rPr>
        <w:tab/>
        <w:t>Wymiary ław.</w:t>
      </w:r>
    </w:p>
    <w:p w14:paraId="6326FE48" w14:textId="77777777" w:rsidR="00E95D02" w:rsidRPr="004853EB" w:rsidRDefault="00E95D02" w:rsidP="00E95D02">
      <w:p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Wymiary ław należy sprawdzić w dwóch dowolnie wybranych punktach na każde 100 m ławy. Tolerancje wymiarów wynoszą:</w:t>
      </w:r>
    </w:p>
    <w:p w14:paraId="69F60E55" w14:textId="77777777" w:rsidR="00E95D02" w:rsidRPr="004853EB" w:rsidRDefault="00E95D02" w:rsidP="00E95D02">
      <w:p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 dla wysokości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10% wysokości projektowanej,</w:t>
      </w:r>
    </w:p>
    <w:p w14:paraId="1F90CE96" w14:textId="77777777" w:rsidR="00E95D02" w:rsidRPr="004853EB" w:rsidRDefault="00E95D02" w:rsidP="00E95D02">
      <w:p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 dla szerokości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10% szerokości projektowanej.</w:t>
      </w:r>
    </w:p>
    <w:p w14:paraId="11522610" w14:textId="77777777" w:rsidR="00E95D02" w:rsidRPr="004853EB" w:rsidRDefault="00E95D02" w:rsidP="00E95D02">
      <w:p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w:t>
      </w:r>
      <w:r w:rsidRPr="004853EB">
        <w:rPr>
          <w:rFonts w:eastAsia="Times New Roman" w:cstheme="minorHAnsi"/>
          <w:sz w:val="20"/>
          <w:szCs w:val="20"/>
          <w:lang w:eastAsia="pl-PL"/>
        </w:rPr>
        <w:tab/>
        <w:t>Równość górnej powierzchni ław.</w:t>
      </w:r>
    </w:p>
    <w:p w14:paraId="178AF7ED" w14:textId="77777777" w:rsidR="00E95D02" w:rsidRPr="004853EB" w:rsidRDefault="00E95D02" w:rsidP="00E95D02">
      <w:p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Równość górnej powierzchni ławy sprawdza się przez przyłożenie w dwóch punktach, na każde 100 m ławy, trzymetrowej łaty.</w:t>
      </w:r>
    </w:p>
    <w:p w14:paraId="4955F6D8" w14:textId="77777777" w:rsidR="00E95D02" w:rsidRPr="004853EB" w:rsidRDefault="00E95D02" w:rsidP="00E95D02">
      <w:p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Prześwit pomiędzy górną powierzchnią ławy i przyłożoną łatą nie może przekraczać 1 cm.</w:t>
      </w:r>
    </w:p>
    <w:p w14:paraId="01EB9BB5" w14:textId="77777777" w:rsidR="00E95D02" w:rsidRPr="004853EB" w:rsidRDefault="00E95D02" w:rsidP="00E95D02">
      <w:p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w:t>
      </w:r>
      <w:r w:rsidRPr="004853EB">
        <w:rPr>
          <w:rFonts w:eastAsia="Times New Roman" w:cstheme="minorHAnsi"/>
          <w:sz w:val="20"/>
          <w:szCs w:val="20"/>
          <w:lang w:eastAsia="pl-PL"/>
        </w:rPr>
        <w:tab/>
        <w:t>Zagęszczenie ław.</w:t>
      </w:r>
    </w:p>
    <w:p w14:paraId="46C11D0F" w14:textId="77777777" w:rsidR="00E95D02" w:rsidRPr="004853EB" w:rsidRDefault="00E95D02" w:rsidP="00E95D02">
      <w:p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Zagęszczenie ław bada się w dwóch przekrojach na każde 100 m. </w:t>
      </w:r>
    </w:p>
    <w:p w14:paraId="7984AC07" w14:textId="77777777" w:rsidR="00E95D02" w:rsidRPr="004853EB" w:rsidRDefault="00E95D02" w:rsidP="00E95D02">
      <w:p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w:t>
      </w:r>
      <w:r w:rsidRPr="004853EB">
        <w:rPr>
          <w:rFonts w:eastAsia="Times New Roman" w:cstheme="minorHAnsi"/>
          <w:sz w:val="20"/>
          <w:szCs w:val="20"/>
          <w:lang w:eastAsia="pl-PL"/>
        </w:rPr>
        <w:tab/>
        <w:t>Odchylenie linii ław od projektowanego kierunku.</w:t>
      </w:r>
    </w:p>
    <w:p w14:paraId="71C888BE" w14:textId="77777777" w:rsidR="00E95D02" w:rsidRPr="004853EB" w:rsidRDefault="00E95D02" w:rsidP="00E95D02">
      <w:p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Dopuszczalne odchylenie linii ław od projektowanego kierunku nie może przekraczać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2 cm na każde 100 m wykonanej ławy.</w:t>
      </w:r>
    </w:p>
    <w:p w14:paraId="3532D922" w14:textId="77777777" w:rsidR="00E95D02" w:rsidRPr="004853EB" w:rsidRDefault="00E95D02" w:rsidP="00E95D02">
      <w:pPr>
        <w:overflowPunct w:val="0"/>
        <w:autoSpaceDE w:val="0"/>
        <w:autoSpaceDN w:val="0"/>
        <w:adjustRightInd w:val="0"/>
        <w:spacing w:before="120"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6.3.3. </w:t>
      </w:r>
      <w:r w:rsidRPr="004853EB">
        <w:rPr>
          <w:rFonts w:eastAsia="Times New Roman" w:cstheme="minorHAnsi"/>
          <w:sz w:val="20"/>
          <w:szCs w:val="20"/>
          <w:lang w:eastAsia="pl-PL"/>
        </w:rPr>
        <w:t>Sprawdzenie ustawienia krawężników</w:t>
      </w:r>
    </w:p>
    <w:p w14:paraId="7AC0CDC8" w14:textId="77777777" w:rsidR="00E95D02" w:rsidRPr="004853EB" w:rsidRDefault="00E95D02" w:rsidP="00E95D02">
      <w:pPr>
        <w:overflowPunct w:val="0"/>
        <w:autoSpaceDE w:val="0"/>
        <w:autoSpaceDN w:val="0"/>
        <w:adjustRightInd w:val="0"/>
        <w:spacing w:before="120" w:after="0" w:line="240" w:lineRule="auto"/>
        <w:ind w:left="284" w:hanging="284"/>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Przy ustawianiu krawężników należy sprawdzać:</w:t>
      </w:r>
    </w:p>
    <w:p w14:paraId="51A36917" w14:textId="77777777" w:rsidR="00E95D02" w:rsidRPr="004853EB" w:rsidRDefault="00E95D02">
      <w:pPr>
        <w:numPr>
          <w:ilvl w:val="0"/>
          <w:numId w:val="15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dopuszczalne odchylenia linii krawężników w poziomie od linii projektowanej, które wynosi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1 cm na każde 100 m ustawionego krawężnika,</w:t>
      </w:r>
    </w:p>
    <w:p w14:paraId="050385E1" w14:textId="77777777" w:rsidR="00E95D02" w:rsidRPr="004853EB" w:rsidRDefault="00E95D02">
      <w:pPr>
        <w:numPr>
          <w:ilvl w:val="0"/>
          <w:numId w:val="15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 xml:space="preserve">dopuszczalne odchylenie niwelety górnej płaszczyzny krawężnika od niwelety projektowanej, które wynosi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1 cm na każde 100 m ustawionego krawężnika,</w:t>
      </w:r>
    </w:p>
    <w:p w14:paraId="7333B924" w14:textId="77777777" w:rsidR="00E95D02" w:rsidRPr="004853EB" w:rsidRDefault="00E95D02">
      <w:pPr>
        <w:numPr>
          <w:ilvl w:val="0"/>
          <w:numId w:val="15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równość górnej powierzchni krawężników, sprawdzane przez przyłożenie w dwóch punktach na każde 100 m krawężnika, trzymetrowej łaty, przy czym prześwit pomiędzy górną powierzchnią krawężnika i przyłożoną łatą nie może przekraczać 1 cm,</w:t>
      </w:r>
    </w:p>
    <w:p w14:paraId="225280F5" w14:textId="77777777" w:rsidR="00E95D02" w:rsidRPr="004853EB" w:rsidRDefault="00E95D02">
      <w:pPr>
        <w:numPr>
          <w:ilvl w:val="0"/>
          <w:numId w:val="151"/>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dokładność wypełnienia spoin bada się co 10 metrów. Spoiny muszą być wypełnione całkowicie na pełną głębokość.</w:t>
      </w:r>
    </w:p>
    <w:p w14:paraId="5229F99D"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933" w:name="_Toc428169263"/>
      <w:bookmarkStart w:id="3934" w:name="_Toc428323653"/>
      <w:bookmarkStart w:id="3935" w:name="_Toc428759427"/>
      <w:bookmarkStart w:id="3936" w:name="_Toc194477178"/>
      <w:bookmarkStart w:id="3937" w:name="_Toc227825661"/>
      <w:r w:rsidRPr="004853EB">
        <w:rPr>
          <w:rFonts w:eastAsia="Times New Roman" w:cstheme="minorHAnsi"/>
          <w:b/>
          <w:caps/>
          <w:kern w:val="28"/>
          <w:sz w:val="20"/>
          <w:szCs w:val="20"/>
          <w:lang w:eastAsia="pl-PL"/>
        </w:rPr>
        <w:t>7. OBMIAR ROBÓT</w:t>
      </w:r>
      <w:bookmarkEnd w:id="3933"/>
      <w:bookmarkEnd w:id="3934"/>
      <w:bookmarkEnd w:id="3935"/>
      <w:bookmarkEnd w:id="3936"/>
      <w:bookmarkEnd w:id="3937"/>
    </w:p>
    <w:p w14:paraId="2F59E83C"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38" w:name="_Toc194477179"/>
      <w:bookmarkStart w:id="3939" w:name="_Toc227825662"/>
      <w:r w:rsidRPr="004853EB">
        <w:rPr>
          <w:rFonts w:eastAsia="Times New Roman" w:cstheme="minorHAnsi"/>
          <w:b/>
          <w:sz w:val="20"/>
          <w:szCs w:val="20"/>
          <w:lang w:eastAsia="pl-PL"/>
        </w:rPr>
        <w:t>7.1. Ogólne zasady obmiaru robót</w:t>
      </w:r>
      <w:bookmarkEnd w:id="3938"/>
      <w:bookmarkEnd w:id="3939"/>
    </w:p>
    <w:p w14:paraId="272F045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obmiaru robót podano w SST D-00.00.00 „Wymagania ogólne” pkt 7.</w:t>
      </w:r>
    </w:p>
    <w:p w14:paraId="51C730F6"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40" w:name="_Toc194477180"/>
      <w:bookmarkStart w:id="3941" w:name="_Toc227825663"/>
      <w:r w:rsidRPr="004853EB">
        <w:rPr>
          <w:rFonts w:eastAsia="Times New Roman" w:cstheme="minorHAnsi"/>
          <w:b/>
          <w:sz w:val="20"/>
          <w:szCs w:val="20"/>
          <w:lang w:eastAsia="pl-PL"/>
        </w:rPr>
        <w:t>7.2. Jednostka obmiarowa</w:t>
      </w:r>
      <w:bookmarkEnd w:id="3940"/>
      <w:bookmarkEnd w:id="3941"/>
    </w:p>
    <w:p w14:paraId="61AE2AA7"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Jednostką obmiarową jest m (metr) ustawionego krawężnika betonowego.</w:t>
      </w:r>
    </w:p>
    <w:p w14:paraId="71A727F9"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942" w:name="_Toc428169264"/>
      <w:bookmarkStart w:id="3943" w:name="_Toc428323654"/>
      <w:bookmarkStart w:id="3944" w:name="_Toc428759428"/>
      <w:bookmarkStart w:id="3945" w:name="_Toc194477181"/>
      <w:bookmarkStart w:id="3946" w:name="_Toc227825664"/>
      <w:r w:rsidRPr="004853EB">
        <w:rPr>
          <w:rFonts w:eastAsia="Times New Roman" w:cstheme="minorHAnsi"/>
          <w:b/>
          <w:caps/>
          <w:kern w:val="28"/>
          <w:sz w:val="20"/>
          <w:szCs w:val="20"/>
          <w:lang w:eastAsia="pl-PL"/>
        </w:rPr>
        <w:t>8. ODBIÓR ROBÓT</w:t>
      </w:r>
      <w:bookmarkEnd w:id="3942"/>
      <w:bookmarkEnd w:id="3943"/>
      <w:bookmarkEnd w:id="3944"/>
      <w:bookmarkEnd w:id="3945"/>
      <w:bookmarkEnd w:id="3946"/>
    </w:p>
    <w:p w14:paraId="34B57D75"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47" w:name="_Toc194477182"/>
      <w:bookmarkStart w:id="3948" w:name="_Toc227825665"/>
      <w:r w:rsidRPr="004853EB">
        <w:rPr>
          <w:rFonts w:eastAsia="Times New Roman" w:cstheme="minorHAnsi"/>
          <w:b/>
          <w:sz w:val="20"/>
          <w:szCs w:val="20"/>
          <w:lang w:eastAsia="pl-PL"/>
        </w:rPr>
        <w:t>8.1. Ogólne zasady odbioru robót</w:t>
      </w:r>
      <w:bookmarkEnd w:id="3947"/>
      <w:bookmarkEnd w:id="3948"/>
    </w:p>
    <w:p w14:paraId="319AD10A"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odbioru robót podano w SST D-00.00.00 „Wymagania ogólne” pkt 8.</w:t>
      </w:r>
    </w:p>
    <w:p w14:paraId="1B5236D0"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Roboty uznaje się za wykonane zgodnie z dokumentacją projektową, SST i wymaganiami Inżyniera, jeżeli wszystkie pomiary i badania z zachowaniem tolerancji wg pkt 6 dały wyniki pozytywne.</w:t>
      </w:r>
    </w:p>
    <w:p w14:paraId="3C0D9CA9"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49" w:name="_Toc194477183"/>
      <w:bookmarkStart w:id="3950" w:name="_Toc227825666"/>
      <w:r w:rsidRPr="004853EB">
        <w:rPr>
          <w:rFonts w:eastAsia="Times New Roman" w:cstheme="minorHAnsi"/>
          <w:b/>
          <w:sz w:val="20"/>
          <w:szCs w:val="20"/>
          <w:lang w:eastAsia="pl-PL"/>
        </w:rPr>
        <w:t>8.2. Odbiór robót zanikających i ulegających zakryciu</w:t>
      </w:r>
      <w:bookmarkEnd w:id="3949"/>
      <w:bookmarkEnd w:id="3950"/>
    </w:p>
    <w:p w14:paraId="713FC3BA"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Odbiorowi robót zanikających i ulegających zakryciu podlegają:</w:t>
      </w:r>
    </w:p>
    <w:p w14:paraId="3644A996"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wykonanie koryta pod ławę,</w:t>
      </w:r>
    </w:p>
    <w:p w14:paraId="032AB271"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wykonanie ławy,</w:t>
      </w:r>
    </w:p>
    <w:p w14:paraId="180C4F74"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wykonanie podsypki.</w:t>
      </w:r>
    </w:p>
    <w:p w14:paraId="2B50C3AD" w14:textId="77777777" w:rsidR="00E95D02" w:rsidRPr="004853EB" w:rsidRDefault="00E95D02" w:rsidP="00E95D02">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951" w:name="_Toc428169265"/>
      <w:bookmarkStart w:id="3952" w:name="_Toc428323655"/>
      <w:bookmarkStart w:id="3953" w:name="_Toc428759429"/>
      <w:bookmarkStart w:id="3954" w:name="_Toc194477184"/>
      <w:bookmarkStart w:id="3955" w:name="_Toc227825667"/>
      <w:r w:rsidRPr="004853EB">
        <w:rPr>
          <w:rFonts w:eastAsia="Times New Roman" w:cstheme="minorHAnsi"/>
          <w:b/>
          <w:caps/>
          <w:kern w:val="28"/>
          <w:sz w:val="20"/>
          <w:szCs w:val="20"/>
          <w:lang w:eastAsia="pl-PL"/>
        </w:rPr>
        <w:t>9. PODSTAWA PŁATNOŚCI</w:t>
      </w:r>
      <w:bookmarkEnd w:id="3951"/>
      <w:bookmarkEnd w:id="3952"/>
      <w:bookmarkEnd w:id="3953"/>
      <w:bookmarkEnd w:id="3954"/>
      <w:bookmarkEnd w:id="3955"/>
    </w:p>
    <w:p w14:paraId="546F869C"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56" w:name="_Toc194477185"/>
      <w:bookmarkStart w:id="3957" w:name="_Toc227825668"/>
      <w:r w:rsidRPr="004853EB">
        <w:rPr>
          <w:rFonts w:eastAsia="Times New Roman" w:cstheme="minorHAnsi"/>
          <w:b/>
          <w:sz w:val="20"/>
          <w:szCs w:val="20"/>
          <w:lang w:eastAsia="pl-PL"/>
        </w:rPr>
        <w:t>9.1. Ogólne ustalenia dotyczące podstawy płatności</w:t>
      </w:r>
      <w:bookmarkEnd w:id="3956"/>
      <w:bookmarkEnd w:id="3957"/>
    </w:p>
    <w:p w14:paraId="558BE271"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ustalenia dotyczące podstawy płatności podano w SST D-00.00.00 „Wymagania ogólne” pkt 9.</w:t>
      </w:r>
    </w:p>
    <w:p w14:paraId="727AE5BC"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58" w:name="_Toc194477186"/>
      <w:bookmarkStart w:id="3959" w:name="_Toc227825669"/>
      <w:r w:rsidRPr="004853EB">
        <w:rPr>
          <w:rFonts w:eastAsia="Times New Roman" w:cstheme="minorHAnsi"/>
          <w:b/>
          <w:sz w:val="20"/>
          <w:szCs w:val="20"/>
          <w:lang w:eastAsia="pl-PL"/>
        </w:rPr>
        <w:t>9.2. Cena jednostki obmiarowej</w:t>
      </w:r>
      <w:bookmarkEnd w:id="3958"/>
      <w:bookmarkEnd w:id="3959"/>
    </w:p>
    <w:p w14:paraId="6FCC5195"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Cena wykonania 1 m krawężnika betonowego obejmuje:</w:t>
      </w:r>
    </w:p>
    <w:p w14:paraId="0C62BDBD"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prace pomiarowe i roboty przygotowawcze,</w:t>
      </w:r>
    </w:p>
    <w:p w14:paraId="4315B1D5"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dostarczenie materiałów na miejsce wbudowania,</w:t>
      </w:r>
    </w:p>
    <w:p w14:paraId="32541EBB"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wykonanie koryta pod ławę,</w:t>
      </w:r>
    </w:p>
    <w:p w14:paraId="602BCA6B"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ew. wykonanie szalunku,</w:t>
      </w:r>
    </w:p>
    <w:p w14:paraId="0B014696"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wykonanie ławy,</w:t>
      </w:r>
    </w:p>
    <w:p w14:paraId="4AFDA88E"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wykonanie podsypki,</w:t>
      </w:r>
    </w:p>
    <w:p w14:paraId="0038350B"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ustawienie krawężników na podsypce (cementowo-piaskowej),</w:t>
      </w:r>
    </w:p>
    <w:p w14:paraId="0757983A"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wypełnienie spoin krawężników zaprawą,</w:t>
      </w:r>
    </w:p>
    <w:p w14:paraId="4677A983"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ew. zalanie spoin masą zalewową,</w:t>
      </w:r>
    </w:p>
    <w:p w14:paraId="77AED088"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zasypanie zewnętrznej ściany krawężnika gruntem i ubicie,</w:t>
      </w:r>
    </w:p>
    <w:p w14:paraId="0882ED0B"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przeprowadzenie badań i pomiarów wymaganych w specyfikacji technicznej.</w:t>
      </w:r>
    </w:p>
    <w:p w14:paraId="21CC6762" w14:textId="77777777" w:rsidR="00E95D02" w:rsidRPr="0082360A"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960" w:name="_Toc428759430"/>
      <w:bookmarkStart w:id="3961" w:name="_Toc194477187"/>
      <w:bookmarkStart w:id="3962" w:name="_Toc227825670"/>
      <w:r w:rsidRPr="0082360A">
        <w:rPr>
          <w:rFonts w:eastAsia="Times New Roman" w:cstheme="minorHAnsi"/>
          <w:b/>
          <w:caps/>
          <w:kern w:val="28"/>
          <w:sz w:val="20"/>
          <w:szCs w:val="20"/>
          <w:lang w:eastAsia="pl-PL"/>
        </w:rPr>
        <w:t>10. przepisy związane</w:t>
      </w:r>
      <w:bookmarkEnd w:id="3960"/>
      <w:bookmarkEnd w:id="3961"/>
      <w:bookmarkEnd w:id="3962"/>
    </w:p>
    <w:p w14:paraId="39A6F0C5" w14:textId="77777777" w:rsidR="00E95D02" w:rsidRPr="0082360A"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63" w:name="_Toc194477188"/>
      <w:bookmarkStart w:id="3964" w:name="_Toc227825671"/>
      <w:r w:rsidRPr="0082360A">
        <w:rPr>
          <w:rFonts w:eastAsia="Times New Roman" w:cstheme="minorHAnsi"/>
          <w:b/>
          <w:sz w:val="20"/>
          <w:szCs w:val="20"/>
          <w:lang w:eastAsia="pl-PL"/>
        </w:rPr>
        <w:t>10.1. Normy</w:t>
      </w:r>
      <w:bookmarkEnd w:id="3963"/>
      <w:bookmarkEnd w:id="3964"/>
    </w:p>
    <w:tbl>
      <w:tblPr>
        <w:tblW w:w="9993" w:type="dxa"/>
        <w:tblLayout w:type="fixed"/>
        <w:tblCellMar>
          <w:left w:w="70" w:type="dxa"/>
          <w:right w:w="70" w:type="dxa"/>
        </w:tblCellMar>
        <w:tblLook w:val="0000" w:firstRow="0" w:lastRow="0" w:firstColumn="0" w:lastColumn="0" w:noHBand="0" w:noVBand="0"/>
      </w:tblPr>
      <w:tblGrid>
        <w:gridCol w:w="637"/>
        <w:gridCol w:w="1701"/>
        <w:gridCol w:w="7655"/>
      </w:tblGrid>
      <w:tr w:rsidR="00E95D02" w:rsidRPr="0082360A" w14:paraId="77D21CDE" w14:textId="77777777" w:rsidTr="00E95D02">
        <w:tc>
          <w:tcPr>
            <w:tcW w:w="637" w:type="dxa"/>
          </w:tcPr>
          <w:p w14:paraId="546F8B0F" w14:textId="77777777" w:rsidR="00E95D02" w:rsidRPr="0082360A"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82360A">
              <w:rPr>
                <w:rFonts w:eastAsia="Times New Roman" w:cstheme="minorHAnsi"/>
                <w:sz w:val="20"/>
                <w:szCs w:val="20"/>
                <w:lang w:eastAsia="pl-PL"/>
              </w:rPr>
              <w:t xml:space="preserve">  1.</w:t>
            </w:r>
          </w:p>
        </w:tc>
        <w:tc>
          <w:tcPr>
            <w:tcW w:w="1701" w:type="dxa"/>
          </w:tcPr>
          <w:p w14:paraId="5636A1F4"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PN-B-06050</w:t>
            </w:r>
          </w:p>
        </w:tc>
        <w:tc>
          <w:tcPr>
            <w:tcW w:w="7655" w:type="dxa"/>
          </w:tcPr>
          <w:p w14:paraId="08EFEFE0"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Roboty ziemne budowlane</w:t>
            </w:r>
          </w:p>
        </w:tc>
      </w:tr>
      <w:tr w:rsidR="00E95D02" w:rsidRPr="0082360A" w14:paraId="7D114549" w14:textId="77777777" w:rsidTr="00E95D02">
        <w:tc>
          <w:tcPr>
            <w:tcW w:w="637" w:type="dxa"/>
          </w:tcPr>
          <w:p w14:paraId="52AA6F34" w14:textId="77777777" w:rsidR="00E95D02" w:rsidRPr="0082360A"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82360A">
              <w:rPr>
                <w:rFonts w:eastAsia="Times New Roman" w:cstheme="minorHAnsi"/>
                <w:sz w:val="20"/>
                <w:szCs w:val="20"/>
                <w:lang w:eastAsia="pl-PL"/>
              </w:rPr>
              <w:t xml:space="preserve">  2.</w:t>
            </w:r>
          </w:p>
        </w:tc>
        <w:tc>
          <w:tcPr>
            <w:tcW w:w="1701" w:type="dxa"/>
          </w:tcPr>
          <w:p w14:paraId="6F78EFC9"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PN-B-06250</w:t>
            </w:r>
          </w:p>
        </w:tc>
        <w:tc>
          <w:tcPr>
            <w:tcW w:w="7655" w:type="dxa"/>
          </w:tcPr>
          <w:p w14:paraId="0D93E051"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Beton zwykły</w:t>
            </w:r>
          </w:p>
        </w:tc>
      </w:tr>
      <w:tr w:rsidR="00E95D02" w:rsidRPr="0082360A" w14:paraId="76076D10" w14:textId="77777777" w:rsidTr="00E95D02">
        <w:tc>
          <w:tcPr>
            <w:tcW w:w="637" w:type="dxa"/>
          </w:tcPr>
          <w:p w14:paraId="1A9BF4C3" w14:textId="77777777" w:rsidR="00E95D02" w:rsidRPr="0082360A"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82360A">
              <w:rPr>
                <w:rFonts w:eastAsia="Times New Roman" w:cstheme="minorHAnsi"/>
                <w:sz w:val="20"/>
                <w:szCs w:val="20"/>
                <w:lang w:eastAsia="pl-PL"/>
              </w:rPr>
              <w:t xml:space="preserve">  3.</w:t>
            </w:r>
          </w:p>
        </w:tc>
        <w:tc>
          <w:tcPr>
            <w:tcW w:w="1701" w:type="dxa"/>
          </w:tcPr>
          <w:p w14:paraId="6C099E66"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PN-B-06251</w:t>
            </w:r>
          </w:p>
        </w:tc>
        <w:tc>
          <w:tcPr>
            <w:tcW w:w="7655" w:type="dxa"/>
          </w:tcPr>
          <w:p w14:paraId="480EACC9"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Roboty betonowe i żelbetowe</w:t>
            </w:r>
          </w:p>
        </w:tc>
      </w:tr>
      <w:tr w:rsidR="00E95D02" w:rsidRPr="0082360A" w14:paraId="51248FB6" w14:textId="77777777" w:rsidTr="00E95D02">
        <w:tc>
          <w:tcPr>
            <w:tcW w:w="637" w:type="dxa"/>
          </w:tcPr>
          <w:p w14:paraId="15EFFB0C" w14:textId="77777777" w:rsidR="00E95D02" w:rsidRPr="0082360A"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82360A">
              <w:rPr>
                <w:rFonts w:eastAsia="Times New Roman" w:cstheme="minorHAnsi"/>
                <w:sz w:val="20"/>
                <w:szCs w:val="20"/>
                <w:lang w:eastAsia="pl-PL"/>
              </w:rPr>
              <w:t xml:space="preserve">  4.</w:t>
            </w:r>
          </w:p>
        </w:tc>
        <w:tc>
          <w:tcPr>
            <w:tcW w:w="1701" w:type="dxa"/>
          </w:tcPr>
          <w:p w14:paraId="327EB521"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PN-B-06711</w:t>
            </w:r>
          </w:p>
        </w:tc>
        <w:tc>
          <w:tcPr>
            <w:tcW w:w="7655" w:type="dxa"/>
          </w:tcPr>
          <w:p w14:paraId="41F78E8D"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Kruszywo mineralne. Piasek do betonów i zapraw</w:t>
            </w:r>
          </w:p>
        </w:tc>
      </w:tr>
      <w:tr w:rsidR="00E95D02" w:rsidRPr="0082360A" w14:paraId="483D1F1F" w14:textId="77777777" w:rsidTr="00E95D02">
        <w:tc>
          <w:tcPr>
            <w:tcW w:w="637" w:type="dxa"/>
          </w:tcPr>
          <w:p w14:paraId="02AA26D1" w14:textId="77777777" w:rsidR="00E95D02" w:rsidRPr="0082360A"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82360A">
              <w:rPr>
                <w:rFonts w:eastAsia="Times New Roman" w:cstheme="minorHAnsi"/>
                <w:sz w:val="20"/>
                <w:szCs w:val="20"/>
                <w:lang w:eastAsia="pl-PL"/>
              </w:rPr>
              <w:t xml:space="preserve">  5.</w:t>
            </w:r>
          </w:p>
        </w:tc>
        <w:tc>
          <w:tcPr>
            <w:tcW w:w="1701" w:type="dxa"/>
          </w:tcPr>
          <w:p w14:paraId="549FD067"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PN-B-06712</w:t>
            </w:r>
          </w:p>
        </w:tc>
        <w:tc>
          <w:tcPr>
            <w:tcW w:w="7655" w:type="dxa"/>
          </w:tcPr>
          <w:p w14:paraId="120AED45"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Kruszywa mineralne do betonu zwykłego</w:t>
            </w:r>
          </w:p>
        </w:tc>
      </w:tr>
      <w:tr w:rsidR="00E95D02" w:rsidRPr="0082360A" w14:paraId="6B5F5D26" w14:textId="77777777" w:rsidTr="00E95D02">
        <w:tc>
          <w:tcPr>
            <w:tcW w:w="637" w:type="dxa"/>
          </w:tcPr>
          <w:p w14:paraId="6BDFC4CC" w14:textId="77777777" w:rsidR="00E95D02" w:rsidRPr="0082360A"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82360A">
              <w:rPr>
                <w:rFonts w:eastAsia="Times New Roman" w:cstheme="minorHAnsi"/>
                <w:sz w:val="20"/>
                <w:szCs w:val="20"/>
                <w:lang w:eastAsia="pl-PL"/>
              </w:rPr>
              <w:lastRenderedPageBreak/>
              <w:t xml:space="preserve">  6.</w:t>
            </w:r>
          </w:p>
        </w:tc>
        <w:tc>
          <w:tcPr>
            <w:tcW w:w="1701" w:type="dxa"/>
          </w:tcPr>
          <w:p w14:paraId="028DAC77"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PN-B-10021</w:t>
            </w:r>
          </w:p>
        </w:tc>
        <w:tc>
          <w:tcPr>
            <w:tcW w:w="7655" w:type="dxa"/>
          </w:tcPr>
          <w:p w14:paraId="101E0981"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Prefabrykaty budowlane z betonu. Metody pomiaru cech geometrycznych</w:t>
            </w:r>
          </w:p>
        </w:tc>
      </w:tr>
      <w:tr w:rsidR="00E95D02" w:rsidRPr="0082360A" w14:paraId="0AB624D6" w14:textId="77777777" w:rsidTr="00E95D02">
        <w:tc>
          <w:tcPr>
            <w:tcW w:w="637" w:type="dxa"/>
          </w:tcPr>
          <w:p w14:paraId="44856FFE" w14:textId="77777777" w:rsidR="00E95D02" w:rsidRPr="0082360A"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82360A">
              <w:rPr>
                <w:rFonts w:eastAsia="Times New Roman" w:cstheme="minorHAnsi"/>
                <w:sz w:val="20"/>
                <w:szCs w:val="20"/>
                <w:lang w:eastAsia="pl-PL"/>
              </w:rPr>
              <w:t xml:space="preserve">  7.</w:t>
            </w:r>
          </w:p>
        </w:tc>
        <w:tc>
          <w:tcPr>
            <w:tcW w:w="1701" w:type="dxa"/>
          </w:tcPr>
          <w:p w14:paraId="4E264069"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PN-B-11111</w:t>
            </w:r>
          </w:p>
        </w:tc>
        <w:tc>
          <w:tcPr>
            <w:tcW w:w="7655" w:type="dxa"/>
          </w:tcPr>
          <w:p w14:paraId="2C81CD85"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Kruszywa mineralne. Kruszywa naturalne do nawierzchni drogowych. Żwir i mieszanka</w:t>
            </w:r>
          </w:p>
        </w:tc>
      </w:tr>
      <w:tr w:rsidR="00E95D02" w:rsidRPr="0082360A" w14:paraId="62D896DF" w14:textId="77777777" w:rsidTr="00E95D02">
        <w:tc>
          <w:tcPr>
            <w:tcW w:w="637" w:type="dxa"/>
          </w:tcPr>
          <w:p w14:paraId="08AFDE18" w14:textId="77777777" w:rsidR="00E95D02" w:rsidRPr="0082360A"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82360A">
              <w:rPr>
                <w:rFonts w:eastAsia="Times New Roman" w:cstheme="minorHAnsi"/>
                <w:sz w:val="20"/>
                <w:szCs w:val="20"/>
                <w:lang w:eastAsia="pl-PL"/>
              </w:rPr>
              <w:t xml:space="preserve">  8.</w:t>
            </w:r>
          </w:p>
        </w:tc>
        <w:tc>
          <w:tcPr>
            <w:tcW w:w="1701" w:type="dxa"/>
          </w:tcPr>
          <w:p w14:paraId="5DE7E29C"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PN-B-11112</w:t>
            </w:r>
          </w:p>
        </w:tc>
        <w:tc>
          <w:tcPr>
            <w:tcW w:w="7655" w:type="dxa"/>
          </w:tcPr>
          <w:p w14:paraId="23ED54BD"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Kruszywa mineralne. Kruszywo łamane do nawierzchni drogowych</w:t>
            </w:r>
          </w:p>
        </w:tc>
      </w:tr>
      <w:tr w:rsidR="00E95D02" w:rsidRPr="0082360A" w14:paraId="77602F00" w14:textId="77777777" w:rsidTr="00E95D02">
        <w:tc>
          <w:tcPr>
            <w:tcW w:w="637" w:type="dxa"/>
          </w:tcPr>
          <w:p w14:paraId="2A20DC67" w14:textId="77777777" w:rsidR="00E95D02" w:rsidRPr="0082360A"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82360A">
              <w:rPr>
                <w:rFonts w:eastAsia="Times New Roman" w:cstheme="minorHAnsi"/>
                <w:sz w:val="20"/>
                <w:szCs w:val="20"/>
                <w:lang w:eastAsia="pl-PL"/>
              </w:rPr>
              <w:t xml:space="preserve">  9.</w:t>
            </w:r>
          </w:p>
        </w:tc>
        <w:tc>
          <w:tcPr>
            <w:tcW w:w="1701" w:type="dxa"/>
          </w:tcPr>
          <w:p w14:paraId="49B42AC4"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PN-B-11113</w:t>
            </w:r>
          </w:p>
        </w:tc>
        <w:tc>
          <w:tcPr>
            <w:tcW w:w="7655" w:type="dxa"/>
          </w:tcPr>
          <w:p w14:paraId="1FD988C2"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Kruszywa mineralne. Kruszywa naturalne do nawierzchni drogowych. Piasek</w:t>
            </w:r>
          </w:p>
        </w:tc>
      </w:tr>
      <w:tr w:rsidR="00E95D02" w:rsidRPr="0082360A" w14:paraId="3DA2C611" w14:textId="77777777" w:rsidTr="00E95D02">
        <w:tc>
          <w:tcPr>
            <w:tcW w:w="637" w:type="dxa"/>
          </w:tcPr>
          <w:p w14:paraId="3FF7F981" w14:textId="77777777" w:rsidR="00E95D02" w:rsidRPr="0082360A"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82360A">
              <w:rPr>
                <w:rFonts w:eastAsia="Times New Roman" w:cstheme="minorHAnsi"/>
                <w:sz w:val="20"/>
                <w:szCs w:val="20"/>
                <w:lang w:eastAsia="pl-PL"/>
              </w:rPr>
              <w:t>10.</w:t>
            </w:r>
          </w:p>
        </w:tc>
        <w:tc>
          <w:tcPr>
            <w:tcW w:w="1701" w:type="dxa"/>
          </w:tcPr>
          <w:p w14:paraId="272B8FEC"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PN-B-19701</w:t>
            </w:r>
          </w:p>
        </w:tc>
        <w:tc>
          <w:tcPr>
            <w:tcW w:w="7655" w:type="dxa"/>
          </w:tcPr>
          <w:p w14:paraId="4D3D2434"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Cement. Cement powszechnego użytku. Skład, wymagania i ocena zgodności</w:t>
            </w:r>
          </w:p>
        </w:tc>
      </w:tr>
      <w:tr w:rsidR="00E95D02" w:rsidRPr="0082360A" w14:paraId="03361C0D" w14:textId="77777777" w:rsidTr="00E95D02">
        <w:tc>
          <w:tcPr>
            <w:tcW w:w="637" w:type="dxa"/>
          </w:tcPr>
          <w:p w14:paraId="28955896" w14:textId="77777777" w:rsidR="00E95D02" w:rsidRPr="0082360A"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82360A">
              <w:rPr>
                <w:rFonts w:eastAsia="Times New Roman" w:cstheme="minorHAnsi"/>
                <w:sz w:val="20"/>
                <w:szCs w:val="20"/>
                <w:lang w:eastAsia="pl-PL"/>
              </w:rPr>
              <w:t>11.</w:t>
            </w:r>
          </w:p>
        </w:tc>
        <w:tc>
          <w:tcPr>
            <w:tcW w:w="1701" w:type="dxa"/>
          </w:tcPr>
          <w:p w14:paraId="0474473D"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PN-B32250</w:t>
            </w:r>
          </w:p>
        </w:tc>
        <w:tc>
          <w:tcPr>
            <w:tcW w:w="7655" w:type="dxa"/>
          </w:tcPr>
          <w:p w14:paraId="7BDDB357"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Materiały budowlane. Woda do betonów i zapraw</w:t>
            </w:r>
          </w:p>
        </w:tc>
      </w:tr>
      <w:tr w:rsidR="00E95D02" w:rsidRPr="0082360A" w14:paraId="52984AB1" w14:textId="77777777" w:rsidTr="00E95D02">
        <w:tc>
          <w:tcPr>
            <w:tcW w:w="637" w:type="dxa"/>
          </w:tcPr>
          <w:p w14:paraId="4DDED38C" w14:textId="77777777" w:rsidR="00E95D02" w:rsidRPr="0082360A"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82360A">
              <w:rPr>
                <w:rFonts w:eastAsia="Times New Roman" w:cstheme="minorHAnsi"/>
                <w:sz w:val="20"/>
                <w:szCs w:val="20"/>
                <w:lang w:eastAsia="pl-PL"/>
              </w:rPr>
              <w:t>12.</w:t>
            </w:r>
          </w:p>
        </w:tc>
        <w:tc>
          <w:tcPr>
            <w:tcW w:w="1701" w:type="dxa"/>
          </w:tcPr>
          <w:p w14:paraId="78667DDF"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BN-88/6731-08</w:t>
            </w:r>
          </w:p>
        </w:tc>
        <w:tc>
          <w:tcPr>
            <w:tcW w:w="7655" w:type="dxa"/>
          </w:tcPr>
          <w:p w14:paraId="0EF7C6F4"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Cement. Transport i przechowywanie</w:t>
            </w:r>
          </w:p>
        </w:tc>
      </w:tr>
      <w:tr w:rsidR="00E95D02" w:rsidRPr="0082360A" w14:paraId="6B933C38" w14:textId="77777777" w:rsidTr="00E95D02">
        <w:tc>
          <w:tcPr>
            <w:tcW w:w="637" w:type="dxa"/>
          </w:tcPr>
          <w:p w14:paraId="37765027" w14:textId="77777777" w:rsidR="00E95D02" w:rsidRPr="0082360A"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82360A">
              <w:rPr>
                <w:rFonts w:eastAsia="Times New Roman" w:cstheme="minorHAnsi"/>
                <w:sz w:val="20"/>
                <w:szCs w:val="20"/>
                <w:lang w:eastAsia="pl-PL"/>
              </w:rPr>
              <w:t>13.</w:t>
            </w:r>
          </w:p>
        </w:tc>
        <w:tc>
          <w:tcPr>
            <w:tcW w:w="1701" w:type="dxa"/>
          </w:tcPr>
          <w:p w14:paraId="50EDB891"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BN-74/6771-04</w:t>
            </w:r>
          </w:p>
        </w:tc>
        <w:tc>
          <w:tcPr>
            <w:tcW w:w="7655" w:type="dxa"/>
          </w:tcPr>
          <w:p w14:paraId="4ACE68B1"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Drogi samochodowe. Masa zalewowa</w:t>
            </w:r>
          </w:p>
        </w:tc>
      </w:tr>
      <w:tr w:rsidR="00E95D02" w:rsidRPr="0082360A" w14:paraId="6C0CDAC2" w14:textId="77777777" w:rsidTr="00E95D02">
        <w:tc>
          <w:tcPr>
            <w:tcW w:w="637" w:type="dxa"/>
          </w:tcPr>
          <w:p w14:paraId="0A7A1C18" w14:textId="77777777" w:rsidR="00E95D02" w:rsidRPr="0082360A"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82360A">
              <w:rPr>
                <w:rFonts w:eastAsia="Times New Roman" w:cstheme="minorHAnsi"/>
                <w:sz w:val="20"/>
                <w:szCs w:val="20"/>
                <w:lang w:eastAsia="pl-PL"/>
              </w:rPr>
              <w:t>14.</w:t>
            </w:r>
          </w:p>
        </w:tc>
        <w:tc>
          <w:tcPr>
            <w:tcW w:w="1701" w:type="dxa"/>
          </w:tcPr>
          <w:p w14:paraId="09947FFE"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BN-80/6775-03/01</w:t>
            </w:r>
          </w:p>
        </w:tc>
        <w:tc>
          <w:tcPr>
            <w:tcW w:w="7655" w:type="dxa"/>
          </w:tcPr>
          <w:p w14:paraId="20FEDA63"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Prefabrykaty budowlane z betonu. Elementy nawierzchni dróg, ulic, parkingów i torowisk tramwajowych. Wspólne wymagania i badania</w:t>
            </w:r>
          </w:p>
        </w:tc>
      </w:tr>
      <w:tr w:rsidR="00E95D02" w:rsidRPr="0082360A" w14:paraId="07637532" w14:textId="77777777" w:rsidTr="00E95D02">
        <w:tc>
          <w:tcPr>
            <w:tcW w:w="637" w:type="dxa"/>
          </w:tcPr>
          <w:p w14:paraId="443139AA" w14:textId="77777777" w:rsidR="00E95D02" w:rsidRPr="0082360A"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82360A">
              <w:rPr>
                <w:rFonts w:eastAsia="Times New Roman" w:cstheme="minorHAnsi"/>
                <w:sz w:val="20"/>
                <w:szCs w:val="20"/>
                <w:lang w:eastAsia="pl-PL"/>
              </w:rPr>
              <w:t>15.</w:t>
            </w:r>
          </w:p>
        </w:tc>
        <w:tc>
          <w:tcPr>
            <w:tcW w:w="1701" w:type="dxa"/>
          </w:tcPr>
          <w:p w14:paraId="2F7E0BE5"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BN-80/6775-03/04</w:t>
            </w:r>
          </w:p>
        </w:tc>
        <w:tc>
          <w:tcPr>
            <w:tcW w:w="7655" w:type="dxa"/>
          </w:tcPr>
          <w:p w14:paraId="119B2191"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Prefabrykaty budowlane z betonu. Elementy nawierzchni dróg, ulic, parkingów i torowisk tramwajowych. Krawężniki i obrzeża chodnikowe</w:t>
            </w:r>
          </w:p>
        </w:tc>
      </w:tr>
      <w:tr w:rsidR="00E95D02" w:rsidRPr="0082360A" w14:paraId="412C3622" w14:textId="77777777" w:rsidTr="00E95D02">
        <w:tc>
          <w:tcPr>
            <w:tcW w:w="637" w:type="dxa"/>
          </w:tcPr>
          <w:p w14:paraId="0D93B783" w14:textId="77777777" w:rsidR="00E95D02" w:rsidRPr="0082360A"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82360A">
              <w:rPr>
                <w:rFonts w:eastAsia="Times New Roman" w:cstheme="minorHAnsi"/>
                <w:sz w:val="20"/>
                <w:szCs w:val="20"/>
                <w:lang w:eastAsia="pl-PL"/>
              </w:rPr>
              <w:t>16.</w:t>
            </w:r>
          </w:p>
        </w:tc>
        <w:tc>
          <w:tcPr>
            <w:tcW w:w="1701" w:type="dxa"/>
          </w:tcPr>
          <w:p w14:paraId="76F3E6D7"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BN-64/8845-02</w:t>
            </w:r>
          </w:p>
        </w:tc>
        <w:tc>
          <w:tcPr>
            <w:tcW w:w="7655" w:type="dxa"/>
          </w:tcPr>
          <w:p w14:paraId="05EBC689" w14:textId="77777777" w:rsidR="00E95D02" w:rsidRPr="0082360A"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Krawężniki uliczne. Warunki techniczne ustawiania i odbioru.</w:t>
            </w:r>
          </w:p>
        </w:tc>
      </w:tr>
    </w:tbl>
    <w:p w14:paraId="58259150" w14:textId="77777777" w:rsidR="00E95D02" w:rsidRPr="0082360A"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65" w:name="_Toc194477189"/>
      <w:bookmarkStart w:id="3966" w:name="_Toc227825672"/>
      <w:r w:rsidRPr="0082360A">
        <w:rPr>
          <w:rFonts w:eastAsia="Times New Roman" w:cstheme="minorHAnsi"/>
          <w:b/>
          <w:sz w:val="20"/>
          <w:szCs w:val="20"/>
          <w:lang w:eastAsia="pl-PL"/>
        </w:rPr>
        <w:t>10.2. Inne dokumenty</w:t>
      </w:r>
      <w:bookmarkEnd w:id="3965"/>
      <w:bookmarkEnd w:id="3966"/>
    </w:p>
    <w:p w14:paraId="34449789" w14:textId="77777777" w:rsidR="00E95D02" w:rsidRPr="0082360A" w:rsidRDefault="00E95D02">
      <w:pPr>
        <w:numPr>
          <w:ilvl w:val="0"/>
          <w:numId w:val="152"/>
        </w:numPr>
        <w:overflowPunct w:val="0"/>
        <w:autoSpaceDE w:val="0"/>
        <w:autoSpaceDN w:val="0"/>
        <w:adjustRightInd w:val="0"/>
        <w:spacing w:after="0" w:line="240" w:lineRule="auto"/>
        <w:ind w:left="426" w:hanging="284"/>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Katalog powtarzalnych elementów drogowych (KPED), Transprojekt - Warszawa, 1979 i 1982 r.</w:t>
      </w:r>
    </w:p>
    <w:p w14:paraId="467624B5" w14:textId="77777777" w:rsidR="00E95D02" w:rsidRPr="0082360A" w:rsidRDefault="00E95D02" w:rsidP="00E95D02">
      <w:p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r w:rsidRPr="0082360A">
        <w:rPr>
          <w:rFonts w:eastAsia="Times New Roman" w:cstheme="minorHAnsi"/>
          <w:sz w:val="20"/>
          <w:szCs w:val="20"/>
          <w:lang w:eastAsia="pl-PL"/>
        </w:rPr>
        <w:t xml:space="preserve"> </w:t>
      </w:r>
    </w:p>
    <w:p w14:paraId="3D6B0799" w14:textId="77777777" w:rsidR="00E95D02" w:rsidRPr="0082360A" w:rsidRDefault="00E95D02" w:rsidP="00E95D02">
      <w:pPr>
        <w:overflowPunct w:val="0"/>
        <w:autoSpaceDE w:val="0"/>
        <w:autoSpaceDN w:val="0"/>
        <w:adjustRightInd w:val="0"/>
        <w:spacing w:after="0" w:line="240" w:lineRule="auto"/>
        <w:ind w:left="284" w:hanging="284"/>
        <w:jc w:val="both"/>
        <w:textAlignment w:val="baseline"/>
        <w:rPr>
          <w:rFonts w:eastAsia="Times New Roman" w:cstheme="minorHAnsi"/>
          <w:sz w:val="20"/>
          <w:szCs w:val="20"/>
          <w:lang w:eastAsia="pl-PL"/>
        </w:rPr>
      </w:pPr>
    </w:p>
    <w:p w14:paraId="4E0F5C3C" w14:textId="77777777" w:rsidR="00B26F4A" w:rsidRPr="0082360A"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3E5259F7" w14:textId="77777777" w:rsidR="00B26F4A" w:rsidRPr="0082360A"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78522F58" w14:textId="77777777" w:rsidR="00B26F4A" w:rsidRPr="0082360A"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03EF4247" w14:textId="77777777" w:rsidR="00B26F4A" w:rsidRPr="0082360A"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0CCE4249" w14:textId="77777777" w:rsidR="00B26F4A" w:rsidRPr="0082360A"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5FD1AF9A" w14:textId="77777777" w:rsidR="00B26F4A" w:rsidRPr="0082360A"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0A4A92EC" w14:textId="77777777" w:rsidR="00B26F4A" w:rsidRPr="0082360A"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69F31164" w14:textId="77777777" w:rsidR="00B26F4A" w:rsidRPr="0082360A"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sz w:val="20"/>
          <w:szCs w:val="20"/>
          <w:lang w:eastAsia="pl-PL"/>
        </w:rPr>
      </w:pPr>
    </w:p>
    <w:p w14:paraId="2CEF293B"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6E0D9898"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1AA3E918"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1D320A86"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23CA7120"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2862A62D"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6B8DE61C"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3DC1B13D"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4AB94EBF"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420ECA35"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4C701E68"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044B5CBE"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5A319A25"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3BF37554"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05E8E2F9"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52581A8F"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18FFD152"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290DE373"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14DB7026"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416A0C37"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1C636C7B"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2D455DA3"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5925FD78"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2179DAD5"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5ACCE8FB"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0212C997"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25CC689E"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2DD6492C" w14:textId="77777777" w:rsidR="00B26F4A" w:rsidRPr="004853EB" w:rsidRDefault="00B26F4A"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b/>
          <w:lang w:eastAsia="pl-PL"/>
        </w:rPr>
      </w:pPr>
    </w:p>
    <w:p w14:paraId="7A46C3EB" w14:textId="77777777" w:rsidR="00E95D02" w:rsidRPr="004853EB" w:rsidRDefault="00E95D02" w:rsidP="00B26F4A">
      <w:pPr>
        <w:pStyle w:val="Nagwek1"/>
        <w:rPr>
          <w:rFonts w:asciiTheme="minorHAnsi" w:hAnsiTheme="minorHAnsi" w:cstheme="minorHAnsi"/>
          <w:sz w:val="22"/>
          <w:szCs w:val="22"/>
        </w:rPr>
      </w:pPr>
      <w:bookmarkStart w:id="3967" w:name="_Toc227825673"/>
      <w:r w:rsidRPr="004853EB">
        <w:rPr>
          <w:rFonts w:asciiTheme="minorHAnsi" w:hAnsiTheme="minorHAnsi" w:cstheme="minorHAnsi"/>
          <w:sz w:val="22"/>
          <w:szCs w:val="22"/>
        </w:rPr>
        <w:lastRenderedPageBreak/>
        <w:t>D - 08.02.02 ZJAZD Z BRUKOWEJ KOSTKI BETONOWEJ</w:t>
      </w:r>
      <w:bookmarkEnd w:id="3967"/>
    </w:p>
    <w:p w14:paraId="07D70BCE" w14:textId="77777777" w:rsidR="00E95D02" w:rsidRPr="004853EB" w:rsidRDefault="00E95D02" w:rsidP="00E95D02">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968" w:name="_Toc194477191"/>
      <w:bookmarkStart w:id="3969" w:name="_Toc227825674"/>
      <w:r w:rsidRPr="004853EB">
        <w:rPr>
          <w:rFonts w:eastAsia="Times New Roman" w:cstheme="minorHAnsi"/>
          <w:b/>
          <w:caps/>
          <w:kern w:val="28"/>
          <w:sz w:val="20"/>
          <w:szCs w:val="20"/>
          <w:lang w:eastAsia="pl-PL"/>
        </w:rPr>
        <w:t>1. WSTĘP</w:t>
      </w:r>
      <w:bookmarkEnd w:id="3968"/>
      <w:bookmarkEnd w:id="3969"/>
    </w:p>
    <w:p w14:paraId="5FEC9402"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70" w:name="_Toc194477192"/>
      <w:bookmarkStart w:id="3971" w:name="_Toc227825675"/>
      <w:r w:rsidRPr="004853EB">
        <w:rPr>
          <w:rFonts w:eastAsia="Times New Roman" w:cstheme="minorHAnsi"/>
          <w:b/>
          <w:sz w:val="20"/>
          <w:szCs w:val="20"/>
          <w:lang w:eastAsia="pl-PL"/>
        </w:rPr>
        <w:t>1.1. Przedmiot SST</w:t>
      </w:r>
      <w:bookmarkEnd w:id="3970"/>
      <w:bookmarkEnd w:id="3971"/>
    </w:p>
    <w:p w14:paraId="11F6F715"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Przedmiotem niniejszej szczegółowej specyfikacji technicznej (SST) są wymagania dotyczące wykonania i odbioru robót związanych z wykonaniem zjazdu z brukowej kostki betonowej.</w:t>
      </w:r>
    </w:p>
    <w:p w14:paraId="4A7198C0"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72" w:name="_Toc194477193"/>
      <w:bookmarkStart w:id="3973" w:name="_Toc227825676"/>
      <w:r w:rsidRPr="004853EB">
        <w:rPr>
          <w:rFonts w:eastAsia="Times New Roman" w:cstheme="minorHAnsi"/>
          <w:b/>
          <w:sz w:val="20"/>
          <w:szCs w:val="20"/>
          <w:lang w:eastAsia="pl-PL"/>
        </w:rPr>
        <w:t>1.2. Zakres stosowania SST</w:t>
      </w:r>
      <w:bookmarkEnd w:id="3972"/>
      <w:bookmarkEnd w:id="3973"/>
    </w:p>
    <w:p w14:paraId="02FDD977"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Specyfikacja techniczna jest stosowana jako dokument przetargowy i kontraktowy przy zlecaniu i realizacji robót wymienionych w pkt 1.1.</w:t>
      </w:r>
    </w:p>
    <w:p w14:paraId="5F8C6A4B"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74" w:name="_Toc194477194"/>
      <w:bookmarkStart w:id="3975" w:name="_Toc227825677"/>
      <w:r w:rsidRPr="004853EB">
        <w:rPr>
          <w:rFonts w:eastAsia="Times New Roman" w:cstheme="minorHAnsi"/>
          <w:b/>
          <w:sz w:val="20"/>
          <w:szCs w:val="20"/>
          <w:lang w:eastAsia="pl-PL"/>
        </w:rPr>
        <w:t>1.3. Zakres robót objętych SST</w:t>
      </w:r>
      <w:bookmarkEnd w:id="3974"/>
      <w:bookmarkEnd w:id="3975"/>
    </w:p>
    <w:p w14:paraId="28D6A4B4" w14:textId="3E0FADB4"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Ustalenia zawarte w niniejszej specyfikacji związane z</w:t>
      </w:r>
      <w:r w:rsidRPr="004853EB">
        <w:rPr>
          <w:rFonts w:eastAsia="Times New Roman" w:cstheme="minorHAnsi"/>
          <w:b/>
          <w:sz w:val="20"/>
          <w:szCs w:val="20"/>
          <w:lang w:eastAsia="pl-PL"/>
        </w:rPr>
        <w:t xml:space="preserve"> Przebudową </w:t>
      </w:r>
      <w:r w:rsidR="0082360A" w:rsidRPr="004853EB">
        <w:rPr>
          <w:rFonts w:eastAsia="Times New Roman" w:cstheme="minorHAnsi"/>
          <w:b/>
          <w:sz w:val="20"/>
          <w:szCs w:val="20"/>
          <w:lang w:eastAsia="pl-PL"/>
        </w:rPr>
        <w:t>drogi powiatowej</w:t>
      </w:r>
      <w:r w:rsidRPr="004853EB">
        <w:rPr>
          <w:rFonts w:eastAsia="Times New Roman" w:cstheme="minorHAnsi"/>
          <w:b/>
          <w:sz w:val="20"/>
          <w:szCs w:val="20"/>
          <w:lang w:eastAsia="pl-PL"/>
        </w:rPr>
        <w:t xml:space="preserve"> nr </w:t>
      </w:r>
      <w:r w:rsidR="002A326C" w:rsidRPr="002A326C">
        <w:rPr>
          <w:rFonts w:eastAsia="Times New Roman" w:cstheme="minorHAnsi"/>
          <w:b/>
          <w:bCs/>
          <w:sz w:val="20"/>
          <w:szCs w:val="20"/>
          <w:lang w:eastAsia="pl-PL"/>
        </w:rPr>
        <w:t>4506W Zwoleń – Sarnów w miejscowości Łuczynów</w:t>
      </w:r>
      <w:r w:rsidR="002A326C" w:rsidRPr="002A326C">
        <w:rPr>
          <w:rFonts w:eastAsia="Times New Roman" w:cstheme="minorHAnsi"/>
          <w:b/>
          <w:sz w:val="20"/>
          <w:szCs w:val="20"/>
          <w:lang w:eastAsia="pl-PL"/>
        </w:rPr>
        <w:t xml:space="preserve"> </w:t>
      </w:r>
      <w:r w:rsidRPr="004853EB">
        <w:rPr>
          <w:rFonts w:eastAsia="Times New Roman" w:cstheme="minorHAnsi"/>
          <w:sz w:val="20"/>
          <w:szCs w:val="20"/>
          <w:lang w:eastAsia="pl-PL"/>
        </w:rPr>
        <w:t>i obejmują roboty związane z wykonaniem zjazdu z brukowej kostki betonowej.</w:t>
      </w:r>
    </w:p>
    <w:p w14:paraId="4D79559F"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76" w:name="_Toc194477195"/>
      <w:bookmarkStart w:id="3977" w:name="_Toc227825678"/>
      <w:r w:rsidRPr="004853EB">
        <w:rPr>
          <w:rFonts w:eastAsia="Times New Roman" w:cstheme="minorHAnsi"/>
          <w:b/>
          <w:sz w:val="20"/>
          <w:szCs w:val="20"/>
          <w:lang w:eastAsia="pl-PL"/>
        </w:rPr>
        <w:t>1.4. Określenia podstawowe</w:t>
      </w:r>
      <w:bookmarkEnd w:id="3976"/>
      <w:bookmarkEnd w:id="3977"/>
    </w:p>
    <w:p w14:paraId="42D6927F"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1.4.1. </w:t>
      </w:r>
      <w:r w:rsidRPr="004853EB">
        <w:rPr>
          <w:rFonts w:eastAsia="Times New Roman" w:cstheme="minorHAnsi"/>
          <w:sz w:val="20"/>
          <w:szCs w:val="20"/>
          <w:lang w:eastAsia="pl-PL"/>
        </w:rPr>
        <w:t>Betonowa kostka brukowa - kształtka wytwarzana z betonu metodą wibroprasowania. Produkowana jest jako kształtka jednowarstwowa lub w dwóch warstwach połączonych ze sobą trwale w fazie produkcji.</w:t>
      </w:r>
    </w:p>
    <w:p w14:paraId="3CBEF4E5" w14:textId="6714F4C6"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1.4.2. </w:t>
      </w:r>
      <w:r w:rsidRPr="004853EB">
        <w:rPr>
          <w:rFonts w:eastAsia="Times New Roman" w:cstheme="minorHAnsi"/>
          <w:sz w:val="20"/>
          <w:szCs w:val="20"/>
          <w:lang w:eastAsia="pl-PL"/>
        </w:rPr>
        <w:t xml:space="preserve">Pozostałe określenia podstawowe są zgodne z obowiązującymi, odpowiednimi polskimi normami </w:t>
      </w:r>
      <w:r w:rsidR="0082360A">
        <w:rPr>
          <w:rFonts w:eastAsia="Times New Roman" w:cstheme="minorHAnsi"/>
          <w:sz w:val="20"/>
          <w:szCs w:val="20"/>
          <w:lang w:eastAsia="pl-PL"/>
        </w:rPr>
        <w:br/>
      </w:r>
      <w:r w:rsidRPr="004853EB">
        <w:rPr>
          <w:rFonts w:eastAsia="Times New Roman" w:cstheme="minorHAnsi"/>
          <w:sz w:val="20"/>
          <w:szCs w:val="20"/>
          <w:lang w:eastAsia="pl-PL"/>
        </w:rPr>
        <w:t xml:space="preserve">i z </w:t>
      </w:r>
      <w:r w:rsidR="0082360A" w:rsidRPr="004853EB">
        <w:rPr>
          <w:rFonts w:eastAsia="Times New Roman" w:cstheme="minorHAnsi"/>
          <w:sz w:val="20"/>
          <w:szCs w:val="20"/>
          <w:lang w:eastAsia="pl-PL"/>
        </w:rPr>
        <w:t>definicjami,</w:t>
      </w:r>
      <w:r w:rsidRPr="004853EB">
        <w:rPr>
          <w:rFonts w:eastAsia="Times New Roman" w:cstheme="minorHAnsi"/>
          <w:sz w:val="20"/>
          <w:szCs w:val="20"/>
          <w:lang w:eastAsia="pl-PL"/>
        </w:rPr>
        <w:t xml:space="preserve"> i z definicjami podanymi w SST D-00.00.00 „Wymagania ogólne” pkt 1.4.</w:t>
      </w:r>
    </w:p>
    <w:p w14:paraId="04C5B81B"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78" w:name="_Toc194477196"/>
      <w:bookmarkStart w:id="3979" w:name="_Toc227825679"/>
      <w:r w:rsidRPr="004853EB">
        <w:rPr>
          <w:rFonts w:eastAsia="Times New Roman" w:cstheme="minorHAnsi"/>
          <w:b/>
          <w:sz w:val="20"/>
          <w:szCs w:val="20"/>
          <w:lang w:eastAsia="pl-PL"/>
        </w:rPr>
        <w:t>1.5. Ogólne wymagania dotyczące robót</w:t>
      </w:r>
      <w:bookmarkEnd w:id="3978"/>
      <w:bookmarkEnd w:id="3979"/>
    </w:p>
    <w:p w14:paraId="30349F27"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robót podano w SST D-00.00.00 „Wymagania ogólne” pkt 1.5.</w:t>
      </w:r>
    </w:p>
    <w:p w14:paraId="6DCA6F9C" w14:textId="77777777" w:rsidR="00E95D02" w:rsidRPr="004853EB" w:rsidRDefault="00E95D02" w:rsidP="00E95D02">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980" w:name="_Toc194477197"/>
      <w:bookmarkStart w:id="3981" w:name="_Toc227825680"/>
      <w:r w:rsidRPr="004853EB">
        <w:rPr>
          <w:rFonts w:eastAsia="Times New Roman" w:cstheme="minorHAnsi"/>
          <w:b/>
          <w:caps/>
          <w:kern w:val="28"/>
          <w:sz w:val="20"/>
          <w:szCs w:val="20"/>
          <w:lang w:eastAsia="pl-PL"/>
        </w:rPr>
        <w:t>2. MATERIAŁY</w:t>
      </w:r>
      <w:bookmarkEnd w:id="3980"/>
      <w:bookmarkEnd w:id="3981"/>
    </w:p>
    <w:p w14:paraId="0A28A8B7"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82" w:name="_Toc194477198"/>
      <w:bookmarkStart w:id="3983" w:name="_Toc227825681"/>
      <w:r w:rsidRPr="004853EB">
        <w:rPr>
          <w:rFonts w:eastAsia="Times New Roman" w:cstheme="minorHAnsi"/>
          <w:b/>
          <w:sz w:val="20"/>
          <w:szCs w:val="20"/>
          <w:lang w:eastAsia="pl-PL"/>
        </w:rPr>
        <w:t>2.1. Ogólne wymagania dotyczące materiałów</w:t>
      </w:r>
      <w:bookmarkEnd w:id="3982"/>
      <w:bookmarkEnd w:id="3983"/>
    </w:p>
    <w:p w14:paraId="54DD1D77" w14:textId="7CB6471B"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Ogólne wymagania dotyczące materiałów, ich pozyskiwania i składowania, podano </w:t>
      </w:r>
      <w:r w:rsidR="0082360A" w:rsidRPr="004853EB">
        <w:rPr>
          <w:rFonts w:eastAsia="Times New Roman" w:cstheme="minorHAnsi"/>
          <w:sz w:val="20"/>
          <w:szCs w:val="20"/>
          <w:lang w:eastAsia="pl-PL"/>
        </w:rPr>
        <w:t>w SST</w:t>
      </w:r>
      <w:r w:rsidRPr="004853EB">
        <w:rPr>
          <w:rFonts w:eastAsia="Times New Roman" w:cstheme="minorHAnsi"/>
          <w:sz w:val="20"/>
          <w:szCs w:val="20"/>
          <w:lang w:eastAsia="pl-PL"/>
        </w:rPr>
        <w:t xml:space="preserve"> D-00.00.00 „Wymagania ogólne” pkt 2.</w:t>
      </w:r>
    </w:p>
    <w:p w14:paraId="41C045C8"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84" w:name="_Toc194477199"/>
      <w:bookmarkStart w:id="3985" w:name="_Toc227825682"/>
      <w:r w:rsidRPr="004853EB">
        <w:rPr>
          <w:rFonts w:eastAsia="Times New Roman" w:cstheme="minorHAnsi"/>
          <w:b/>
          <w:sz w:val="20"/>
          <w:szCs w:val="20"/>
          <w:lang w:eastAsia="pl-PL"/>
        </w:rPr>
        <w:t>2.2. Betonowa kostka brukowa - wymagania</w:t>
      </w:r>
      <w:bookmarkEnd w:id="3984"/>
      <w:bookmarkEnd w:id="3985"/>
    </w:p>
    <w:p w14:paraId="0841E48C"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2.2.1. </w:t>
      </w:r>
      <w:r w:rsidRPr="004853EB">
        <w:rPr>
          <w:rFonts w:eastAsia="Times New Roman" w:cstheme="minorHAnsi"/>
          <w:sz w:val="20"/>
          <w:szCs w:val="20"/>
          <w:lang w:eastAsia="pl-PL"/>
        </w:rPr>
        <w:t>Aprobata techniczna</w:t>
      </w:r>
    </w:p>
    <w:p w14:paraId="62E98EFF"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Warunkiem dopuszczenia do stosowania betonowej kostki brukowej w budownictwie drogowym jest posiadanie aprobaty technicznej, wydanej przez uprawnioną jednostkę.</w:t>
      </w:r>
    </w:p>
    <w:p w14:paraId="351FB90F" w14:textId="6494D3F4" w:rsidR="00E95D02" w:rsidRPr="004853EB" w:rsidRDefault="0082360A"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2.2.2. </w:t>
      </w:r>
      <w:r w:rsidRPr="004853EB">
        <w:rPr>
          <w:rFonts w:eastAsia="Times New Roman" w:cstheme="minorHAnsi"/>
          <w:sz w:val="20"/>
          <w:szCs w:val="20"/>
          <w:lang w:eastAsia="pl-PL"/>
        </w:rPr>
        <w:t>Wygląd</w:t>
      </w:r>
      <w:r w:rsidR="00E95D02" w:rsidRPr="004853EB">
        <w:rPr>
          <w:rFonts w:eastAsia="Times New Roman" w:cstheme="minorHAnsi"/>
          <w:sz w:val="20"/>
          <w:szCs w:val="20"/>
          <w:lang w:eastAsia="pl-PL"/>
        </w:rPr>
        <w:t xml:space="preserve"> zewnętrzny</w:t>
      </w:r>
    </w:p>
    <w:p w14:paraId="1D0B47EC"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Struktura wyrobu powinna być zwarta, bez rys, pęknięć, plam i ubytków.</w:t>
      </w:r>
    </w:p>
    <w:p w14:paraId="54D2E98C"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Powierzchnia górna kostek powinna być równa i szorstka, a krawędzie kostek równe i proste, wklęśnięcia nie powinny przekraczać 2 mm dla kostek o grubości </w:t>
      </w:r>
      <w:r w:rsidRPr="004853EB">
        <w:rPr>
          <w:rFonts w:eastAsia="Times New Roman" w:cstheme="minorHAnsi"/>
          <w:sz w:val="20"/>
          <w:szCs w:val="20"/>
          <w:lang w:eastAsia="pl-PL"/>
        </w:rPr>
        <w:sym w:font="Symbol" w:char="F0A3"/>
      </w:r>
      <w:r w:rsidRPr="004853EB">
        <w:rPr>
          <w:rFonts w:eastAsia="Times New Roman" w:cstheme="minorHAnsi"/>
          <w:sz w:val="20"/>
          <w:szCs w:val="20"/>
          <w:lang w:eastAsia="pl-PL"/>
        </w:rPr>
        <w:t xml:space="preserve"> 80 mm.</w:t>
      </w:r>
    </w:p>
    <w:p w14:paraId="3A567E45"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2.2.3. </w:t>
      </w:r>
      <w:r w:rsidRPr="004853EB">
        <w:rPr>
          <w:rFonts w:eastAsia="Times New Roman" w:cstheme="minorHAnsi"/>
          <w:sz w:val="20"/>
          <w:szCs w:val="20"/>
          <w:lang w:eastAsia="pl-PL"/>
        </w:rPr>
        <w:t>Kształt, wymiary i kolor kostki brukowej</w:t>
      </w:r>
    </w:p>
    <w:p w14:paraId="2336F1D0"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 wykonania nawierzchni chodnika stosuje się betonową kostkę brukową o grubości 60 mm.</w:t>
      </w:r>
    </w:p>
    <w:p w14:paraId="0DE77CC0"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Tolerancje wymiarowe wynoszą:</w:t>
      </w:r>
    </w:p>
    <w:p w14:paraId="04A99078"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na długości</w:t>
      </w:r>
      <w:r w:rsidRPr="004853EB">
        <w:rPr>
          <w:rFonts w:eastAsia="Times New Roman" w:cstheme="minorHAnsi"/>
          <w:sz w:val="20"/>
          <w:szCs w:val="20"/>
          <w:lang w:eastAsia="pl-PL"/>
        </w:rPr>
        <w:tab/>
      </w:r>
      <w:r w:rsidRPr="004853EB">
        <w:rPr>
          <w:rFonts w:eastAsia="Times New Roman" w:cstheme="minorHAnsi"/>
          <w:sz w:val="20"/>
          <w:szCs w:val="20"/>
          <w:lang w:eastAsia="pl-PL"/>
        </w:rPr>
        <w:tab/>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3 mm,</w:t>
      </w:r>
    </w:p>
    <w:p w14:paraId="78180057"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na szerokości</w:t>
      </w:r>
      <w:r w:rsidRPr="004853EB">
        <w:rPr>
          <w:rFonts w:eastAsia="Times New Roman" w:cstheme="minorHAnsi"/>
          <w:sz w:val="20"/>
          <w:szCs w:val="20"/>
          <w:lang w:eastAsia="pl-PL"/>
        </w:rPr>
        <w:tab/>
      </w:r>
      <w:r w:rsidRPr="004853EB">
        <w:rPr>
          <w:rFonts w:eastAsia="Times New Roman" w:cstheme="minorHAnsi"/>
          <w:sz w:val="20"/>
          <w:szCs w:val="20"/>
          <w:lang w:eastAsia="pl-PL"/>
        </w:rPr>
        <w:tab/>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3 mm,</w:t>
      </w:r>
    </w:p>
    <w:p w14:paraId="4BD20503"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na grubości</w:t>
      </w:r>
      <w:r w:rsidRPr="004853EB">
        <w:rPr>
          <w:rFonts w:eastAsia="Times New Roman" w:cstheme="minorHAnsi"/>
          <w:sz w:val="20"/>
          <w:szCs w:val="20"/>
          <w:lang w:eastAsia="pl-PL"/>
        </w:rPr>
        <w:tab/>
      </w:r>
      <w:r w:rsidRPr="004853EB">
        <w:rPr>
          <w:rFonts w:eastAsia="Times New Roman" w:cstheme="minorHAnsi"/>
          <w:sz w:val="20"/>
          <w:szCs w:val="20"/>
          <w:lang w:eastAsia="pl-PL"/>
        </w:rPr>
        <w:tab/>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5 mm.</w:t>
      </w:r>
    </w:p>
    <w:p w14:paraId="53172439"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Kolory kostek produkowanych aktualnie w kraju to: szary, ceglany, klinkierowy, grafitowy i brązowy.</w:t>
      </w:r>
    </w:p>
    <w:p w14:paraId="39D57A45"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2.2.4. </w:t>
      </w:r>
      <w:r w:rsidRPr="004853EB">
        <w:rPr>
          <w:rFonts w:eastAsia="Times New Roman" w:cstheme="minorHAnsi"/>
          <w:sz w:val="20"/>
          <w:szCs w:val="20"/>
          <w:lang w:eastAsia="pl-PL"/>
        </w:rPr>
        <w:t>Cechy fizykomechaniczne betonowych kostek brukowych</w:t>
      </w:r>
    </w:p>
    <w:p w14:paraId="4DC0818E"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Betonowe kostki brukowe powinny mieć cechy fizykomechaniczne określone w tablicy 1.</w:t>
      </w:r>
    </w:p>
    <w:p w14:paraId="6D371247" w14:textId="77777777" w:rsidR="00E95D02" w:rsidRDefault="00E95D02" w:rsidP="00E95D02">
      <w:pPr>
        <w:numPr>
          <w:ilvl w:val="12"/>
          <w:numId w:val="0"/>
        </w:num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1. Cechy fizykomechaniczne betonowych kostek brukowych</w:t>
      </w:r>
    </w:p>
    <w:p w14:paraId="3ED80662" w14:textId="77777777" w:rsidR="0082360A" w:rsidRPr="004853EB" w:rsidRDefault="0082360A" w:rsidP="00E95D02">
      <w:pPr>
        <w:numPr>
          <w:ilvl w:val="12"/>
          <w:numId w:val="0"/>
        </w:num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5811"/>
        <w:gridCol w:w="1203"/>
      </w:tblGrid>
      <w:tr w:rsidR="00E95D02" w:rsidRPr="004853EB" w14:paraId="71801B3B" w14:textId="77777777" w:rsidTr="00E95D02">
        <w:tc>
          <w:tcPr>
            <w:tcW w:w="496" w:type="dxa"/>
            <w:tcBorders>
              <w:bottom w:val="double" w:sz="6" w:space="0" w:color="auto"/>
            </w:tcBorders>
          </w:tcPr>
          <w:p w14:paraId="74C52AFF"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Lp.</w:t>
            </w:r>
          </w:p>
        </w:tc>
        <w:tc>
          <w:tcPr>
            <w:tcW w:w="5811" w:type="dxa"/>
            <w:tcBorders>
              <w:bottom w:val="double" w:sz="6" w:space="0" w:color="auto"/>
            </w:tcBorders>
          </w:tcPr>
          <w:p w14:paraId="4B0F668E"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Cechy</w:t>
            </w:r>
          </w:p>
        </w:tc>
        <w:tc>
          <w:tcPr>
            <w:tcW w:w="1203" w:type="dxa"/>
            <w:tcBorders>
              <w:bottom w:val="double" w:sz="6" w:space="0" w:color="auto"/>
            </w:tcBorders>
          </w:tcPr>
          <w:p w14:paraId="28DE4169"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Wartość</w:t>
            </w:r>
          </w:p>
        </w:tc>
      </w:tr>
      <w:tr w:rsidR="00E95D02" w:rsidRPr="004853EB" w14:paraId="7CDBD566" w14:textId="77777777" w:rsidTr="00E95D02">
        <w:tc>
          <w:tcPr>
            <w:tcW w:w="496" w:type="dxa"/>
            <w:tcBorders>
              <w:top w:val="nil"/>
            </w:tcBorders>
          </w:tcPr>
          <w:p w14:paraId="5AA18837" w14:textId="77777777" w:rsidR="00E95D02" w:rsidRPr="004853EB" w:rsidRDefault="00E95D02" w:rsidP="00E95D02">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5811" w:type="dxa"/>
            <w:tcBorders>
              <w:top w:val="nil"/>
            </w:tcBorders>
          </w:tcPr>
          <w:p w14:paraId="01F38179" w14:textId="77777777" w:rsidR="00E95D02" w:rsidRPr="004853EB" w:rsidRDefault="00E95D02" w:rsidP="00E95D02">
            <w:pPr>
              <w:numPr>
                <w:ilvl w:val="12"/>
                <w:numId w:val="0"/>
              </w:numPr>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Wytrzymałość na ściskanie po 28 dniach, MPa, co najmniej</w:t>
            </w:r>
          </w:p>
          <w:p w14:paraId="75BAAA1D"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 średnia z sześciu kostek</w:t>
            </w:r>
          </w:p>
          <w:p w14:paraId="151D0C5B" w14:textId="77777777" w:rsidR="00E95D02" w:rsidRPr="004853EB" w:rsidRDefault="00E95D02" w:rsidP="00E95D02">
            <w:pPr>
              <w:numPr>
                <w:ilvl w:val="12"/>
                <w:numId w:val="0"/>
              </w:num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 najmniejsza pojedynczej kostki</w:t>
            </w:r>
          </w:p>
        </w:tc>
        <w:tc>
          <w:tcPr>
            <w:tcW w:w="1203" w:type="dxa"/>
            <w:tcBorders>
              <w:top w:val="nil"/>
            </w:tcBorders>
          </w:tcPr>
          <w:p w14:paraId="166FC62B"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5912218F" w14:textId="77777777" w:rsidR="00E95D02" w:rsidRPr="004853EB" w:rsidRDefault="00E95D02" w:rsidP="00E95D02">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60</w:t>
            </w:r>
          </w:p>
          <w:p w14:paraId="279E3ECC"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50</w:t>
            </w:r>
          </w:p>
        </w:tc>
      </w:tr>
      <w:tr w:rsidR="00E95D02" w:rsidRPr="004853EB" w14:paraId="1F037D64" w14:textId="77777777" w:rsidTr="00E95D02">
        <w:tc>
          <w:tcPr>
            <w:tcW w:w="496" w:type="dxa"/>
          </w:tcPr>
          <w:p w14:paraId="18969A3A"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5811" w:type="dxa"/>
          </w:tcPr>
          <w:p w14:paraId="64A75366" w14:textId="77777777" w:rsidR="00E95D02" w:rsidRPr="004853EB" w:rsidRDefault="00E95D02" w:rsidP="00E95D02">
            <w:pPr>
              <w:numPr>
                <w:ilvl w:val="12"/>
                <w:numId w:val="0"/>
              </w:num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Nasiąkliwość wodą wg PN-B-06250 [2], %, nie więcej niż</w:t>
            </w:r>
          </w:p>
        </w:tc>
        <w:tc>
          <w:tcPr>
            <w:tcW w:w="1203" w:type="dxa"/>
          </w:tcPr>
          <w:p w14:paraId="02374FF8" w14:textId="77777777" w:rsidR="00E95D02" w:rsidRPr="004853EB" w:rsidRDefault="00E95D02" w:rsidP="00E95D02">
            <w:pPr>
              <w:numPr>
                <w:ilvl w:val="12"/>
                <w:numId w:val="0"/>
              </w:num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r>
      <w:tr w:rsidR="00E95D02" w:rsidRPr="004853EB" w14:paraId="2ABADEFF" w14:textId="77777777" w:rsidTr="00E95D02">
        <w:tc>
          <w:tcPr>
            <w:tcW w:w="496" w:type="dxa"/>
          </w:tcPr>
          <w:p w14:paraId="63EE23D2" w14:textId="77777777" w:rsidR="00E95D02" w:rsidRPr="004853EB" w:rsidRDefault="00E95D02" w:rsidP="00E95D02">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5811" w:type="dxa"/>
          </w:tcPr>
          <w:p w14:paraId="41E10C80" w14:textId="77777777" w:rsidR="00E95D02" w:rsidRPr="004853EB" w:rsidRDefault="00E95D02" w:rsidP="00E95D02">
            <w:pPr>
              <w:numPr>
                <w:ilvl w:val="12"/>
                <w:numId w:val="0"/>
              </w:numPr>
              <w:overflowPunct w:val="0"/>
              <w:autoSpaceDE w:val="0"/>
              <w:autoSpaceDN w:val="0"/>
              <w:adjustRightInd w:val="0"/>
              <w:spacing w:before="6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Odporność na zamrażanie, po 50 cyklach zamrażania, wg PN-B-06250 [2]:</w:t>
            </w:r>
          </w:p>
          <w:p w14:paraId="71A962D6"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 pęknięcia próbki</w:t>
            </w:r>
          </w:p>
          <w:p w14:paraId="0A41B1DE"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 strata masy, %, nie więcej niż</w:t>
            </w:r>
          </w:p>
          <w:p w14:paraId="15514A86"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 obniżenie wytrzymałości na ściskanie w stosunku do wytrzymałości</w:t>
            </w:r>
          </w:p>
          <w:p w14:paraId="6AA4A4FC" w14:textId="77777777" w:rsidR="00E95D02" w:rsidRPr="004853EB" w:rsidRDefault="00E95D02" w:rsidP="00E95D02">
            <w:pPr>
              <w:numPr>
                <w:ilvl w:val="12"/>
                <w:numId w:val="0"/>
              </w:numPr>
              <w:overflowPunct w:val="0"/>
              <w:autoSpaceDE w:val="0"/>
              <w:autoSpaceDN w:val="0"/>
              <w:adjustRightInd w:val="0"/>
              <w:spacing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     próbek nie zamrażanych, %, nie więcej niż</w:t>
            </w:r>
          </w:p>
        </w:tc>
        <w:tc>
          <w:tcPr>
            <w:tcW w:w="1203" w:type="dxa"/>
          </w:tcPr>
          <w:p w14:paraId="495A3B20"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259B23D4"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4BBA3064" w14:textId="77777777" w:rsidR="00E95D02" w:rsidRPr="004853EB" w:rsidRDefault="00E95D02" w:rsidP="00E95D02">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brak</w:t>
            </w:r>
          </w:p>
          <w:p w14:paraId="40DF44E5"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p w14:paraId="5062D37E"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7A585B7E"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20</w:t>
            </w:r>
          </w:p>
        </w:tc>
      </w:tr>
      <w:tr w:rsidR="00E95D02" w:rsidRPr="004853EB" w14:paraId="12AA0872" w14:textId="77777777" w:rsidTr="00E95D02">
        <w:tc>
          <w:tcPr>
            <w:tcW w:w="496" w:type="dxa"/>
          </w:tcPr>
          <w:p w14:paraId="5E09979B" w14:textId="77777777" w:rsidR="00E95D02" w:rsidRPr="004853EB" w:rsidRDefault="00E95D02" w:rsidP="00E95D02">
            <w:pPr>
              <w:numPr>
                <w:ilvl w:val="12"/>
                <w:numId w:val="0"/>
              </w:num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5811" w:type="dxa"/>
          </w:tcPr>
          <w:p w14:paraId="3109ED47" w14:textId="77777777" w:rsidR="00E95D02" w:rsidRPr="004853EB" w:rsidRDefault="00E95D02" w:rsidP="00E95D02">
            <w:pPr>
              <w:numPr>
                <w:ilvl w:val="12"/>
                <w:numId w:val="0"/>
              </w:num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Ścieralność na tarczy Boehmego wg PN-B-04111 [1], mm, nie więcej niż</w:t>
            </w:r>
          </w:p>
        </w:tc>
        <w:tc>
          <w:tcPr>
            <w:tcW w:w="1203" w:type="dxa"/>
          </w:tcPr>
          <w:p w14:paraId="64E079B5" w14:textId="77777777" w:rsidR="00E95D02" w:rsidRPr="004853EB" w:rsidRDefault="00E95D02" w:rsidP="00E95D02">
            <w:pPr>
              <w:numPr>
                <w:ilvl w:val="12"/>
                <w:numId w:val="0"/>
              </w:numPr>
              <w:overflowPunct w:val="0"/>
              <w:autoSpaceDE w:val="0"/>
              <w:autoSpaceDN w:val="0"/>
              <w:adjustRightInd w:val="0"/>
              <w:spacing w:before="18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r>
    </w:tbl>
    <w:p w14:paraId="2012C247"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0AB3CE80"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86" w:name="_Toc194477200"/>
      <w:bookmarkStart w:id="3987" w:name="_Toc227825683"/>
      <w:r w:rsidRPr="004853EB">
        <w:rPr>
          <w:rFonts w:eastAsia="Times New Roman" w:cstheme="minorHAnsi"/>
          <w:b/>
          <w:sz w:val="20"/>
          <w:szCs w:val="20"/>
          <w:lang w:eastAsia="pl-PL"/>
        </w:rPr>
        <w:t>2.3. Materiały do produkcji betonowych kostek brukowych</w:t>
      </w:r>
      <w:bookmarkEnd w:id="3986"/>
      <w:bookmarkEnd w:id="3987"/>
    </w:p>
    <w:p w14:paraId="2F05BA86"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2.3.1. </w:t>
      </w:r>
      <w:r w:rsidRPr="004853EB">
        <w:rPr>
          <w:rFonts w:eastAsia="Times New Roman" w:cstheme="minorHAnsi"/>
          <w:sz w:val="20"/>
          <w:szCs w:val="20"/>
          <w:lang w:eastAsia="pl-PL"/>
        </w:rPr>
        <w:t>Cement</w:t>
      </w:r>
    </w:p>
    <w:p w14:paraId="09D17F19" w14:textId="0971D2CE"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Do produkcji kostki brukowej należy stosować cement portlandzki, bez </w:t>
      </w:r>
      <w:r w:rsidR="0082360A" w:rsidRPr="004853EB">
        <w:rPr>
          <w:rFonts w:eastAsia="Times New Roman" w:cstheme="minorHAnsi"/>
          <w:sz w:val="20"/>
          <w:szCs w:val="20"/>
          <w:lang w:eastAsia="pl-PL"/>
        </w:rPr>
        <w:t>dodatków, klasy</w:t>
      </w:r>
      <w:r w:rsidRPr="004853EB">
        <w:rPr>
          <w:rFonts w:eastAsia="Times New Roman" w:cstheme="minorHAnsi"/>
          <w:sz w:val="20"/>
          <w:szCs w:val="20"/>
          <w:lang w:eastAsia="pl-PL"/>
        </w:rPr>
        <w:t xml:space="preserve"> nie niższej niż „32,5”. Zaleca się stosowanie cementu o jasnym kolorze. Cement powinien odpowiadać wymaganiom PN-B-19701 [4].</w:t>
      </w:r>
    </w:p>
    <w:p w14:paraId="4505A272" w14:textId="63C55BF6" w:rsidR="00E95D02" w:rsidRPr="004853EB" w:rsidRDefault="0082360A"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2.3.2. Kruszywo</w:t>
      </w:r>
      <w:r w:rsidR="00E95D02" w:rsidRPr="004853EB">
        <w:rPr>
          <w:rFonts w:eastAsia="Times New Roman" w:cstheme="minorHAnsi"/>
          <w:sz w:val="20"/>
          <w:szCs w:val="20"/>
          <w:lang w:eastAsia="pl-PL"/>
        </w:rPr>
        <w:t xml:space="preserve"> do betonu</w:t>
      </w:r>
    </w:p>
    <w:p w14:paraId="0435CA62" w14:textId="112EE42E"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Należy stosować kruszywa </w:t>
      </w:r>
      <w:r w:rsidR="0082360A" w:rsidRPr="004853EB">
        <w:rPr>
          <w:rFonts w:eastAsia="Times New Roman" w:cstheme="minorHAnsi"/>
          <w:sz w:val="20"/>
          <w:szCs w:val="20"/>
          <w:lang w:eastAsia="pl-PL"/>
        </w:rPr>
        <w:t>mineralne odpowiadające</w:t>
      </w:r>
      <w:r w:rsidRPr="004853EB">
        <w:rPr>
          <w:rFonts w:eastAsia="Times New Roman" w:cstheme="minorHAnsi"/>
          <w:sz w:val="20"/>
          <w:szCs w:val="20"/>
          <w:lang w:eastAsia="pl-PL"/>
        </w:rPr>
        <w:t xml:space="preserve"> wymaganiom PN-B-06712 [3].</w:t>
      </w:r>
    </w:p>
    <w:p w14:paraId="1EA1B259"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Uziarnienie kruszywa powinno być ustalone w recepcie laboratoryjnej mieszanki betonowej, przy założonych parametrach wymaganych dla produkowanego wyrobu.</w:t>
      </w:r>
    </w:p>
    <w:p w14:paraId="3C43C245"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2.3.3. </w:t>
      </w:r>
      <w:r w:rsidRPr="004853EB">
        <w:rPr>
          <w:rFonts w:eastAsia="Times New Roman" w:cstheme="minorHAnsi"/>
          <w:sz w:val="20"/>
          <w:szCs w:val="20"/>
          <w:lang w:eastAsia="pl-PL"/>
        </w:rPr>
        <w:t>Woda</w:t>
      </w:r>
    </w:p>
    <w:p w14:paraId="0E80A4EA"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Woda powinna być odmiany „1” i odpowiadać wymaganiom PN-B-32250 [5].</w:t>
      </w:r>
    </w:p>
    <w:p w14:paraId="7843624C"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2.3.4. </w:t>
      </w:r>
      <w:r w:rsidRPr="004853EB">
        <w:rPr>
          <w:rFonts w:eastAsia="Times New Roman" w:cstheme="minorHAnsi"/>
          <w:sz w:val="20"/>
          <w:szCs w:val="20"/>
          <w:lang w:eastAsia="pl-PL"/>
        </w:rPr>
        <w:t>Dodatki</w:t>
      </w:r>
    </w:p>
    <w:p w14:paraId="4C1EEDC7" w14:textId="5B5CE37D"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Do produkcji kostek brukowych stosuje się dodatki w postaci </w:t>
      </w:r>
      <w:r w:rsidR="0082360A" w:rsidRPr="004853EB">
        <w:rPr>
          <w:rFonts w:eastAsia="Times New Roman" w:cstheme="minorHAnsi"/>
          <w:sz w:val="20"/>
          <w:szCs w:val="20"/>
          <w:lang w:eastAsia="pl-PL"/>
        </w:rPr>
        <w:t>plastyfikatorów i</w:t>
      </w:r>
      <w:r w:rsidRPr="004853EB">
        <w:rPr>
          <w:rFonts w:eastAsia="Times New Roman" w:cstheme="minorHAnsi"/>
          <w:sz w:val="20"/>
          <w:szCs w:val="20"/>
          <w:lang w:eastAsia="pl-PL"/>
        </w:rPr>
        <w:t xml:space="preserve"> barwników, zgodnie </w:t>
      </w:r>
      <w:r w:rsidR="0082360A">
        <w:rPr>
          <w:rFonts w:eastAsia="Times New Roman" w:cstheme="minorHAnsi"/>
          <w:sz w:val="20"/>
          <w:szCs w:val="20"/>
          <w:lang w:eastAsia="pl-PL"/>
        </w:rPr>
        <w:br/>
      </w:r>
      <w:r w:rsidRPr="004853EB">
        <w:rPr>
          <w:rFonts w:eastAsia="Times New Roman" w:cstheme="minorHAnsi"/>
          <w:sz w:val="20"/>
          <w:szCs w:val="20"/>
          <w:lang w:eastAsia="pl-PL"/>
        </w:rPr>
        <w:t>z receptą laboratoryjną.</w:t>
      </w:r>
    </w:p>
    <w:p w14:paraId="5994C1FC"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Plastyfikatory zapewniają gotowym wyrobom większą wytrzymałość, mniejszą nasiąkliwość i większą odporność na niskie temperatury i działanie soli.</w:t>
      </w:r>
    </w:p>
    <w:p w14:paraId="3AE2C075"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Stosowane barwniki powinny zapewnić kostce trwałe wybarwienie. Powinny to być barwniki nieorganiczne.</w:t>
      </w:r>
    </w:p>
    <w:p w14:paraId="27FE0F2A" w14:textId="77777777" w:rsidR="00E95D02" w:rsidRPr="004853EB" w:rsidRDefault="00E95D02" w:rsidP="00E95D02">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988" w:name="_Toc194477201"/>
      <w:bookmarkStart w:id="3989" w:name="_Toc227825684"/>
      <w:r w:rsidRPr="004853EB">
        <w:rPr>
          <w:rFonts w:eastAsia="Times New Roman" w:cstheme="minorHAnsi"/>
          <w:b/>
          <w:caps/>
          <w:kern w:val="28"/>
          <w:sz w:val="20"/>
          <w:szCs w:val="20"/>
          <w:lang w:eastAsia="pl-PL"/>
        </w:rPr>
        <w:t>3. sprzęt</w:t>
      </w:r>
      <w:bookmarkEnd w:id="3988"/>
      <w:bookmarkEnd w:id="3989"/>
    </w:p>
    <w:p w14:paraId="58987CBF"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90" w:name="_Toc194477202"/>
      <w:bookmarkStart w:id="3991" w:name="_Toc227825685"/>
      <w:r w:rsidRPr="004853EB">
        <w:rPr>
          <w:rFonts w:eastAsia="Times New Roman" w:cstheme="minorHAnsi"/>
          <w:b/>
          <w:sz w:val="20"/>
          <w:szCs w:val="20"/>
          <w:lang w:eastAsia="pl-PL"/>
        </w:rPr>
        <w:t>3.1. Ogólne wymagania dotyczące sprzętu</w:t>
      </w:r>
      <w:bookmarkEnd w:id="3990"/>
      <w:bookmarkEnd w:id="3991"/>
    </w:p>
    <w:p w14:paraId="6CF697F5"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sprzętu podano w SST D-00.00.00 „Wymagania ogólne” pkt 3.</w:t>
      </w:r>
    </w:p>
    <w:p w14:paraId="4B307369"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92" w:name="_Toc194477203"/>
      <w:bookmarkStart w:id="3993" w:name="_Toc227825686"/>
      <w:r w:rsidRPr="004853EB">
        <w:rPr>
          <w:rFonts w:eastAsia="Times New Roman" w:cstheme="minorHAnsi"/>
          <w:b/>
          <w:sz w:val="20"/>
          <w:szCs w:val="20"/>
          <w:lang w:eastAsia="pl-PL"/>
        </w:rPr>
        <w:t>3.2. Sprzęt do wykonania zjazdu z kostki brukowej</w:t>
      </w:r>
      <w:bookmarkEnd w:id="3992"/>
      <w:bookmarkEnd w:id="3993"/>
    </w:p>
    <w:p w14:paraId="1CC86215"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Małe powierzchnie chodnika z kostki brukowej wykonuje się ręcznie.</w:t>
      </w:r>
    </w:p>
    <w:p w14:paraId="4E67786D"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Jeśli powierzchnie są duże, a kostki brukowe mają jednolity kształt i kolor, można stosować mechaniczne urządzenia układające. Urządzenie składa się z wózka i chwytaka sterowanego hydraulicznie, służącego do przenoszenia z palety warstwy kostek na miejsce ich ułożenia. </w:t>
      </w:r>
    </w:p>
    <w:p w14:paraId="7283BB4C"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 zagęszczenia nawierzchni stosuje się wibratory płytowe z osłoną z tworzywa sztucznego.</w:t>
      </w:r>
    </w:p>
    <w:p w14:paraId="42B53A4F" w14:textId="77777777" w:rsidR="00E95D02" w:rsidRPr="004853EB" w:rsidRDefault="00E95D02" w:rsidP="00E95D02">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3994" w:name="_Toc194477204"/>
      <w:bookmarkStart w:id="3995" w:name="_Toc227825687"/>
      <w:r w:rsidRPr="004853EB">
        <w:rPr>
          <w:rFonts w:eastAsia="Times New Roman" w:cstheme="minorHAnsi"/>
          <w:b/>
          <w:caps/>
          <w:kern w:val="28"/>
          <w:sz w:val="20"/>
          <w:szCs w:val="20"/>
          <w:lang w:eastAsia="pl-PL"/>
        </w:rPr>
        <w:t>4. transport</w:t>
      </w:r>
      <w:bookmarkEnd w:id="3994"/>
      <w:bookmarkEnd w:id="3995"/>
    </w:p>
    <w:p w14:paraId="3D8AD186"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96" w:name="_Toc194477205"/>
      <w:bookmarkStart w:id="3997" w:name="_Toc227825688"/>
      <w:r w:rsidRPr="004853EB">
        <w:rPr>
          <w:rFonts w:eastAsia="Times New Roman" w:cstheme="minorHAnsi"/>
          <w:b/>
          <w:sz w:val="20"/>
          <w:szCs w:val="20"/>
          <w:lang w:eastAsia="pl-PL"/>
        </w:rPr>
        <w:t>4.1. Ogólne wymagania dotyczące transportu</w:t>
      </w:r>
      <w:bookmarkEnd w:id="3996"/>
      <w:bookmarkEnd w:id="3997"/>
    </w:p>
    <w:p w14:paraId="1194DFF1"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transportu podano w SST D-00.00.00 „Wymagania ogólne” pkt 4.</w:t>
      </w:r>
    </w:p>
    <w:p w14:paraId="175FE75C"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3998" w:name="_Toc194477206"/>
      <w:bookmarkStart w:id="3999" w:name="_Toc227825689"/>
      <w:r w:rsidRPr="004853EB">
        <w:rPr>
          <w:rFonts w:eastAsia="Times New Roman" w:cstheme="minorHAnsi"/>
          <w:b/>
          <w:sz w:val="20"/>
          <w:szCs w:val="20"/>
          <w:lang w:eastAsia="pl-PL"/>
        </w:rPr>
        <w:lastRenderedPageBreak/>
        <w:t>4.2. Transport betonowych kostek brukowych</w:t>
      </w:r>
      <w:bookmarkEnd w:id="3998"/>
      <w:bookmarkEnd w:id="3999"/>
    </w:p>
    <w:p w14:paraId="553B80D9" w14:textId="15900BA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Uformowane w czasie produkcji kostki betonowe układane są warstwowo na palecie. Po uzyskaniu wytrzymałości betonu min. 0,7 wytrzymałości projektowanej, kostki przewożone są na stanowisko, gdzie specjalne urządzenie pakuje je w folię i spina taśmą stalową, co gwarantuje transport samochodami </w:t>
      </w:r>
      <w:r w:rsidR="0082360A">
        <w:rPr>
          <w:rFonts w:eastAsia="Times New Roman" w:cstheme="minorHAnsi"/>
          <w:sz w:val="20"/>
          <w:szCs w:val="20"/>
          <w:lang w:eastAsia="pl-PL"/>
        </w:rPr>
        <w:br/>
      </w:r>
      <w:r w:rsidRPr="004853EB">
        <w:rPr>
          <w:rFonts w:eastAsia="Times New Roman" w:cstheme="minorHAnsi"/>
          <w:sz w:val="20"/>
          <w:szCs w:val="20"/>
          <w:lang w:eastAsia="pl-PL"/>
        </w:rPr>
        <w:t>w nienaruszonym stanie.</w:t>
      </w:r>
    </w:p>
    <w:p w14:paraId="66CAE929"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Kostki betonowe można również przewozić samochodami na paletach transportowych producenta.</w:t>
      </w:r>
    </w:p>
    <w:p w14:paraId="115FAC0E" w14:textId="77777777" w:rsidR="00E95D02" w:rsidRPr="004853EB" w:rsidRDefault="00E95D02" w:rsidP="00E95D02">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000" w:name="_Toc194477207"/>
      <w:bookmarkStart w:id="4001" w:name="_Toc227825690"/>
      <w:r w:rsidRPr="004853EB">
        <w:rPr>
          <w:rFonts w:eastAsia="Times New Roman" w:cstheme="minorHAnsi"/>
          <w:b/>
          <w:caps/>
          <w:kern w:val="28"/>
          <w:sz w:val="20"/>
          <w:szCs w:val="20"/>
          <w:lang w:eastAsia="pl-PL"/>
        </w:rPr>
        <w:t>5. WYKONANIE ROBÓT</w:t>
      </w:r>
      <w:bookmarkEnd w:id="4000"/>
      <w:bookmarkEnd w:id="4001"/>
    </w:p>
    <w:p w14:paraId="1E58469E"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02" w:name="_Toc194477208"/>
      <w:bookmarkStart w:id="4003" w:name="_Toc227825691"/>
      <w:r w:rsidRPr="004853EB">
        <w:rPr>
          <w:rFonts w:eastAsia="Times New Roman" w:cstheme="minorHAnsi"/>
          <w:b/>
          <w:sz w:val="20"/>
          <w:szCs w:val="20"/>
          <w:lang w:eastAsia="pl-PL"/>
        </w:rPr>
        <w:t>5.1. Ogólne zasady wykonania robót</w:t>
      </w:r>
      <w:bookmarkEnd w:id="4002"/>
      <w:bookmarkEnd w:id="4003"/>
    </w:p>
    <w:p w14:paraId="3B99D159"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Ogólne zasady wykonania robót podano w SST D-00.00.00 „Wymagania ogólne” pkt 5.</w:t>
      </w:r>
    </w:p>
    <w:p w14:paraId="170114C8"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04" w:name="_Toc194477209"/>
      <w:bookmarkStart w:id="4005" w:name="_Toc227825692"/>
      <w:r w:rsidRPr="004853EB">
        <w:rPr>
          <w:rFonts w:eastAsia="Times New Roman" w:cstheme="minorHAnsi"/>
          <w:b/>
          <w:sz w:val="20"/>
          <w:szCs w:val="20"/>
          <w:lang w:eastAsia="pl-PL"/>
        </w:rPr>
        <w:t>5.2. Koryto pod zjazd</w:t>
      </w:r>
      <w:bookmarkEnd w:id="4004"/>
      <w:bookmarkEnd w:id="4005"/>
    </w:p>
    <w:p w14:paraId="1F870125" w14:textId="521BC5F5"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Koryto wykonane w podłożu powinno być wyprofilowane zgodnie z projektowanymi spadkami podłużnymi i poprzecznymi oraz zgodnie z wymaganiami podanymi w SST D-04.01.01 „Koryto wraz </w:t>
      </w:r>
      <w:r w:rsidR="0082360A">
        <w:rPr>
          <w:rFonts w:eastAsia="Times New Roman" w:cstheme="minorHAnsi"/>
          <w:sz w:val="20"/>
          <w:szCs w:val="20"/>
          <w:lang w:eastAsia="pl-PL"/>
        </w:rPr>
        <w:br/>
      </w:r>
      <w:r w:rsidRPr="004853EB">
        <w:rPr>
          <w:rFonts w:eastAsia="Times New Roman" w:cstheme="minorHAnsi"/>
          <w:sz w:val="20"/>
          <w:szCs w:val="20"/>
          <w:lang w:eastAsia="pl-PL"/>
        </w:rPr>
        <w:t>z profilowaniem i zagęszczeniem podłoża”. Wskaźnik zagęszczenia koryta nie powinien być mniejszy niż 0,97 według normalnej metody Proctora.</w:t>
      </w:r>
    </w:p>
    <w:p w14:paraId="19439CAB"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06" w:name="_Toc194477210"/>
      <w:bookmarkStart w:id="4007" w:name="_Toc227825693"/>
      <w:r w:rsidRPr="004853EB">
        <w:rPr>
          <w:rFonts w:eastAsia="Times New Roman" w:cstheme="minorHAnsi"/>
          <w:b/>
          <w:sz w:val="20"/>
          <w:szCs w:val="20"/>
          <w:lang w:eastAsia="pl-PL"/>
        </w:rPr>
        <w:t>5.5. Układanie zjazdu z betonowych kostek brukowych</w:t>
      </w:r>
      <w:bookmarkEnd w:id="4006"/>
      <w:bookmarkEnd w:id="4007"/>
    </w:p>
    <w:p w14:paraId="51DE16C0"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 uwagi na różnorodność kształtów i kolorów produkowanych kostek, możliwe jest ułożenie dowolnego wzoru - wcześniej ustalonego w dokumentacji projektowej lub zaakceptowanego przez Inżyniera.</w:t>
      </w:r>
    </w:p>
    <w:p w14:paraId="501B9A4B"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Kostkę układa się na podsypce lub podłożu piaszczystym w taki sposób, aby szczeliny między kostkami wynosiły od 2 do 3 mm. Kostkę należy układać ok. 1,5 cm wyżej od projektowanej niwelety zjazdu, gdyż w czasie wibrowania (ubijania) podsypka ulega zagęszczeniu.</w:t>
      </w:r>
    </w:p>
    <w:p w14:paraId="4DFB0138"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 ułożeniu kostki, szczeliny należy wypełnić piaskiem, a następnie zamieść powierzchnię ułożonych kostek przy użyciu szczotek ręcznych lub mechanicznych i przystąpić do ubijania nawierzchni chodnika.</w:t>
      </w:r>
    </w:p>
    <w:p w14:paraId="316A903F"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 ubijania ułożonego zjazdu z kostek brukowych, stosuje się wibratory płytowe z osłoną z tworzywa sztucznego dla ochrony kostek przed uszkodzeniem i zabrudzeniem. Wibrowanie należy prowadzić od krawędzi powierzchni ubijanej w kierunku środka i jednocześnie w kierunku poprzecznym kształtek.</w:t>
      </w:r>
    </w:p>
    <w:p w14:paraId="602C7EA0"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 zagęszczania nawierzchni z betonowych kostek brukowych nie wolno używać walca.</w:t>
      </w:r>
    </w:p>
    <w:p w14:paraId="2602B3BE"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 ubiciu nawierzchni należy uzupełnić szczeliny materiałem do wypełnienia i zamieść nawierzchnię. Zjazd z wypełnieniem spoin piaskiem nie wymaga pielęgnacji - może być zaraz oddany do użytkowania.</w:t>
      </w:r>
    </w:p>
    <w:p w14:paraId="50B63DEA" w14:textId="77777777" w:rsidR="00E95D02" w:rsidRPr="004853EB" w:rsidRDefault="00E95D02" w:rsidP="00E95D02">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008" w:name="_Toc194477211"/>
      <w:bookmarkStart w:id="4009" w:name="_Toc227825694"/>
      <w:r w:rsidRPr="004853EB">
        <w:rPr>
          <w:rFonts w:eastAsia="Times New Roman" w:cstheme="minorHAnsi"/>
          <w:b/>
          <w:caps/>
          <w:kern w:val="28"/>
          <w:sz w:val="20"/>
          <w:szCs w:val="20"/>
          <w:lang w:eastAsia="pl-PL"/>
        </w:rPr>
        <w:t>6. kontrola jakości robót</w:t>
      </w:r>
      <w:bookmarkEnd w:id="4008"/>
      <w:bookmarkEnd w:id="4009"/>
    </w:p>
    <w:p w14:paraId="7A721531"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10" w:name="_Toc194477212"/>
      <w:bookmarkStart w:id="4011" w:name="_Toc227825695"/>
      <w:r w:rsidRPr="004853EB">
        <w:rPr>
          <w:rFonts w:eastAsia="Times New Roman" w:cstheme="minorHAnsi"/>
          <w:b/>
          <w:sz w:val="20"/>
          <w:szCs w:val="20"/>
          <w:lang w:eastAsia="pl-PL"/>
        </w:rPr>
        <w:t>6.1. Ogólne zasady kontroli jakości robót</w:t>
      </w:r>
      <w:bookmarkEnd w:id="4010"/>
      <w:bookmarkEnd w:id="4011"/>
    </w:p>
    <w:p w14:paraId="05A3FB2E"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kontroli jakości robót podano w SST D-00.00.00 „Wymagania ogólne” pkt 6.</w:t>
      </w:r>
    </w:p>
    <w:p w14:paraId="7EE7C948"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12" w:name="_Toc194477213"/>
      <w:bookmarkStart w:id="4013" w:name="_Toc227825696"/>
      <w:r w:rsidRPr="004853EB">
        <w:rPr>
          <w:rFonts w:eastAsia="Times New Roman" w:cstheme="minorHAnsi"/>
          <w:b/>
          <w:sz w:val="20"/>
          <w:szCs w:val="20"/>
          <w:lang w:eastAsia="pl-PL"/>
        </w:rPr>
        <w:t>6.2. Badania przed przystąpieniem do robót</w:t>
      </w:r>
      <w:bookmarkEnd w:id="4012"/>
      <w:bookmarkEnd w:id="4013"/>
    </w:p>
    <w:p w14:paraId="1D21CA7E"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 przystąpieniem do robót Wykonawca powinien sprawdzić, czy producent kostek brukowych posiada aprobatę techniczną.</w:t>
      </w:r>
    </w:p>
    <w:p w14:paraId="3461F6A7"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Pozostałe wymagania określono w SST D-05.02.23 „Nawierzchnia z kostki brukowej betonowej”.</w:t>
      </w:r>
    </w:p>
    <w:p w14:paraId="2D4024F5"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b/>
          <w:sz w:val="20"/>
          <w:szCs w:val="20"/>
          <w:lang w:eastAsia="pl-PL"/>
        </w:rPr>
      </w:pPr>
      <w:r w:rsidRPr="004853EB">
        <w:rPr>
          <w:rFonts w:eastAsia="Times New Roman" w:cstheme="minorHAnsi"/>
          <w:b/>
          <w:sz w:val="20"/>
          <w:szCs w:val="20"/>
          <w:lang w:eastAsia="pl-PL"/>
        </w:rPr>
        <w:t>6.3. Badania w czasie robót</w:t>
      </w:r>
    </w:p>
    <w:p w14:paraId="10D69F00"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6.3.1. </w:t>
      </w:r>
      <w:r w:rsidRPr="004853EB">
        <w:rPr>
          <w:rFonts w:eastAsia="Times New Roman" w:cstheme="minorHAnsi"/>
          <w:sz w:val="20"/>
          <w:szCs w:val="20"/>
          <w:lang w:eastAsia="pl-PL"/>
        </w:rPr>
        <w:t>Sprawdzenie podłoża</w:t>
      </w:r>
    </w:p>
    <w:p w14:paraId="149E8E3B"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Sprawdzenie podłoża polega na stwierdzeniu zgodności z dokumentacją projektową i odpowiednimi SST.</w:t>
      </w:r>
    </w:p>
    <w:p w14:paraId="21C32EFF"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Dopuszczalne tolerancje wynoszą dla:</w:t>
      </w:r>
    </w:p>
    <w:p w14:paraId="57EEC401"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głębokości koryta: </w:t>
      </w:r>
    </w:p>
    <w:p w14:paraId="7DE22C42" w14:textId="77777777" w:rsidR="00E95D02" w:rsidRPr="004853EB" w:rsidRDefault="00E95D02" w:rsidP="00E95D02">
      <w:pPr>
        <w:numPr>
          <w:ilvl w:val="0"/>
          <w:numId w:val="9"/>
        </w:numPr>
        <w:overflowPunct w:val="0"/>
        <w:autoSpaceDE w:val="0"/>
        <w:autoSpaceDN w:val="0"/>
        <w:adjustRightInd w:val="0"/>
        <w:spacing w:after="0" w:line="240" w:lineRule="auto"/>
        <w:ind w:left="992"/>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 szerokości do 3 m:</w:t>
      </w:r>
      <w:r w:rsidRPr="004853EB">
        <w:rPr>
          <w:rFonts w:eastAsia="Times New Roman" w:cstheme="minorHAnsi"/>
          <w:sz w:val="20"/>
          <w:szCs w:val="20"/>
          <w:lang w:eastAsia="pl-PL"/>
        </w:rPr>
        <w:tab/>
        <w:t xml:space="preserve">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1 cm, </w:t>
      </w:r>
    </w:p>
    <w:p w14:paraId="68C8CE45" w14:textId="49ECF73A" w:rsidR="00E95D02" w:rsidRPr="004853EB" w:rsidRDefault="00E95D02" w:rsidP="00E95D02">
      <w:pPr>
        <w:numPr>
          <w:ilvl w:val="0"/>
          <w:numId w:val="9"/>
        </w:numPr>
        <w:overflowPunct w:val="0"/>
        <w:autoSpaceDE w:val="0"/>
        <w:autoSpaceDN w:val="0"/>
        <w:adjustRightInd w:val="0"/>
        <w:spacing w:after="0" w:line="240" w:lineRule="auto"/>
        <w:ind w:left="992"/>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o szerokości powyżej 3 m: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2 cm,</w:t>
      </w:r>
    </w:p>
    <w:p w14:paraId="7A9E154A"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szerokości koryta: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5 cm.</w:t>
      </w:r>
    </w:p>
    <w:p w14:paraId="1DA3AB20"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6.3.2. </w:t>
      </w:r>
      <w:r w:rsidRPr="004853EB">
        <w:rPr>
          <w:rFonts w:eastAsia="Times New Roman" w:cstheme="minorHAnsi"/>
          <w:sz w:val="20"/>
          <w:szCs w:val="20"/>
          <w:lang w:eastAsia="pl-PL"/>
        </w:rPr>
        <w:t>Sprawdzenie podsypki</w:t>
      </w:r>
    </w:p>
    <w:p w14:paraId="2AE8AC30"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Sprawdzenie podsypki w zakresie grubości i wymaganych spadków poprzecznych i podłużnych polega na stwierdzeniu zgodności z dokumentacją projektową oraz pkt 5.3 niniejszej SST. </w:t>
      </w:r>
    </w:p>
    <w:p w14:paraId="3B2284CE"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lastRenderedPageBreak/>
        <w:t xml:space="preserve">6.3.3. </w:t>
      </w:r>
      <w:r w:rsidRPr="004853EB">
        <w:rPr>
          <w:rFonts w:eastAsia="Times New Roman" w:cstheme="minorHAnsi"/>
          <w:sz w:val="20"/>
          <w:szCs w:val="20"/>
          <w:lang w:eastAsia="pl-PL"/>
        </w:rPr>
        <w:t>Sprawdzenie wykonania zjazdu.</w:t>
      </w:r>
    </w:p>
    <w:p w14:paraId="364DA4BC" w14:textId="6D043500"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Sprawdzenie prawidłowości wykonania zjazdu z betonowych kostek </w:t>
      </w:r>
      <w:r w:rsidR="0082360A" w:rsidRPr="004853EB">
        <w:rPr>
          <w:rFonts w:eastAsia="Times New Roman" w:cstheme="minorHAnsi"/>
          <w:sz w:val="20"/>
          <w:szCs w:val="20"/>
          <w:lang w:eastAsia="pl-PL"/>
        </w:rPr>
        <w:t>brukowych polega</w:t>
      </w:r>
      <w:r w:rsidRPr="004853EB">
        <w:rPr>
          <w:rFonts w:eastAsia="Times New Roman" w:cstheme="minorHAnsi"/>
          <w:sz w:val="20"/>
          <w:szCs w:val="20"/>
          <w:lang w:eastAsia="pl-PL"/>
        </w:rPr>
        <w:t xml:space="preserve"> na stwierdzeniu zgodności wykonania z dokumentacją projektową oraz wymaganiami pkt 5.5 niniejszej SST:</w:t>
      </w:r>
    </w:p>
    <w:p w14:paraId="5BB5883A"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pomierzenie szerokości spoin,</w:t>
      </w:r>
    </w:p>
    <w:p w14:paraId="5E38014B"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sprawdzenie prawidłowości ubijania (wibrowania),</w:t>
      </w:r>
    </w:p>
    <w:p w14:paraId="25968D7D"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sprawdzenie prawidłowości wypełnienia spoin,</w:t>
      </w:r>
    </w:p>
    <w:p w14:paraId="1BBEB5D3"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sprawdzenie, czy przyjęty deseń (wzór) i kolor nawierzchni jest zachowany.</w:t>
      </w:r>
    </w:p>
    <w:p w14:paraId="7E522914"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14" w:name="_Toc194477214"/>
      <w:bookmarkStart w:id="4015" w:name="_Toc227825697"/>
      <w:r w:rsidRPr="004853EB">
        <w:rPr>
          <w:rFonts w:eastAsia="Times New Roman" w:cstheme="minorHAnsi"/>
          <w:b/>
          <w:sz w:val="20"/>
          <w:szCs w:val="20"/>
          <w:lang w:eastAsia="pl-PL"/>
        </w:rPr>
        <w:t>6.4. Sprawdzenie cech geometrycznych chodnika</w:t>
      </w:r>
      <w:bookmarkEnd w:id="4014"/>
      <w:bookmarkEnd w:id="4015"/>
    </w:p>
    <w:p w14:paraId="30FEE4C5" w14:textId="400A993E" w:rsidR="00E95D02" w:rsidRPr="004853EB" w:rsidRDefault="0082360A"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6.4.1. </w:t>
      </w:r>
      <w:r w:rsidRPr="004853EB">
        <w:rPr>
          <w:rFonts w:eastAsia="Times New Roman" w:cstheme="minorHAnsi"/>
          <w:sz w:val="20"/>
          <w:szCs w:val="20"/>
          <w:lang w:eastAsia="pl-PL"/>
        </w:rPr>
        <w:t>Sprawdzenie</w:t>
      </w:r>
      <w:r w:rsidR="00E95D02" w:rsidRPr="004853EB">
        <w:rPr>
          <w:rFonts w:eastAsia="Times New Roman" w:cstheme="minorHAnsi"/>
          <w:sz w:val="20"/>
          <w:szCs w:val="20"/>
          <w:lang w:eastAsia="pl-PL"/>
        </w:rPr>
        <w:t xml:space="preserve"> równości zjazdu</w:t>
      </w:r>
    </w:p>
    <w:p w14:paraId="3D9B20D3" w14:textId="1A0B8759"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Sprawdzenie równości nawierzchni przeprowadzać należy łatą co najmniej raz na każde 150 do 300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ułożonego zjazdu i w miejscach wątpliwych, jednak nie rzadziej niż raz na 50 m chodnika. Dopuszczalny prześwit pod łatą 4 m nie powinien </w:t>
      </w:r>
      <w:r w:rsidR="0082360A" w:rsidRPr="004853EB">
        <w:rPr>
          <w:rFonts w:eastAsia="Times New Roman" w:cstheme="minorHAnsi"/>
          <w:sz w:val="20"/>
          <w:szCs w:val="20"/>
          <w:lang w:eastAsia="pl-PL"/>
        </w:rPr>
        <w:t>przekraczać 1</w:t>
      </w:r>
      <w:r w:rsidRPr="004853EB">
        <w:rPr>
          <w:rFonts w:eastAsia="Times New Roman" w:cstheme="minorHAnsi"/>
          <w:sz w:val="20"/>
          <w:szCs w:val="20"/>
          <w:lang w:eastAsia="pl-PL"/>
        </w:rPr>
        <w:t>,0 cm.</w:t>
      </w:r>
    </w:p>
    <w:p w14:paraId="03470E88"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6.4.2. </w:t>
      </w:r>
      <w:r w:rsidRPr="004853EB">
        <w:rPr>
          <w:rFonts w:eastAsia="Times New Roman" w:cstheme="minorHAnsi"/>
          <w:sz w:val="20"/>
          <w:szCs w:val="20"/>
          <w:lang w:eastAsia="pl-PL"/>
        </w:rPr>
        <w:t>Sprawdzenie profilu podłużnego</w:t>
      </w:r>
    </w:p>
    <w:p w14:paraId="58051CA5"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Sprawdzenie profilu podłużnego przeprowadzać należy za pomocą niwelacji, biorąc pod uwagę punkty charakterystyczne, jednak nie rzadziej niż co 100 m.</w:t>
      </w:r>
    </w:p>
    <w:p w14:paraId="5728CA59"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Odchylenia od projektowanej niwelety zjazdu w punktach załamania niwelety nie mogą przekraczać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3 cm.</w:t>
      </w:r>
    </w:p>
    <w:p w14:paraId="52E79218"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6.4.3. </w:t>
      </w:r>
      <w:r w:rsidRPr="004853EB">
        <w:rPr>
          <w:rFonts w:eastAsia="Times New Roman" w:cstheme="minorHAnsi"/>
          <w:sz w:val="20"/>
          <w:szCs w:val="20"/>
          <w:lang w:eastAsia="pl-PL"/>
        </w:rPr>
        <w:t>Sprawdzenie przekroju poprzecznego</w:t>
      </w:r>
    </w:p>
    <w:p w14:paraId="18DC93CA" w14:textId="77777777" w:rsidR="00E95D02" w:rsidRPr="004853EB" w:rsidRDefault="00E95D02" w:rsidP="00E95D02">
      <w:pPr>
        <w:numPr>
          <w:ilvl w:val="12"/>
          <w:numId w:val="0"/>
        </w:num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Sprawdzenie przekroju poprzecznego dokonywać należy szablonem z poziomicą, co najmniej raz na każde 150 do 300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zjazdu i w miejscach wątpliwych, jednak nie rzadziej niż co 50 m. Dopuszczalne odchylenia od projektowanego profilu wynoszą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0,3%.</w:t>
      </w:r>
    </w:p>
    <w:p w14:paraId="611E6387" w14:textId="77777777" w:rsidR="00E95D02" w:rsidRPr="004853EB" w:rsidRDefault="00E95D02" w:rsidP="00E95D02">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016" w:name="_Toc194477215"/>
      <w:bookmarkStart w:id="4017" w:name="_Toc227825698"/>
      <w:r w:rsidRPr="004853EB">
        <w:rPr>
          <w:rFonts w:eastAsia="Times New Roman" w:cstheme="minorHAnsi"/>
          <w:b/>
          <w:caps/>
          <w:kern w:val="28"/>
          <w:sz w:val="20"/>
          <w:szCs w:val="20"/>
          <w:lang w:eastAsia="pl-PL"/>
        </w:rPr>
        <w:t>7. OBMIAR ROBÓT</w:t>
      </w:r>
      <w:bookmarkEnd w:id="4016"/>
      <w:bookmarkEnd w:id="4017"/>
    </w:p>
    <w:p w14:paraId="65DD2641"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18" w:name="_Toc194477216"/>
      <w:bookmarkStart w:id="4019" w:name="_Toc227825699"/>
      <w:r w:rsidRPr="004853EB">
        <w:rPr>
          <w:rFonts w:eastAsia="Times New Roman" w:cstheme="minorHAnsi"/>
          <w:b/>
          <w:sz w:val="20"/>
          <w:szCs w:val="20"/>
          <w:lang w:eastAsia="pl-PL"/>
        </w:rPr>
        <w:t>7.1. Ogólne zasady obmiaru robót</w:t>
      </w:r>
      <w:bookmarkEnd w:id="4018"/>
      <w:bookmarkEnd w:id="4019"/>
    </w:p>
    <w:p w14:paraId="70118140"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obmiaru robót podano w SST D-00.00.00 „Wymagania ogólne” pkt 7.</w:t>
      </w:r>
    </w:p>
    <w:p w14:paraId="6A9854D5"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20" w:name="_Toc194477217"/>
      <w:bookmarkStart w:id="4021" w:name="_Toc227825700"/>
      <w:r w:rsidRPr="004853EB">
        <w:rPr>
          <w:rFonts w:eastAsia="Times New Roman" w:cstheme="minorHAnsi"/>
          <w:b/>
          <w:sz w:val="20"/>
          <w:szCs w:val="20"/>
          <w:lang w:eastAsia="pl-PL"/>
        </w:rPr>
        <w:t>7.2. Jednostka obmiarowa</w:t>
      </w:r>
      <w:bookmarkEnd w:id="4020"/>
      <w:bookmarkEnd w:id="4021"/>
    </w:p>
    <w:p w14:paraId="70FB4E76"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Jednostką obmiarową jest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(metr kwadratowy) wykonanego zjazdu z brukowej kostki betonowej.</w:t>
      </w:r>
    </w:p>
    <w:p w14:paraId="73FDF1F6" w14:textId="77777777" w:rsidR="00E95D02" w:rsidRPr="004853EB" w:rsidRDefault="00E95D02" w:rsidP="00E95D02">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022" w:name="_Toc194477218"/>
      <w:bookmarkStart w:id="4023" w:name="_Toc227825701"/>
      <w:r w:rsidRPr="004853EB">
        <w:rPr>
          <w:rFonts w:eastAsia="Times New Roman" w:cstheme="minorHAnsi"/>
          <w:b/>
          <w:caps/>
          <w:kern w:val="28"/>
          <w:sz w:val="20"/>
          <w:szCs w:val="20"/>
          <w:lang w:eastAsia="pl-PL"/>
        </w:rPr>
        <w:t>8. ODBIÓR ROBÓT</w:t>
      </w:r>
      <w:bookmarkEnd w:id="4022"/>
      <w:bookmarkEnd w:id="4023"/>
    </w:p>
    <w:p w14:paraId="70385630"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odbioru robót podano w SST D-00.00.00 „Wymagania ogólne” pkt 8.</w:t>
      </w:r>
    </w:p>
    <w:p w14:paraId="3C4F57F7"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Roboty uznaje się za wykonane zgodnie z dokumentacją projektową, SST i wymaganiami Inżyniera, jeżeli wszystkie pomiary i badania z zachowaniem tolerancji wg pkt 6 dały wyniki pozytywne.</w:t>
      </w:r>
    </w:p>
    <w:p w14:paraId="4AEE6131" w14:textId="77777777" w:rsidR="00E95D02" w:rsidRPr="004853EB" w:rsidRDefault="00E95D02" w:rsidP="00E95D02">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024" w:name="_Toc194477219"/>
      <w:bookmarkStart w:id="4025" w:name="_Toc227825702"/>
      <w:r w:rsidRPr="004853EB">
        <w:rPr>
          <w:rFonts w:eastAsia="Times New Roman" w:cstheme="minorHAnsi"/>
          <w:b/>
          <w:caps/>
          <w:kern w:val="28"/>
          <w:sz w:val="20"/>
          <w:szCs w:val="20"/>
          <w:lang w:eastAsia="pl-PL"/>
        </w:rPr>
        <w:t>9. PODSTAWA PŁATNOŚCI</w:t>
      </w:r>
      <w:bookmarkEnd w:id="4024"/>
      <w:bookmarkEnd w:id="4025"/>
    </w:p>
    <w:p w14:paraId="36137310"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26" w:name="_Toc194477220"/>
      <w:bookmarkStart w:id="4027" w:name="_Toc227825703"/>
      <w:r w:rsidRPr="004853EB">
        <w:rPr>
          <w:rFonts w:eastAsia="Times New Roman" w:cstheme="minorHAnsi"/>
          <w:b/>
          <w:sz w:val="20"/>
          <w:szCs w:val="20"/>
          <w:lang w:eastAsia="pl-PL"/>
        </w:rPr>
        <w:t>9.1. Ogólne ustalenia dotyczące podstawy płatności</w:t>
      </w:r>
      <w:bookmarkEnd w:id="4026"/>
      <w:bookmarkEnd w:id="4027"/>
    </w:p>
    <w:p w14:paraId="2331F39F"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ustalenia dotyczące podstawy płatności podano w SST D-00.00.00 „Wymagania ogólne” pkt 9.</w:t>
      </w:r>
    </w:p>
    <w:p w14:paraId="4E5BE730"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28" w:name="_Toc194477221"/>
      <w:bookmarkStart w:id="4029" w:name="_Toc227825704"/>
      <w:r w:rsidRPr="004853EB">
        <w:rPr>
          <w:rFonts w:eastAsia="Times New Roman" w:cstheme="minorHAnsi"/>
          <w:b/>
          <w:sz w:val="20"/>
          <w:szCs w:val="20"/>
          <w:lang w:eastAsia="pl-PL"/>
        </w:rPr>
        <w:t>9.2. Cena jednostki obmiarowej</w:t>
      </w:r>
      <w:bookmarkEnd w:id="4028"/>
      <w:bookmarkEnd w:id="4029"/>
    </w:p>
    <w:p w14:paraId="36C100C4"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Cena wykonania 1 m</w:t>
      </w:r>
      <w:r w:rsidRPr="004853EB">
        <w:rPr>
          <w:rFonts w:eastAsia="Times New Roman" w:cstheme="minorHAnsi"/>
          <w:sz w:val="20"/>
          <w:szCs w:val="20"/>
          <w:vertAlign w:val="superscript"/>
          <w:lang w:eastAsia="pl-PL"/>
        </w:rPr>
        <w:t>2</w:t>
      </w:r>
      <w:r w:rsidRPr="004853EB">
        <w:rPr>
          <w:rFonts w:eastAsia="Times New Roman" w:cstheme="minorHAnsi"/>
          <w:sz w:val="20"/>
          <w:szCs w:val="20"/>
          <w:lang w:eastAsia="pl-PL"/>
        </w:rPr>
        <w:t xml:space="preserve"> zjazdu z brukowej kostki betonowej obejmuje:</w:t>
      </w:r>
    </w:p>
    <w:p w14:paraId="2547415C"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prace pomiarowe i roboty przygotowawcze,</w:t>
      </w:r>
    </w:p>
    <w:p w14:paraId="39A33E50"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dostarczenie materiałów na miejsce wbudowania,</w:t>
      </w:r>
    </w:p>
    <w:p w14:paraId="469A5F60"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wykonanie koryta,</w:t>
      </w:r>
    </w:p>
    <w:p w14:paraId="2B49B753"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wykonanie podsypki,</w:t>
      </w:r>
    </w:p>
    <w:p w14:paraId="460AAFA3"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ułożenie kostki brukowej wraz z zagęszczeniem i wypełnieniem szczelin,</w:t>
      </w:r>
    </w:p>
    <w:p w14:paraId="2300DACE"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przeprowadzenie badań i pomiarów wymaganych w specyfikacji technicznej.</w:t>
      </w:r>
    </w:p>
    <w:p w14:paraId="72D6DB76" w14:textId="77777777" w:rsidR="00E95D02" w:rsidRPr="004853EB" w:rsidRDefault="00E95D02" w:rsidP="00E95D02">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030" w:name="_Toc194477222"/>
      <w:bookmarkStart w:id="4031" w:name="_Toc227825705"/>
      <w:r w:rsidRPr="004853EB">
        <w:rPr>
          <w:rFonts w:eastAsia="Times New Roman" w:cstheme="minorHAnsi"/>
          <w:b/>
          <w:caps/>
          <w:kern w:val="28"/>
          <w:sz w:val="20"/>
          <w:szCs w:val="20"/>
          <w:lang w:eastAsia="pl-PL"/>
        </w:rPr>
        <w:lastRenderedPageBreak/>
        <w:t>10. przepisy związane</w:t>
      </w:r>
      <w:bookmarkEnd w:id="4030"/>
      <w:bookmarkEnd w:id="4031"/>
    </w:p>
    <w:p w14:paraId="37AE3AC6"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32" w:name="_Toc194477223"/>
      <w:bookmarkStart w:id="4033" w:name="_Toc227825706"/>
      <w:r w:rsidRPr="004853EB">
        <w:rPr>
          <w:rFonts w:eastAsia="Times New Roman" w:cstheme="minorHAnsi"/>
          <w:b/>
          <w:sz w:val="20"/>
          <w:szCs w:val="20"/>
          <w:lang w:eastAsia="pl-PL"/>
        </w:rPr>
        <w:t>10.1. Normy</w:t>
      </w:r>
      <w:bookmarkEnd w:id="4032"/>
      <w:bookmarkEnd w:id="4033"/>
    </w:p>
    <w:tbl>
      <w:tblPr>
        <w:tblW w:w="0" w:type="auto"/>
        <w:tblLayout w:type="fixed"/>
        <w:tblCellMar>
          <w:left w:w="70" w:type="dxa"/>
          <w:right w:w="70" w:type="dxa"/>
        </w:tblCellMar>
        <w:tblLook w:val="0000" w:firstRow="0" w:lastRow="0" w:firstColumn="0" w:lastColumn="0" w:noHBand="0" w:noVBand="0"/>
      </w:tblPr>
      <w:tblGrid>
        <w:gridCol w:w="496"/>
        <w:gridCol w:w="1559"/>
        <w:gridCol w:w="7654"/>
      </w:tblGrid>
      <w:tr w:rsidR="00E95D02" w:rsidRPr="004853EB" w14:paraId="0B75855D" w14:textId="77777777" w:rsidTr="00E95D02">
        <w:tc>
          <w:tcPr>
            <w:tcW w:w="496" w:type="dxa"/>
          </w:tcPr>
          <w:p w14:paraId="32118FFA"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1559" w:type="dxa"/>
          </w:tcPr>
          <w:p w14:paraId="66CD3FB0"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PN-B-04111</w:t>
            </w:r>
          </w:p>
        </w:tc>
        <w:tc>
          <w:tcPr>
            <w:tcW w:w="7654" w:type="dxa"/>
          </w:tcPr>
          <w:p w14:paraId="6B1122EB"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Materiały kamienne. Oznaczanie ścieralności na tarczy Boehmego</w:t>
            </w:r>
          </w:p>
        </w:tc>
      </w:tr>
      <w:tr w:rsidR="00E95D02" w:rsidRPr="004853EB" w14:paraId="54592B90" w14:textId="77777777" w:rsidTr="00E95D02">
        <w:tc>
          <w:tcPr>
            <w:tcW w:w="496" w:type="dxa"/>
          </w:tcPr>
          <w:p w14:paraId="3689FB28"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1559" w:type="dxa"/>
          </w:tcPr>
          <w:p w14:paraId="6674F41D"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PN-B-06250</w:t>
            </w:r>
          </w:p>
        </w:tc>
        <w:tc>
          <w:tcPr>
            <w:tcW w:w="7654" w:type="dxa"/>
          </w:tcPr>
          <w:p w14:paraId="2FC5DA6C"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Beton zwykły</w:t>
            </w:r>
          </w:p>
        </w:tc>
      </w:tr>
      <w:tr w:rsidR="00E95D02" w:rsidRPr="004853EB" w14:paraId="3BC9C892" w14:textId="77777777" w:rsidTr="00E95D02">
        <w:tc>
          <w:tcPr>
            <w:tcW w:w="496" w:type="dxa"/>
          </w:tcPr>
          <w:p w14:paraId="7BE91457"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1559" w:type="dxa"/>
          </w:tcPr>
          <w:p w14:paraId="37BE566D"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PN-B-06712</w:t>
            </w:r>
          </w:p>
        </w:tc>
        <w:tc>
          <w:tcPr>
            <w:tcW w:w="7654" w:type="dxa"/>
          </w:tcPr>
          <w:p w14:paraId="1C066127"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Kruszywa mineralne do betonu zwykłego</w:t>
            </w:r>
          </w:p>
        </w:tc>
      </w:tr>
      <w:tr w:rsidR="00E95D02" w:rsidRPr="004853EB" w14:paraId="784AA908" w14:textId="77777777" w:rsidTr="00E95D02">
        <w:tc>
          <w:tcPr>
            <w:tcW w:w="496" w:type="dxa"/>
          </w:tcPr>
          <w:p w14:paraId="472053BE"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val="en-US" w:eastAsia="pl-PL"/>
              </w:rPr>
            </w:pPr>
            <w:r w:rsidRPr="004853EB">
              <w:rPr>
                <w:rFonts w:eastAsia="Times New Roman" w:cstheme="minorHAnsi"/>
                <w:sz w:val="20"/>
                <w:szCs w:val="20"/>
                <w:lang w:val="en-US" w:eastAsia="pl-PL"/>
              </w:rPr>
              <w:t>4.</w:t>
            </w:r>
          </w:p>
        </w:tc>
        <w:tc>
          <w:tcPr>
            <w:tcW w:w="1559" w:type="dxa"/>
          </w:tcPr>
          <w:p w14:paraId="3E397D89"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val="en-US" w:eastAsia="pl-PL"/>
              </w:rPr>
            </w:pPr>
            <w:r w:rsidRPr="004853EB">
              <w:rPr>
                <w:rFonts w:eastAsia="Times New Roman" w:cstheme="minorHAnsi"/>
                <w:sz w:val="20"/>
                <w:szCs w:val="20"/>
                <w:lang w:val="en-US" w:eastAsia="pl-PL"/>
              </w:rPr>
              <w:t>PN-B-19701</w:t>
            </w:r>
          </w:p>
        </w:tc>
        <w:tc>
          <w:tcPr>
            <w:tcW w:w="7654" w:type="dxa"/>
          </w:tcPr>
          <w:p w14:paraId="3E91BE9F"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Cement. Cement powszechnego użytku. Skład, wymagania i ocena zgodności</w:t>
            </w:r>
          </w:p>
        </w:tc>
      </w:tr>
      <w:tr w:rsidR="00E95D02" w:rsidRPr="004853EB" w14:paraId="5B83B049" w14:textId="77777777" w:rsidTr="00E95D02">
        <w:tc>
          <w:tcPr>
            <w:tcW w:w="496" w:type="dxa"/>
          </w:tcPr>
          <w:p w14:paraId="63439EDA"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c>
          <w:tcPr>
            <w:tcW w:w="1559" w:type="dxa"/>
          </w:tcPr>
          <w:p w14:paraId="3431F048"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PN-B-32250</w:t>
            </w:r>
          </w:p>
        </w:tc>
        <w:tc>
          <w:tcPr>
            <w:tcW w:w="7654" w:type="dxa"/>
          </w:tcPr>
          <w:p w14:paraId="7ADBC0E3"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Materiały budowlane. Woda do betonów i zapraw</w:t>
            </w:r>
          </w:p>
        </w:tc>
      </w:tr>
      <w:tr w:rsidR="00E95D02" w:rsidRPr="004853EB" w14:paraId="46502724" w14:textId="77777777" w:rsidTr="00E95D02">
        <w:tc>
          <w:tcPr>
            <w:tcW w:w="496" w:type="dxa"/>
          </w:tcPr>
          <w:p w14:paraId="660EC90B" w14:textId="77777777" w:rsidR="00E95D02" w:rsidRPr="004853EB" w:rsidRDefault="00E95D02" w:rsidP="00E95D02">
            <w:pPr>
              <w:numPr>
                <w:ilvl w:val="12"/>
                <w:numId w:val="0"/>
              </w:num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tc>
        <w:tc>
          <w:tcPr>
            <w:tcW w:w="1559" w:type="dxa"/>
          </w:tcPr>
          <w:p w14:paraId="604393BF"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BN-68/8931-01</w:t>
            </w:r>
          </w:p>
        </w:tc>
        <w:tc>
          <w:tcPr>
            <w:tcW w:w="7654" w:type="dxa"/>
          </w:tcPr>
          <w:p w14:paraId="1B87DDAE"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Drogi samochodowe. Oznaczenie wskaźnika piaskowego.</w:t>
            </w:r>
          </w:p>
        </w:tc>
      </w:tr>
    </w:tbl>
    <w:p w14:paraId="0BFA5C22" w14:textId="77777777" w:rsidR="00E95D02" w:rsidRPr="004853EB" w:rsidRDefault="00E95D02" w:rsidP="00E95D02">
      <w:pPr>
        <w:keepNext/>
        <w:numPr>
          <w:ilvl w:val="12"/>
          <w:numId w:val="0"/>
        </w:numPr>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34" w:name="_Toc194477224"/>
      <w:bookmarkStart w:id="4035" w:name="_Toc227825707"/>
      <w:r w:rsidRPr="004853EB">
        <w:rPr>
          <w:rFonts w:eastAsia="Times New Roman" w:cstheme="minorHAnsi"/>
          <w:b/>
          <w:sz w:val="20"/>
          <w:szCs w:val="20"/>
          <w:lang w:eastAsia="pl-PL"/>
        </w:rPr>
        <w:t>10.2. Inne dokumenty</w:t>
      </w:r>
      <w:bookmarkEnd w:id="4034"/>
      <w:bookmarkEnd w:id="4035"/>
    </w:p>
    <w:p w14:paraId="1EAD45D7" w14:textId="77777777" w:rsidR="00E95D02" w:rsidRPr="004853EB" w:rsidRDefault="00E95D02" w:rsidP="00E95D02">
      <w:pPr>
        <w:numPr>
          <w:ilvl w:val="12"/>
          <w:numId w:val="0"/>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Nie występują.</w:t>
      </w:r>
    </w:p>
    <w:p w14:paraId="785D1980" w14:textId="77777777" w:rsidR="00E95D02" w:rsidRPr="004853EB" w:rsidRDefault="00E95D02">
      <w:pPr>
        <w:rPr>
          <w:rFonts w:cstheme="minorHAnsi"/>
        </w:rPr>
      </w:pPr>
    </w:p>
    <w:p w14:paraId="26A83FE2" w14:textId="77777777" w:rsidR="00E95D02" w:rsidRPr="004853EB" w:rsidRDefault="00E95D02">
      <w:pPr>
        <w:rPr>
          <w:rFonts w:cstheme="minorHAnsi"/>
        </w:rPr>
      </w:pPr>
    </w:p>
    <w:p w14:paraId="1FA788A9" w14:textId="77777777" w:rsidR="00E95D02" w:rsidRPr="004853EB" w:rsidRDefault="00E95D02">
      <w:pPr>
        <w:rPr>
          <w:rFonts w:cstheme="minorHAnsi"/>
        </w:rPr>
      </w:pPr>
    </w:p>
    <w:p w14:paraId="793280C6"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218333C7"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416618E8"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04D65E4B"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2EEC06D7"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2FCF244C"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38B0484F"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5DD2CA3A"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7AA4F081"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24AB721C"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60456FB7"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62DBADA0"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20A0AD6A"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4F2990A0"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089E3128"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37D075A4"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533DF190"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0A690B1D"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7ADC1D4A"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695CA434"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221456B4"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014EFBE1"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4E219AF6"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7A42C05B"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6DDA6B6D"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6F5824EA"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238D09A3"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74B789F4"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40344A61"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31164514"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3E64E1F0"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3F3C8D94"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111034FE"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35CDC007"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314C9885"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62840732" w14:textId="77777777" w:rsidR="00B26F4A" w:rsidRPr="004853EB" w:rsidRDefault="00B26F4A" w:rsidP="00E95D02">
      <w:pPr>
        <w:overflowPunct w:val="0"/>
        <w:autoSpaceDE w:val="0"/>
        <w:autoSpaceDN w:val="0"/>
        <w:adjustRightInd w:val="0"/>
        <w:spacing w:after="0" w:line="240" w:lineRule="auto"/>
        <w:jc w:val="center"/>
        <w:textAlignment w:val="baseline"/>
        <w:rPr>
          <w:rFonts w:eastAsia="Times New Roman" w:cstheme="minorHAnsi"/>
          <w:b/>
          <w:lang w:eastAsia="pl-PL"/>
        </w:rPr>
      </w:pPr>
    </w:p>
    <w:p w14:paraId="7E15040B" w14:textId="77777777" w:rsidR="00E95D02" w:rsidRPr="004853EB" w:rsidRDefault="00E95D02" w:rsidP="00B26F4A">
      <w:pPr>
        <w:pStyle w:val="Nagwek1"/>
        <w:rPr>
          <w:rFonts w:asciiTheme="minorHAnsi" w:hAnsiTheme="minorHAnsi" w:cstheme="minorHAnsi"/>
          <w:sz w:val="22"/>
          <w:szCs w:val="22"/>
        </w:rPr>
      </w:pPr>
      <w:bookmarkStart w:id="4036" w:name="_Toc227825708"/>
      <w:r w:rsidRPr="004853EB">
        <w:rPr>
          <w:rFonts w:asciiTheme="minorHAnsi" w:hAnsiTheme="minorHAnsi" w:cstheme="minorHAnsi"/>
          <w:sz w:val="22"/>
          <w:szCs w:val="22"/>
        </w:rPr>
        <w:lastRenderedPageBreak/>
        <w:t>D - 08.03.01 BETONOWE</w:t>
      </w:r>
      <w:r w:rsidR="006C30A7" w:rsidRPr="004853EB">
        <w:rPr>
          <w:rFonts w:asciiTheme="minorHAnsi" w:hAnsiTheme="minorHAnsi" w:cstheme="minorHAnsi"/>
          <w:sz w:val="22"/>
          <w:szCs w:val="22"/>
        </w:rPr>
        <w:t xml:space="preserve"> </w:t>
      </w:r>
      <w:r w:rsidRPr="004853EB">
        <w:rPr>
          <w:rFonts w:asciiTheme="minorHAnsi" w:hAnsiTheme="minorHAnsi" w:cstheme="minorHAnsi"/>
          <w:sz w:val="22"/>
          <w:szCs w:val="22"/>
        </w:rPr>
        <w:t>OBRZEŻA CHODNIKOWE</w:t>
      </w:r>
      <w:bookmarkEnd w:id="4036"/>
    </w:p>
    <w:p w14:paraId="07491602"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037" w:name="_Toc426531382"/>
      <w:bookmarkStart w:id="4038" w:name="_Toc194477226"/>
      <w:bookmarkStart w:id="4039" w:name="_Toc227825709"/>
      <w:r w:rsidRPr="004853EB">
        <w:rPr>
          <w:rFonts w:eastAsia="Times New Roman" w:cstheme="minorHAnsi"/>
          <w:b/>
          <w:caps/>
          <w:kern w:val="28"/>
          <w:sz w:val="20"/>
          <w:szCs w:val="20"/>
          <w:lang w:eastAsia="pl-PL"/>
        </w:rPr>
        <w:t>1. WSTĘP</w:t>
      </w:r>
      <w:bookmarkEnd w:id="4037"/>
      <w:bookmarkEnd w:id="4038"/>
      <w:bookmarkEnd w:id="4039"/>
    </w:p>
    <w:p w14:paraId="19DDEF85"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40" w:name="_Toc194477227"/>
      <w:bookmarkStart w:id="4041" w:name="_Toc227825710"/>
      <w:r w:rsidRPr="004853EB">
        <w:rPr>
          <w:rFonts w:eastAsia="Times New Roman" w:cstheme="minorHAnsi"/>
          <w:b/>
          <w:sz w:val="20"/>
          <w:szCs w:val="20"/>
          <w:lang w:eastAsia="pl-PL"/>
        </w:rPr>
        <w:t>1.1. Przedmiot SST</w:t>
      </w:r>
      <w:bookmarkEnd w:id="4040"/>
      <w:bookmarkEnd w:id="4041"/>
    </w:p>
    <w:p w14:paraId="723A7BE8" w14:textId="77777777" w:rsidR="00E95D02" w:rsidRPr="004853EB" w:rsidRDefault="00E95D02" w:rsidP="00E95D02">
      <w:pPr>
        <w:tabs>
          <w:tab w:val="left" w:pos="63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Przedmiotem niniejszej szczegółowej specyfikacji technicznej (SST) są wymagania dotyczące wykonania i odbioru robót związanych z ustawieniem betonowego obrzeża chodnikowego.</w:t>
      </w:r>
    </w:p>
    <w:p w14:paraId="48B07522"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42" w:name="_Toc194477228"/>
      <w:bookmarkStart w:id="4043" w:name="_Toc227825711"/>
      <w:r w:rsidRPr="004853EB">
        <w:rPr>
          <w:rFonts w:eastAsia="Times New Roman" w:cstheme="minorHAnsi"/>
          <w:b/>
          <w:sz w:val="20"/>
          <w:szCs w:val="20"/>
          <w:lang w:eastAsia="pl-PL"/>
        </w:rPr>
        <w:t>1.2. Zakres stosowania SST</w:t>
      </w:r>
      <w:bookmarkEnd w:id="4042"/>
      <w:bookmarkEnd w:id="4043"/>
    </w:p>
    <w:p w14:paraId="348A6AF3" w14:textId="77777777" w:rsidR="00E95D02" w:rsidRPr="004853EB" w:rsidRDefault="00E95D02" w:rsidP="00E95D02">
      <w:pPr>
        <w:tabs>
          <w:tab w:val="left" w:pos="63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Specyfikacja techniczna jest stosowana jako dokument przetargowy i kontraktowy przy zlecaniu i realizacji robót wymienionych w pkt 1.1.</w:t>
      </w:r>
    </w:p>
    <w:p w14:paraId="3D35BEB3" w14:textId="77777777" w:rsidR="00E95D02" w:rsidRPr="004853EB" w:rsidRDefault="00E95D02" w:rsidP="00E95D02">
      <w:pPr>
        <w:keepNext/>
        <w:tabs>
          <w:tab w:val="left" w:pos="6240"/>
          <w:tab w:val="left" w:pos="7380"/>
        </w:tabs>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44" w:name="_Toc194477229"/>
      <w:bookmarkStart w:id="4045" w:name="_Toc227825712"/>
      <w:r w:rsidRPr="004853EB">
        <w:rPr>
          <w:rFonts w:eastAsia="Times New Roman" w:cstheme="minorHAnsi"/>
          <w:b/>
          <w:sz w:val="20"/>
          <w:szCs w:val="20"/>
          <w:lang w:eastAsia="pl-PL"/>
        </w:rPr>
        <w:t>1.3. Zakres robót objętych SST</w:t>
      </w:r>
      <w:bookmarkEnd w:id="4044"/>
      <w:bookmarkEnd w:id="4045"/>
      <w:r w:rsidRPr="004853EB">
        <w:rPr>
          <w:rFonts w:eastAsia="Times New Roman" w:cstheme="minorHAnsi"/>
          <w:b/>
          <w:sz w:val="20"/>
          <w:szCs w:val="20"/>
          <w:lang w:eastAsia="pl-PL"/>
        </w:rPr>
        <w:tab/>
      </w:r>
      <w:r w:rsidRPr="004853EB">
        <w:rPr>
          <w:rFonts w:eastAsia="Times New Roman" w:cstheme="minorHAnsi"/>
          <w:b/>
          <w:sz w:val="20"/>
          <w:szCs w:val="20"/>
          <w:lang w:eastAsia="pl-PL"/>
        </w:rPr>
        <w:tab/>
      </w:r>
    </w:p>
    <w:p w14:paraId="51E1AB5F" w14:textId="7AC86FDB" w:rsidR="00E95D02" w:rsidRPr="004853EB" w:rsidRDefault="00E95D02" w:rsidP="00E95D02">
      <w:pPr>
        <w:tabs>
          <w:tab w:val="left" w:pos="63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 xml:space="preserve">Ustalenia zawarte w niniejszej specyfikacji związanych z </w:t>
      </w:r>
      <w:r w:rsidRPr="004853EB">
        <w:rPr>
          <w:rFonts w:eastAsia="Times New Roman" w:cstheme="minorHAnsi"/>
          <w:b/>
          <w:sz w:val="20"/>
          <w:szCs w:val="20"/>
          <w:lang w:eastAsia="pl-PL"/>
        </w:rPr>
        <w:t xml:space="preserve">Przebudową </w:t>
      </w:r>
      <w:r w:rsidR="0082360A" w:rsidRPr="004853EB">
        <w:rPr>
          <w:rFonts w:eastAsia="Times New Roman" w:cstheme="minorHAnsi"/>
          <w:b/>
          <w:sz w:val="20"/>
          <w:szCs w:val="20"/>
          <w:lang w:eastAsia="pl-PL"/>
        </w:rPr>
        <w:t>drogi powiatowej</w:t>
      </w:r>
      <w:r w:rsidRPr="004853EB">
        <w:rPr>
          <w:rFonts w:eastAsia="Times New Roman" w:cstheme="minorHAnsi"/>
          <w:b/>
          <w:sz w:val="20"/>
          <w:szCs w:val="20"/>
          <w:lang w:eastAsia="pl-PL"/>
        </w:rPr>
        <w:t xml:space="preserve"> nr </w:t>
      </w:r>
      <w:r w:rsidR="002A326C" w:rsidRPr="002A326C">
        <w:rPr>
          <w:rFonts w:eastAsia="Times New Roman" w:cstheme="minorHAnsi"/>
          <w:b/>
          <w:bCs/>
          <w:sz w:val="20"/>
          <w:szCs w:val="20"/>
          <w:lang w:eastAsia="pl-PL"/>
        </w:rPr>
        <w:t>4506W Zwoleń – Sarnów w miejscowości Łuczynów</w:t>
      </w:r>
      <w:r w:rsidR="002A326C" w:rsidRPr="002A326C">
        <w:rPr>
          <w:rFonts w:eastAsia="Times New Roman" w:cstheme="minorHAnsi"/>
          <w:b/>
          <w:sz w:val="20"/>
          <w:szCs w:val="20"/>
          <w:lang w:eastAsia="pl-PL"/>
        </w:rPr>
        <w:t xml:space="preserve"> </w:t>
      </w:r>
      <w:r w:rsidRPr="004853EB">
        <w:rPr>
          <w:rFonts w:eastAsia="Times New Roman" w:cstheme="minorHAnsi"/>
          <w:sz w:val="20"/>
          <w:szCs w:val="20"/>
          <w:lang w:eastAsia="pl-PL"/>
        </w:rPr>
        <w:t>i dotyczą zasad prowadzenia robót związanych z ustawieniem betonowego obrzeża chodnikowego.</w:t>
      </w:r>
    </w:p>
    <w:p w14:paraId="59784D40"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46" w:name="_Toc194477230"/>
      <w:bookmarkStart w:id="4047" w:name="_Toc227825713"/>
      <w:r w:rsidRPr="004853EB">
        <w:rPr>
          <w:rFonts w:eastAsia="Times New Roman" w:cstheme="minorHAnsi"/>
          <w:b/>
          <w:sz w:val="20"/>
          <w:szCs w:val="20"/>
          <w:lang w:eastAsia="pl-PL"/>
        </w:rPr>
        <w:t>1.4. Określenia podstawowe</w:t>
      </w:r>
      <w:bookmarkEnd w:id="4046"/>
      <w:bookmarkEnd w:id="4047"/>
    </w:p>
    <w:p w14:paraId="7738861C" w14:textId="77777777" w:rsidR="00E95D02" w:rsidRPr="004853EB" w:rsidRDefault="00E95D02" w:rsidP="00E95D02">
      <w:pPr>
        <w:tabs>
          <w:tab w:val="left" w:pos="567"/>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1.4.1. </w:t>
      </w:r>
      <w:r w:rsidRPr="004853EB">
        <w:rPr>
          <w:rFonts w:eastAsia="Times New Roman" w:cstheme="minorHAnsi"/>
          <w:sz w:val="20"/>
          <w:szCs w:val="20"/>
          <w:lang w:eastAsia="pl-PL"/>
        </w:rPr>
        <w:t>Obrzeża chodnikowe - prefabrykowane belki betonowe rozgraniczające jednostronnie lub dwustronnie ciągi komunikacyjne od terenów nie przeznaczonych do komunikacji.</w:t>
      </w:r>
    </w:p>
    <w:p w14:paraId="4E7DD5A9" w14:textId="54FF7281" w:rsidR="00E95D02" w:rsidRPr="004853EB" w:rsidRDefault="00E95D02" w:rsidP="00E95D02">
      <w:pPr>
        <w:tabs>
          <w:tab w:val="left" w:pos="567"/>
        </w:tabs>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1.4.2. </w:t>
      </w:r>
      <w:r w:rsidRPr="004853EB">
        <w:rPr>
          <w:rFonts w:eastAsia="Times New Roman" w:cstheme="minorHAnsi"/>
          <w:sz w:val="20"/>
          <w:szCs w:val="20"/>
          <w:lang w:eastAsia="pl-PL"/>
        </w:rPr>
        <w:t xml:space="preserve">Pozostałe określenia podstawowe są zgodne z obowiązującymi, odpowiednimi polskimi </w:t>
      </w:r>
      <w:r w:rsidR="0082360A" w:rsidRPr="004853EB">
        <w:rPr>
          <w:rFonts w:eastAsia="Times New Roman" w:cstheme="minorHAnsi"/>
          <w:sz w:val="20"/>
          <w:szCs w:val="20"/>
          <w:lang w:eastAsia="pl-PL"/>
        </w:rPr>
        <w:t>normami i</w:t>
      </w:r>
      <w:r w:rsidRPr="004853EB">
        <w:rPr>
          <w:rFonts w:eastAsia="Times New Roman" w:cstheme="minorHAnsi"/>
          <w:sz w:val="20"/>
          <w:szCs w:val="20"/>
          <w:lang w:eastAsia="pl-PL"/>
        </w:rPr>
        <w:t xml:space="preserve"> definicjami podanymi w SST D-00.00.00 „Wymagania </w:t>
      </w:r>
      <w:r w:rsidR="0082360A" w:rsidRPr="004853EB">
        <w:rPr>
          <w:rFonts w:eastAsia="Times New Roman" w:cstheme="minorHAnsi"/>
          <w:sz w:val="20"/>
          <w:szCs w:val="20"/>
          <w:lang w:eastAsia="pl-PL"/>
        </w:rPr>
        <w:t xml:space="preserve">ogólne” </w:t>
      </w:r>
      <w:r w:rsidRPr="004853EB">
        <w:rPr>
          <w:rFonts w:eastAsia="Times New Roman" w:cstheme="minorHAnsi"/>
          <w:sz w:val="20"/>
          <w:szCs w:val="20"/>
          <w:lang w:eastAsia="pl-PL"/>
        </w:rPr>
        <w:t>pkt 1.4.</w:t>
      </w:r>
    </w:p>
    <w:p w14:paraId="4C7A870A"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48" w:name="_Toc194477231"/>
      <w:bookmarkStart w:id="4049" w:name="_Toc227825714"/>
      <w:r w:rsidRPr="004853EB">
        <w:rPr>
          <w:rFonts w:eastAsia="Times New Roman" w:cstheme="minorHAnsi"/>
          <w:b/>
          <w:sz w:val="20"/>
          <w:szCs w:val="20"/>
          <w:lang w:eastAsia="pl-PL"/>
        </w:rPr>
        <w:t>1.5. Ogólne wymagania dotyczące robót</w:t>
      </w:r>
      <w:bookmarkEnd w:id="4048"/>
      <w:bookmarkEnd w:id="4049"/>
    </w:p>
    <w:p w14:paraId="139B71E3" w14:textId="77777777" w:rsidR="00E95D02" w:rsidRPr="004853EB" w:rsidRDefault="00E95D02" w:rsidP="00E95D02">
      <w:pPr>
        <w:tabs>
          <w:tab w:val="left" w:pos="630"/>
        </w:tabs>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robót podano w SST D-00.00.00 „Wymagania ogólne” pkt 1.5.</w:t>
      </w:r>
    </w:p>
    <w:p w14:paraId="4D6CD07B"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050" w:name="_Toc425567015"/>
      <w:bookmarkStart w:id="4051" w:name="_Toc426531383"/>
      <w:bookmarkStart w:id="4052" w:name="_Toc194477232"/>
      <w:bookmarkStart w:id="4053" w:name="_Toc227825715"/>
      <w:r w:rsidRPr="004853EB">
        <w:rPr>
          <w:rFonts w:eastAsia="Times New Roman" w:cstheme="minorHAnsi"/>
          <w:b/>
          <w:caps/>
          <w:kern w:val="28"/>
          <w:sz w:val="20"/>
          <w:szCs w:val="20"/>
          <w:lang w:eastAsia="pl-PL"/>
        </w:rPr>
        <w:t>2. MATERIAŁY</w:t>
      </w:r>
      <w:bookmarkEnd w:id="4050"/>
      <w:bookmarkEnd w:id="4051"/>
      <w:bookmarkEnd w:id="4052"/>
      <w:bookmarkEnd w:id="4053"/>
    </w:p>
    <w:p w14:paraId="6286CF4E"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54" w:name="_Toc194477233"/>
      <w:bookmarkStart w:id="4055" w:name="_Toc227825716"/>
      <w:r w:rsidRPr="004853EB">
        <w:rPr>
          <w:rFonts w:eastAsia="Times New Roman" w:cstheme="minorHAnsi"/>
          <w:b/>
          <w:sz w:val="20"/>
          <w:szCs w:val="20"/>
          <w:lang w:eastAsia="pl-PL"/>
        </w:rPr>
        <w:t>2.1. Ogólne wymagania dotyczące materiałów</w:t>
      </w:r>
      <w:bookmarkEnd w:id="4054"/>
      <w:bookmarkEnd w:id="4055"/>
    </w:p>
    <w:p w14:paraId="68CBCE42"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materiałów, ich pozyskiwania i składowania podano w SST D-00.00.00 „Wymagania ogólne” pkt 2.</w:t>
      </w:r>
    </w:p>
    <w:p w14:paraId="6DB49B88"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56" w:name="_Toc194477234"/>
      <w:bookmarkStart w:id="4057" w:name="_Toc227825717"/>
      <w:r w:rsidRPr="004853EB">
        <w:rPr>
          <w:rFonts w:eastAsia="Times New Roman" w:cstheme="minorHAnsi"/>
          <w:b/>
          <w:sz w:val="20"/>
          <w:szCs w:val="20"/>
          <w:lang w:eastAsia="pl-PL"/>
        </w:rPr>
        <w:t>2.2. Stosowane materiały</w:t>
      </w:r>
      <w:bookmarkEnd w:id="4056"/>
      <w:bookmarkEnd w:id="4057"/>
    </w:p>
    <w:p w14:paraId="44BF9D47"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Materiałami stosowanymi są:</w:t>
      </w:r>
    </w:p>
    <w:p w14:paraId="060183CA"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obrzeża odpowiadające wymaganiom BN-80/6775-04/04 [9] i BN-80/6775-03/01 [8],</w:t>
      </w:r>
    </w:p>
    <w:p w14:paraId="03298B71"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żwir lub piasek do wykonania ław,</w:t>
      </w:r>
    </w:p>
    <w:p w14:paraId="6BD72439"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cement wg PN-B-19701 [7],</w:t>
      </w:r>
    </w:p>
    <w:p w14:paraId="37958510"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piasek do zapraw wg PN-B-06711 [3].</w:t>
      </w:r>
    </w:p>
    <w:p w14:paraId="7E1E8602"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58" w:name="_Toc194477235"/>
      <w:bookmarkStart w:id="4059" w:name="_Toc227825718"/>
      <w:r w:rsidRPr="004853EB">
        <w:rPr>
          <w:rFonts w:eastAsia="Times New Roman" w:cstheme="minorHAnsi"/>
          <w:b/>
          <w:sz w:val="20"/>
          <w:szCs w:val="20"/>
          <w:lang w:eastAsia="pl-PL"/>
        </w:rPr>
        <w:t>2.3. Betonowe obrzeża chodnikowe - klasyfikacja</w:t>
      </w:r>
      <w:bookmarkEnd w:id="4058"/>
      <w:bookmarkEnd w:id="4059"/>
    </w:p>
    <w:p w14:paraId="7407FAB4"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Należ zastosować obrzeże:</w:t>
      </w:r>
    </w:p>
    <w:p w14:paraId="7129AE85"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obrzeże niskie</w:t>
      </w:r>
      <w:r w:rsidRPr="004853EB">
        <w:rPr>
          <w:rFonts w:eastAsia="Times New Roman" w:cstheme="minorHAnsi"/>
          <w:sz w:val="20"/>
          <w:szCs w:val="20"/>
          <w:lang w:eastAsia="pl-PL"/>
        </w:rPr>
        <w:tab/>
        <w:t>- On.</w:t>
      </w:r>
    </w:p>
    <w:p w14:paraId="67190A24"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Należy zastosować:</w:t>
      </w:r>
    </w:p>
    <w:p w14:paraId="46A70196"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gatunek 1 </w:t>
      </w:r>
      <w:r w:rsidRPr="004853EB">
        <w:rPr>
          <w:rFonts w:eastAsia="Times New Roman" w:cstheme="minorHAnsi"/>
          <w:sz w:val="20"/>
          <w:szCs w:val="20"/>
          <w:lang w:eastAsia="pl-PL"/>
        </w:rPr>
        <w:tab/>
        <w:t>- G1,</w:t>
      </w:r>
    </w:p>
    <w:p w14:paraId="0FF4B0A9"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Przykład oznaczenia betonowego obrzeża chodnikowego niskiego (On) o wymiarach 6 x 20 x 75 cm gat. 1:</w:t>
      </w:r>
    </w:p>
    <w:p w14:paraId="3929FCB7"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obrzeże On - I/6/20/75 BN-80/6775-03/04 [9].</w:t>
      </w:r>
    </w:p>
    <w:p w14:paraId="1AD0D099"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60" w:name="_Toc194477236"/>
      <w:bookmarkStart w:id="4061" w:name="_Toc227825719"/>
      <w:r w:rsidRPr="004853EB">
        <w:rPr>
          <w:rFonts w:eastAsia="Times New Roman" w:cstheme="minorHAnsi"/>
          <w:b/>
          <w:sz w:val="20"/>
          <w:szCs w:val="20"/>
          <w:lang w:eastAsia="pl-PL"/>
        </w:rPr>
        <w:t>2.4. Betonowe obrzeża chodnikowe - wymagania techniczne</w:t>
      </w:r>
      <w:bookmarkEnd w:id="4060"/>
      <w:bookmarkEnd w:id="4061"/>
    </w:p>
    <w:p w14:paraId="57DF486F"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2.4.1. </w:t>
      </w:r>
      <w:r w:rsidRPr="004853EB">
        <w:rPr>
          <w:rFonts w:eastAsia="Times New Roman" w:cstheme="minorHAnsi"/>
          <w:sz w:val="20"/>
          <w:szCs w:val="20"/>
          <w:lang w:eastAsia="pl-PL"/>
        </w:rPr>
        <w:t>Wymiary betonowych obrzeży chodnikowych</w:t>
      </w:r>
    </w:p>
    <w:p w14:paraId="2BEAB5C6"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Kształt obrzeży betonowych przedstawiono na rysunku 1, a wymiary podano w tablicy 1.</w:t>
      </w:r>
    </w:p>
    <w:p w14:paraId="664C3289" w14:textId="77777777" w:rsidR="00E95D02" w:rsidRPr="004853EB" w:rsidRDefault="00E95D02" w:rsidP="00E95D02">
      <w:pPr>
        <w:framePr w:hSpace="141" w:wrap="around" w:vAnchor="text" w:hAnchor="page" w:x="4113" w:y="2"/>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noProof/>
          <w:sz w:val="20"/>
          <w:szCs w:val="20"/>
          <w:lang w:eastAsia="pl-PL"/>
        </w:rPr>
        <w:lastRenderedPageBreak/>
        <w:drawing>
          <wp:inline distT="0" distB="0" distL="0" distR="0" wp14:anchorId="12D49002" wp14:editId="51ABF8EE">
            <wp:extent cx="2343150" cy="1076325"/>
            <wp:effectExtent l="0" t="0" r="0" b="9525"/>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343150" cy="1076325"/>
                    </a:xfrm>
                    <a:prstGeom prst="rect">
                      <a:avLst/>
                    </a:prstGeom>
                    <a:noFill/>
                    <a:ln>
                      <a:noFill/>
                    </a:ln>
                  </pic:spPr>
                </pic:pic>
              </a:graphicData>
            </a:graphic>
          </wp:inline>
        </w:drawing>
      </w:r>
    </w:p>
    <w:p w14:paraId="143BA829" w14:textId="77777777" w:rsidR="00E95D02" w:rsidRPr="004853EB" w:rsidRDefault="00E95D02" w:rsidP="00E95D02">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p>
    <w:p w14:paraId="4FAEE012" w14:textId="77777777" w:rsidR="00E95D02" w:rsidRPr="004853EB" w:rsidRDefault="00E95D02" w:rsidP="00E95D02">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p>
    <w:p w14:paraId="02D6EEB4" w14:textId="77777777" w:rsidR="00E95D02" w:rsidRPr="004853EB" w:rsidRDefault="00E95D02" w:rsidP="00E95D02">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p>
    <w:p w14:paraId="0A9032E8" w14:textId="77777777" w:rsidR="00E95D02" w:rsidRPr="004853EB" w:rsidRDefault="00E95D02" w:rsidP="00E95D02">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p>
    <w:p w14:paraId="58FD94A5" w14:textId="77777777" w:rsidR="00E95D02" w:rsidRPr="004853EB" w:rsidRDefault="00E95D02" w:rsidP="00E95D02">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p>
    <w:p w14:paraId="133C6EC7" w14:textId="77777777" w:rsidR="00E95D02" w:rsidRPr="004853EB" w:rsidRDefault="00E95D02" w:rsidP="00E95D02">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Rysunek 1. Kształt betonowego obrzeża chodnikowego</w:t>
      </w:r>
    </w:p>
    <w:p w14:paraId="1072819E" w14:textId="77777777" w:rsidR="00E95D02" w:rsidRPr="004853EB" w:rsidRDefault="00E95D02" w:rsidP="00E95D02">
      <w:pPr>
        <w:overflowPunct w:val="0"/>
        <w:autoSpaceDE w:val="0"/>
        <w:autoSpaceDN w:val="0"/>
        <w:adjustRightInd w:val="0"/>
        <w:spacing w:before="24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1. Wymiary obrzeży</w:t>
      </w:r>
    </w:p>
    <w:tbl>
      <w:tblPr>
        <w:tblW w:w="0" w:type="auto"/>
        <w:tblLayout w:type="fixed"/>
        <w:tblCellMar>
          <w:left w:w="70" w:type="dxa"/>
          <w:right w:w="70" w:type="dxa"/>
        </w:tblCellMar>
        <w:tblLook w:val="0000" w:firstRow="0" w:lastRow="0" w:firstColumn="0" w:lastColumn="0" w:noHBand="0" w:noVBand="0"/>
      </w:tblPr>
      <w:tblGrid>
        <w:gridCol w:w="1346"/>
        <w:gridCol w:w="1232"/>
        <w:gridCol w:w="1232"/>
        <w:gridCol w:w="1232"/>
        <w:gridCol w:w="1265"/>
      </w:tblGrid>
      <w:tr w:rsidR="00E95D02" w:rsidRPr="004853EB" w14:paraId="59BAFE43" w14:textId="77777777" w:rsidTr="00E95D02">
        <w:tc>
          <w:tcPr>
            <w:tcW w:w="1346" w:type="dxa"/>
            <w:tcBorders>
              <w:top w:val="single" w:sz="6" w:space="0" w:color="auto"/>
              <w:left w:val="single" w:sz="6" w:space="0" w:color="auto"/>
            </w:tcBorders>
          </w:tcPr>
          <w:p w14:paraId="13E33C27"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Rodzaj</w:t>
            </w:r>
          </w:p>
        </w:tc>
        <w:tc>
          <w:tcPr>
            <w:tcW w:w="4961" w:type="dxa"/>
            <w:gridSpan w:val="4"/>
            <w:tcBorders>
              <w:top w:val="single" w:sz="6" w:space="0" w:color="auto"/>
              <w:left w:val="single" w:sz="6" w:space="0" w:color="auto"/>
              <w:bottom w:val="single" w:sz="6" w:space="0" w:color="auto"/>
              <w:right w:val="single" w:sz="6" w:space="0" w:color="auto"/>
            </w:tcBorders>
          </w:tcPr>
          <w:p w14:paraId="0F876F06" w14:textId="019AE486"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Wymiary </w:t>
            </w:r>
            <w:r w:rsidR="0082360A" w:rsidRPr="004853EB">
              <w:rPr>
                <w:rFonts w:eastAsia="Times New Roman" w:cstheme="minorHAnsi"/>
                <w:sz w:val="20"/>
                <w:szCs w:val="20"/>
                <w:lang w:eastAsia="pl-PL"/>
              </w:rPr>
              <w:t>obrzeży, cm</w:t>
            </w:r>
          </w:p>
        </w:tc>
      </w:tr>
      <w:tr w:rsidR="00E95D02" w:rsidRPr="004853EB" w14:paraId="1EB108F4" w14:textId="77777777" w:rsidTr="00E95D02">
        <w:tc>
          <w:tcPr>
            <w:tcW w:w="1346" w:type="dxa"/>
            <w:tcBorders>
              <w:left w:val="single" w:sz="6" w:space="0" w:color="auto"/>
              <w:bottom w:val="double" w:sz="6" w:space="0" w:color="auto"/>
            </w:tcBorders>
          </w:tcPr>
          <w:p w14:paraId="75B93C4F"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obrzeża</w:t>
            </w:r>
          </w:p>
        </w:tc>
        <w:tc>
          <w:tcPr>
            <w:tcW w:w="1232" w:type="dxa"/>
            <w:tcBorders>
              <w:top w:val="single" w:sz="6" w:space="0" w:color="auto"/>
              <w:left w:val="single" w:sz="6" w:space="0" w:color="auto"/>
              <w:bottom w:val="double" w:sz="6" w:space="0" w:color="auto"/>
              <w:right w:val="single" w:sz="6" w:space="0" w:color="auto"/>
            </w:tcBorders>
          </w:tcPr>
          <w:p w14:paraId="5E4B9916"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1232" w:type="dxa"/>
            <w:tcBorders>
              <w:top w:val="single" w:sz="6" w:space="0" w:color="auto"/>
              <w:left w:val="single" w:sz="6" w:space="0" w:color="auto"/>
              <w:bottom w:val="double" w:sz="6" w:space="0" w:color="auto"/>
              <w:right w:val="single" w:sz="6" w:space="0" w:color="auto"/>
            </w:tcBorders>
          </w:tcPr>
          <w:p w14:paraId="153CBA89"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b</w:t>
            </w:r>
          </w:p>
        </w:tc>
        <w:tc>
          <w:tcPr>
            <w:tcW w:w="1232" w:type="dxa"/>
            <w:tcBorders>
              <w:top w:val="single" w:sz="6" w:space="0" w:color="auto"/>
              <w:left w:val="single" w:sz="6" w:space="0" w:color="auto"/>
              <w:bottom w:val="double" w:sz="6" w:space="0" w:color="auto"/>
              <w:right w:val="single" w:sz="6" w:space="0" w:color="auto"/>
            </w:tcBorders>
          </w:tcPr>
          <w:p w14:paraId="55CCCF91"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h</w:t>
            </w:r>
          </w:p>
        </w:tc>
        <w:tc>
          <w:tcPr>
            <w:tcW w:w="1265" w:type="dxa"/>
            <w:tcBorders>
              <w:top w:val="single" w:sz="6" w:space="0" w:color="auto"/>
              <w:left w:val="single" w:sz="6" w:space="0" w:color="auto"/>
              <w:bottom w:val="double" w:sz="6" w:space="0" w:color="auto"/>
              <w:right w:val="single" w:sz="6" w:space="0" w:color="auto"/>
            </w:tcBorders>
          </w:tcPr>
          <w:p w14:paraId="2D43D78D"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r</w:t>
            </w:r>
          </w:p>
        </w:tc>
      </w:tr>
      <w:tr w:rsidR="00E95D02" w:rsidRPr="004853EB" w14:paraId="3CC09D0B" w14:textId="77777777" w:rsidTr="00E95D02">
        <w:tc>
          <w:tcPr>
            <w:tcW w:w="1346" w:type="dxa"/>
            <w:tcBorders>
              <w:top w:val="single" w:sz="6" w:space="0" w:color="auto"/>
              <w:left w:val="single" w:sz="6" w:space="0" w:color="auto"/>
              <w:bottom w:val="single" w:sz="6" w:space="0" w:color="auto"/>
            </w:tcBorders>
          </w:tcPr>
          <w:p w14:paraId="08B12C1F"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0FF64C93"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On</w:t>
            </w:r>
          </w:p>
        </w:tc>
        <w:tc>
          <w:tcPr>
            <w:tcW w:w="1232" w:type="dxa"/>
            <w:tcBorders>
              <w:top w:val="single" w:sz="6" w:space="0" w:color="auto"/>
              <w:left w:val="single" w:sz="6" w:space="0" w:color="auto"/>
              <w:bottom w:val="single" w:sz="6" w:space="0" w:color="auto"/>
              <w:right w:val="single" w:sz="6" w:space="0" w:color="auto"/>
            </w:tcBorders>
          </w:tcPr>
          <w:p w14:paraId="76E4566D" w14:textId="77777777" w:rsidR="00E95D02" w:rsidRPr="004853EB" w:rsidRDefault="00E95D02" w:rsidP="00E95D02">
            <w:p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75</w:t>
            </w:r>
          </w:p>
          <w:p w14:paraId="30D48830"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90</w:t>
            </w:r>
          </w:p>
          <w:p w14:paraId="64796530" w14:textId="77777777" w:rsidR="00E95D02" w:rsidRPr="004853EB" w:rsidRDefault="00E95D02" w:rsidP="00E95D02">
            <w:pPr>
              <w:overflowPunct w:val="0"/>
              <w:autoSpaceDE w:val="0"/>
              <w:autoSpaceDN w:val="0"/>
              <w:adjustRightInd w:val="0"/>
              <w:spacing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100</w:t>
            </w:r>
          </w:p>
        </w:tc>
        <w:tc>
          <w:tcPr>
            <w:tcW w:w="1232" w:type="dxa"/>
            <w:tcBorders>
              <w:top w:val="single" w:sz="6" w:space="0" w:color="auto"/>
              <w:left w:val="single" w:sz="6" w:space="0" w:color="auto"/>
              <w:bottom w:val="single" w:sz="6" w:space="0" w:color="auto"/>
              <w:right w:val="single" w:sz="6" w:space="0" w:color="auto"/>
            </w:tcBorders>
          </w:tcPr>
          <w:p w14:paraId="202BD4C8" w14:textId="77777777" w:rsidR="00E95D02" w:rsidRPr="004853EB" w:rsidRDefault="00E95D02" w:rsidP="00E95D02">
            <w:p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p w14:paraId="4C8EB72D"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p w14:paraId="1A160DDF"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tc>
        <w:tc>
          <w:tcPr>
            <w:tcW w:w="1232" w:type="dxa"/>
            <w:tcBorders>
              <w:top w:val="single" w:sz="6" w:space="0" w:color="auto"/>
              <w:left w:val="single" w:sz="6" w:space="0" w:color="auto"/>
              <w:bottom w:val="single" w:sz="6" w:space="0" w:color="auto"/>
              <w:right w:val="single" w:sz="6" w:space="0" w:color="auto"/>
            </w:tcBorders>
          </w:tcPr>
          <w:p w14:paraId="5B1ED34A"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489CAF53"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20</w:t>
            </w:r>
          </w:p>
        </w:tc>
        <w:tc>
          <w:tcPr>
            <w:tcW w:w="1265" w:type="dxa"/>
            <w:tcBorders>
              <w:top w:val="single" w:sz="6" w:space="0" w:color="auto"/>
              <w:left w:val="single" w:sz="6" w:space="0" w:color="auto"/>
              <w:bottom w:val="single" w:sz="6" w:space="0" w:color="auto"/>
              <w:right w:val="single" w:sz="6" w:space="0" w:color="auto"/>
            </w:tcBorders>
          </w:tcPr>
          <w:p w14:paraId="3DFEDD24" w14:textId="77777777" w:rsidR="00E95D02" w:rsidRPr="004853EB" w:rsidRDefault="00E95D02" w:rsidP="00E95D02">
            <w:pPr>
              <w:overflowPunct w:val="0"/>
              <w:autoSpaceDE w:val="0"/>
              <w:autoSpaceDN w:val="0"/>
              <w:adjustRightInd w:val="0"/>
              <w:spacing w:before="6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p w14:paraId="75768DAF"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p w14:paraId="60266A15"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r>
    </w:tbl>
    <w:p w14:paraId="44557AAC"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1E5003DC"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2.4.2. </w:t>
      </w:r>
      <w:r w:rsidRPr="004853EB">
        <w:rPr>
          <w:rFonts w:eastAsia="Times New Roman" w:cstheme="minorHAnsi"/>
          <w:sz w:val="20"/>
          <w:szCs w:val="20"/>
          <w:lang w:eastAsia="pl-PL"/>
        </w:rPr>
        <w:t>Dopuszczalne odchyłki wymiarów obrzeży</w:t>
      </w:r>
    </w:p>
    <w:p w14:paraId="7EB0CD8F"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Dopuszczalne odchyłki wymiarów obrzeży podano w tablicy 2.</w:t>
      </w:r>
    </w:p>
    <w:p w14:paraId="5FCAE175"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p>
    <w:p w14:paraId="05381EBF" w14:textId="77777777" w:rsidR="00E95D02" w:rsidRPr="004853EB" w:rsidRDefault="00E95D02" w:rsidP="00E95D02">
      <w:pPr>
        <w:overflowPunct w:val="0"/>
        <w:autoSpaceDE w:val="0"/>
        <w:autoSpaceDN w:val="0"/>
        <w:adjustRightInd w:val="0"/>
        <w:spacing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2. Dopuszczalne odchyłki wymiarów obrzeży</w:t>
      </w:r>
    </w:p>
    <w:tbl>
      <w:tblPr>
        <w:tblW w:w="0" w:type="auto"/>
        <w:tblLayout w:type="fixed"/>
        <w:tblCellMar>
          <w:left w:w="70" w:type="dxa"/>
          <w:right w:w="70" w:type="dxa"/>
        </w:tblCellMar>
        <w:tblLook w:val="0000" w:firstRow="0" w:lastRow="0" w:firstColumn="0" w:lastColumn="0" w:noHBand="0" w:noVBand="0"/>
      </w:tblPr>
      <w:tblGrid>
        <w:gridCol w:w="2338"/>
        <w:gridCol w:w="5172"/>
      </w:tblGrid>
      <w:tr w:rsidR="00E95D02" w:rsidRPr="004853EB" w14:paraId="23E816B3" w14:textId="77777777" w:rsidTr="00E95D02">
        <w:tc>
          <w:tcPr>
            <w:tcW w:w="2338" w:type="dxa"/>
            <w:tcBorders>
              <w:top w:val="single" w:sz="6" w:space="0" w:color="auto"/>
              <w:left w:val="single" w:sz="6" w:space="0" w:color="auto"/>
            </w:tcBorders>
          </w:tcPr>
          <w:p w14:paraId="550045AD" w14:textId="77777777" w:rsidR="00E95D02" w:rsidRPr="004853EB" w:rsidRDefault="00E95D02" w:rsidP="00E95D02">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Rodzaj</w:t>
            </w:r>
          </w:p>
        </w:tc>
        <w:tc>
          <w:tcPr>
            <w:tcW w:w="5172" w:type="dxa"/>
            <w:tcBorders>
              <w:top w:val="single" w:sz="6" w:space="0" w:color="auto"/>
              <w:left w:val="single" w:sz="6" w:space="0" w:color="auto"/>
              <w:bottom w:val="single" w:sz="6" w:space="0" w:color="auto"/>
              <w:right w:val="single" w:sz="6" w:space="0" w:color="auto"/>
            </w:tcBorders>
          </w:tcPr>
          <w:p w14:paraId="067DD1D9" w14:textId="24DE5F47" w:rsidR="00E95D02" w:rsidRPr="004853EB" w:rsidRDefault="00E95D02" w:rsidP="00E95D02">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Dopuszczalna </w:t>
            </w:r>
            <w:r w:rsidR="0082360A" w:rsidRPr="004853EB">
              <w:rPr>
                <w:rFonts w:eastAsia="Times New Roman" w:cstheme="minorHAnsi"/>
                <w:sz w:val="20"/>
                <w:szCs w:val="20"/>
                <w:lang w:eastAsia="pl-PL"/>
              </w:rPr>
              <w:t>odchyłka, m</w:t>
            </w:r>
          </w:p>
        </w:tc>
      </w:tr>
      <w:tr w:rsidR="00E95D02" w:rsidRPr="004853EB" w14:paraId="57D7969A" w14:textId="77777777" w:rsidTr="00E95D02">
        <w:tc>
          <w:tcPr>
            <w:tcW w:w="2338" w:type="dxa"/>
            <w:tcBorders>
              <w:left w:val="single" w:sz="6" w:space="0" w:color="auto"/>
              <w:bottom w:val="double" w:sz="6" w:space="0" w:color="auto"/>
            </w:tcBorders>
          </w:tcPr>
          <w:p w14:paraId="19BB9298"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wymiaru</w:t>
            </w:r>
          </w:p>
        </w:tc>
        <w:tc>
          <w:tcPr>
            <w:tcW w:w="5172" w:type="dxa"/>
            <w:tcBorders>
              <w:top w:val="single" w:sz="6" w:space="0" w:color="auto"/>
              <w:left w:val="single" w:sz="6" w:space="0" w:color="auto"/>
              <w:bottom w:val="double" w:sz="6" w:space="0" w:color="auto"/>
              <w:right w:val="single" w:sz="6" w:space="0" w:color="auto"/>
            </w:tcBorders>
          </w:tcPr>
          <w:p w14:paraId="4BF38239" w14:textId="77777777" w:rsidR="00E95D02" w:rsidRPr="004853EB" w:rsidRDefault="00E95D02" w:rsidP="00E95D02">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Gatunek 1</w:t>
            </w:r>
          </w:p>
        </w:tc>
      </w:tr>
      <w:tr w:rsidR="00E95D02" w:rsidRPr="004853EB" w14:paraId="610B7ED7" w14:textId="77777777" w:rsidTr="00E95D02">
        <w:tc>
          <w:tcPr>
            <w:tcW w:w="2338" w:type="dxa"/>
            <w:tcBorders>
              <w:left w:val="single" w:sz="6" w:space="0" w:color="auto"/>
              <w:bottom w:val="single" w:sz="6" w:space="0" w:color="auto"/>
            </w:tcBorders>
          </w:tcPr>
          <w:p w14:paraId="04B9803E" w14:textId="77777777" w:rsidR="00E95D02" w:rsidRPr="004853EB" w:rsidRDefault="00E95D02" w:rsidP="00E95D02">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l</w:t>
            </w:r>
          </w:p>
        </w:tc>
        <w:tc>
          <w:tcPr>
            <w:tcW w:w="5172" w:type="dxa"/>
            <w:tcBorders>
              <w:left w:val="single" w:sz="6" w:space="0" w:color="auto"/>
              <w:bottom w:val="single" w:sz="6" w:space="0" w:color="auto"/>
              <w:right w:val="single" w:sz="6" w:space="0" w:color="auto"/>
            </w:tcBorders>
          </w:tcPr>
          <w:p w14:paraId="5B798C62" w14:textId="77777777" w:rsidR="00E95D02" w:rsidRPr="004853EB" w:rsidRDefault="00E95D02" w:rsidP="00E95D02">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8</w:t>
            </w:r>
          </w:p>
        </w:tc>
      </w:tr>
      <w:tr w:rsidR="00E95D02" w:rsidRPr="004853EB" w14:paraId="68D7B38B" w14:textId="77777777" w:rsidTr="00E95D02">
        <w:tc>
          <w:tcPr>
            <w:tcW w:w="2338" w:type="dxa"/>
            <w:tcBorders>
              <w:top w:val="single" w:sz="6" w:space="0" w:color="auto"/>
              <w:left w:val="single" w:sz="6" w:space="0" w:color="auto"/>
              <w:bottom w:val="single" w:sz="6" w:space="0" w:color="auto"/>
            </w:tcBorders>
          </w:tcPr>
          <w:p w14:paraId="110DE5E2" w14:textId="77777777" w:rsidR="00E95D02" w:rsidRPr="004853EB" w:rsidRDefault="00E95D02" w:rsidP="00E95D02">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b,   h</w:t>
            </w:r>
          </w:p>
        </w:tc>
        <w:tc>
          <w:tcPr>
            <w:tcW w:w="5172" w:type="dxa"/>
            <w:tcBorders>
              <w:top w:val="single" w:sz="6" w:space="0" w:color="auto"/>
              <w:left w:val="single" w:sz="6" w:space="0" w:color="auto"/>
              <w:bottom w:val="single" w:sz="6" w:space="0" w:color="auto"/>
              <w:right w:val="single" w:sz="6" w:space="0" w:color="auto"/>
            </w:tcBorders>
          </w:tcPr>
          <w:p w14:paraId="5D38D888" w14:textId="77777777" w:rsidR="00E95D02" w:rsidRPr="004853EB" w:rsidRDefault="00E95D02" w:rsidP="00E95D02">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3</w:t>
            </w:r>
          </w:p>
        </w:tc>
      </w:tr>
    </w:tbl>
    <w:p w14:paraId="360FC90B"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16A073E7"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2.4.3. </w:t>
      </w:r>
      <w:r w:rsidRPr="004853EB">
        <w:rPr>
          <w:rFonts w:eastAsia="Times New Roman" w:cstheme="minorHAnsi"/>
          <w:sz w:val="20"/>
          <w:szCs w:val="20"/>
          <w:lang w:eastAsia="pl-PL"/>
        </w:rPr>
        <w:t>Dopuszczalne wady i uszkodzenia obrzeży</w:t>
      </w:r>
    </w:p>
    <w:p w14:paraId="248B34A5"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Powierzchnie obrzeży powinny być bez rys, pęknięć i ubytków betonu, o fakturze z formy lub zatartej. Krawędzie elementów powinny być równe i proste.</w:t>
      </w:r>
    </w:p>
    <w:p w14:paraId="0B6F5B9C"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Dopuszczalne wady oraz uszkodzenia powierzchni i krawędzi elementów nie powinny przekraczać wartości podanych w tablicy 3.</w:t>
      </w:r>
    </w:p>
    <w:p w14:paraId="4A1A35F4" w14:textId="77777777" w:rsidR="00E95D02" w:rsidRPr="004853EB" w:rsidRDefault="00E95D02" w:rsidP="00E95D02">
      <w:pPr>
        <w:overflowPunct w:val="0"/>
        <w:autoSpaceDE w:val="0"/>
        <w:autoSpaceDN w:val="0"/>
        <w:adjustRightInd w:val="0"/>
        <w:spacing w:before="120" w:after="12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Tablica 3. Dopuszczalne wady i uszkodzenia obrzeży</w:t>
      </w:r>
    </w:p>
    <w:tbl>
      <w:tblPr>
        <w:tblW w:w="0" w:type="auto"/>
        <w:tblLayout w:type="fixed"/>
        <w:tblCellMar>
          <w:left w:w="70" w:type="dxa"/>
          <w:right w:w="70" w:type="dxa"/>
        </w:tblCellMar>
        <w:tblLook w:val="0000" w:firstRow="0" w:lastRow="0" w:firstColumn="0" w:lastColumn="0" w:noHBand="0" w:noVBand="0"/>
      </w:tblPr>
      <w:tblGrid>
        <w:gridCol w:w="1913"/>
        <w:gridCol w:w="3119"/>
        <w:gridCol w:w="2478"/>
      </w:tblGrid>
      <w:tr w:rsidR="00E95D02" w:rsidRPr="004853EB" w14:paraId="2F7600B4" w14:textId="77777777" w:rsidTr="00E95D02">
        <w:tc>
          <w:tcPr>
            <w:tcW w:w="5032" w:type="dxa"/>
            <w:gridSpan w:val="2"/>
            <w:tcBorders>
              <w:top w:val="single" w:sz="6" w:space="0" w:color="auto"/>
              <w:left w:val="single" w:sz="6" w:space="0" w:color="auto"/>
            </w:tcBorders>
          </w:tcPr>
          <w:p w14:paraId="6A94BA03"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p>
          <w:p w14:paraId="66B10644"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Rodzaj wad i uszkodzeń</w:t>
            </w:r>
          </w:p>
        </w:tc>
        <w:tc>
          <w:tcPr>
            <w:tcW w:w="2478" w:type="dxa"/>
            <w:tcBorders>
              <w:top w:val="single" w:sz="6" w:space="0" w:color="auto"/>
              <w:left w:val="single" w:sz="6" w:space="0" w:color="auto"/>
              <w:bottom w:val="single" w:sz="6" w:space="0" w:color="auto"/>
              <w:right w:val="single" w:sz="6" w:space="0" w:color="auto"/>
            </w:tcBorders>
          </w:tcPr>
          <w:p w14:paraId="304A3E3D"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Dopuszczalna wielkość </w:t>
            </w:r>
          </w:p>
          <w:p w14:paraId="2B427457"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wad i uszkodzeń</w:t>
            </w:r>
          </w:p>
        </w:tc>
      </w:tr>
      <w:tr w:rsidR="00E95D02" w:rsidRPr="004853EB" w14:paraId="4B6E3E94" w14:textId="77777777" w:rsidTr="00E95D02">
        <w:tc>
          <w:tcPr>
            <w:tcW w:w="5032" w:type="dxa"/>
            <w:gridSpan w:val="2"/>
            <w:tcBorders>
              <w:left w:val="single" w:sz="6" w:space="0" w:color="auto"/>
              <w:bottom w:val="double" w:sz="6" w:space="0" w:color="auto"/>
            </w:tcBorders>
          </w:tcPr>
          <w:p w14:paraId="5D05BDB9"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c>
          <w:tcPr>
            <w:tcW w:w="2478" w:type="dxa"/>
            <w:tcBorders>
              <w:top w:val="single" w:sz="6" w:space="0" w:color="auto"/>
              <w:left w:val="single" w:sz="6" w:space="0" w:color="auto"/>
              <w:bottom w:val="double" w:sz="6" w:space="0" w:color="auto"/>
              <w:right w:val="single" w:sz="6" w:space="0" w:color="auto"/>
            </w:tcBorders>
          </w:tcPr>
          <w:p w14:paraId="404C5539"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Gatunek 1</w:t>
            </w:r>
          </w:p>
        </w:tc>
      </w:tr>
      <w:tr w:rsidR="00E95D02" w:rsidRPr="004853EB" w14:paraId="2554D47B" w14:textId="77777777" w:rsidTr="00E95D02">
        <w:tc>
          <w:tcPr>
            <w:tcW w:w="5032" w:type="dxa"/>
            <w:gridSpan w:val="2"/>
            <w:tcBorders>
              <w:left w:val="single" w:sz="6" w:space="0" w:color="auto"/>
            </w:tcBorders>
          </w:tcPr>
          <w:p w14:paraId="5F63898F" w14:textId="77777777" w:rsidR="00E95D02" w:rsidRPr="004853EB" w:rsidRDefault="00E95D02" w:rsidP="00E95D02">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Wklęsłość lub wypukłość powierzchni i krawędzi w mm</w:t>
            </w:r>
          </w:p>
        </w:tc>
        <w:tc>
          <w:tcPr>
            <w:tcW w:w="2478" w:type="dxa"/>
            <w:tcBorders>
              <w:left w:val="single" w:sz="6" w:space="0" w:color="auto"/>
              <w:bottom w:val="single" w:sz="6" w:space="0" w:color="auto"/>
              <w:right w:val="single" w:sz="6" w:space="0" w:color="auto"/>
            </w:tcBorders>
          </w:tcPr>
          <w:p w14:paraId="08A10BF8" w14:textId="77777777" w:rsidR="00E95D02" w:rsidRPr="004853EB" w:rsidRDefault="00E95D02" w:rsidP="00E95D02">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r>
      <w:tr w:rsidR="00E95D02" w:rsidRPr="004853EB" w14:paraId="30FF2646" w14:textId="77777777" w:rsidTr="00E95D02">
        <w:tc>
          <w:tcPr>
            <w:tcW w:w="1913" w:type="dxa"/>
            <w:tcBorders>
              <w:top w:val="single" w:sz="6" w:space="0" w:color="auto"/>
              <w:left w:val="single" w:sz="6" w:space="0" w:color="auto"/>
            </w:tcBorders>
          </w:tcPr>
          <w:p w14:paraId="42682CAE"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Szczerby</w:t>
            </w:r>
          </w:p>
          <w:p w14:paraId="3186D951"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i uszkodzenia</w:t>
            </w:r>
          </w:p>
        </w:tc>
        <w:tc>
          <w:tcPr>
            <w:tcW w:w="3119" w:type="dxa"/>
            <w:tcBorders>
              <w:top w:val="single" w:sz="6" w:space="0" w:color="auto"/>
              <w:left w:val="single" w:sz="6" w:space="0" w:color="auto"/>
              <w:bottom w:val="single" w:sz="6" w:space="0" w:color="auto"/>
              <w:right w:val="single" w:sz="6" w:space="0" w:color="auto"/>
            </w:tcBorders>
          </w:tcPr>
          <w:p w14:paraId="1D4BC48E"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ograniczających powierzchnie górne (ścieralne)</w:t>
            </w:r>
          </w:p>
        </w:tc>
        <w:tc>
          <w:tcPr>
            <w:tcW w:w="2478" w:type="dxa"/>
            <w:tcBorders>
              <w:top w:val="single" w:sz="6" w:space="0" w:color="auto"/>
              <w:left w:val="single" w:sz="6" w:space="0" w:color="auto"/>
              <w:bottom w:val="single" w:sz="6" w:space="0" w:color="auto"/>
              <w:right w:val="single" w:sz="6" w:space="0" w:color="auto"/>
            </w:tcBorders>
          </w:tcPr>
          <w:p w14:paraId="7EC0440A" w14:textId="77777777" w:rsidR="00E95D02" w:rsidRPr="004853EB" w:rsidRDefault="00E95D02" w:rsidP="00E95D02">
            <w:pPr>
              <w:overflowPunct w:val="0"/>
              <w:autoSpaceDE w:val="0"/>
              <w:autoSpaceDN w:val="0"/>
              <w:adjustRightInd w:val="0"/>
              <w:spacing w:before="120"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niedopuszczalne</w:t>
            </w:r>
          </w:p>
        </w:tc>
      </w:tr>
      <w:tr w:rsidR="00E95D02" w:rsidRPr="004853EB" w14:paraId="34F2B530" w14:textId="77777777" w:rsidTr="00E95D02">
        <w:trPr>
          <w:cantSplit/>
        </w:trPr>
        <w:tc>
          <w:tcPr>
            <w:tcW w:w="1913" w:type="dxa"/>
            <w:tcBorders>
              <w:left w:val="single" w:sz="6" w:space="0" w:color="auto"/>
            </w:tcBorders>
          </w:tcPr>
          <w:p w14:paraId="476C21F9"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krawędzi i naroży</w:t>
            </w:r>
          </w:p>
        </w:tc>
        <w:tc>
          <w:tcPr>
            <w:tcW w:w="3119" w:type="dxa"/>
            <w:tcBorders>
              <w:top w:val="single" w:sz="6" w:space="0" w:color="auto"/>
              <w:left w:val="single" w:sz="6" w:space="0" w:color="auto"/>
              <w:right w:val="single" w:sz="6" w:space="0" w:color="auto"/>
            </w:tcBorders>
          </w:tcPr>
          <w:p w14:paraId="1A601F6E" w14:textId="77777777" w:rsidR="00E95D02" w:rsidRPr="004853EB" w:rsidRDefault="00E95D02" w:rsidP="00E95D02">
            <w:pPr>
              <w:overflowPunct w:val="0"/>
              <w:autoSpaceDE w:val="0"/>
              <w:autoSpaceDN w:val="0"/>
              <w:adjustRightInd w:val="0"/>
              <w:spacing w:after="0" w:line="240" w:lineRule="auto"/>
              <w:textAlignment w:val="baseline"/>
              <w:rPr>
                <w:rFonts w:eastAsia="Times New Roman" w:cstheme="minorHAnsi"/>
                <w:sz w:val="20"/>
                <w:szCs w:val="20"/>
                <w:lang w:eastAsia="pl-PL"/>
              </w:rPr>
            </w:pPr>
            <w:r w:rsidRPr="004853EB">
              <w:rPr>
                <w:rFonts w:eastAsia="Times New Roman" w:cstheme="minorHAnsi"/>
                <w:sz w:val="20"/>
                <w:szCs w:val="20"/>
                <w:lang w:eastAsia="pl-PL"/>
              </w:rPr>
              <w:t>ograniczających   pozostałe powierzchnie:</w:t>
            </w:r>
          </w:p>
        </w:tc>
        <w:tc>
          <w:tcPr>
            <w:tcW w:w="2478" w:type="dxa"/>
            <w:vMerge w:val="restart"/>
            <w:tcBorders>
              <w:top w:val="single" w:sz="6" w:space="0" w:color="auto"/>
              <w:left w:val="single" w:sz="6" w:space="0" w:color="auto"/>
              <w:right w:val="single" w:sz="6" w:space="0" w:color="auto"/>
            </w:tcBorders>
          </w:tcPr>
          <w:p w14:paraId="74A28DDC" w14:textId="77777777" w:rsidR="00E95D02" w:rsidRPr="004853EB" w:rsidRDefault="00E95D02" w:rsidP="00E95D02">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p>
          <w:p w14:paraId="1B291507" w14:textId="77777777" w:rsidR="00E95D02" w:rsidRPr="004853EB" w:rsidRDefault="00E95D02" w:rsidP="00E95D02">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p w14:paraId="12187ACC" w14:textId="77777777" w:rsidR="00E95D02" w:rsidRPr="004853EB" w:rsidRDefault="00E95D02" w:rsidP="00E95D02">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20</w:t>
            </w:r>
          </w:p>
          <w:p w14:paraId="502BA200" w14:textId="77777777" w:rsidR="00E95D02" w:rsidRPr="004853EB" w:rsidRDefault="00E95D02" w:rsidP="00E95D02">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tc>
      </w:tr>
      <w:tr w:rsidR="00E95D02" w:rsidRPr="004853EB" w14:paraId="0683C6DF" w14:textId="77777777" w:rsidTr="00E95D02">
        <w:trPr>
          <w:cantSplit/>
        </w:trPr>
        <w:tc>
          <w:tcPr>
            <w:tcW w:w="1913" w:type="dxa"/>
            <w:tcBorders>
              <w:left w:val="single" w:sz="6" w:space="0" w:color="auto"/>
            </w:tcBorders>
          </w:tcPr>
          <w:p w14:paraId="5E1DCE7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c>
          <w:tcPr>
            <w:tcW w:w="3119" w:type="dxa"/>
            <w:tcBorders>
              <w:left w:val="single" w:sz="6" w:space="0" w:color="auto"/>
              <w:right w:val="single" w:sz="6" w:space="0" w:color="auto"/>
            </w:tcBorders>
          </w:tcPr>
          <w:p w14:paraId="3885EDB7" w14:textId="77777777" w:rsidR="00E95D02" w:rsidRPr="004853EB" w:rsidRDefault="00E95D02" w:rsidP="00E95D02">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liczba, max</w:t>
            </w:r>
          </w:p>
        </w:tc>
        <w:tc>
          <w:tcPr>
            <w:tcW w:w="2478" w:type="dxa"/>
            <w:vMerge/>
            <w:tcBorders>
              <w:left w:val="single" w:sz="6" w:space="0" w:color="auto"/>
              <w:right w:val="single" w:sz="6" w:space="0" w:color="auto"/>
            </w:tcBorders>
          </w:tcPr>
          <w:p w14:paraId="04FD5A74" w14:textId="77777777" w:rsidR="00E95D02" w:rsidRPr="004853EB" w:rsidRDefault="00E95D02" w:rsidP="00E95D02">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p>
        </w:tc>
      </w:tr>
      <w:tr w:rsidR="00E95D02" w:rsidRPr="004853EB" w14:paraId="47B26F26" w14:textId="77777777" w:rsidTr="00E95D02">
        <w:trPr>
          <w:cantSplit/>
        </w:trPr>
        <w:tc>
          <w:tcPr>
            <w:tcW w:w="1913" w:type="dxa"/>
            <w:tcBorders>
              <w:left w:val="single" w:sz="6" w:space="0" w:color="auto"/>
            </w:tcBorders>
          </w:tcPr>
          <w:p w14:paraId="08710B5E"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c>
          <w:tcPr>
            <w:tcW w:w="3119" w:type="dxa"/>
            <w:tcBorders>
              <w:left w:val="single" w:sz="6" w:space="0" w:color="auto"/>
              <w:right w:val="single" w:sz="6" w:space="0" w:color="auto"/>
            </w:tcBorders>
          </w:tcPr>
          <w:p w14:paraId="73CDCB05" w14:textId="77777777" w:rsidR="00E95D02" w:rsidRPr="004853EB" w:rsidRDefault="00E95D02" w:rsidP="00E95D02">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długość, mm, max</w:t>
            </w:r>
          </w:p>
        </w:tc>
        <w:tc>
          <w:tcPr>
            <w:tcW w:w="2478" w:type="dxa"/>
            <w:vMerge/>
            <w:tcBorders>
              <w:left w:val="single" w:sz="6" w:space="0" w:color="auto"/>
              <w:right w:val="single" w:sz="6" w:space="0" w:color="auto"/>
            </w:tcBorders>
          </w:tcPr>
          <w:p w14:paraId="38F26FA9" w14:textId="77777777" w:rsidR="00E95D02" w:rsidRPr="004853EB" w:rsidRDefault="00E95D02" w:rsidP="00E95D02">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p>
        </w:tc>
      </w:tr>
      <w:tr w:rsidR="00E95D02" w:rsidRPr="004853EB" w14:paraId="58E7538D" w14:textId="77777777" w:rsidTr="00E95D02">
        <w:trPr>
          <w:cantSplit/>
        </w:trPr>
        <w:tc>
          <w:tcPr>
            <w:tcW w:w="1913" w:type="dxa"/>
            <w:tcBorders>
              <w:left w:val="single" w:sz="6" w:space="0" w:color="auto"/>
              <w:bottom w:val="single" w:sz="6" w:space="0" w:color="auto"/>
            </w:tcBorders>
          </w:tcPr>
          <w:p w14:paraId="235EECF5"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tc>
        <w:tc>
          <w:tcPr>
            <w:tcW w:w="3119" w:type="dxa"/>
            <w:tcBorders>
              <w:left w:val="single" w:sz="6" w:space="0" w:color="auto"/>
              <w:bottom w:val="single" w:sz="6" w:space="0" w:color="auto"/>
              <w:right w:val="single" w:sz="6" w:space="0" w:color="auto"/>
            </w:tcBorders>
          </w:tcPr>
          <w:p w14:paraId="0BB538EA" w14:textId="77777777" w:rsidR="00E95D02" w:rsidRPr="004853EB" w:rsidRDefault="00E95D02" w:rsidP="00E95D02">
            <w:pPr>
              <w:overflowPunct w:val="0"/>
              <w:autoSpaceDE w:val="0"/>
              <w:autoSpaceDN w:val="0"/>
              <w:adjustRightInd w:val="0"/>
              <w:spacing w:before="60" w:after="6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głębokość, mm, max</w:t>
            </w:r>
          </w:p>
        </w:tc>
        <w:tc>
          <w:tcPr>
            <w:tcW w:w="2478" w:type="dxa"/>
            <w:vMerge/>
            <w:tcBorders>
              <w:left w:val="single" w:sz="6" w:space="0" w:color="auto"/>
              <w:bottom w:val="single" w:sz="6" w:space="0" w:color="auto"/>
              <w:right w:val="single" w:sz="6" w:space="0" w:color="auto"/>
            </w:tcBorders>
          </w:tcPr>
          <w:p w14:paraId="42552E8B" w14:textId="77777777" w:rsidR="00E95D02" w:rsidRPr="004853EB" w:rsidRDefault="00E95D02" w:rsidP="00E95D02">
            <w:pPr>
              <w:overflowPunct w:val="0"/>
              <w:autoSpaceDE w:val="0"/>
              <w:autoSpaceDN w:val="0"/>
              <w:adjustRightInd w:val="0"/>
              <w:spacing w:before="60" w:after="60" w:line="240" w:lineRule="auto"/>
              <w:jc w:val="center"/>
              <w:textAlignment w:val="baseline"/>
              <w:rPr>
                <w:rFonts w:eastAsia="Times New Roman" w:cstheme="minorHAnsi"/>
                <w:sz w:val="20"/>
                <w:szCs w:val="20"/>
                <w:lang w:eastAsia="pl-PL"/>
              </w:rPr>
            </w:pPr>
          </w:p>
        </w:tc>
      </w:tr>
    </w:tbl>
    <w:p w14:paraId="3D7D25E2"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p>
    <w:p w14:paraId="05232AE5"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2.4.4. </w:t>
      </w:r>
      <w:r w:rsidRPr="004853EB">
        <w:rPr>
          <w:rFonts w:eastAsia="Times New Roman" w:cstheme="minorHAnsi"/>
          <w:sz w:val="20"/>
          <w:szCs w:val="20"/>
          <w:lang w:eastAsia="pl-PL"/>
        </w:rPr>
        <w:t>Składowanie</w:t>
      </w:r>
    </w:p>
    <w:p w14:paraId="313133DD"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t>Betonowe obrzeża chodnikowe mogą być przechowywane na składowiskach otwartych, posegregowane według rodzajów i gatunków.</w:t>
      </w:r>
    </w:p>
    <w:p w14:paraId="479F6041" w14:textId="381782E3"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Betonowe obrzeża chodnikowe należy układać z zastosowaniem podkładek i przekładek drewnianych </w:t>
      </w:r>
      <w:r w:rsidR="0082360A">
        <w:rPr>
          <w:rFonts w:eastAsia="Times New Roman" w:cstheme="minorHAnsi"/>
          <w:sz w:val="20"/>
          <w:szCs w:val="20"/>
          <w:lang w:eastAsia="pl-PL"/>
        </w:rPr>
        <w:br/>
      </w:r>
      <w:r w:rsidRPr="004853EB">
        <w:rPr>
          <w:rFonts w:eastAsia="Times New Roman" w:cstheme="minorHAnsi"/>
          <w:sz w:val="20"/>
          <w:szCs w:val="20"/>
          <w:lang w:eastAsia="pl-PL"/>
        </w:rPr>
        <w:t>o wymiarach co najmniej: grubość 2,5 cm, szerokość 5 cm, długość minimum 5 cm większa niż szerokość obrzeża.</w:t>
      </w:r>
    </w:p>
    <w:p w14:paraId="483C7594"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 xml:space="preserve">2.4.5. </w:t>
      </w:r>
      <w:r w:rsidRPr="004853EB">
        <w:rPr>
          <w:rFonts w:eastAsia="Times New Roman" w:cstheme="minorHAnsi"/>
          <w:sz w:val="20"/>
          <w:szCs w:val="20"/>
          <w:lang w:eastAsia="pl-PL"/>
        </w:rPr>
        <w:t>Beton i jego składniki</w:t>
      </w:r>
    </w:p>
    <w:p w14:paraId="5277920B" w14:textId="77777777" w:rsidR="00E95D02" w:rsidRPr="004853EB" w:rsidRDefault="00E95D02" w:rsidP="00E95D02">
      <w:pPr>
        <w:overflowPunct w:val="0"/>
        <w:autoSpaceDE w:val="0"/>
        <w:autoSpaceDN w:val="0"/>
        <w:adjustRightInd w:val="0"/>
        <w:spacing w:before="120"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Do produkcji obrzeży należy stosować beton według PN-B-06250 [2], klasy B 25.</w:t>
      </w:r>
    </w:p>
    <w:p w14:paraId="502AA3AF"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062" w:name="_Toc426531384"/>
      <w:bookmarkStart w:id="4063" w:name="_Toc194477237"/>
      <w:bookmarkStart w:id="4064" w:name="_Toc227825720"/>
      <w:r w:rsidRPr="004853EB">
        <w:rPr>
          <w:rFonts w:eastAsia="Times New Roman" w:cstheme="minorHAnsi"/>
          <w:b/>
          <w:caps/>
          <w:kern w:val="28"/>
          <w:sz w:val="20"/>
          <w:szCs w:val="20"/>
          <w:lang w:eastAsia="pl-PL"/>
        </w:rPr>
        <w:t>3. sprzęt</w:t>
      </w:r>
      <w:bookmarkEnd w:id="4062"/>
      <w:bookmarkEnd w:id="4063"/>
      <w:bookmarkEnd w:id="4064"/>
    </w:p>
    <w:p w14:paraId="0ED65BCD"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65" w:name="_Toc194477238"/>
      <w:bookmarkStart w:id="4066" w:name="_Toc227825721"/>
      <w:r w:rsidRPr="004853EB">
        <w:rPr>
          <w:rFonts w:eastAsia="Times New Roman" w:cstheme="minorHAnsi"/>
          <w:b/>
          <w:sz w:val="20"/>
          <w:szCs w:val="20"/>
          <w:lang w:eastAsia="pl-PL"/>
        </w:rPr>
        <w:t>3.1. Ogólne wymagania dotyczące sprzętu</w:t>
      </w:r>
      <w:bookmarkEnd w:id="4065"/>
      <w:bookmarkEnd w:id="4066"/>
    </w:p>
    <w:p w14:paraId="508C782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sprzętu podano w SST D-00.00.00 „Wymagania ogólne” pkt 3.</w:t>
      </w:r>
    </w:p>
    <w:p w14:paraId="37EB32BC"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67" w:name="_Toc194477239"/>
      <w:bookmarkStart w:id="4068" w:name="_Toc227825722"/>
      <w:r w:rsidRPr="004853EB">
        <w:rPr>
          <w:rFonts w:eastAsia="Times New Roman" w:cstheme="minorHAnsi"/>
          <w:b/>
          <w:sz w:val="20"/>
          <w:szCs w:val="20"/>
          <w:lang w:eastAsia="pl-PL"/>
        </w:rPr>
        <w:t>3.2. Sprzęt do ustawiania obrzeży</w:t>
      </w:r>
      <w:bookmarkEnd w:id="4067"/>
      <w:bookmarkEnd w:id="4068"/>
    </w:p>
    <w:p w14:paraId="55062EB6"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Roboty wykonuje się ręcznie przy zastosowaniu drobnego sprzętu pomocniczego.</w:t>
      </w:r>
    </w:p>
    <w:p w14:paraId="693AE2D7"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069" w:name="_Toc426531385"/>
      <w:bookmarkStart w:id="4070" w:name="_Toc194477240"/>
      <w:bookmarkStart w:id="4071" w:name="_Toc227825723"/>
      <w:r w:rsidRPr="004853EB">
        <w:rPr>
          <w:rFonts w:eastAsia="Times New Roman" w:cstheme="minorHAnsi"/>
          <w:b/>
          <w:caps/>
          <w:kern w:val="28"/>
          <w:sz w:val="20"/>
          <w:szCs w:val="20"/>
          <w:lang w:eastAsia="pl-PL"/>
        </w:rPr>
        <w:t>4. transport</w:t>
      </w:r>
      <w:bookmarkEnd w:id="4069"/>
      <w:bookmarkEnd w:id="4070"/>
      <w:bookmarkEnd w:id="4071"/>
    </w:p>
    <w:p w14:paraId="131D536F"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72" w:name="_Toc194477241"/>
      <w:bookmarkStart w:id="4073" w:name="_Toc227825724"/>
      <w:r w:rsidRPr="004853EB">
        <w:rPr>
          <w:rFonts w:eastAsia="Times New Roman" w:cstheme="minorHAnsi"/>
          <w:b/>
          <w:sz w:val="20"/>
          <w:szCs w:val="20"/>
          <w:lang w:eastAsia="pl-PL"/>
        </w:rPr>
        <w:t>4.1. Ogólne wymagania dotyczące transportu</w:t>
      </w:r>
      <w:bookmarkEnd w:id="4072"/>
      <w:bookmarkEnd w:id="4073"/>
    </w:p>
    <w:p w14:paraId="6716906E"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wymagania dotyczące transportu podano w SST D-00.00.00 „Wymagania ogólne” pkt 4.</w:t>
      </w:r>
    </w:p>
    <w:p w14:paraId="67AFB442"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74" w:name="_Toc194477242"/>
      <w:bookmarkStart w:id="4075" w:name="_Toc227825725"/>
      <w:r w:rsidRPr="004853EB">
        <w:rPr>
          <w:rFonts w:eastAsia="Times New Roman" w:cstheme="minorHAnsi"/>
          <w:b/>
          <w:sz w:val="20"/>
          <w:szCs w:val="20"/>
          <w:lang w:eastAsia="pl-PL"/>
        </w:rPr>
        <w:t>4.2. Transport obrzeży betonowych</w:t>
      </w:r>
      <w:bookmarkEnd w:id="4074"/>
      <w:bookmarkEnd w:id="4075"/>
    </w:p>
    <w:p w14:paraId="5AA3422F"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Betonowe obrzeża chodnikowe mogą być przewożone dowolnymi środkami transportu po osiągnięciu przez beton wytrzymałości minimum 0,7 wytrzymałości projektowanej.</w:t>
      </w:r>
    </w:p>
    <w:p w14:paraId="442EE8BB"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Obrzeża powinny być zabezpieczone przed przemieszczeniem się i uszkodzeniami w czasie transportu.</w:t>
      </w:r>
    </w:p>
    <w:p w14:paraId="56A317BD"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76" w:name="_Toc194477243"/>
      <w:bookmarkStart w:id="4077" w:name="_Toc227825726"/>
      <w:r w:rsidRPr="004853EB">
        <w:rPr>
          <w:rFonts w:eastAsia="Times New Roman" w:cstheme="minorHAnsi"/>
          <w:b/>
          <w:sz w:val="20"/>
          <w:szCs w:val="20"/>
          <w:lang w:eastAsia="pl-PL"/>
        </w:rPr>
        <w:t>4.3. Transport pozostałych materiałów</w:t>
      </w:r>
      <w:bookmarkEnd w:id="4076"/>
      <w:bookmarkEnd w:id="4077"/>
    </w:p>
    <w:p w14:paraId="49D28447"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Transport pozostałych materiałów podano w SST D-08.01.01 „Krawężniki betonowe”.</w:t>
      </w:r>
    </w:p>
    <w:p w14:paraId="2C2970BC"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078" w:name="_Toc426531386"/>
      <w:bookmarkStart w:id="4079" w:name="_Toc194477244"/>
      <w:bookmarkStart w:id="4080" w:name="_Toc227825727"/>
      <w:r w:rsidRPr="004853EB">
        <w:rPr>
          <w:rFonts w:eastAsia="Times New Roman" w:cstheme="minorHAnsi"/>
          <w:b/>
          <w:caps/>
          <w:kern w:val="28"/>
          <w:sz w:val="20"/>
          <w:szCs w:val="20"/>
          <w:lang w:eastAsia="pl-PL"/>
        </w:rPr>
        <w:t>5. wykonanie robót</w:t>
      </w:r>
      <w:bookmarkEnd w:id="4078"/>
      <w:bookmarkEnd w:id="4079"/>
      <w:bookmarkEnd w:id="4080"/>
    </w:p>
    <w:p w14:paraId="4CD6A713"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81" w:name="_Toc194477245"/>
      <w:bookmarkStart w:id="4082" w:name="_Toc227825728"/>
      <w:r w:rsidRPr="004853EB">
        <w:rPr>
          <w:rFonts w:eastAsia="Times New Roman" w:cstheme="minorHAnsi"/>
          <w:b/>
          <w:sz w:val="20"/>
          <w:szCs w:val="20"/>
          <w:lang w:eastAsia="pl-PL"/>
        </w:rPr>
        <w:t>5.1. Ogólne zasady wykonania robót</w:t>
      </w:r>
      <w:bookmarkEnd w:id="4081"/>
      <w:bookmarkEnd w:id="4082"/>
    </w:p>
    <w:p w14:paraId="61D46861"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wykonania robót podano w SST D-00.00.00 „Wymagania ogólne” pkt 5.</w:t>
      </w:r>
    </w:p>
    <w:p w14:paraId="2CB54155"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83" w:name="_Toc194477246"/>
      <w:bookmarkStart w:id="4084" w:name="_Toc227825729"/>
      <w:r w:rsidRPr="004853EB">
        <w:rPr>
          <w:rFonts w:eastAsia="Times New Roman" w:cstheme="minorHAnsi"/>
          <w:b/>
          <w:sz w:val="20"/>
          <w:szCs w:val="20"/>
          <w:lang w:eastAsia="pl-PL"/>
        </w:rPr>
        <w:t>5.2. Wykonanie koryta</w:t>
      </w:r>
      <w:bookmarkEnd w:id="4083"/>
      <w:bookmarkEnd w:id="4084"/>
    </w:p>
    <w:p w14:paraId="40982987"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Koryto pod podsypkę (ławę) należy wykonywać zgodnie z PN-B-06050 [1].</w:t>
      </w:r>
    </w:p>
    <w:p w14:paraId="287DFD1B"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Wymiary wykopu powinny odpowiadać wymiarom ławy w planie z uwzględnieniem w szerokości dna wykopu ew. konstrukcji szalunku.</w:t>
      </w:r>
    </w:p>
    <w:p w14:paraId="0463BF37"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85" w:name="_Toc194477247"/>
      <w:bookmarkStart w:id="4086" w:name="_Toc227825730"/>
      <w:r w:rsidRPr="004853EB">
        <w:rPr>
          <w:rFonts w:eastAsia="Times New Roman" w:cstheme="minorHAnsi"/>
          <w:b/>
          <w:sz w:val="20"/>
          <w:szCs w:val="20"/>
          <w:lang w:eastAsia="pl-PL"/>
        </w:rPr>
        <w:t>5.4. Ustawienie betonowych obrzeży chodnikowych</w:t>
      </w:r>
      <w:bookmarkEnd w:id="4085"/>
      <w:bookmarkEnd w:id="4086"/>
    </w:p>
    <w:p w14:paraId="01AB629F"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Betonowe obrzeża chodnikowe należy ustawiać na wykonanym podłożu w miejscu i ze światłem (odległością górnej powierzchni obrzeża od ciągu komunikacyjnego) zgodnym z ustaleniami dokumentacji projektowej.</w:t>
      </w:r>
    </w:p>
    <w:p w14:paraId="26F325BC"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Zewnętrzna ściana obrzeża powinna być obsypana piaskiem, żwirem lub miejscowym gruntem przepuszczalnym, starannie ubitym.</w:t>
      </w:r>
    </w:p>
    <w:p w14:paraId="58FB6B1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Spoiny nie powinny przekraczać szerokości 1 cm. Należy wypełnić je piaskiem lub zaprawą cementowo-piaskową w stosunku 1:2. Spoiny przed zalaniem należy oczyścić i zmyć wodą. Spoiny muszą być wypełnione całkowicie na pełną głębokość.</w:t>
      </w:r>
    </w:p>
    <w:p w14:paraId="40479736"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087" w:name="_Toc426531387"/>
      <w:bookmarkStart w:id="4088" w:name="_Toc194477248"/>
      <w:bookmarkStart w:id="4089" w:name="_Toc227825731"/>
      <w:r w:rsidRPr="004853EB">
        <w:rPr>
          <w:rFonts w:eastAsia="Times New Roman" w:cstheme="minorHAnsi"/>
          <w:b/>
          <w:caps/>
          <w:kern w:val="28"/>
          <w:sz w:val="20"/>
          <w:szCs w:val="20"/>
          <w:lang w:eastAsia="pl-PL"/>
        </w:rPr>
        <w:t>6. kontrola jakości robót</w:t>
      </w:r>
      <w:bookmarkEnd w:id="4087"/>
      <w:bookmarkEnd w:id="4088"/>
      <w:bookmarkEnd w:id="4089"/>
    </w:p>
    <w:p w14:paraId="1580CE42"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90" w:name="_Toc194477249"/>
      <w:bookmarkStart w:id="4091" w:name="_Toc227825732"/>
      <w:r w:rsidRPr="004853EB">
        <w:rPr>
          <w:rFonts w:eastAsia="Times New Roman" w:cstheme="minorHAnsi"/>
          <w:b/>
          <w:sz w:val="20"/>
          <w:szCs w:val="20"/>
          <w:lang w:eastAsia="pl-PL"/>
        </w:rPr>
        <w:t>6.1. Ogólne zasady kontroli jakości robót</w:t>
      </w:r>
      <w:bookmarkEnd w:id="4090"/>
      <w:bookmarkEnd w:id="4091"/>
    </w:p>
    <w:p w14:paraId="09757313"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kontroli jakości robót podano w SST D-00.00.00 „Wymagania ogólne” pkt 6.</w:t>
      </w:r>
    </w:p>
    <w:p w14:paraId="79CC631C"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92" w:name="_Toc194477250"/>
      <w:bookmarkStart w:id="4093" w:name="_Toc227825733"/>
      <w:r w:rsidRPr="004853EB">
        <w:rPr>
          <w:rFonts w:eastAsia="Times New Roman" w:cstheme="minorHAnsi"/>
          <w:b/>
          <w:sz w:val="20"/>
          <w:szCs w:val="20"/>
          <w:lang w:eastAsia="pl-PL"/>
        </w:rPr>
        <w:t>6.2. Badania przed przystąpieniem do robót</w:t>
      </w:r>
      <w:bookmarkEnd w:id="4092"/>
      <w:bookmarkEnd w:id="4093"/>
    </w:p>
    <w:p w14:paraId="310326C1"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Przed przystąpieniem do robót Wykonawca powinien wykonać badania materiałów przeznaczonych do ustawienia betonowych obrzeży chodnikowych i przedstawić wyniki tych badań Inżynierowi do akceptacji.</w:t>
      </w:r>
    </w:p>
    <w:p w14:paraId="60F27E12" w14:textId="79050A3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ab/>
        <w:t xml:space="preserve">Sprawdzenie wyglądu zewnętrznego należy przeprowadzić na podstawie oględzin elementu przez pomiar i policzenie uszkodzeń występujących na powierzchniach i krawędziach elementu, zgodnie </w:t>
      </w:r>
      <w:r w:rsidR="0082360A">
        <w:rPr>
          <w:rFonts w:eastAsia="Times New Roman" w:cstheme="minorHAnsi"/>
          <w:sz w:val="20"/>
          <w:szCs w:val="20"/>
          <w:lang w:eastAsia="pl-PL"/>
        </w:rPr>
        <w:br/>
      </w:r>
      <w:r w:rsidRPr="004853EB">
        <w:rPr>
          <w:rFonts w:eastAsia="Times New Roman" w:cstheme="minorHAnsi"/>
          <w:sz w:val="20"/>
          <w:szCs w:val="20"/>
          <w:lang w:eastAsia="pl-PL"/>
        </w:rPr>
        <w:t>z wymaganiami tablicy 3. Pomiary długości i głębokości uszkodzeń należy wykonać za pomocą przymiaru stalowego lub suwmiarki z dokładnością do 1 mm, zgodnie z ustaleniami PN-B-10021 [4].</w:t>
      </w:r>
    </w:p>
    <w:p w14:paraId="51DB6F13" w14:textId="5165D252"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 xml:space="preserve">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w:t>
      </w:r>
      <w:r w:rsidR="0082360A">
        <w:rPr>
          <w:rFonts w:eastAsia="Times New Roman" w:cstheme="minorHAnsi"/>
          <w:sz w:val="20"/>
          <w:szCs w:val="20"/>
          <w:lang w:eastAsia="pl-PL"/>
        </w:rPr>
        <w:br/>
      </w:r>
      <w:r w:rsidRPr="004853EB">
        <w:rPr>
          <w:rFonts w:eastAsia="Times New Roman" w:cstheme="minorHAnsi"/>
          <w:sz w:val="20"/>
          <w:szCs w:val="20"/>
          <w:lang w:eastAsia="pl-PL"/>
        </w:rPr>
        <w:t>z dokładnością do 1 mm.</w:t>
      </w:r>
    </w:p>
    <w:p w14:paraId="6A411360"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Badania pozostałych materiałów powinny obejmować wszystkie właściwości określone w normach podanych dla odpowiednich materiałów wymienionych w pkt 2.</w:t>
      </w:r>
    </w:p>
    <w:p w14:paraId="5D914428"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94" w:name="_Toc194477251"/>
      <w:bookmarkStart w:id="4095" w:name="_Toc227825734"/>
      <w:r w:rsidRPr="004853EB">
        <w:rPr>
          <w:rFonts w:eastAsia="Times New Roman" w:cstheme="minorHAnsi"/>
          <w:b/>
          <w:sz w:val="20"/>
          <w:szCs w:val="20"/>
          <w:lang w:eastAsia="pl-PL"/>
        </w:rPr>
        <w:t>6.3. Badania w czasie robót</w:t>
      </w:r>
      <w:bookmarkEnd w:id="4094"/>
      <w:bookmarkEnd w:id="4095"/>
    </w:p>
    <w:p w14:paraId="28F09D28"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W czasie robót należy sprawdzać wykonanie:</w:t>
      </w:r>
    </w:p>
    <w:p w14:paraId="31C9CD37" w14:textId="77777777" w:rsidR="00E95D02" w:rsidRPr="004853EB" w:rsidRDefault="00E95D02">
      <w:pPr>
        <w:numPr>
          <w:ilvl w:val="0"/>
          <w:numId w:val="15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koryta pod (ławę) - zgodnie z wymaganiami pkt 5.2,</w:t>
      </w:r>
    </w:p>
    <w:p w14:paraId="25D28DF9" w14:textId="77777777" w:rsidR="00E95D02" w:rsidRPr="004853EB" w:rsidRDefault="00E95D02">
      <w:pPr>
        <w:numPr>
          <w:ilvl w:val="0"/>
          <w:numId w:val="15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ławy betonowej z betonu C8/10,</w:t>
      </w:r>
    </w:p>
    <w:p w14:paraId="199D5EE1" w14:textId="77777777" w:rsidR="00E95D02" w:rsidRPr="004853EB" w:rsidRDefault="00E95D02">
      <w:pPr>
        <w:numPr>
          <w:ilvl w:val="0"/>
          <w:numId w:val="153"/>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ustawienia betonowego obrzeża chodnikowego - zgodnie z wymaganiami pkt 5.4, przy dopuszczalnych odchyleniach:</w:t>
      </w:r>
    </w:p>
    <w:p w14:paraId="454D93E9"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linii obrzeża w planie, które może wynosić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 xml:space="preserve"> 2 cm na każde 100 m długości obrzeża,</w:t>
      </w:r>
    </w:p>
    <w:p w14:paraId="4C3037FF" w14:textId="72887EBE"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niwelety górnej płaszczyzny </w:t>
      </w:r>
      <w:r w:rsidR="0082360A" w:rsidRPr="004853EB">
        <w:rPr>
          <w:rFonts w:eastAsia="Times New Roman" w:cstheme="minorHAnsi"/>
          <w:sz w:val="20"/>
          <w:szCs w:val="20"/>
          <w:lang w:eastAsia="pl-PL"/>
        </w:rPr>
        <w:t>obrzeża,</w:t>
      </w:r>
      <w:r w:rsidRPr="004853EB">
        <w:rPr>
          <w:rFonts w:eastAsia="Times New Roman" w:cstheme="minorHAnsi"/>
          <w:sz w:val="20"/>
          <w:szCs w:val="20"/>
          <w:lang w:eastAsia="pl-PL"/>
        </w:rPr>
        <w:t xml:space="preserve"> które może wynosić </w:t>
      </w:r>
      <w:r w:rsidRPr="004853EB">
        <w:rPr>
          <w:rFonts w:eastAsia="Times New Roman" w:cstheme="minorHAnsi"/>
          <w:sz w:val="20"/>
          <w:szCs w:val="20"/>
          <w:lang w:eastAsia="pl-PL"/>
        </w:rPr>
        <w:sym w:font="Symbol" w:char="F0B1"/>
      </w:r>
      <w:r w:rsidRPr="004853EB">
        <w:rPr>
          <w:rFonts w:eastAsia="Times New Roman" w:cstheme="minorHAnsi"/>
          <w:sz w:val="20"/>
          <w:szCs w:val="20"/>
          <w:lang w:eastAsia="pl-PL"/>
        </w:rPr>
        <w:t>1 cm na każde 100 m długości obrzeża,</w:t>
      </w:r>
    </w:p>
    <w:p w14:paraId="70E1101E"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wypełnienia spoin, sprawdzane co 10 metrów, które powinno wykazywać całkowite wypełnienie badanej spoiny na pełną głębokość.</w:t>
      </w:r>
    </w:p>
    <w:p w14:paraId="053450FA"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096" w:name="_Toc426531388"/>
      <w:bookmarkStart w:id="4097" w:name="_Toc194477252"/>
      <w:bookmarkStart w:id="4098" w:name="_Toc227825735"/>
      <w:r w:rsidRPr="004853EB">
        <w:rPr>
          <w:rFonts w:eastAsia="Times New Roman" w:cstheme="minorHAnsi"/>
          <w:b/>
          <w:caps/>
          <w:kern w:val="28"/>
          <w:sz w:val="20"/>
          <w:szCs w:val="20"/>
          <w:lang w:eastAsia="pl-PL"/>
        </w:rPr>
        <w:t>7. obmiar robót</w:t>
      </w:r>
      <w:bookmarkEnd w:id="4096"/>
      <w:bookmarkEnd w:id="4097"/>
      <w:bookmarkEnd w:id="4098"/>
    </w:p>
    <w:p w14:paraId="431346E2"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099" w:name="_Toc194477253"/>
      <w:bookmarkStart w:id="4100" w:name="_Toc227825736"/>
      <w:r w:rsidRPr="004853EB">
        <w:rPr>
          <w:rFonts w:eastAsia="Times New Roman" w:cstheme="minorHAnsi"/>
          <w:b/>
          <w:sz w:val="20"/>
          <w:szCs w:val="20"/>
          <w:lang w:eastAsia="pl-PL"/>
        </w:rPr>
        <w:t>7.1. Ogólne zasady obmiaru robót</w:t>
      </w:r>
      <w:bookmarkEnd w:id="4099"/>
      <w:bookmarkEnd w:id="4100"/>
    </w:p>
    <w:p w14:paraId="5593318E"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zasady obmiaru robót podano w SST D-00.00.00 „Wymagania ogólne” pkt 7.</w:t>
      </w:r>
    </w:p>
    <w:p w14:paraId="0AE0EC2E"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101" w:name="_Toc194477254"/>
      <w:bookmarkStart w:id="4102" w:name="_Toc227825737"/>
      <w:r w:rsidRPr="004853EB">
        <w:rPr>
          <w:rFonts w:eastAsia="Times New Roman" w:cstheme="minorHAnsi"/>
          <w:b/>
          <w:sz w:val="20"/>
          <w:szCs w:val="20"/>
          <w:lang w:eastAsia="pl-PL"/>
        </w:rPr>
        <w:t>7.2. Jednostka obmiarowa</w:t>
      </w:r>
      <w:bookmarkEnd w:id="4101"/>
      <w:bookmarkEnd w:id="4102"/>
    </w:p>
    <w:p w14:paraId="71D16126"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Jednostką obmiarową jest m (metr) ustawionego betonowego obrzeża chodnikowego.</w:t>
      </w:r>
    </w:p>
    <w:p w14:paraId="0888D0BD"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103" w:name="_Toc426435744"/>
      <w:bookmarkStart w:id="4104" w:name="_Toc426531389"/>
      <w:bookmarkStart w:id="4105" w:name="_Toc194477255"/>
      <w:bookmarkStart w:id="4106" w:name="_Toc227825738"/>
      <w:r w:rsidRPr="004853EB">
        <w:rPr>
          <w:rFonts w:eastAsia="Times New Roman" w:cstheme="minorHAnsi"/>
          <w:b/>
          <w:caps/>
          <w:kern w:val="28"/>
          <w:sz w:val="20"/>
          <w:szCs w:val="20"/>
          <w:lang w:eastAsia="pl-PL"/>
        </w:rPr>
        <w:t>8. ODBIÓR ROBÓT</w:t>
      </w:r>
      <w:bookmarkEnd w:id="4103"/>
      <w:bookmarkEnd w:id="4104"/>
      <w:bookmarkEnd w:id="4105"/>
      <w:bookmarkEnd w:id="4106"/>
    </w:p>
    <w:p w14:paraId="03BCA5BA"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107" w:name="_Toc194477256"/>
      <w:bookmarkStart w:id="4108" w:name="_Toc227825739"/>
      <w:r w:rsidRPr="004853EB">
        <w:rPr>
          <w:rFonts w:eastAsia="Times New Roman" w:cstheme="minorHAnsi"/>
          <w:b/>
          <w:sz w:val="20"/>
          <w:szCs w:val="20"/>
          <w:lang w:eastAsia="pl-PL"/>
        </w:rPr>
        <w:t>8.1. Ogólne zasady odbioru robót</w:t>
      </w:r>
      <w:bookmarkEnd w:id="4107"/>
      <w:bookmarkEnd w:id="4108"/>
    </w:p>
    <w:p w14:paraId="772E737C"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b/>
          <w:sz w:val="20"/>
          <w:szCs w:val="20"/>
          <w:lang w:eastAsia="pl-PL"/>
        </w:rPr>
        <w:tab/>
      </w:r>
      <w:r w:rsidRPr="004853EB">
        <w:rPr>
          <w:rFonts w:eastAsia="Times New Roman" w:cstheme="minorHAnsi"/>
          <w:sz w:val="20"/>
          <w:szCs w:val="20"/>
          <w:lang w:eastAsia="pl-PL"/>
        </w:rPr>
        <w:t>Ogólne zasady odbioru robót podano w SST D-00.00.00 „Wymagania ogólne” pkt 8.</w:t>
      </w:r>
    </w:p>
    <w:p w14:paraId="4C114E9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Roboty uznaje się za wykonane zgodnie z dokumentacją projektową, SST i wymaganiami Inżyniera, jeżeli wszystkie pomiary i badania z zachowaniem tolerancji wg pkt 6 dały wyniki pozytywne.</w:t>
      </w:r>
    </w:p>
    <w:p w14:paraId="4F01AC89"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109" w:name="_Toc194477257"/>
      <w:bookmarkStart w:id="4110" w:name="_Toc227825740"/>
      <w:r w:rsidRPr="004853EB">
        <w:rPr>
          <w:rFonts w:eastAsia="Times New Roman" w:cstheme="minorHAnsi"/>
          <w:b/>
          <w:sz w:val="20"/>
          <w:szCs w:val="20"/>
          <w:lang w:eastAsia="pl-PL"/>
        </w:rPr>
        <w:t>8.2. Odbiór robót zanikających i ulegających zakryciu</w:t>
      </w:r>
      <w:bookmarkEnd w:id="4109"/>
      <w:bookmarkEnd w:id="4110"/>
    </w:p>
    <w:p w14:paraId="0E44D2E6"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Odbiorowi robót zanikających i ulegających zakryciu podlegają:</w:t>
      </w:r>
    </w:p>
    <w:p w14:paraId="015B6DD7"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wykonane koryto,</w:t>
      </w:r>
    </w:p>
    <w:p w14:paraId="2B9191FF"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wykonana ława.</w:t>
      </w:r>
    </w:p>
    <w:p w14:paraId="0A9AA2A8"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111" w:name="_Toc426435745"/>
      <w:bookmarkStart w:id="4112" w:name="_Toc426531390"/>
      <w:bookmarkStart w:id="4113" w:name="_Toc194477258"/>
      <w:bookmarkStart w:id="4114" w:name="_Toc227825741"/>
      <w:r w:rsidRPr="004853EB">
        <w:rPr>
          <w:rFonts w:eastAsia="Times New Roman" w:cstheme="minorHAnsi"/>
          <w:b/>
          <w:caps/>
          <w:kern w:val="28"/>
          <w:sz w:val="20"/>
          <w:szCs w:val="20"/>
          <w:lang w:eastAsia="pl-PL"/>
        </w:rPr>
        <w:t>9. PODSTAWA PŁATNOŚCI</w:t>
      </w:r>
      <w:bookmarkEnd w:id="4111"/>
      <w:bookmarkEnd w:id="4112"/>
      <w:bookmarkEnd w:id="4113"/>
      <w:bookmarkEnd w:id="4114"/>
    </w:p>
    <w:p w14:paraId="695EBCCA"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115" w:name="_Toc194477259"/>
      <w:bookmarkStart w:id="4116" w:name="_Toc227825742"/>
      <w:r w:rsidRPr="004853EB">
        <w:rPr>
          <w:rFonts w:eastAsia="Times New Roman" w:cstheme="minorHAnsi"/>
          <w:b/>
          <w:sz w:val="20"/>
          <w:szCs w:val="20"/>
          <w:lang w:eastAsia="pl-PL"/>
        </w:rPr>
        <w:t>9.1. Ogólne ustalenia dotyczące podstawy płatności</w:t>
      </w:r>
      <w:bookmarkEnd w:id="4115"/>
      <w:bookmarkEnd w:id="4116"/>
    </w:p>
    <w:p w14:paraId="727D8AF4"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Ogólne ustalenia dotyczące podstawy płatności podano w SST D-00.00.00 „Wymagania ogólne” pkt 9.</w:t>
      </w:r>
    </w:p>
    <w:p w14:paraId="554894A5"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117" w:name="_Toc194477260"/>
      <w:bookmarkStart w:id="4118" w:name="_Toc227825743"/>
      <w:r w:rsidRPr="004853EB">
        <w:rPr>
          <w:rFonts w:eastAsia="Times New Roman" w:cstheme="minorHAnsi"/>
          <w:b/>
          <w:sz w:val="20"/>
          <w:szCs w:val="20"/>
          <w:lang w:eastAsia="pl-PL"/>
        </w:rPr>
        <w:t>9.2. Cena jednostki obmiarowej</w:t>
      </w:r>
      <w:bookmarkEnd w:id="4117"/>
      <w:bookmarkEnd w:id="4118"/>
    </w:p>
    <w:p w14:paraId="5C7B6E42"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ab/>
        <w:t>Cena wykonania 1 m betonowego obrzeża chodnikowego obejmuje:</w:t>
      </w:r>
    </w:p>
    <w:p w14:paraId="0641BE89"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prace pomiarowe i roboty przygotowawcze,</w:t>
      </w:r>
    </w:p>
    <w:p w14:paraId="2337381B"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dostarczenie materiałów,</w:t>
      </w:r>
    </w:p>
    <w:p w14:paraId="18702F57"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wykonanie koryta,</w:t>
      </w:r>
    </w:p>
    <w:p w14:paraId="22D4D3AE"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rozścielenie i ubicie podsypki,</w:t>
      </w:r>
    </w:p>
    <w:p w14:paraId="59C98118"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ustawienie obrzeża,</w:t>
      </w:r>
    </w:p>
    <w:p w14:paraId="226A491E"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wypełnienie spoin,</w:t>
      </w:r>
    </w:p>
    <w:p w14:paraId="6283BDBE"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obsypanie zewnętrznej ściany obrzeża,</w:t>
      </w:r>
    </w:p>
    <w:p w14:paraId="7313048D" w14:textId="77777777" w:rsidR="00E95D02" w:rsidRPr="004853EB" w:rsidRDefault="00E95D02" w:rsidP="00E95D02">
      <w:pPr>
        <w:numPr>
          <w:ilvl w:val="0"/>
          <w:numId w:val="9"/>
        </w:num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lastRenderedPageBreak/>
        <w:t>wykonanie badań i pomiarów wymaganych w specyfikacji technicznej.</w:t>
      </w:r>
    </w:p>
    <w:p w14:paraId="3BA28FF5" w14:textId="77777777" w:rsidR="00E95D02" w:rsidRPr="004853EB" w:rsidRDefault="00E95D02" w:rsidP="00E95D02">
      <w:pPr>
        <w:keepNext/>
        <w:keepLines/>
        <w:suppressAutoHyphens/>
        <w:overflowPunct w:val="0"/>
        <w:autoSpaceDE w:val="0"/>
        <w:autoSpaceDN w:val="0"/>
        <w:adjustRightInd w:val="0"/>
        <w:spacing w:before="240" w:after="120" w:line="240" w:lineRule="auto"/>
        <w:jc w:val="both"/>
        <w:textAlignment w:val="baseline"/>
        <w:outlineLvl w:val="0"/>
        <w:rPr>
          <w:rFonts w:eastAsia="Times New Roman" w:cstheme="minorHAnsi"/>
          <w:b/>
          <w:caps/>
          <w:kern w:val="28"/>
          <w:sz w:val="20"/>
          <w:szCs w:val="20"/>
          <w:lang w:eastAsia="pl-PL"/>
        </w:rPr>
      </w:pPr>
      <w:bookmarkStart w:id="4119" w:name="_Toc426531391"/>
      <w:bookmarkStart w:id="4120" w:name="_Toc194477261"/>
      <w:bookmarkStart w:id="4121" w:name="_Toc227825744"/>
      <w:r w:rsidRPr="004853EB">
        <w:rPr>
          <w:rFonts w:eastAsia="Times New Roman" w:cstheme="minorHAnsi"/>
          <w:b/>
          <w:caps/>
          <w:kern w:val="28"/>
          <w:sz w:val="20"/>
          <w:szCs w:val="20"/>
          <w:lang w:eastAsia="pl-PL"/>
        </w:rPr>
        <w:t>10. przepisy związane</w:t>
      </w:r>
      <w:bookmarkEnd w:id="4119"/>
      <w:bookmarkEnd w:id="4120"/>
      <w:bookmarkEnd w:id="4121"/>
    </w:p>
    <w:p w14:paraId="667971DC" w14:textId="77777777" w:rsidR="00E95D02" w:rsidRPr="004853EB" w:rsidRDefault="00E95D02" w:rsidP="00E95D02">
      <w:pPr>
        <w:keepNext/>
        <w:overflowPunct w:val="0"/>
        <w:autoSpaceDE w:val="0"/>
        <w:autoSpaceDN w:val="0"/>
        <w:adjustRightInd w:val="0"/>
        <w:spacing w:before="120" w:after="120" w:line="240" w:lineRule="auto"/>
        <w:jc w:val="both"/>
        <w:textAlignment w:val="baseline"/>
        <w:outlineLvl w:val="1"/>
        <w:rPr>
          <w:rFonts w:eastAsia="Times New Roman" w:cstheme="minorHAnsi"/>
          <w:b/>
          <w:sz w:val="20"/>
          <w:szCs w:val="20"/>
          <w:lang w:eastAsia="pl-PL"/>
        </w:rPr>
      </w:pPr>
      <w:bookmarkStart w:id="4122" w:name="_Toc194477262"/>
      <w:bookmarkStart w:id="4123" w:name="_Toc227825745"/>
      <w:r w:rsidRPr="004853EB">
        <w:rPr>
          <w:rFonts w:eastAsia="Times New Roman" w:cstheme="minorHAnsi"/>
          <w:b/>
          <w:sz w:val="20"/>
          <w:szCs w:val="20"/>
          <w:lang w:eastAsia="pl-PL"/>
        </w:rPr>
        <w:t>Normy</w:t>
      </w:r>
      <w:bookmarkEnd w:id="4122"/>
      <w:bookmarkEnd w:id="4123"/>
    </w:p>
    <w:tbl>
      <w:tblPr>
        <w:tblW w:w="0" w:type="auto"/>
        <w:tblInd w:w="212" w:type="dxa"/>
        <w:tblLayout w:type="fixed"/>
        <w:tblCellMar>
          <w:left w:w="70" w:type="dxa"/>
          <w:right w:w="70" w:type="dxa"/>
        </w:tblCellMar>
        <w:tblLook w:val="0000" w:firstRow="0" w:lastRow="0" w:firstColumn="0" w:lastColumn="0" w:noHBand="0" w:noVBand="0"/>
      </w:tblPr>
      <w:tblGrid>
        <w:gridCol w:w="425"/>
        <w:gridCol w:w="1701"/>
        <w:gridCol w:w="5171"/>
        <w:gridCol w:w="1775"/>
      </w:tblGrid>
      <w:tr w:rsidR="00E95D02" w:rsidRPr="004853EB" w14:paraId="1DCAF17C" w14:textId="77777777" w:rsidTr="00E95D02">
        <w:trPr>
          <w:gridAfter w:val="1"/>
          <w:wAfter w:w="1775" w:type="dxa"/>
        </w:trPr>
        <w:tc>
          <w:tcPr>
            <w:tcW w:w="425" w:type="dxa"/>
          </w:tcPr>
          <w:p w14:paraId="5C11E62D"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1.</w:t>
            </w:r>
          </w:p>
        </w:tc>
        <w:tc>
          <w:tcPr>
            <w:tcW w:w="1701" w:type="dxa"/>
          </w:tcPr>
          <w:p w14:paraId="35B843B6"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PN-B-06050</w:t>
            </w:r>
          </w:p>
        </w:tc>
        <w:tc>
          <w:tcPr>
            <w:tcW w:w="5171" w:type="dxa"/>
          </w:tcPr>
          <w:p w14:paraId="790A5E27"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Roboty ziemne budowlane</w:t>
            </w:r>
          </w:p>
        </w:tc>
      </w:tr>
      <w:tr w:rsidR="00E95D02" w:rsidRPr="004853EB" w14:paraId="1201CFFF" w14:textId="77777777" w:rsidTr="00E95D02">
        <w:tc>
          <w:tcPr>
            <w:tcW w:w="425" w:type="dxa"/>
          </w:tcPr>
          <w:p w14:paraId="0D9EEA82"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2.</w:t>
            </w:r>
          </w:p>
        </w:tc>
        <w:tc>
          <w:tcPr>
            <w:tcW w:w="1701" w:type="dxa"/>
          </w:tcPr>
          <w:p w14:paraId="24972324"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PN-B-06250</w:t>
            </w:r>
          </w:p>
        </w:tc>
        <w:tc>
          <w:tcPr>
            <w:tcW w:w="6946" w:type="dxa"/>
            <w:gridSpan w:val="2"/>
          </w:tcPr>
          <w:p w14:paraId="552BF278"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Beton zwykły</w:t>
            </w:r>
          </w:p>
        </w:tc>
      </w:tr>
      <w:tr w:rsidR="00E95D02" w:rsidRPr="004853EB" w14:paraId="4E012DF1" w14:textId="77777777" w:rsidTr="00E95D02">
        <w:tc>
          <w:tcPr>
            <w:tcW w:w="425" w:type="dxa"/>
          </w:tcPr>
          <w:p w14:paraId="6A951A6A"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3.</w:t>
            </w:r>
          </w:p>
        </w:tc>
        <w:tc>
          <w:tcPr>
            <w:tcW w:w="1701" w:type="dxa"/>
          </w:tcPr>
          <w:p w14:paraId="752337DC"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PN-B-06711</w:t>
            </w:r>
          </w:p>
        </w:tc>
        <w:tc>
          <w:tcPr>
            <w:tcW w:w="6946" w:type="dxa"/>
            <w:gridSpan w:val="2"/>
          </w:tcPr>
          <w:p w14:paraId="6322ED94"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Kruszywo mineralne. Piasek do betonów i zapraw</w:t>
            </w:r>
          </w:p>
        </w:tc>
      </w:tr>
      <w:tr w:rsidR="00E95D02" w:rsidRPr="004853EB" w14:paraId="48140A12" w14:textId="77777777" w:rsidTr="00E95D02">
        <w:tc>
          <w:tcPr>
            <w:tcW w:w="425" w:type="dxa"/>
          </w:tcPr>
          <w:p w14:paraId="1E4C54F6"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4.</w:t>
            </w:r>
          </w:p>
        </w:tc>
        <w:tc>
          <w:tcPr>
            <w:tcW w:w="1701" w:type="dxa"/>
          </w:tcPr>
          <w:p w14:paraId="7164361C"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PN-B-10021</w:t>
            </w:r>
          </w:p>
        </w:tc>
        <w:tc>
          <w:tcPr>
            <w:tcW w:w="6946" w:type="dxa"/>
            <w:gridSpan w:val="2"/>
          </w:tcPr>
          <w:p w14:paraId="2C7CBAB9"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Prefabrykaty budowlane z betonu. Metody pomiaru cech geometrycznych</w:t>
            </w:r>
          </w:p>
        </w:tc>
      </w:tr>
      <w:tr w:rsidR="00E95D02" w:rsidRPr="004853EB" w14:paraId="08FF84A9" w14:textId="77777777" w:rsidTr="00E95D02">
        <w:tc>
          <w:tcPr>
            <w:tcW w:w="425" w:type="dxa"/>
          </w:tcPr>
          <w:p w14:paraId="43D33D97"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5.</w:t>
            </w:r>
          </w:p>
        </w:tc>
        <w:tc>
          <w:tcPr>
            <w:tcW w:w="1701" w:type="dxa"/>
          </w:tcPr>
          <w:p w14:paraId="19EE96A9"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PN-B-11111</w:t>
            </w:r>
          </w:p>
        </w:tc>
        <w:tc>
          <w:tcPr>
            <w:tcW w:w="6946" w:type="dxa"/>
            <w:gridSpan w:val="2"/>
          </w:tcPr>
          <w:p w14:paraId="71168BD6" w14:textId="797332C9"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Kruszywo mineralne. Kruszywa naturalne do nawierzchni drogowych. Żwir </w:t>
            </w:r>
            <w:r w:rsidR="0082360A">
              <w:rPr>
                <w:rFonts w:eastAsia="Times New Roman" w:cstheme="minorHAnsi"/>
                <w:sz w:val="20"/>
                <w:szCs w:val="20"/>
                <w:lang w:eastAsia="pl-PL"/>
              </w:rPr>
              <w:br/>
            </w:r>
            <w:r w:rsidRPr="004853EB">
              <w:rPr>
                <w:rFonts w:eastAsia="Times New Roman" w:cstheme="minorHAnsi"/>
                <w:sz w:val="20"/>
                <w:szCs w:val="20"/>
                <w:lang w:eastAsia="pl-PL"/>
              </w:rPr>
              <w:t>i mieszanka</w:t>
            </w:r>
          </w:p>
        </w:tc>
      </w:tr>
      <w:tr w:rsidR="00E95D02" w:rsidRPr="004853EB" w14:paraId="57CD59F4" w14:textId="77777777" w:rsidTr="00E95D02">
        <w:tc>
          <w:tcPr>
            <w:tcW w:w="425" w:type="dxa"/>
          </w:tcPr>
          <w:p w14:paraId="4D90FADF"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6.</w:t>
            </w:r>
          </w:p>
        </w:tc>
        <w:tc>
          <w:tcPr>
            <w:tcW w:w="1701" w:type="dxa"/>
          </w:tcPr>
          <w:p w14:paraId="4DF50EAF"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PN-B-11113</w:t>
            </w:r>
          </w:p>
        </w:tc>
        <w:tc>
          <w:tcPr>
            <w:tcW w:w="6946" w:type="dxa"/>
            <w:gridSpan w:val="2"/>
          </w:tcPr>
          <w:p w14:paraId="4D4128F7"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Kruszywo mineralne. Kruszywa naturalne do nawierzchni drogowych. Piasek</w:t>
            </w:r>
          </w:p>
        </w:tc>
      </w:tr>
      <w:tr w:rsidR="00E95D02" w:rsidRPr="004853EB" w14:paraId="1AC55271" w14:textId="77777777" w:rsidTr="00E95D02">
        <w:tc>
          <w:tcPr>
            <w:tcW w:w="425" w:type="dxa"/>
          </w:tcPr>
          <w:p w14:paraId="7C00D7C1"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7.</w:t>
            </w:r>
          </w:p>
        </w:tc>
        <w:tc>
          <w:tcPr>
            <w:tcW w:w="1701" w:type="dxa"/>
          </w:tcPr>
          <w:p w14:paraId="4761F974"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PN-B-19701</w:t>
            </w:r>
          </w:p>
        </w:tc>
        <w:tc>
          <w:tcPr>
            <w:tcW w:w="6946" w:type="dxa"/>
            <w:gridSpan w:val="2"/>
          </w:tcPr>
          <w:p w14:paraId="14ABB82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Cement. Cement powszechnego użytku. Skład, wymagania i ocena zgodności</w:t>
            </w:r>
          </w:p>
        </w:tc>
      </w:tr>
      <w:tr w:rsidR="00E95D02" w:rsidRPr="004853EB" w14:paraId="423A3865" w14:textId="77777777" w:rsidTr="00E95D02">
        <w:tc>
          <w:tcPr>
            <w:tcW w:w="425" w:type="dxa"/>
          </w:tcPr>
          <w:p w14:paraId="1EF88674"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8.</w:t>
            </w:r>
          </w:p>
        </w:tc>
        <w:tc>
          <w:tcPr>
            <w:tcW w:w="1701" w:type="dxa"/>
          </w:tcPr>
          <w:p w14:paraId="3F4ADBF8"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BN-80/6775-03/01</w:t>
            </w:r>
          </w:p>
        </w:tc>
        <w:tc>
          <w:tcPr>
            <w:tcW w:w="6946" w:type="dxa"/>
            <w:gridSpan w:val="2"/>
          </w:tcPr>
          <w:p w14:paraId="35E58C0A" w14:textId="53703B49"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Prefabrykaty budowlane z betonu. Elementy nawierzchni dróg, ulic, parkingów </w:t>
            </w:r>
            <w:r w:rsidR="0082360A">
              <w:rPr>
                <w:rFonts w:eastAsia="Times New Roman" w:cstheme="minorHAnsi"/>
                <w:sz w:val="20"/>
                <w:szCs w:val="20"/>
                <w:lang w:eastAsia="pl-PL"/>
              </w:rPr>
              <w:br/>
            </w:r>
            <w:r w:rsidRPr="004853EB">
              <w:rPr>
                <w:rFonts w:eastAsia="Times New Roman" w:cstheme="minorHAnsi"/>
                <w:sz w:val="20"/>
                <w:szCs w:val="20"/>
                <w:lang w:eastAsia="pl-PL"/>
              </w:rPr>
              <w:t>i torowisk tramwajowych. Wspólne wymagania i badania</w:t>
            </w:r>
          </w:p>
        </w:tc>
      </w:tr>
      <w:tr w:rsidR="00E95D02" w:rsidRPr="004853EB" w14:paraId="637E74DF" w14:textId="77777777" w:rsidTr="00E95D02">
        <w:tc>
          <w:tcPr>
            <w:tcW w:w="425" w:type="dxa"/>
          </w:tcPr>
          <w:p w14:paraId="4E924F96" w14:textId="77777777" w:rsidR="00E95D02" w:rsidRPr="004853EB" w:rsidRDefault="00E95D02" w:rsidP="00E95D02">
            <w:pPr>
              <w:overflowPunct w:val="0"/>
              <w:autoSpaceDE w:val="0"/>
              <w:autoSpaceDN w:val="0"/>
              <w:adjustRightInd w:val="0"/>
              <w:spacing w:after="0" w:line="240" w:lineRule="auto"/>
              <w:jc w:val="center"/>
              <w:textAlignment w:val="baseline"/>
              <w:rPr>
                <w:rFonts w:eastAsia="Times New Roman" w:cstheme="minorHAnsi"/>
                <w:sz w:val="20"/>
                <w:szCs w:val="20"/>
                <w:lang w:eastAsia="pl-PL"/>
              </w:rPr>
            </w:pPr>
            <w:r w:rsidRPr="004853EB">
              <w:rPr>
                <w:rFonts w:eastAsia="Times New Roman" w:cstheme="minorHAnsi"/>
                <w:sz w:val="20"/>
                <w:szCs w:val="20"/>
                <w:lang w:eastAsia="pl-PL"/>
              </w:rPr>
              <w:t>9.</w:t>
            </w:r>
          </w:p>
        </w:tc>
        <w:tc>
          <w:tcPr>
            <w:tcW w:w="1701" w:type="dxa"/>
          </w:tcPr>
          <w:p w14:paraId="5E03FF9D" w14:textId="77777777"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BN-80/6775-03/04</w:t>
            </w:r>
          </w:p>
        </w:tc>
        <w:tc>
          <w:tcPr>
            <w:tcW w:w="6946" w:type="dxa"/>
            <w:gridSpan w:val="2"/>
          </w:tcPr>
          <w:p w14:paraId="5A7206DF" w14:textId="139F3983" w:rsidR="00E95D02" w:rsidRPr="004853EB" w:rsidRDefault="00E95D02" w:rsidP="00E95D02">
            <w:pPr>
              <w:overflowPunct w:val="0"/>
              <w:autoSpaceDE w:val="0"/>
              <w:autoSpaceDN w:val="0"/>
              <w:adjustRightInd w:val="0"/>
              <w:spacing w:after="0" w:line="240" w:lineRule="auto"/>
              <w:jc w:val="both"/>
              <w:textAlignment w:val="baseline"/>
              <w:rPr>
                <w:rFonts w:eastAsia="Times New Roman" w:cstheme="minorHAnsi"/>
                <w:sz w:val="20"/>
                <w:szCs w:val="20"/>
                <w:lang w:eastAsia="pl-PL"/>
              </w:rPr>
            </w:pPr>
            <w:r w:rsidRPr="004853EB">
              <w:rPr>
                <w:rFonts w:eastAsia="Times New Roman" w:cstheme="minorHAnsi"/>
                <w:sz w:val="20"/>
                <w:szCs w:val="20"/>
                <w:lang w:eastAsia="pl-PL"/>
              </w:rPr>
              <w:t xml:space="preserve">Prefabrykaty budowlane z betonu. Elementy nawierzchni dróg, ulic, parkingów </w:t>
            </w:r>
            <w:r w:rsidR="0082360A">
              <w:rPr>
                <w:rFonts w:eastAsia="Times New Roman" w:cstheme="minorHAnsi"/>
                <w:sz w:val="20"/>
                <w:szCs w:val="20"/>
                <w:lang w:eastAsia="pl-PL"/>
              </w:rPr>
              <w:br/>
            </w:r>
            <w:r w:rsidRPr="004853EB">
              <w:rPr>
                <w:rFonts w:eastAsia="Times New Roman" w:cstheme="minorHAnsi"/>
                <w:sz w:val="20"/>
                <w:szCs w:val="20"/>
                <w:lang w:eastAsia="pl-PL"/>
              </w:rPr>
              <w:t>i torowisk tramwajowych. Krawężniki i obrzeża.</w:t>
            </w:r>
          </w:p>
        </w:tc>
      </w:tr>
    </w:tbl>
    <w:p w14:paraId="05568361" w14:textId="77777777" w:rsidR="00E95D02" w:rsidRPr="004853EB" w:rsidRDefault="00E95D02">
      <w:pPr>
        <w:rPr>
          <w:rFonts w:cstheme="minorHAnsi"/>
        </w:rPr>
      </w:pPr>
    </w:p>
    <w:sectPr w:rsidR="00E95D02" w:rsidRPr="004853EB" w:rsidSect="00336D00">
      <w:footerReference w:type="default" r:id="rId44"/>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C5A0C" w14:textId="77777777" w:rsidR="002151CA" w:rsidRDefault="002151CA" w:rsidP="00BF7EE3">
      <w:pPr>
        <w:spacing w:after="0" w:line="240" w:lineRule="auto"/>
      </w:pPr>
      <w:r>
        <w:separator/>
      </w:r>
    </w:p>
  </w:endnote>
  <w:endnote w:type="continuationSeparator" w:id="0">
    <w:p w14:paraId="358FD406" w14:textId="77777777" w:rsidR="002151CA" w:rsidRDefault="002151CA" w:rsidP="00BF7E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CG Times">
    <w:altName w:val="Times New Roman"/>
    <w:panose1 w:val="00000000000000000000"/>
    <w:charset w:val="EE"/>
    <w:family w:val="roman"/>
    <w:notTrueType/>
    <w:pitch w:val="variable"/>
    <w:sig w:usb0="00000005" w:usb1="00000000" w:usb2="00000000" w:usb3="00000000" w:csb0="00000002" w:csb1="00000000"/>
  </w:font>
  <w:font w:name="Times New">
    <w:altName w:val="Times New Roman"/>
    <w:panose1 w:val="00000000000000000000"/>
    <w:charset w:val="00"/>
    <w:family w:val="roman"/>
    <w:notTrueType/>
    <w:pitch w:val="default"/>
    <w:sig w:usb0="00000003" w:usb1="00000000" w:usb2="00000000" w:usb3="00000000" w:csb0="00000001" w:csb1="00000000"/>
  </w:font>
  <w:font w:name="StarSymbol">
    <w:altName w:val="MS Mincho"/>
    <w:panose1 w:val="00000000000000000000"/>
    <w:charset w:val="80"/>
    <w:family w:val="auto"/>
    <w:notTrueType/>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PL Times New Roman">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ngsanaUPC">
    <w:charset w:val="DE"/>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panose1 w:val="020B0600000101010101"/>
    <w:charset w:val="81"/>
    <w:family w:val="swiss"/>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TimesEE">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5287015"/>
      <w:docPartObj>
        <w:docPartGallery w:val="Page Numbers (Bottom of Page)"/>
        <w:docPartUnique/>
      </w:docPartObj>
    </w:sdtPr>
    <w:sdtEndPr>
      <w:rPr>
        <w:rFonts w:asciiTheme="minorHAnsi" w:hAnsiTheme="minorHAnsi" w:cstheme="minorHAnsi"/>
        <w:sz w:val="20"/>
      </w:rPr>
    </w:sdtEndPr>
    <w:sdtContent>
      <w:p w14:paraId="23D69CD9" w14:textId="77777777" w:rsidR="006C30A7" w:rsidRPr="00BF7EE3" w:rsidRDefault="006C30A7">
        <w:pPr>
          <w:pStyle w:val="Stopka"/>
          <w:jc w:val="right"/>
          <w:rPr>
            <w:rFonts w:asciiTheme="minorHAnsi" w:hAnsiTheme="minorHAnsi" w:cstheme="minorHAnsi"/>
            <w:sz w:val="20"/>
          </w:rPr>
        </w:pPr>
        <w:r w:rsidRPr="00BF7EE3">
          <w:rPr>
            <w:rFonts w:asciiTheme="minorHAnsi" w:hAnsiTheme="minorHAnsi" w:cstheme="minorHAnsi"/>
            <w:sz w:val="20"/>
          </w:rPr>
          <w:fldChar w:fldCharType="begin"/>
        </w:r>
        <w:r w:rsidRPr="00BF7EE3">
          <w:rPr>
            <w:rFonts w:asciiTheme="minorHAnsi" w:hAnsiTheme="minorHAnsi" w:cstheme="minorHAnsi"/>
            <w:sz w:val="20"/>
          </w:rPr>
          <w:instrText>PAGE   \* MERGEFORMAT</w:instrText>
        </w:r>
        <w:r w:rsidRPr="00BF7EE3">
          <w:rPr>
            <w:rFonts w:asciiTheme="minorHAnsi" w:hAnsiTheme="minorHAnsi" w:cstheme="minorHAnsi"/>
            <w:sz w:val="20"/>
          </w:rPr>
          <w:fldChar w:fldCharType="separate"/>
        </w:r>
        <w:r w:rsidR="002962B7">
          <w:rPr>
            <w:rFonts w:asciiTheme="minorHAnsi" w:hAnsiTheme="minorHAnsi" w:cstheme="minorHAnsi"/>
            <w:noProof/>
            <w:sz w:val="20"/>
          </w:rPr>
          <w:t>1</w:t>
        </w:r>
        <w:r w:rsidRPr="00BF7EE3">
          <w:rPr>
            <w:rFonts w:asciiTheme="minorHAnsi" w:hAnsiTheme="minorHAnsi" w:cstheme="minorHAnsi"/>
            <w:sz w:val="20"/>
          </w:rPr>
          <w:fldChar w:fldCharType="end"/>
        </w:r>
      </w:p>
    </w:sdtContent>
  </w:sdt>
  <w:p w14:paraId="7B4C0400" w14:textId="77777777" w:rsidR="006C30A7" w:rsidRDefault="006C30A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482F4" w14:textId="77777777" w:rsidR="002151CA" w:rsidRDefault="002151CA" w:rsidP="00BF7EE3">
      <w:pPr>
        <w:spacing w:after="0" w:line="240" w:lineRule="auto"/>
      </w:pPr>
      <w:r>
        <w:separator/>
      </w:r>
    </w:p>
  </w:footnote>
  <w:footnote w:type="continuationSeparator" w:id="0">
    <w:p w14:paraId="70F567AE" w14:textId="77777777" w:rsidR="002151CA" w:rsidRDefault="002151CA" w:rsidP="00BF7E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6148072"/>
    <w:lvl w:ilvl="0">
      <w:start w:val="1"/>
      <w:numFmt w:val="bullet"/>
      <w:pStyle w:val="NoteLevel1"/>
      <w:lvlText w:val=""/>
      <w:lvlJc w:val="left"/>
      <w:pPr>
        <w:tabs>
          <w:tab w:val="num" w:pos="0"/>
        </w:tabs>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FFFFFF81"/>
    <w:multiLevelType w:val="singleLevel"/>
    <w:tmpl w:val="8EACECFE"/>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8A44ED8"/>
    <w:lvl w:ilvl="0">
      <w:start w:val="1"/>
      <w:numFmt w:val="bullet"/>
      <w:pStyle w:val="Listapunktowana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1EE73DA"/>
    <w:lvl w:ilvl="0">
      <w:start w:val="1"/>
      <w:numFmt w:val="bullet"/>
      <w:pStyle w:val="Listapunktowana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3AC18D4"/>
    <w:lvl w:ilvl="0">
      <w:start w:val="1"/>
      <w:numFmt w:val="decimal"/>
      <w:pStyle w:val="Listanumerowana"/>
      <w:lvlText w:val="%1."/>
      <w:lvlJc w:val="left"/>
      <w:pPr>
        <w:tabs>
          <w:tab w:val="num" w:pos="360"/>
        </w:tabs>
        <w:ind w:left="360" w:hanging="360"/>
      </w:pPr>
      <w:rPr>
        <w:rFonts w:hint="default"/>
      </w:rPr>
    </w:lvl>
  </w:abstractNum>
  <w:abstractNum w:abstractNumId="5" w15:restartNumberingAfterBreak="0">
    <w:nsid w:val="FFFFFFFB"/>
    <w:multiLevelType w:val="multilevel"/>
    <w:tmpl w:val="A94C6C3C"/>
    <w:lvl w:ilvl="0">
      <w:start w:val="1"/>
      <w:numFmt w:val="decimal"/>
      <w:suff w:val="space"/>
      <w:lvlText w:val="%1."/>
      <w:lvlJc w:val="left"/>
      <w:pPr>
        <w:ind w:left="284" w:hanging="284"/>
      </w:pPr>
    </w:lvl>
    <w:lvl w:ilvl="1">
      <w:start w:val="1"/>
      <w:numFmt w:val="decimal"/>
      <w:suff w:val="space"/>
      <w:lvlText w:val="%1.%2."/>
      <w:lvlJc w:val="left"/>
      <w:pPr>
        <w:ind w:left="851" w:hanging="567"/>
      </w:pPr>
    </w:lvl>
    <w:lvl w:ilvl="2">
      <w:start w:val="1"/>
      <w:numFmt w:val="decimal"/>
      <w:suff w:val="space"/>
      <w:lvlText w:val="%1.%2.%3."/>
      <w:lvlJc w:val="left"/>
      <w:pPr>
        <w:ind w:left="1418" w:hanging="567"/>
      </w:pPr>
    </w:lvl>
    <w:lvl w:ilvl="3">
      <w:start w:val="1"/>
      <w:numFmt w:val="decimal"/>
      <w:suff w:val="space"/>
      <w:lvlText w:val="%1.%2.%3.%4."/>
      <w:lvlJc w:val="left"/>
      <w:pPr>
        <w:ind w:left="1985" w:hanging="567"/>
      </w:pPr>
    </w:lvl>
    <w:lvl w:ilvl="4">
      <w:start w:val="1"/>
      <w:numFmt w:val="decimal"/>
      <w:pStyle w:val="Nagwek5"/>
      <w:lvlText w:val="%1.%2.%3.%4.%5."/>
      <w:lvlJc w:val="left"/>
      <w:pPr>
        <w:tabs>
          <w:tab w:val="num" w:pos="0"/>
        </w:tabs>
        <w:ind w:left="2693" w:hanging="708"/>
      </w:pPr>
    </w:lvl>
    <w:lvl w:ilvl="5">
      <w:start w:val="1"/>
      <w:numFmt w:val="decimal"/>
      <w:pStyle w:val="Nagwek6"/>
      <w:lvlText w:val="%1.%2.%3.%4.%5.%6."/>
      <w:lvlJc w:val="left"/>
      <w:pPr>
        <w:tabs>
          <w:tab w:val="num" w:pos="0"/>
        </w:tabs>
        <w:ind w:left="3401" w:hanging="708"/>
      </w:pPr>
    </w:lvl>
    <w:lvl w:ilvl="6">
      <w:start w:val="1"/>
      <w:numFmt w:val="decimal"/>
      <w:pStyle w:val="Nagwek7"/>
      <w:lvlText w:val="%1.%2.%3.%4.%5.%6.%7."/>
      <w:lvlJc w:val="left"/>
      <w:pPr>
        <w:tabs>
          <w:tab w:val="num" w:pos="0"/>
        </w:tabs>
        <w:ind w:left="4109" w:hanging="708"/>
      </w:pPr>
    </w:lvl>
    <w:lvl w:ilvl="7">
      <w:start w:val="1"/>
      <w:numFmt w:val="decimal"/>
      <w:pStyle w:val="Nagwek8"/>
      <w:lvlText w:val="%1.%2.%3.%4.%5.%6.%7.%8."/>
      <w:lvlJc w:val="left"/>
      <w:pPr>
        <w:tabs>
          <w:tab w:val="num" w:pos="0"/>
        </w:tabs>
        <w:ind w:left="4817" w:hanging="708"/>
      </w:pPr>
    </w:lvl>
    <w:lvl w:ilvl="8">
      <w:start w:val="1"/>
      <w:numFmt w:val="decimal"/>
      <w:pStyle w:val="Nagwek9"/>
      <w:lvlText w:val="%1.%2.%3.%4.%5.%6.%7.%8.%9."/>
      <w:lvlJc w:val="left"/>
      <w:pPr>
        <w:tabs>
          <w:tab w:val="num" w:pos="0"/>
        </w:tabs>
        <w:ind w:left="5525" w:hanging="708"/>
      </w:pPr>
    </w:lvl>
  </w:abstractNum>
  <w:abstractNum w:abstractNumId="6" w15:restartNumberingAfterBreak="0">
    <w:nsid w:val="FFFFFFFE"/>
    <w:multiLevelType w:val="singleLevel"/>
    <w:tmpl w:val="9A8A1574"/>
    <w:lvl w:ilvl="0">
      <w:numFmt w:val="bullet"/>
      <w:lvlText w:val="*"/>
      <w:lvlJc w:val="left"/>
    </w:lvl>
  </w:abstractNum>
  <w:abstractNum w:abstractNumId="7" w15:restartNumberingAfterBreak="0">
    <w:nsid w:val="011E1D39"/>
    <w:multiLevelType w:val="hybridMultilevel"/>
    <w:tmpl w:val="3D043B1C"/>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F2460F"/>
    <w:multiLevelType w:val="singleLevel"/>
    <w:tmpl w:val="DE38BEBA"/>
    <w:lvl w:ilvl="0">
      <w:start w:val="17"/>
      <w:numFmt w:val="decimal"/>
      <w:lvlText w:val="%1."/>
      <w:legacy w:legacy="1" w:legacySpace="0" w:legacyIndent="283"/>
      <w:lvlJc w:val="left"/>
      <w:pPr>
        <w:ind w:left="425" w:hanging="283"/>
      </w:pPr>
    </w:lvl>
  </w:abstractNum>
  <w:abstractNum w:abstractNumId="9" w15:restartNumberingAfterBreak="0">
    <w:nsid w:val="0767375C"/>
    <w:multiLevelType w:val="hybridMultilevel"/>
    <w:tmpl w:val="F77CDAF4"/>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76C57E7"/>
    <w:multiLevelType w:val="hybridMultilevel"/>
    <w:tmpl w:val="0010D2A6"/>
    <w:lvl w:ilvl="0" w:tplc="FB2A2230">
      <w:start w:val="1"/>
      <w:numFmt w:val="bullet"/>
      <w:lvlText w:val="–"/>
      <w:lvlJc w:val="left"/>
      <w:pPr>
        <w:tabs>
          <w:tab w:val="num" w:pos="1534"/>
        </w:tabs>
        <w:ind w:left="1534" w:hanging="397"/>
      </w:pPr>
      <w:rPr>
        <w:rFonts w:ascii="Times New Roman" w:hAnsi="Times New Roman" w:cs="Times New Roman" w:hint="default"/>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07E46EA6"/>
    <w:multiLevelType w:val="multilevel"/>
    <w:tmpl w:val="53C65DDA"/>
    <w:lvl w:ilvl="0">
      <w:start w:val="1"/>
      <w:numFmt w:val="decimal"/>
      <w:pStyle w:val="POZIOM1"/>
      <w:lvlText w:val="%1."/>
      <w:lvlJc w:val="left"/>
      <w:pPr>
        <w:ind w:left="502" w:hanging="360"/>
      </w:pPr>
    </w:lvl>
    <w:lvl w:ilvl="1">
      <w:start w:val="1"/>
      <w:numFmt w:val="decimal"/>
      <w:pStyle w:val="POZIOM2"/>
      <w:isLgl/>
      <w:lvlText w:val="%1.%2."/>
      <w:lvlJc w:val="left"/>
      <w:pPr>
        <w:ind w:left="502" w:hanging="360"/>
      </w:pPr>
      <w:rPr>
        <w:rFonts w:hint="default"/>
      </w:rPr>
    </w:lvl>
    <w:lvl w:ilvl="2">
      <w:start w:val="1"/>
      <w:numFmt w:val="decimalZero"/>
      <w:isLgl/>
      <w:lvlText w:val="%1.%2.%3."/>
      <w:lvlJc w:val="left"/>
      <w:pPr>
        <w:ind w:left="862" w:hanging="720"/>
      </w:pPr>
      <w:rPr>
        <w:rFonts w:hint="default"/>
      </w:rPr>
    </w:lvl>
    <w:lvl w:ilvl="3">
      <w:start w:val="1"/>
      <w:numFmt w:val="decimalZero"/>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15:restartNumberingAfterBreak="0">
    <w:nsid w:val="08AE1D16"/>
    <w:multiLevelType w:val="hybridMultilevel"/>
    <w:tmpl w:val="2ADC9F5A"/>
    <w:lvl w:ilvl="0" w:tplc="F6641092">
      <w:start w:val="1"/>
      <w:numFmt w:val="lowerLetter"/>
      <w:lvlText w:val="%1)"/>
      <w:legacy w:legacy="1" w:legacySpace="0" w:legacyIndent="283"/>
      <w:lvlJc w:val="left"/>
      <w:pPr>
        <w:ind w:left="283" w:hanging="283"/>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08B35E69"/>
    <w:multiLevelType w:val="hybridMultilevel"/>
    <w:tmpl w:val="75465EC2"/>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3437C3"/>
    <w:multiLevelType w:val="hybridMultilevel"/>
    <w:tmpl w:val="DB668200"/>
    <w:lvl w:ilvl="0" w:tplc="BCEE87FE">
      <w:start w:val="1"/>
      <w:numFmt w:val="bullet"/>
      <w:pStyle w:val="Punktowanie"/>
      <w:lvlText w:val="-"/>
      <w:lvlJc w:val="left"/>
      <w:pPr>
        <w:tabs>
          <w:tab w:val="num" w:pos="360"/>
        </w:tabs>
        <w:ind w:left="340" w:hanging="34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46754F"/>
    <w:multiLevelType w:val="multilevel"/>
    <w:tmpl w:val="0C9870B0"/>
    <w:styleLink w:val="StylPunktowane"/>
    <w:lvl w:ilvl="0">
      <w:start w:val="1"/>
      <w:numFmt w:val="bullet"/>
      <w:lvlText w:val=""/>
      <w:lvlJc w:val="left"/>
      <w:pPr>
        <w:tabs>
          <w:tab w:val="num" w:pos="680"/>
        </w:tabs>
        <w:ind w:left="680" w:hanging="283"/>
      </w:pPr>
      <w:rPr>
        <w:rFonts w:ascii="Symbol" w:hAnsi="Symbol" w:hint="default"/>
      </w:rPr>
    </w:lvl>
    <w:lvl w:ilvl="1">
      <w:start w:val="1"/>
      <w:numFmt w:val="bullet"/>
      <w:lvlText w:val=""/>
      <w:lvlJc w:val="left"/>
      <w:pPr>
        <w:tabs>
          <w:tab w:val="num" w:pos="2520"/>
        </w:tabs>
        <w:ind w:left="2520" w:hanging="360"/>
      </w:pPr>
      <w:rPr>
        <w:rFonts w:ascii="Symbol" w:hAnsi="Symbol"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0A4A5CEC"/>
    <w:multiLevelType w:val="hybridMultilevel"/>
    <w:tmpl w:val="1D500246"/>
    <w:lvl w:ilvl="0" w:tplc="11E6FDC4">
      <w:start w:val="73"/>
      <w:numFmt w:val="decimal"/>
      <w:lvlText w:val="%1. "/>
      <w:lvlJc w:val="left"/>
      <w:pPr>
        <w:tabs>
          <w:tab w:val="num" w:pos="0"/>
        </w:tabs>
        <w:ind w:left="454" w:hanging="397"/>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A17EE096">
      <w:start w:val="73"/>
      <w:numFmt w:val="decimal"/>
      <w:lvlText w:val="%2. "/>
      <w:lvlJc w:val="left"/>
      <w:pPr>
        <w:ind w:left="1440" w:hanging="360"/>
      </w:pPr>
      <w:rPr>
        <w:rFonts w:ascii="Times New Roman" w:hAnsi="Times New Roman" w:cs="Times New Roman" w:hint="default"/>
        <w:b w:val="0"/>
        <w:i w:val="0"/>
        <w:caps w:val="0"/>
        <w:strike w:val="0"/>
        <w:dstrike w:val="0"/>
        <w:outline w:val="0"/>
        <w:shadow w:val="0"/>
        <w:emboss w:val="0"/>
        <w:imprint w:val="0"/>
        <w:vanish w:val="0"/>
        <w:sz w:val="20"/>
        <w:szCs w:val="20"/>
        <w:u w:val="none"/>
        <w:vertAlign w:val="baseli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A576AA3"/>
    <w:multiLevelType w:val="multilevel"/>
    <w:tmpl w:val="6FA6CC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0B9A52D0"/>
    <w:multiLevelType w:val="multilevel"/>
    <w:tmpl w:val="92FEB3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0BA277A5"/>
    <w:multiLevelType w:val="hybridMultilevel"/>
    <w:tmpl w:val="735E728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C18331B"/>
    <w:multiLevelType w:val="hybridMultilevel"/>
    <w:tmpl w:val="03761B16"/>
    <w:lvl w:ilvl="0" w:tplc="DF0C7486">
      <w:start w:val="1"/>
      <w:numFmt w:val="lowerLetter"/>
      <w:lvlText w:val="%1)"/>
      <w:lvlJc w:val="left"/>
      <w:pPr>
        <w:tabs>
          <w:tab w:val="num" w:pos="0"/>
        </w:tabs>
        <w:ind w:left="283" w:hanging="283"/>
      </w:pPr>
      <w:rPr>
        <w:rFonts w:hint="default"/>
      </w:rPr>
    </w:lvl>
    <w:lvl w:ilvl="1" w:tplc="D410FAD4">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0CB1228D"/>
    <w:multiLevelType w:val="hybridMultilevel"/>
    <w:tmpl w:val="5F7A27E0"/>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22" w15:restartNumberingAfterBreak="0">
    <w:nsid w:val="0CF25725"/>
    <w:multiLevelType w:val="hybridMultilevel"/>
    <w:tmpl w:val="EA22D3C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E2C5C06"/>
    <w:multiLevelType w:val="hybridMultilevel"/>
    <w:tmpl w:val="26420C18"/>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E8B2368"/>
    <w:multiLevelType w:val="hybridMultilevel"/>
    <w:tmpl w:val="21E4717C"/>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0400852"/>
    <w:multiLevelType w:val="hybridMultilevel"/>
    <w:tmpl w:val="898A0B42"/>
    <w:lvl w:ilvl="0" w:tplc="2ADCB508">
      <w:start w:val="24"/>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2B431E7"/>
    <w:multiLevelType w:val="hybridMultilevel"/>
    <w:tmpl w:val="65142F2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131E169E"/>
    <w:multiLevelType w:val="singleLevel"/>
    <w:tmpl w:val="9240426A"/>
    <w:lvl w:ilvl="0">
      <w:start w:val="1"/>
      <w:numFmt w:val="decimal"/>
      <w:lvlText w:val="%1. "/>
      <w:legacy w:legacy="1" w:legacySpace="0" w:legacyIndent="283"/>
      <w:lvlJc w:val="left"/>
      <w:pPr>
        <w:ind w:left="283" w:hanging="283"/>
      </w:pPr>
      <w:rPr>
        <w:rFonts w:asciiTheme="minorHAnsi" w:hAnsiTheme="minorHAnsi" w:cstheme="minorHAnsi" w:hint="default"/>
        <w:b w:val="0"/>
        <w:i w:val="0"/>
        <w:sz w:val="20"/>
        <w:u w:val="none"/>
      </w:rPr>
    </w:lvl>
  </w:abstractNum>
  <w:abstractNum w:abstractNumId="29" w15:restartNumberingAfterBreak="0">
    <w:nsid w:val="134D1DD9"/>
    <w:multiLevelType w:val="singleLevel"/>
    <w:tmpl w:val="F536A096"/>
    <w:lvl w:ilvl="0">
      <w:start w:val="1"/>
      <w:numFmt w:val="lowerLetter"/>
      <w:lvlText w:val="%1)"/>
      <w:legacy w:legacy="1" w:legacySpace="0" w:legacyIndent="283"/>
      <w:lvlJc w:val="left"/>
      <w:pPr>
        <w:ind w:left="283" w:hanging="283"/>
      </w:pPr>
    </w:lvl>
  </w:abstractNum>
  <w:abstractNum w:abstractNumId="30" w15:restartNumberingAfterBreak="0">
    <w:nsid w:val="14665071"/>
    <w:multiLevelType w:val="hybridMultilevel"/>
    <w:tmpl w:val="93E6483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48F5DC4"/>
    <w:multiLevelType w:val="hybridMultilevel"/>
    <w:tmpl w:val="E9B422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5436DA2"/>
    <w:multiLevelType w:val="hybridMultilevel"/>
    <w:tmpl w:val="791EE82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161C6D1D"/>
    <w:multiLevelType w:val="multilevel"/>
    <w:tmpl w:val="0C8461EC"/>
    <w:lvl w:ilvl="0">
      <w:start w:val="1"/>
      <w:numFmt w:val="decimal"/>
      <w:pStyle w:val="PUNKTY11"/>
      <w:suff w:val="space"/>
      <w:lvlText w:val="%1."/>
      <w:lvlJc w:val="left"/>
      <w:pPr>
        <w:ind w:left="170" w:hanging="17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PUNKTY212"/>
      <w:suff w:val="space"/>
      <w:lvlText w:val="%1.%2."/>
      <w:lvlJc w:val="left"/>
      <w:pPr>
        <w:ind w:left="360" w:firstLine="0"/>
      </w:pPr>
      <w:rPr>
        <w:rFonts w:cs="Times New Roman"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2">
      <w:start w:val="1"/>
      <w:numFmt w:val="decimal"/>
      <w:pStyle w:val="PUNKTY3123"/>
      <w:suff w:val="space"/>
      <w:lvlText w:val="%1.%2.%3."/>
      <w:lvlJc w:val="left"/>
      <w:pPr>
        <w:ind w:left="239" w:firstLine="187"/>
      </w:pPr>
      <w:rPr>
        <w:rFonts w:cs="Times New Roman"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3">
      <w:start w:val="1"/>
      <w:numFmt w:val="decimal"/>
      <w:pStyle w:val="PUNKTY4"/>
      <w:suff w:val="space"/>
      <w:lvlText w:val="%1.%2.%3.%4."/>
      <w:lvlJc w:val="left"/>
      <w:pPr>
        <w:ind w:left="357" w:firstLine="4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6A91690"/>
    <w:multiLevelType w:val="hybridMultilevel"/>
    <w:tmpl w:val="AABA24E6"/>
    <w:lvl w:ilvl="0" w:tplc="D35AB624">
      <w:start w:val="1"/>
      <w:numFmt w:val="bullet"/>
      <w:lvlText w:val="–"/>
      <w:lvlJc w:val="left"/>
      <w:pPr>
        <w:tabs>
          <w:tab w:val="num" w:pos="397"/>
        </w:tabs>
        <w:ind w:left="397" w:hanging="397"/>
      </w:pPr>
      <w:rPr>
        <w:rFonts w:ascii="Times New Roman" w:hAnsi="Times New Roman" w:cs="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36" w15:restartNumberingAfterBreak="0">
    <w:nsid w:val="17C807F2"/>
    <w:multiLevelType w:val="hybridMultilevel"/>
    <w:tmpl w:val="F8A8D1E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8B504B0"/>
    <w:multiLevelType w:val="singleLevel"/>
    <w:tmpl w:val="EF84248A"/>
    <w:lvl w:ilvl="0">
      <w:start w:val="1"/>
      <w:numFmt w:val="lowerLetter"/>
      <w:lvlText w:val="(%1)"/>
      <w:legacy w:legacy="1" w:legacySpace="0" w:legacyIndent="283"/>
      <w:lvlJc w:val="left"/>
      <w:pPr>
        <w:ind w:left="283" w:hanging="283"/>
      </w:pPr>
    </w:lvl>
  </w:abstractNum>
  <w:abstractNum w:abstractNumId="38" w15:restartNumberingAfterBreak="0">
    <w:nsid w:val="18F11D03"/>
    <w:multiLevelType w:val="hybridMultilevel"/>
    <w:tmpl w:val="3AD42ADE"/>
    <w:lvl w:ilvl="0" w:tplc="92BEE5C6">
      <w:start w:val="1"/>
      <w:numFmt w:val="lowerLetter"/>
      <w:lvlText w:val="%1)"/>
      <w:lvlJc w:val="left"/>
      <w:pPr>
        <w:tabs>
          <w:tab w:val="num" w:pos="720"/>
        </w:tabs>
        <w:ind w:left="720" w:hanging="360"/>
      </w:pPr>
      <w:rPr>
        <w:rFonts w:hint="default"/>
      </w:r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19FE6730"/>
    <w:multiLevelType w:val="hybridMultilevel"/>
    <w:tmpl w:val="EBF4B58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1B8C7A12"/>
    <w:multiLevelType w:val="hybridMultilevel"/>
    <w:tmpl w:val="99E42DFA"/>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1D237B20"/>
    <w:multiLevelType w:val="hybridMultilevel"/>
    <w:tmpl w:val="9820720A"/>
    <w:lvl w:ilvl="0" w:tplc="51D6104E">
      <w:start w:val="20"/>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1DCE0C0C"/>
    <w:multiLevelType w:val="singleLevel"/>
    <w:tmpl w:val="C13EE79E"/>
    <w:styleLink w:val="StylPunktowane2"/>
    <w:lvl w:ilvl="0">
      <w:start w:val="10"/>
      <w:numFmt w:val="decimal"/>
      <w:lvlText w:val="1.4.%1. "/>
      <w:legacy w:legacy="1" w:legacySpace="0" w:legacyIndent="283"/>
      <w:lvlJc w:val="left"/>
      <w:pPr>
        <w:ind w:left="283" w:hanging="283"/>
      </w:pPr>
      <w:rPr>
        <w:rFonts w:ascii="Times New Roman" w:hAnsi="Times New Roman" w:cs="Times New Roman" w:hint="default"/>
        <w:b/>
        <w:i w:val="0"/>
        <w:sz w:val="20"/>
        <w:u w:val="none"/>
      </w:rPr>
    </w:lvl>
  </w:abstractNum>
  <w:abstractNum w:abstractNumId="43" w15:restartNumberingAfterBreak="0">
    <w:nsid w:val="1E776888"/>
    <w:multiLevelType w:val="singleLevel"/>
    <w:tmpl w:val="F13650F8"/>
    <w:lvl w:ilvl="0">
      <w:start w:val="1"/>
      <w:numFmt w:val="decimal"/>
      <w:lvlText w:val="%1)"/>
      <w:legacy w:legacy="1" w:legacySpace="0" w:legacyIndent="283"/>
      <w:lvlJc w:val="left"/>
      <w:pPr>
        <w:ind w:left="567" w:hanging="283"/>
      </w:pPr>
      <w:rPr>
        <w:rFonts w:ascii="Times New Roman" w:hAnsi="Times New Roman" w:cs="Times New Roman" w:hint="default"/>
      </w:rPr>
    </w:lvl>
  </w:abstractNum>
  <w:abstractNum w:abstractNumId="44" w15:restartNumberingAfterBreak="0">
    <w:nsid w:val="2094777E"/>
    <w:multiLevelType w:val="hybridMultilevel"/>
    <w:tmpl w:val="E072F912"/>
    <w:styleLink w:val="StylPunktowane11"/>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0CE48B7"/>
    <w:multiLevelType w:val="hybridMultilevel"/>
    <w:tmpl w:val="A25E8BE8"/>
    <w:lvl w:ilvl="0" w:tplc="F2E85CEE">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3FB1CAE"/>
    <w:multiLevelType w:val="hybridMultilevel"/>
    <w:tmpl w:val="50A404E8"/>
    <w:lvl w:ilvl="0" w:tplc="B2CE3F64">
      <w:start w:val="1"/>
      <w:numFmt w:val="bullet"/>
      <w:pStyle w:val="Bezodstpw1"/>
      <w:lvlText w:val=""/>
      <w:lvlJc w:val="left"/>
      <w:pPr>
        <w:ind w:left="786"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45C1C15"/>
    <w:multiLevelType w:val="hybridMultilevel"/>
    <w:tmpl w:val="7940FD62"/>
    <w:lvl w:ilvl="0" w:tplc="25C0A8FE">
      <w:start w:val="69"/>
      <w:numFmt w:val="decimal"/>
      <w:lvlText w:val="%1. "/>
      <w:lvlJc w:val="left"/>
      <w:pPr>
        <w:ind w:left="1070" w:hanging="360"/>
      </w:pPr>
      <w:rPr>
        <w:rFonts w:ascii="Times New Roman" w:hAnsi="Times New Roman" w:cs="Times New Roman" w:hint="default"/>
        <w:b w:val="0"/>
        <w:i w:val="0"/>
        <w:caps w:val="0"/>
        <w:strike w:val="0"/>
        <w:dstrike w:val="0"/>
        <w:outline w:val="0"/>
        <w:shadow w:val="0"/>
        <w:emboss w:val="0"/>
        <w:imprint w:val="0"/>
        <w:vanish w:val="0"/>
        <w:sz w:val="20"/>
        <w:szCs w:val="20"/>
        <w:u w:val="none"/>
        <w:vertAlign w:val="baseline"/>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8" w15:restartNumberingAfterBreak="0">
    <w:nsid w:val="25073300"/>
    <w:multiLevelType w:val="hybridMultilevel"/>
    <w:tmpl w:val="7D8CDA90"/>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15:restartNumberingAfterBreak="0">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256C5D89"/>
    <w:multiLevelType w:val="singleLevel"/>
    <w:tmpl w:val="A9500FC6"/>
    <w:lvl w:ilvl="0">
      <w:start w:val="2"/>
      <w:numFmt w:val="lowerLetter"/>
      <w:lvlText w:val="%1)"/>
      <w:legacy w:legacy="1" w:legacySpace="0" w:legacyIndent="360"/>
      <w:lvlJc w:val="left"/>
      <w:rPr>
        <w:rFonts w:ascii="Times New Roman" w:hAnsi="Times New Roman" w:cs="Times New Roman" w:hint="default"/>
      </w:rPr>
    </w:lvl>
  </w:abstractNum>
  <w:abstractNum w:abstractNumId="51" w15:restartNumberingAfterBreak="0">
    <w:nsid w:val="26357EE0"/>
    <w:multiLevelType w:val="hybridMultilevel"/>
    <w:tmpl w:val="5A46CB6C"/>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52" w15:restartNumberingAfterBreak="0">
    <w:nsid w:val="26F25219"/>
    <w:multiLevelType w:val="hybridMultilevel"/>
    <w:tmpl w:val="955ED24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27411CF7"/>
    <w:multiLevelType w:val="hybridMultilevel"/>
    <w:tmpl w:val="E6E689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A6B7FF0"/>
    <w:multiLevelType w:val="singleLevel"/>
    <w:tmpl w:val="EF84248A"/>
    <w:lvl w:ilvl="0">
      <w:start w:val="1"/>
      <w:numFmt w:val="lowerLetter"/>
      <w:lvlText w:val="(%1)"/>
      <w:legacy w:legacy="1" w:legacySpace="0" w:legacyIndent="283"/>
      <w:lvlJc w:val="left"/>
      <w:pPr>
        <w:ind w:left="283" w:hanging="283"/>
      </w:pPr>
    </w:lvl>
  </w:abstractNum>
  <w:abstractNum w:abstractNumId="55" w15:restartNumberingAfterBreak="0">
    <w:nsid w:val="2A6E7EF6"/>
    <w:multiLevelType w:val="hybridMultilevel"/>
    <w:tmpl w:val="029EAB9A"/>
    <w:lvl w:ilvl="0" w:tplc="FB2A2230">
      <w:start w:val="1"/>
      <w:numFmt w:val="bullet"/>
      <w:lvlText w:val="–"/>
      <w:lvlJc w:val="left"/>
      <w:pPr>
        <w:tabs>
          <w:tab w:val="num" w:pos="814"/>
        </w:tabs>
        <w:ind w:left="814" w:hanging="397"/>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2AE42992"/>
    <w:multiLevelType w:val="multilevel"/>
    <w:tmpl w:val="566E2A8A"/>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pStyle w:val="POZIOM3"/>
      <w:lvlText w:val="%1.%2.%3."/>
      <w:lvlJc w:val="left"/>
      <w:pPr>
        <w:ind w:left="720" w:hanging="720"/>
      </w:pPr>
      <w:rPr>
        <w:rFonts w:hint="default"/>
      </w:rPr>
    </w:lvl>
    <w:lvl w:ilvl="3">
      <w:start w:val="1"/>
      <w:numFmt w:val="decimal"/>
      <w:pStyle w:val="POZIOM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2B0F2224"/>
    <w:multiLevelType w:val="hybridMultilevel"/>
    <w:tmpl w:val="E7F646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C1841DF"/>
    <w:multiLevelType w:val="hybridMultilevel"/>
    <w:tmpl w:val="DF3A3DA6"/>
    <w:lvl w:ilvl="0" w:tplc="032ADED6">
      <w:start w:val="1"/>
      <w:numFmt w:val="bullet"/>
      <w:pStyle w:val="PUNKTOWANIE0"/>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2C323CDF"/>
    <w:multiLevelType w:val="singleLevel"/>
    <w:tmpl w:val="B1CEA0A4"/>
    <w:lvl w:ilvl="0">
      <w:start w:val="1"/>
      <w:numFmt w:val="lowerLetter"/>
      <w:lvlText w:val="%1)"/>
      <w:legacy w:legacy="1" w:legacySpace="0" w:legacyIndent="360"/>
      <w:lvlJc w:val="left"/>
      <w:pPr>
        <w:ind w:left="0" w:firstLine="0"/>
      </w:pPr>
      <w:rPr>
        <w:rFonts w:ascii="Times New Roman" w:hAnsi="Times New Roman" w:cs="Times New Roman" w:hint="default"/>
      </w:rPr>
    </w:lvl>
  </w:abstractNum>
  <w:abstractNum w:abstractNumId="60" w15:restartNumberingAfterBreak="0">
    <w:nsid w:val="2C962369"/>
    <w:multiLevelType w:val="hybridMultilevel"/>
    <w:tmpl w:val="49C43830"/>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E6D4F57"/>
    <w:multiLevelType w:val="hybridMultilevel"/>
    <w:tmpl w:val="DEE81174"/>
    <w:lvl w:ilvl="0" w:tplc="0E88EBD2">
      <w:start w:val="1"/>
      <w:numFmt w:val="decimal"/>
      <w:lvlText w:val="%1)"/>
      <w:lvlJc w:val="right"/>
      <w:pPr>
        <w:tabs>
          <w:tab w:val="num" w:pos="720"/>
        </w:tabs>
        <w:ind w:left="720" w:hanging="360"/>
      </w:pPr>
      <w:rPr>
        <w:rFonts w:hint="default"/>
        <w:b w:val="0"/>
        <w:i w:val="0"/>
        <w:sz w:val="24"/>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2F242BE1"/>
    <w:multiLevelType w:val="hybridMultilevel"/>
    <w:tmpl w:val="4456092C"/>
    <w:lvl w:ilvl="0" w:tplc="F6641092">
      <w:start w:val="1"/>
      <w:numFmt w:val="lowerLetter"/>
      <w:lvlText w:val="%1)"/>
      <w:legacy w:legacy="1" w:legacySpace="0" w:legacyIndent="283"/>
      <w:lvlJc w:val="left"/>
      <w:pPr>
        <w:ind w:left="283" w:hanging="283"/>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3" w15:restartNumberingAfterBreak="0">
    <w:nsid w:val="2FAE7338"/>
    <w:multiLevelType w:val="hybridMultilevel"/>
    <w:tmpl w:val="7A602668"/>
    <w:styleLink w:val="Punktowane22"/>
    <w:lvl w:ilvl="0" w:tplc="52A61A1E">
      <w:start w:val="8"/>
      <w:numFmt w:val="decimal"/>
      <w:lvlText w:val="%1."/>
      <w:lvlJc w:val="left"/>
      <w:pPr>
        <w:tabs>
          <w:tab w:val="num" w:pos="502"/>
        </w:tabs>
        <w:ind w:left="502" w:hanging="360"/>
      </w:pPr>
      <w:rPr>
        <w:rFonts w:hint="default"/>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64" w15:restartNumberingAfterBreak="0">
    <w:nsid w:val="30EB6CC3"/>
    <w:multiLevelType w:val="hybridMultilevel"/>
    <w:tmpl w:val="7592E472"/>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1682659"/>
    <w:multiLevelType w:val="hybridMultilevel"/>
    <w:tmpl w:val="CFCC7924"/>
    <w:lvl w:ilvl="0" w:tplc="F6641092">
      <w:start w:val="1"/>
      <w:numFmt w:val="lowerLetter"/>
      <w:lvlText w:val="%1)"/>
      <w:legacy w:legacy="1" w:legacySpace="0" w:legacyIndent="283"/>
      <w:lvlJc w:val="left"/>
      <w:pPr>
        <w:ind w:left="283" w:hanging="283"/>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6" w15:restartNumberingAfterBreak="0">
    <w:nsid w:val="324B3546"/>
    <w:multiLevelType w:val="hybridMultilevel"/>
    <w:tmpl w:val="16B0E12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33AA2D7F"/>
    <w:multiLevelType w:val="hybridMultilevel"/>
    <w:tmpl w:val="263418C2"/>
    <w:lvl w:ilvl="0" w:tplc="04150017">
      <w:start w:val="4"/>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33E04533"/>
    <w:multiLevelType w:val="singleLevel"/>
    <w:tmpl w:val="F65A60C8"/>
    <w:lvl w:ilvl="0">
      <w:start w:val="1"/>
      <w:numFmt w:val="lowerLetter"/>
      <w:lvlText w:val="%1)"/>
      <w:legacy w:legacy="1" w:legacySpace="0" w:legacyIndent="283"/>
      <w:lvlJc w:val="left"/>
      <w:pPr>
        <w:ind w:left="283" w:hanging="283"/>
      </w:pPr>
    </w:lvl>
  </w:abstractNum>
  <w:abstractNum w:abstractNumId="69" w15:restartNumberingAfterBreak="0">
    <w:nsid w:val="34130D35"/>
    <w:multiLevelType w:val="hybridMultilevel"/>
    <w:tmpl w:val="9D16E1EC"/>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4BE22AD"/>
    <w:multiLevelType w:val="hybridMultilevel"/>
    <w:tmpl w:val="C0503BA8"/>
    <w:lvl w:ilvl="0" w:tplc="04150001">
      <w:start w:val="1"/>
      <w:numFmt w:val="bullet"/>
      <w:pStyle w:val="LISTA1-"/>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55D73EB"/>
    <w:multiLevelType w:val="hybridMultilevel"/>
    <w:tmpl w:val="8B48DA32"/>
    <w:lvl w:ilvl="0" w:tplc="F20AE988">
      <w:start w:val="1"/>
      <w:numFmt w:val="lowerLetter"/>
      <w:lvlText w:val="%1)"/>
      <w:lvlJc w:val="left"/>
      <w:pPr>
        <w:tabs>
          <w:tab w:val="num" w:pos="795"/>
        </w:tabs>
        <w:ind w:left="79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73" w15:restartNumberingAfterBreak="0">
    <w:nsid w:val="365525FA"/>
    <w:multiLevelType w:val="multilevel"/>
    <w:tmpl w:val="25B05C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tylStylNagwek3DolewejZlewej0cmPierwszywiersz01"/>
      <w:lvlText w:val="%1.%2.%3"/>
      <w:lvlJc w:val="left"/>
      <w:pPr>
        <w:tabs>
          <w:tab w:val="num" w:pos="2041"/>
        </w:tabs>
        <w:ind w:left="2041" w:hanging="204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37877501"/>
    <w:multiLevelType w:val="multilevel"/>
    <w:tmpl w:val="E9F01D56"/>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5" w15:restartNumberingAfterBreak="0">
    <w:nsid w:val="379045FD"/>
    <w:multiLevelType w:val="singleLevel"/>
    <w:tmpl w:val="6F64DF4E"/>
    <w:lvl w:ilvl="0">
      <w:numFmt w:val="bullet"/>
      <w:pStyle w:val="Lista-"/>
      <w:lvlText w:val="-"/>
      <w:lvlJc w:val="left"/>
      <w:pPr>
        <w:tabs>
          <w:tab w:val="num" w:pos="397"/>
        </w:tabs>
        <w:ind w:left="397" w:hanging="397"/>
      </w:pPr>
      <w:rPr>
        <w:rFonts w:hint="default"/>
      </w:rPr>
    </w:lvl>
  </w:abstractNum>
  <w:abstractNum w:abstractNumId="76" w15:restartNumberingAfterBreak="0">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39693FB7"/>
    <w:multiLevelType w:val="hybridMultilevel"/>
    <w:tmpl w:val="40E4C06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9831653"/>
    <w:multiLevelType w:val="hybridMultilevel"/>
    <w:tmpl w:val="46EC43C4"/>
    <w:styleLink w:val="Punktowane21"/>
    <w:lvl w:ilvl="0" w:tplc="04150001">
      <w:start w:val="1"/>
      <w:numFmt w:val="bullet"/>
      <w:lvlText w:val="-"/>
      <w:lvlJc w:val="left"/>
      <w:pPr>
        <w:ind w:left="360" w:hanging="360"/>
      </w:pPr>
      <w:rPr>
        <w:rFonts w:ascii="SimSun-ExtB" w:eastAsia="SimSun-ExtB" w:hAnsi="SimSun-ExtB" w:hint="eastAsia"/>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39AC4146"/>
    <w:multiLevelType w:val="singleLevel"/>
    <w:tmpl w:val="A6348208"/>
    <w:lvl w:ilvl="0">
      <w:start w:val="1"/>
      <w:numFmt w:val="lowerLetter"/>
      <w:lvlText w:val="%1)"/>
      <w:legacy w:legacy="1" w:legacySpace="0" w:legacyIndent="284"/>
      <w:lvlJc w:val="left"/>
      <w:pPr>
        <w:ind w:left="284" w:hanging="284"/>
      </w:pPr>
    </w:lvl>
  </w:abstractNum>
  <w:abstractNum w:abstractNumId="80" w15:restartNumberingAfterBreak="0">
    <w:nsid w:val="3A587210"/>
    <w:multiLevelType w:val="singleLevel"/>
    <w:tmpl w:val="21C615E8"/>
    <w:lvl w:ilvl="0">
      <w:start w:val="1"/>
      <w:numFmt w:val="decimal"/>
      <w:lvlText w:val="%1)"/>
      <w:legacy w:legacy="1" w:legacySpace="0" w:legacyIndent="283"/>
      <w:lvlJc w:val="left"/>
      <w:pPr>
        <w:ind w:left="283" w:hanging="283"/>
      </w:pPr>
    </w:lvl>
  </w:abstractNum>
  <w:abstractNum w:abstractNumId="81" w15:restartNumberingAfterBreak="0">
    <w:nsid w:val="3AE365C2"/>
    <w:multiLevelType w:val="hybridMultilevel"/>
    <w:tmpl w:val="3C26DD84"/>
    <w:lvl w:ilvl="0" w:tplc="721C14A0">
      <w:start w:val="9"/>
      <w:numFmt w:val="decimal"/>
      <w:lvlText w:val="%1."/>
      <w:lvlJc w:val="left"/>
      <w:pPr>
        <w:tabs>
          <w:tab w:val="num" w:pos="862"/>
        </w:tabs>
        <w:ind w:left="862" w:hanging="360"/>
      </w:pPr>
      <w:rPr>
        <w:rFonts w:hint="default"/>
      </w:r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82" w15:restartNumberingAfterBreak="0">
    <w:nsid w:val="3AF33B07"/>
    <w:multiLevelType w:val="singleLevel"/>
    <w:tmpl w:val="649E99C6"/>
    <w:lvl w:ilvl="0">
      <w:start w:val="1"/>
      <w:numFmt w:val="lowerLetter"/>
      <w:lvlText w:val="%1)"/>
      <w:legacy w:legacy="1" w:legacySpace="0" w:legacyIndent="283"/>
      <w:lvlJc w:val="left"/>
      <w:pPr>
        <w:ind w:left="283" w:hanging="283"/>
      </w:pPr>
    </w:lvl>
  </w:abstractNum>
  <w:abstractNum w:abstractNumId="83" w15:restartNumberingAfterBreak="0">
    <w:nsid w:val="3E75551C"/>
    <w:multiLevelType w:val="singleLevel"/>
    <w:tmpl w:val="A126CC0C"/>
    <w:lvl w:ilvl="0">
      <w:start w:val="1"/>
      <w:numFmt w:val="decimal"/>
      <w:lvlText w:val="%1."/>
      <w:legacy w:legacy="1" w:legacySpace="0" w:legacyIndent="283"/>
      <w:lvlJc w:val="left"/>
      <w:pPr>
        <w:ind w:left="283" w:hanging="283"/>
      </w:pPr>
    </w:lvl>
  </w:abstractNum>
  <w:abstractNum w:abstractNumId="84" w15:restartNumberingAfterBreak="0">
    <w:nsid w:val="3F682E28"/>
    <w:multiLevelType w:val="hybridMultilevel"/>
    <w:tmpl w:val="D9902012"/>
    <w:lvl w:ilvl="0" w:tplc="3F3E9CA4">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3FDF1AC8"/>
    <w:multiLevelType w:val="hybridMultilevel"/>
    <w:tmpl w:val="50900A0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421A2691"/>
    <w:multiLevelType w:val="hybridMultilevel"/>
    <w:tmpl w:val="9AD2D4CE"/>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42A91922"/>
    <w:multiLevelType w:val="hybridMultilevel"/>
    <w:tmpl w:val="BA46923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43DB5EFC"/>
    <w:multiLevelType w:val="singleLevel"/>
    <w:tmpl w:val="649E99C6"/>
    <w:lvl w:ilvl="0">
      <w:start w:val="1"/>
      <w:numFmt w:val="lowerLetter"/>
      <w:lvlText w:val="%1)"/>
      <w:legacy w:legacy="1" w:legacySpace="0" w:legacyIndent="283"/>
      <w:lvlJc w:val="left"/>
      <w:pPr>
        <w:ind w:left="283" w:hanging="283"/>
      </w:pPr>
    </w:lvl>
  </w:abstractNum>
  <w:abstractNum w:abstractNumId="90" w15:restartNumberingAfterBreak="0">
    <w:nsid w:val="44635412"/>
    <w:multiLevelType w:val="hybridMultilevel"/>
    <w:tmpl w:val="EBD03E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92" w15:restartNumberingAfterBreak="0">
    <w:nsid w:val="46166CF4"/>
    <w:multiLevelType w:val="singleLevel"/>
    <w:tmpl w:val="703E851C"/>
    <w:lvl w:ilvl="0">
      <w:start w:val="2"/>
      <w:numFmt w:val="decimal"/>
      <w:lvlText w:val="%1."/>
      <w:lvlJc w:val="left"/>
      <w:pPr>
        <w:tabs>
          <w:tab w:val="num" w:pos="0"/>
        </w:tabs>
        <w:ind w:left="283" w:hanging="283"/>
      </w:pPr>
      <w:rPr>
        <w:rFonts w:hint="default"/>
      </w:rPr>
    </w:lvl>
  </w:abstractNum>
  <w:abstractNum w:abstractNumId="93" w15:restartNumberingAfterBreak="0">
    <w:nsid w:val="464A3D18"/>
    <w:multiLevelType w:val="hybridMultilevel"/>
    <w:tmpl w:val="E49A8E5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464D4539"/>
    <w:multiLevelType w:val="hybridMultilevel"/>
    <w:tmpl w:val="9E2A2AB0"/>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475B34CD"/>
    <w:multiLevelType w:val="hybridMultilevel"/>
    <w:tmpl w:val="CC963FBE"/>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6" w15:restartNumberingAfterBreak="0">
    <w:nsid w:val="48662E65"/>
    <w:multiLevelType w:val="singleLevel"/>
    <w:tmpl w:val="4CD29AA8"/>
    <w:lvl w:ilvl="0">
      <w:start w:val="1"/>
      <w:numFmt w:val="lowerLetter"/>
      <w:lvlText w:val="%1)"/>
      <w:legacy w:legacy="1" w:legacySpace="0" w:legacyIndent="283"/>
      <w:lvlJc w:val="left"/>
      <w:pPr>
        <w:ind w:left="283" w:hanging="283"/>
      </w:pPr>
    </w:lvl>
  </w:abstractNum>
  <w:abstractNum w:abstractNumId="97" w15:restartNumberingAfterBreak="0">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48FC2E52"/>
    <w:multiLevelType w:val="hybridMultilevel"/>
    <w:tmpl w:val="8CF40C78"/>
    <w:lvl w:ilvl="0" w:tplc="D35AB624">
      <w:start w:val="1"/>
      <w:numFmt w:val="bullet"/>
      <w:lvlText w:val="–"/>
      <w:lvlJc w:val="left"/>
      <w:pPr>
        <w:tabs>
          <w:tab w:val="num" w:pos="397"/>
        </w:tabs>
        <w:ind w:left="397" w:hanging="397"/>
      </w:pPr>
      <w:rPr>
        <w:rFonts w:ascii="Times New Roman" w:hAnsi="Times New Roman" w:cs="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99" w15:restartNumberingAfterBreak="0">
    <w:nsid w:val="498D6C3F"/>
    <w:multiLevelType w:val="hybridMultilevel"/>
    <w:tmpl w:val="0074C0F6"/>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49ED5069"/>
    <w:multiLevelType w:val="hybridMultilevel"/>
    <w:tmpl w:val="28C8C63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4E636EC8"/>
    <w:multiLevelType w:val="hybridMultilevel"/>
    <w:tmpl w:val="541AB96C"/>
    <w:lvl w:ilvl="0" w:tplc="04150001">
      <w:start w:val="1"/>
      <w:numFmt w:val="decimal"/>
      <w:pStyle w:val="TEKSTDEF"/>
      <w:lvlText w:val="1.4.%1."/>
      <w:lvlJc w:val="left"/>
      <w:pPr>
        <w:tabs>
          <w:tab w:val="num" w:pos="454"/>
        </w:tabs>
        <w:ind w:left="360" w:hanging="360"/>
      </w:pPr>
      <w:rPr>
        <w:rFonts w:hint="default"/>
        <w:b/>
        <w:i w:val="0"/>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3" w15:restartNumberingAfterBreak="0">
    <w:nsid w:val="4E874B3C"/>
    <w:multiLevelType w:val="hybridMultilevel"/>
    <w:tmpl w:val="FA9E18AC"/>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EB24307"/>
    <w:multiLevelType w:val="hybridMultilevel"/>
    <w:tmpl w:val="CFDCC9F6"/>
    <w:lvl w:ilvl="0" w:tplc="9EBACA30">
      <w:start w:val="70"/>
      <w:numFmt w:val="decimal"/>
      <w:lvlText w:val="%1. "/>
      <w:lvlJc w:val="left"/>
      <w:pPr>
        <w:tabs>
          <w:tab w:val="num" w:pos="0"/>
        </w:tabs>
        <w:ind w:left="454" w:hanging="397"/>
      </w:pPr>
      <w:rPr>
        <w:rFonts w:ascii="Times New Roman" w:hAnsi="Times New Roman" w:cs="Times New Roman" w:hint="default"/>
        <w:b w:val="0"/>
        <w:i w:val="0"/>
        <w:caps w:val="0"/>
        <w:strike w:val="0"/>
        <w:dstrike w:val="0"/>
        <w:outline w:val="0"/>
        <w:shadow w:val="0"/>
        <w:emboss w:val="0"/>
        <w:imprint w:val="0"/>
        <w:vanish w:val="0"/>
        <w:sz w:val="20"/>
        <w:szCs w:val="20"/>
        <w:u w:val="none"/>
        <w:vertAlign w:val="baseline"/>
      </w:rPr>
    </w:lvl>
    <w:lvl w:ilvl="1" w:tplc="E9A4F70C">
      <w:start w:val="74"/>
      <w:numFmt w:val="decimal"/>
      <w:lvlText w:val="%2."/>
      <w:lvlJc w:val="left"/>
      <w:pPr>
        <w:tabs>
          <w:tab w:val="num" w:pos="851"/>
        </w:tabs>
        <w:ind w:left="737" w:hanging="680"/>
      </w:pPr>
      <w:rPr>
        <w:rFonts w:hint="default"/>
        <w:b w:val="0"/>
        <w:i w:val="0"/>
        <w:caps w:val="0"/>
        <w:strike w:val="0"/>
        <w:dstrike w:val="0"/>
        <w:outline w:val="0"/>
        <w:shadow w:val="0"/>
        <w:emboss w:val="0"/>
        <w:imprint w:val="0"/>
        <w:vanish w:val="0"/>
        <w:sz w:val="24"/>
        <w:u w:val="none"/>
        <w:vertAlign w:val="baseline"/>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5" w15:restartNumberingAfterBreak="0">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5059250F"/>
    <w:multiLevelType w:val="hybridMultilevel"/>
    <w:tmpl w:val="D2ACBA0E"/>
    <w:lvl w:ilvl="0" w:tplc="FB2A2230">
      <w:start w:val="1"/>
      <w:numFmt w:val="bullet"/>
      <w:lvlText w:val="–"/>
      <w:lvlJc w:val="left"/>
      <w:pPr>
        <w:tabs>
          <w:tab w:val="num" w:pos="757"/>
        </w:tabs>
        <w:ind w:left="75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0936858"/>
    <w:multiLevelType w:val="multilevel"/>
    <w:tmpl w:val="6CA46136"/>
    <w:lvl w:ilvl="0">
      <w:start w:val="2"/>
      <w:numFmt w:val="decimal"/>
      <w:lvlText w:val="%1."/>
      <w:lvlJc w:val="left"/>
      <w:pPr>
        <w:tabs>
          <w:tab w:val="num" w:pos="540"/>
        </w:tabs>
        <w:ind w:left="540" w:hanging="540"/>
      </w:pPr>
      <w:rPr>
        <w:b/>
      </w:rPr>
    </w:lvl>
    <w:lvl w:ilvl="1">
      <w:start w:val="2"/>
      <w:numFmt w:val="decimal"/>
      <w:lvlText w:val="%1.%2."/>
      <w:lvlJc w:val="left"/>
      <w:pPr>
        <w:tabs>
          <w:tab w:val="num" w:pos="540"/>
        </w:tabs>
        <w:ind w:left="540" w:hanging="540"/>
      </w:pPr>
      <w:rPr>
        <w:b/>
      </w:rPr>
    </w:lvl>
    <w:lvl w:ilvl="2">
      <w:start w:val="7"/>
      <w:numFmt w:val="decimal"/>
      <w:lvlText w:val="%1.%2.%3."/>
      <w:lvlJc w:val="left"/>
      <w:pPr>
        <w:tabs>
          <w:tab w:val="num" w:pos="720"/>
        </w:tabs>
        <w:ind w:left="720" w:hanging="720"/>
      </w:pPr>
      <w:rPr>
        <w:b/>
      </w:rPr>
    </w:lvl>
    <w:lvl w:ilvl="3">
      <w:start w:val="1"/>
      <w:numFmt w:val="decimalZero"/>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080"/>
        </w:tabs>
        <w:ind w:left="1080" w:hanging="108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440"/>
        </w:tabs>
        <w:ind w:left="1440" w:hanging="1440"/>
      </w:pPr>
      <w:rPr>
        <w:b/>
      </w:rPr>
    </w:lvl>
  </w:abstractNum>
  <w:abstractNum w:abstractNumId="108" w15:restartNumberingAfterBreak="0">
    <w:nsid w:val="529024B3"/>
    <w:multiLevelType w:val="hybridMultilevel"/>
    <w:tmpl w:val="41B643E4"/>
    <w:lvl w:ilvl="0" w:tplc="6B68FEBE">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2B94B87"/>
    <w:multiLevelType w:val="singleLevel"/>
    <w:tmpl w:val="4CD29AA8"/>
    <w:lvl w:ilvl="0">
      <w:start w:val="1"/>
      <w:numFmt w:val="lowerLetter"/>
      <w:lvlText w:val="%1)"/>
      <w:legacy w:legacy="1" w:legacySpace="0" w:legacyIndent="283"/>
      <w:lvlJc w:val="left"/>
      <w:pPr>
        <w:ind w:left="283" w:hanging="283"/>
      </w:pPr>
    </w:lvl>
  </w:abstractNum>
  <w:abstractNum w:abstractNumId="110" w15:restartNumberingAfterBreak="0">
    <w:nsid w:val="52D1751A"/>
    <w:multiLevelType w:val="hybridMultilevel"/>
    <w:tmpl w:val="59FC69FE"/>
    <w:lvl w:ilvl="0" w:tplc="3334DC0A">
      <w:start w:val="1"/>
      <w:numFmt w:val="bullet"/>
      <w:lvlText w:val="–"/>
      <w:lvlJc w:val="left"/>
      <w:pPr>
        <w:tabs>
          <w:tab w:val="num" w:pos="284"/>
        </w:tabs>
        <w:ind w:left="284" w:hanging="284"/>
      </w:pPr>
      <w:rPr>
        <w:rFonts w:ascii="Times New Roman" w:hAnsi="Times New Roman" w:cs="Times New Roman" w:hint="default"/>
      </w:rPr>
    </w:lvl>
    <w:lvl w:ilvl="1" w:tplc="B3DC9560">
      <w:start w:val="1"/>
      <w:numFmt w:val="bullet"/>
      <w:lvlText w:val="–"/>
      <w:lvlJc w:val="left"/>
      <w:pPr>
        <w:tabs>
          <w:tab w:val="num" w:pos="1364"/>
        </w:tabs>
        <w:ind w:left="1364" w:hanging="284"/>
      </w:pPr>
      <w:rPr>
        <w:rFonts w:ascii="Times New Roman" w:hAnsi="Times New Roman" w:cs="Times New Roman"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541A3CDE"/>
    <w:multiLevelType w:val="singleLevel"/>
    <w:tmpl w:val="9C84EAD8"/>
    <w:lvl w:ilvl="0">
      <w:start w:val="1"/>
      <w:numFmt w:val="decimal"/>
      <w:lvlText w:val="%1."/>
      <w:legacy w:legacy="1" w:legacySpace="57" w:legacyIndent="340"/>
      <w:lvlJc w:val="left"/>
      <w:pPr>
        <w:ind w:left="341" w:hanging="340"/>
      </w:pPr>
    </w:lvl>
  </w:abstractNum>
  <w:abstractNum w:abstractNumId="112" w15:restartNumberingAfterBreak="0">
    <w:nsid w:val="543F4C2C"/>
    <w:multiLevelType w:val="hybridMultilevel"/>
    <w:tmpl w:val="F6E2E69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54C43D4D"/>
    <w:multiLevelType w:val="singleLevel"/>
    <w:tmpl w:val="12046E02"/>
    <w:lvl w:ilvl="0">
      <w:start w:val="1"/>
      <w:numFmt w:val="lowerLetter"/>
      <w:lvlText w:val="%1)"/>
      <w:legacy w:legacy="1" w:legacySpace="0" w:legacyIndent="360"/>
      <w:lvlJc w:val="left"/>
      <w:rPr>
        <w:rFonts w:ascii="Times New Roman" w:hAnsi="Times New Roman" w:cs="Times New Roman" w:hint="default"/>
      </w:rPr>
    </w:lvl>
  </w:abstractNum>
  <w:abstractNum w:abstractNumId="114" w15:restartNumberingAfterBreak="0">
    <w:nsid w:val="555E4535"/>
    <w:multiLevelType w:val="multilevel"/>
    <w:tmpl w:val="3E1625B8"/>
    <w:lvl w:ilvl="0">
      <w:start w:val="1"/>
      <w:numFmt w:val="decimal"/>
      <w:pStyle w:val="PNNagwek1"/>
      <w:lvlText w:val="%1"/>
      <w:lvlJc w:val="left"/>
      <w:pPr>
        <w:tabs>
          <w:tab w:val="num" w:pos="360"/>
        </w:tabs>
        <w:ind w:left="0" w:firstLine="0"/>
      </w:pPr>
    </w:lvl>
    <w:lvl w:ilvl="1">
      <w:start w:val="1"/>
      <w:numFmt w:val="decimal"/>
      <w:pStyle w:val="PNNagwek1"/>
      <w:lvlText w:val="%1.%2"/>
      <w:lvlJc w:val="left"/>
      <w:pPr>
        <w:tabs>
          <w:tab w:val="num" w:pos="720"/>
        </w:tabs>
        <w:ind w:left="0" w:firstLine="0"/>
      </w:pPr>
    </w:lvl>
    <w:lvl w:ilvl="2">
      <w:start w:val="1"/>
      <w:numFmt w:val="decimal"/>
      <w:pStyle w:val="PNNagwek3"/>
      <w:lvlText w:val="%1.%2.%3"/>
      <w:lvlJc w:val="left"/>
      <w:pPr>
        <w:tabs>
          <w:tab w:val="num" w:pos="720"/>
        </w:tabs>
        <w:ind w:left="0" w:firstLine="0"/>
      </w:pPr>
      <w:rPr>
        <w:color w:val="auto"/>
      </w:rPr>
    </w:lvl>
    <w:lvl w:ilvl="3">
      <w:start w:val="1"/>
      <w:numFmt w:val="decimal"/>
      <w:pStyle w:val="PNNagwek2"/>
      <w:lvlText w:val="%1.%2.%3.%4"/>
      <w:lvlJc w:val="left"/>
      <w:pPr>
        <w:tabs>
          <w:tab w:val="num" w:pos="1080"/>
        </w:tabs>
        <w:ind w:left="0" w:firstLine="0"/>
      </w:pPr>
    </w:lvl>
    <w:lvl w:ilvl="4">
      <w:start w:val="1"/>
      <w:numFmt w:val="decimal"/>
      <w:pStyle w:val="PNNagwek3"/>
      <w:lvlText w:val="%1.%2.%3.%4.%5"/>
      <w:lvlJc w:val="left"/>
      <w:pPr>
        <w:tabs>
          <w:tab w:val="num" w:pos="144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5" w15:restartNumberingAfterBreak="0">
    <w:nsid w:val="56DA3E5C"/>
    <w:multiLevelType w:val="singleLevel"/>
    <w:tmpl w:val="649E99C6"/>
    <w:lvl w:ilvl="0">
      <w:start w:val="1"/>
      <w:numFmt w:val="lowerLetter"/>
      <w:lvlText w:val="%1)"/>
      <w:legacy w:legacy="1" w:legacySpace="0" w:legacyIndent="283"/>
      <w:lvlJc w:val="left"/>
      <w:pPr>
        <w:ind w:left="283" w:hanging="283"/>
      </w:pPr>
    </w:lvl>
  </w:abstractNum>
  <w:abstractNum w:abstractNumId="116"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582D01DE"/>
    <w:multiLevelType w:val="hybridMultilevel"/>
    <w:tmpl w:val="C2F26B92"/>
    <w:lvl w:ilvl="0" w:tplc="04150011">
      <w:start w:val="1"/>
      <w:numFmt w:val="decimal"/>
      <w:pStyle w:val="StylNagwek1Czerwony"/>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9571B2B"/>
    <w:multiLevelType w:val="multilevel"/>
    <w:tmpl w:val="DA52F3D4"/>
    <w:styleLink w:val="Punktowane2"/>
    <w:lvl w:ilvl="0">
      <w:start w:val="1"/>
      <w:numFmt w:val="bullet"/>
      <w:lvlText w:val=""/>
      <w:lvlJc w:val="left"/>
      <w:pPr>
        <w:tabs>
          <w:tab w:val="num" w:pos="680"/>
        </w:tabs>
        <w:ind w:left="680" w:hanging="283"/>
      </w:pPr>
      <w:rPr>
        <w:rFonts w:ascii="Symbol" w:hAnsi="Symbol" w:hint="default"/>
        <w:color w:val="auto"/>
      </w:rPr>
    </w:lvl>
    <w:lvl w:ilvl="1">
      <w:start w:val="1"/>
      <w:numFmt w:val="bullet"/>
      <w:lvlText w:val=""/>
      <w:lvlJc w:val="left"/>
      <w:pPr>
        <w:tabs>
          <w:tab w:val="num" w:pos="2520"/>
        </w:tabs>
        <w:ind w:left="2520" w:hanging="360"/>
      </w:pPr>
      <w:rPr>
        <w:rFonts w:ascii="Symbol" w:hAnsi="Symbol"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19" w15:restartNumberingAfterBreak="0">
    <w:nsid w:val="5C5741AE"/>
    <w:multiLevelType w:val="singleLevel"/>
    <w:tmpl w:val="2CE250A8"/>
    <w:lvl w:ilvl="0">
      <w:start w:val="1"/>
      <w:numFmt w:val="decimal"/>
      <w:pStyle w:val="Listanumerowana2"/>
      <w:lvlText w:val="[%1]"/>
      <w:legacy w:legacy="1" w:legacySpace="0" w:legacyIndent="340"/>
      <w:lvlJc w:val="left"/>
      <w:pPr>
        <w:ind w:left="340" w:hanging="340"/>
      </w:pPr>
    </w:lvl>
  </w:abstractNum>
  <w:abstractNum w:abstractNumId="120" w15:restartNumberingAfterBreak="0">
    <w:nsid w:val="5C5B62ED"/>
    <w:multiLevelType w:val="hybridMultilevel"/>
    <w:tmpl w:val="E41205A4"/>
    <w:lvl w:ilvl="0" w:tplc="5162A0A0">
      <w:start w:val="1"/>
      <w:numFmt w:val="bullet"/>
      <w:pStyle w:val="normalnypunkt"/>
      <w:lvlText w:val="­"/>
      <w:lvlJc w:val="left"/>
      <w:pPr>
        <w:tabs>
          <w:tab w:val="num" w:pos="397"/>
        </w:tabs>
        <w:ind w:left="397" w:hanging="397"/>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CBA185E"/>
    <w:multiLevelType w:val="hybridMultilevel"/>
    <w:tmpl w:val="0414AEB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5D0A1BB3"/>
    <w:multiLevelType w:val="hybridMultilevel"/>
    <w:tmpl w:val="B100F4BA"/>
    <w:styleLink w:val="StylPunktowane1"/>
    <w:lvl w:ilvl="0" w:tplc="04150001">
      <w:start w:val="1"/>
      <w:numFmt w:val="bullet"/>
      <w:lvlText w:val="-"/>
      <w:lvlJc w:val="left"/>
      <w:pPr>
        <w:ind w:left="1060" w:hanging="360"/>
      </w:pPr>
      <w:rPr>
        <w:rFonts w:ascii="SimSun-ExtB" w:eastAsia="SimSun-ExtB" w:hAnsi="SimSun-ExtB" w:hint="eastAsia"/>
      </w:rPr>
    </w:lvl>
    <w:lvl w:ilvl="1" w:tplc="04150003" w:tentative="1">
      <w:start w:val="1"/>
      <w:numFmt w:val="bullet"/>
      <w:lvlText w:val="o"/>
      <w:lvlJc w:val="left"/>
      <w:pPr>
        <w:ind w:left="1780" w:hanging="360"/>
      </w:pPr>
      <w:rPr>
        <w:rFonts w:ascii="Courier New" w:hAnsi="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123" w15:restartNumberingAfterBreak="0">
    <w:nsid w:val="5D1D676B"/>
    <w:multiLevelType w:val="hybridMultilevel"/>
    <w:tmpl w:val="89CE31D2"/>
    <w:lvl w:ilvl="0" w:tplc="F6641092">
      <w:start w:val="1"/>
      <w:numFmt w:val="lowerLetter"/>
      <w:lvlText w:val="%1)"/>
      <w:legacy w:legacy="1" w:legacySpace="0" w:legacyIndent="283"/>
      <w:lvlJc w:val="left"/>
      <w:pPr>
        <w:ind w:left="283" w:hanging="283"/>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4" w15:restartNumberingAfterBreak="0">
    <w:nsid w:val="5DDF0007"/>
    <w:multiLevelType w:val="hybridMultilevel"/>
    <w:tmpl w:val="7BA4E588"/>
    <w:lvl w:ilvl="0" w:tplc="C700C54C">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DEF5F0F"/>
    <w:multiLevelType w:val="hybridMultilevel"/>
    <w:tmpl w:val="15F6CB66"/>
    <w:lvl w:ilvl="0" w:tplc="04150001">
      <w:start w:val="1"/>
      <w:numFmt w:val="bullet"/>
      <w:pStyle w:val="wyliczenie"/>
      <w:lvlText w:val=""/>
      <w:lvlJc w:val="left"/>
      <w:pPr>
        <w:tabs>
          <w:tab w:val="num" w:pos="510"/>
        </w:tabs>
        <w:ind w:left="510" w:hanging="510"/>
      </w:pPr>
      <w:rPr>
        <w:rFonts w:ascii="Symbol" w:hAnsi="Symbol" w:hint="default"/>
        <w:color w:val="auto"/>
      </w:rPr>
    </w:lvl>
    <w:lvl w:ilvl="1" w:tplc="04150003">
      <w:start w:val="12"/>
      <w:numFmt w:val="bullet"/>
      <w:lvlText w:val="-"/>
      <w:lvlJc w:val="left"/>
      <w:pPr>
        <w:tabs>
          <w:tab w:val="num" w:pos="1440"/>
        </w:tabs>
        <w:ind w:left="1440" w:hanging="360"/>
      </w:pPr>
      <w:rPr>
        <w:rFonts w:ascii="Arial" w:eastAsia="Times New Roman" w:hAnsi="Arial" w:cs="Aria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5E0666DA"/>
    <w:multiLevelType w:val="hybridMultilevel"/>
    <w:tmpl w:val="3230D5E4"/>
    <w:lvl w:ilvl="0" w:tplc="D410FAD4">
      <w:start w:val="1"/>
      <w:numFmt w:val="bullet"/>
      <w:lvlText w:val="–"/>
      <w:lvlJc w:val="left"/>
      <w:pPr>
        <w:tabs>
          <w:tab w:val="num" w:pos="397"/>
        </w:tabs>
        <w:ind w:left="397" w:hanging="397"/>
      </w:pPr>
      <w:rPr>
        <w:rFonts w:ascii="Times New Roman" w:hAnsi="Times New Roman" w:cs="Times New Roman" w:hint="default"/>
      </w:rPr>
    </w:lvl>
    <w:lvl w:ilvl="1" w:tplc="DF0C7486">
      <w:start w:val="1"/>
      <w:numFmt w:val="lowerLetter"/>
      <w:lvlText w:val="%2)"/>
      <w:lvlJc w:val="left"/>
      <w:pPr>
        <w:tabs>
          <w:tab w:val="num" w:pos="1080"/>
        </w:tabs>
        <w:ind w:left="1363" w:hanging="283"/>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ECB67D9"/>
    <w:multiLevelType w:val="hybridMultilevel"/>
    <w:tmpl w:val="5950DC52"/>
    <w:lvl w:ilvl="0" w:tplc="FB2A2230">
      <w:start w:val="1"/>
      <w:numFmt w:val="bullet"/>
      <w:lvlText w:val="–"/>
      <w:lvlJc w:val="left"/>
      <w:pPr>
        <w:tabs>
          <w:tab w:val="num" w:pos="814"/>
        </w:tabs>
        <w:ind w:left="814" w:hanging="397"/>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28" w15:restartNumberingAfterBreak="0">
    <w:nsid w:val="5F58068C"/>
    <w:multiLevelType w:val="multilevel"/>
    <w:tmpl w:val="86A4CA58"/>
    <w:lvl w:ilvl="0">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ascii="Arial" w:hAnsi="Arial" w:cs="Times New Roman" w:hint="default"/>
        <w:b/>
        <w:i w:val="0"/>
        <w:sz w:val="24"/>
      </w:rPr>
    </w:lvl>
    <w:lvl w:ilvl="3">
      <w:start w:val="1"/>
      <w:numFmt w:val="decimal"/>
      <w:pStyle w:val="Gliederung5"/>
      <w:lvlText w:val="%1.%2.%3.%4"/>
      <w:lvlJc w:val="left"/>
      <w:pPr>
        <w:tabs>
          <w:tab w:val="num" w:pos="864"/>
        </w:tabs>
        <w:ind w:left="864" w:hanging="864"/>
      </w:pPr>
      <w:rPr>
        <w:rFonts w:cs="Times New Roman" w:hint="default"/>
      </w:rPr>
    </w:lvl>
    <w:lvl w:ilvl="4">
      <w:start w:val="1"/>
      <w:numFmt w:val="decimal"/>
      <w:pStyle w:val="Gliederung5"/>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9" w15:restartNumberingAfterBreak="0">
    <w:nsid w:val="60A61D16"/>
    <w:multiLevelType w:val="hybridMultilevel"/>
    <w:tmpl w:val="394C646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0" w15:restartNumberingAfterBreak="0">
    <w:nsid w:val="60BF5301"/>
    <w:multiLevelType w:val="hybridMultilevel"/>
    <w:tmpl w:val="3EE8C362"/>
    <w:styleLink w:val="Punktowane211"/>
    <w:lvl w:ilvl="0" w:tplc="AC18BB24">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1" w15:restartNumberingAfterBreak="0">
    <w:nsid w:val="61E01611"/>
    <w:multiLevelType w:val="hybridMultilevel"/>
    <w:tmpl w:val="A36A9EBA"/>
    <w:lvl w:ilvl="0" w:tplc="1F28BAF4">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623718E7"/>
    <w:multiLevelType w:val="hybridMultilevel"/>
    <w:tmpl w:val="004EF25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63DD6570"/>
    <w:multiLevelType w:val="hybridMultilevel"/>
    <w:tmpl w:val="8EE0A2A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64F30EA2"/>
    <w:multiLevelType w:val="multilevel"/>
    <w:tmpl w:val="2F5C4C2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5" w15:restartNumberingAfterBreak="0">
    <w:nsid w:val="65CA4C8C"/>
    <w:multiLevelType w:val="hybridMultilevel"/>
    <w:tmpl w:val="AA5C3794"/>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5EF4409"/>
    <w:multiLevelType w:val="hybridMultilevel"/>
    <w:tmpl w:val="AE42B22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668D00CB"/>
    <w:multiLevelType w:val="singleLevel"/>
    <w:tmpl w:val="58A40394"/>
    <w:lvl w:ilvl="0">
      <w:start w:val="10"/>
      <w:numFmt w:val="decimal"/>
      <w:lvlText w:val="%1."/>
      <w:legacy w:legacy="1" w:legacySpace="0" w:legacyIndent="360"/>
      <w:lvlJc w:val="left"/>
      <w:rPr>
        <w:rFonts w:asciiTheme="minorHAnsi" w:hAnsiTheme="minorHAnsi" w:cstheme="minorHAnsi" w:hint="default"/>
      </w:rPr>
    </w:lvl>
  </w:abstractNum>
  <w:abstractNum w:abstractNumId="138" w15:restartNumberingAfterBreak="0">
    <w:nsid w:val="68EC77B0"/>
    <w:multiLevelType w:val="hybridMultilevel"/>
    <w:tmpl w:val="FD86C1A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9" w15:restartNumberingAfterBreak="0">
    <w:nsid w:val="6A8718EF"/>
    <w:multiLevelType w:val="hybridMultilevel"/>
    <w:tmpl w:val="7D50F170"/>
    <w:lvl w:ilvl="0" w:tplc="A1F01430">
      <w:start w:val="1"/>
      <w:numFmt w:val="decimal"/>
      <w:lvlText w:val="%1)"/>
      <w:lvlJc w:val="left"/>
      <w:pPr>
        <w:tabs>
          <w:tab w:val="num" w:pos="720"/>
        </w:tabs>
        <w:ind w:left="720" w:hanging="360"/>
      </w:pPr>
      <w:rPr>
        <w:rFonts w:ascii="Times New Roman" w:hAnsi="Times New Roman" w:cs="Times New Roman" w:hint="default"/>
        <w:b w:val="0"/>
        <w:i w:val="0"/>
        <w:sz w:val="20"/>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0" w15:restartNumberingAfterBreak="0">
    <w:nsid w:val="6B5C7402"/>
    <w:multiLevelType w:val="hybridMultilevel"/>
    <w:tmpl w:val="8D6E48A0"/>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6B6E2E14"/>
    <w:multiLevelType w:val="hybridMultilevel"/>
    <w:tmpl w:val="FECEBD6E"/>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6B9C0B17"/>
    <w:multiLevelType w:val="hybridMultilevel"/>
    <w:tmpl w:val="DCDA2DFC"/>
    <w:lvl w:ilvl="0" w:tplc="7CA2B8EC">
      <w:start w:val="1"/>
      <w:numFmt w:val="lowerLetter"/>
      <w:pStyle w:val="LITEROWE"/>
      <w:lvlText w:val="%1)"/>
      <w:lvlJc w:val="left"/>
      <w:pPr>
        <w:ind w:left="720" w:hanging="360"/>
      </w:pPr>
      <w:rPr>
        <w:rFonts w:ascii="Arial" w:eastAsia="SimSun-ExtB"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6C1A7407"/>
    <w:multiLevelType w:val="hybridMultilevel"/>
    <w:tmpl w:val="19A4F5FA"/>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6DEB198D"/>
    <w:multiLevelType w:val="singleLevel"/>
    <w:tmpl w:val="F4C23826"/>
    <w:lvl w:ilvl="0">
      <w:start w:val="1"/>
      <w:numFmt w:val="lowerLetter"/>
      <w:lvlText w:val="%1)"/>
      <w:legacy w:legacy="1" w:legacySpace="0" w:legacyIndent="283"/>
      <w:lvlJc w:val="left"/>
      <w:pPr>
        <w:ind w:left="283" w:hanging="283"/>
      </w:pPr>
    </w:lvl>
  </w:abstractNum>
  <w:abstractNum w:abstractNumId="145" w15:restartNumberingAfterBreak="0">
    <w:nsid w:val="70C915E8"/>
    <w:multiLevelType w:val="singleLevel"/>
    <w:tmpl w:val="649E99C6"/>
    <w:lvl w:ilvl="0">
      <w:start w:val="1"/>
      <w:numFmt w:val="lowerLetter"/>
      <w:lvlText w:val="%1)"/>
      <w:legacy w:legacy="1" w:legacySpace="0" w:legacyIndent="283"/>
      <w:lvlJc w:val="left"/>
      <w:pPr>
        <w:ind w:left="567" w:hanging="283"/>
      </w:pPr>
    </w:lvl>
  </w:abstractNum>
  <w:abstractNum w:abstractNumId="146" w15:restartNumberingAfterBreak="0">
    <w:nsid w:val="71471151"/>
    <w:multiLevelType w:val="singleLevel"/>
    <w:tmpl w:val="649E99C6"/>
    <w:lvl w:ilvl="0">
      <w:start w:val="1"/>
      <w:numFmt w:val="lowerLetter"/>
      <w:lvlText w:val="%1)"/>
      <w:legacy w:legacy="1" w:legacySpace="0" w:legacyIndent="283"/>
      <w:lvlJc w:val="left"/>
      <w:pPr>
        <w:ind w:left="283" w:hanging="283"/>
      </w:pPr>
    </w:lvl>
  </w:abstractNum>
  <w:abstractNum w:abstractNumId="147" w15:restartNumberingAfterBreak="0">
    <w:nsid w:val="720912F4"/>
    <w:multiLevelType w:val="hybridMultilevel"/>
    <w:tmpl w:val="78E20B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29760FC"/>
    <w:multiLevelType w:val="singleLevel"/>
    <w:tmpl w:val="EF84248A"/>
    <w:lvl w:ilvl="0">
      <w:start w:val="1"/>
      <w:numFmt w:val="lowerLetter"/>
      <w:lvlText w:val="(%1)"/>
      <w:legacy w:legacy="1" w:legacySpace="0" w:legacyIndent="283"/>
      <w:lvlJc w:val="left"/>
      <w:pPr>
        <w:ind w:left="283" w:hanging="283"/>
      </w:pPr>
    </w:lvl>
  </w:abstractNum>
  <w:abstractNum w:abstractNumId="149" w15:restartNumberingAfterBreak="0">
    <w:nsid w:val="730714B4"/>
    <w:multiLevelType w:val="hybridMultilevel"/>
    <w:tmpl w:val="09D6CB4C"/>
    <w:lvl w:ilvl="0" w:tplc="FB92B688">
      <w:start w:val="1"/>
      <w:numFmt w:val="bullet"/>
      <w:lvlText w:val="–"/>
      <w:lvlJc w:val="left"/>
      <w:pPr>
        <w:tabs>
          <w:tab w:val="num" w:pos="340"/>
        </w:tabs>
        <w:ind w:left="340" w:hanging="340"/>
      </w:pPr>
      <w:rPr>
        <w:rFonts w:ascii="Times New Roman" w:hAnsi="Times New Roman" w:cs="Times New Roman" w:hint="default"/>
      </w:rPr>
    </w:lvl>
    <w:lvl w:ilvl="1" w:tplc="93522834">
      <w:start w:val="1"/>
      <w:numFmt w:val="lowerLetter"/>
      <w:lvlText w:val="%2)"/>
      <w:lvlJc w:val="left"/>
      <w:pPr>
        <w:tabs>
          <w:tab w:val="num" w:pos="1477"/>
        </w:tabs>
        <w:ind w:left="1477" w:hanging="397"/>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3556406"/>
    <w:multiLevelType w:val="hybridMultilevel"/>
    <w:tmpl w:val="8FDEDE1C"/>
    <w:lvl w:ilvl="0" w:tplc="D9DE9806">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73915EB9"/>
    <w:multiLevelType w:val="hybridMultilevel"/>
    <w:tmpl w:val="55843E3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73985FC1"/>
    <w:multiLevelType w:val="hybridMultilevel"/>
    <w:tmpl w:val="5C243C1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73D32BA5"/>
    <w:multiLevelType w:val="hybridMultilevel"/>
    <w:tmpl w:val="26D655BA"/>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741E6F3C"/>
    <w:multiLevelType w:val="singleLevel"/>
    <w:tmpl w:val="649E99C6"/>
    <w:lvl w:ilvl="0">
      <w:start w:val="1"/>
      <w:numFmt w:val="lowerLetter"/>
      <w:lvlText w:val="%1)"/>
      <w:legacy w:legacy="1" w:legacySpace="0" w:legacyIndent="283"/>
      <w:lvlJc w:val="left"/>
      <w:pPr>
        <w:ind w:left="283" w:hanging="283"/>
      </w:pPr>
    </w:lvl>
  </w:abstractNum>
  <w:abstractNum w:abstractNumId="155" w15:restartNumberingAfterBreak="0">
    <w:nsid w:val="743A2888"/>
    <w:multiLevelType w:val="hybridMultilevel"/>
    <w:tmpl w:val="33FCA0E8"/>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6" w15:restartNumberingAfterBreak="0">
    <w:nsid w:val="74EA752A"/>
    <w:multiLevelType w:val="singleLevel"/>
    <w:tmpl w:val="A126CC0C"/>
    <w:lvl w:ilvl="0">
      <w:start w:val="1"/>
      <w:numFmt w:val="decimal"/>
      <w:lvlText w:val="%1."/>
      <w:legacy w:legacy="1" w:legacySpace="0" w:legacyIndent="283"/>
      <w:lvlJc w:val="left"/>
      <w:pPr>
        <w:ind w:left="283" w:hanging="283"/>
      </w:pPr>
    </w:lvl>
  </w:abstractNum>
  <w:abstractNum w:abstractNumId="157"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766F5938"/>
    <w:multiLevelType w:val="hybridMultilevel"/>
    <w:tmpl w:val="FE6E565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779449AE"/>
    <w:multiLevelType w:val="hybridMultilevel"/>
    <w:tmpl w:val="CE6E063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78581C07"/>
    <w:multiLevelType w:val="hybridMultilevel"/>
    <w:tmpl w:val="F38E21B4"/>
    <w:lvl w:ilvl="0" w:tplc="FBB877AE">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78AA6AD8"/>
    <w:multiLevelType w:val="hybridMultilevel"/>
    <w:tmpl w:val="4F42FADE"/>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8D83AEC"/>
    <w:multiLevelType w:val="hybridMultilevel"/>
    <w:tmpl w:val="4C048D34"/>
    <w:lvl w:ilvl="0" w:tplc="04150001">
      <w:start w:val="1"/>
      <w:numFmt w:val="bullet"/>
      <w:pStyle w:val="TPKWytyczneLista"/>
      <w:lvlText w:val="-"/>
      <w:lvlJc w:val="left"/>
      <w:pPr>
        <w:tabs>
          <w:tab w:val="num" w:pos="720"/>
        </w:tabs>
        <w:ind w:left="720" w:hanging="360"/>
      </w:pPr>
      <w:rPr>
        <w:rFonts w:ascii="Arial" w:hAnsi="Aria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9B730E8"/>
    <w:multiLevelType w:val="singleLevel"/>
    <w:tmpl w:val="875094E2"/>
    <w:lvl w:ilvl="0">
      <w:start w:val="1"/>
      <w:numFmt w:val="bullet"/>
      <w:pStyle w:val="Bullet1points"/>
      <w:lvlText w:val=""/>
      <w:lvlJc w:val="left"/>
      <w:pPr>
        <w:tabs>
          <w:tab w:val="num" w:pos="360"/>
        </w:tabs>
        <w:ind w:left="360" w:hanging="360"/>
      </w:pPr>
      <w:rPr>
        <w:rFonts w:ascii="Symbol" w:hAnsi="Symbol" w:hint="default"/>
        <w:effect w:val="none"/>
      </w:rPr>
    </w:lvl>
  </w:abstractNum>
  <w:abstractNum w:abstractNumId="164" w15:restartNumberingAfterBreak="0">
    <w:nsid w:val="79E76649"/>
    <w:multiLevelType w:val="hybridMultilevel"/>
    <w:tmpl w:val="AD04E02C"/>
    <w:lvl w:ilvl="0" w:tplc="DF0C7486">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5" w15:restartNumberingAfterBreak="0">
    <w:nsid w:val="7AB374BE"/>
    <w:multiLevelType w:val="hybridMultilevel"/>
    <w:tmpl w:val="F7367868"/>
    <w:lvl w:ilvl="0" w:tplc="56241CB6">
      <w:start w:val="25"/>
      <w:numFmt w:val="decimal"/>
      <w:lvlText w:val="%1."/>
      <w:lvlJc w:val="left"/>
      <w:pPr>
        <w:tabs>
          <w:tab w:val="num" w:pos="567"/>
        </w:tabs>
        <w:ind w:left="567" w:hanging="56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6" w15:restartNumberingAfterBreak="0">
    <w:nsid w:val="7B140693"/>
    <w:multiLevelType w:val="singleLevel"/>
    <w:tmpl w:val="649E99C6"/>
    <w:lvl w:ilvl="0">
      <w:start w:val="1"/>
      <w:numFmt w:val="lowerLetter"/>
      <w:lvlText w:val="%1)"/>
      <w:legacy w:legacy="1" w:legacySpace="0" w:legacyIndent="283"/>
      <w:lvlJc w:val="left"/>
      <w:pPr>
        <w:ind w:left="283" w:hanging="283"/>
      </w:pPr>
    </w:lvl>
  </w:abstractNum>
  <w:abstractNum w:abstractNumId="167" w15:restartNumberingAfterBreak="0">
    <w:nsid w:val="7C232B92"/>
    <w:multiLevelType w:val="hybridMultilevel"/>
    <w:tmpl w:val="6A76D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7C6D4062"/>
    <w:multiLevelType w:val="hybridMultilevel"/>
    <w:tmpl w:val="03FE7494"/>
    <w:lvl w:ilvl="0" w:tplc="664836C8">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C966D1F"/>
    <w:multiLevelType w:val="hybridMultilevel"/>
    <w:tmpl w:val="2C18F6CA"/>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7E1D65E9"/>
    <w:multiLevelType w:val="hybridMultilevel"/>
    <w:tmpl w:val="CA8CD7E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910538217">
    <w:abstractNumId w:val="112"/>
  </w:num>
  <w:num w:numId="2" w16cid:durableId="449934118">
    <w:abstractNumId w:val="72"/>
  </w:num>
  <w:num w:numId="3" w16cid:durableId="1523938122">
    <w:abstractNumId w:val="159"/>
  </w:num>
  <w:num w:numId="4" w16cid:durableId="2087073886">
    <w:abstractNumId w:val="43"/>
  </w:num>
  <w:num w:numId="5" w16cid:durableId="1808740239">
    <w:abstractNumId w:val="43"/>
    <w:lvlOverride w:ilvl="0">
      <w:lvl w:ilvl="0">
        <w:start w:val="2"/>
        <w:numFmt w:val="decimal"/>
        <w:lvlText w:val="%1)"/>
        <w:legacy w:legacy="1" w:legacySpace="0" w:legacyIndent="283"/>
        <w:lvlJc w:val="left"/>
        <w:pPr>
          <w:ind w:left="567" w:hanging="283"/>
        </w:pPr>
        <w:rPr>
          <w:rFonts w:ascii="Times New Roman" w:hAnsi="Times New Roman" w:cs="Times New Roman" w:hint="default"/>
        </w:rPr>
      </w:lvl>
    </w:lvlOverride>
  </w:num>
  <w:num w:numId="6" w16cid:durableId="77489109">
    <w:abstractNumId w:val="43"/>
    <w:lvlOverride w:ilvl="0">
      <w:lvl w:ilvl="0">
        <w:start w:val="3"/>
        <w:numFmt w:val="decimal"/>
        <w:lvlText w:val="%1)"/>
        <w:legacy w:legacy="1" w:legacySpace="0" w:legacyIndent="283"/>
        <w:lvlJc w:val="left"/>
        <w:pPr>
          <w:ind w:left="567" w:hanging="283"/>
        </w:pPr>
        <w:rPr>
          <w:rFonts w:ascii="Times New Roman" w:hAnsi="Times New Roman" w:cs="Times New Roman" w:hint="default"/>
        </w:rPr>
      </w:lvl>
    </w:lvlOverride>
  </w:num>
  <w:num w:numId="7" w16cid:durableId="1457600510">
    <w:abstractNumId w:val="100"/>
  </w:num>
  <w:num w:numId="8" w16cid:durableId="61954058">
    <w:abstractNumId w:val="121"/>
  </w:num>
  <w:num w:numId="9" w16cid:durableId="31074712">
    <w:abstractNumId w:val="6"/>
    <w:lvlOverride w:ilvl="0">
      <w:lvl w:ilvl="0">
        <w:start w:val="1"/>
        <w:numFmt w:val="bullet"/>
        <w:lvlText w:val=""/>
        <w:legacy w:legacy="1" w:legacySpace="0" w:legacyIndent="283"/>
        <w:lvlJc w:val="left"/>
        <w:pPr>
          <w:ind w:left="283" w:hanging="283"/>
        </w:pPr>
        <w:rPr>
          <w:rFonts w:ascii="Symbol" w:hAnsi="Symbol" w:hint="default"/>
        </w:rPr>
      </w:lvl>
    </w:lvlOverride>
  </w:num>
  <w:num w:numId="10" w16cid:durableId="1966302258">
    <w:abstractNumId w:val="92"/>
  </w:num>
  <w:num w:numId="11" w16cid:durableId="491062490">
    <w:abstractNumId w:val="136"/>
  </w:num>
  <w:num w:numId="12" w16cid:durableId="1780946481">
    <w:abstractNumId w:val="169"/>
  </w:num>
  <w:num w:numId="13" w16cid:durableId="352925192">
    <w:abstractNumId w:val="110"/>
  </w:num>
  <w:num w:numId="14" w16cid:durableId="1084763736">
    <w:abstractNumId w:val="24"/>
  </w:num>
  <w:num w:numId="15" w16cid:durableId="1214776324">
    <w:abstractNumId w:val="44"/>
  </w:num>
  <w:num w:numId="16" w16cid:durableId="1869946293">
    <w:abstractNumId w:val="130"/>
  </w:num>
  <w:num w:numId="17" w16cid:durableId="938559961">
    <w:abstractNumId w:val="31"/>
  </w:num>
  <w:num w:numId="18" w16cid:durableId="2120878928">
    <w:abstractNumId w:val="68"/>
  </w:num>
  <w:num w:numId="19" w16cid:durableId="1449858646">
    <w:abstractNumId w:val="42"/>
    <w:lvlOverride w:ilvl="0">
      <w:lvl w:ilvl="0">
        <w:start w:val="10"/>
        <w:numFmt w:val="none"/>
        <w:lvlText w:val="1.4.8. "/>
        <w:lvlJc w:val="left"/>
        <w:pPr>
          <w:tabs>
            <w:tab w:val="num" w:pos="0"/>
          </w:tabs>
          <w:ind w:left="283" w:hanging="283"/>
        </w:pPr>
        <w:rPr>
          <w:rFonts w:ascii="Times New Roman" w:hAnsi="Times New Roman" w:cs="Times New Roman" w:hint="default"/>
          <w:b/>
          <w:i w:val="0"/>
          <w:sz w:val="20"/>
          <w:u w:val="none"/>
        </w:rPr>
      </w:lvl>
    </w:lvlOverride>
  </w:num>
  <w:num w:numId="20" w16cid:durableId="1573152071">
    <w:abstractNumId w:val="63"/>
  </w:num>
  <w:num w:numId="21" w16cid:durableId="604194323">
    <w:abstractNumId w:val="29"/>
  </w:num>
  <w:num w:numId="22" w16cid:durableId="400102843">
    <w:abstractNumId w:val="149"/>
  </w:num>
  <w:num w:numId="23" w16cid:durableId="496532672">
    <w:abstractNumId w:val="99"/>
  </w:num>
  <w:num w:numId="24" w16cid:durableId="899168757">
    <w:abstractNumId w:val="28"/>
  </w:num>
  <w:num w:numId="25" w16cid:durableId="407927131">
    <w:abstractNumId w:val="64"/>
  </w:num>
  <w:num w:numId="26" w16cid:durableId="1427574765">
    <w:abstractNumId w:val="141"/>
  </w:num>
  <w:num w:numId="27" w16cid:durableId="682321791">
    <w:abstractNumId w:val="158"/>
  </w:num>
  <w:num w:numId="28" w16cid:durableId="773981657">
    <w:abstractNumId w:val="143"/>
  </w:num>
  <w:num w:numId="29" w16cid:durableId="358897502">
    <w:abstractNumId w:val="153"/>
  </w:num>
  <w:num w:numId="30" w16cid:durableId="959533845">
    <w:abstractNumId w:val="77"/>
  </w:num>
  <w:num w:numId="31" w16cid:durableId="1829132091">
    <w:abstractNumId w:val="7"/>
  </w:num>
  <w:num w:numId="32" w16cid:durableId="135296078">
    <w:abstractNumId w:val="9"/>
  </w:num>
  <w:num w:numId="33" w16cid:durableId="2038575308">
    <w:abstractNumId w:val="103"/>
  </w:num>
  <w:num w:numId="34" w16cid:durableId="1582833432">
    <w:abstractNumId w:val="69"/>
  </w:num>
  <w:num w:numId="35" w16cid:durableId="1513182103">
    <w:abstractNumId w:val="170"/>
  </w:num>
  <w:num w:numId="36" w16cid:durableId="918640582">
    <w:abstractNumId w:val="18"/>
  </w:num>
  <w:num w:numId="37" w16cid:durableId="391999007">
    <w:abstractNumId w:val="126"/>
  </w:num>
  <w:num w:numId="38" w16cid:durableId="1859075673">
    <w:abstractNumId w:val="34"/>
  </w:num>
  <w:num w:numId="39" w16cid:durableId="304549728">
    <w:abstractNumId w:val="25"/>
  </w:num>
  <w:num w:numId="40" w16cid:durableId="1233354078">
    <w:abstractNumId w:val="164"/>
  </w:num>
  <w:num w:numId="41" w16cid:durableId="2070571007">
    <w:abstractNumId w:val="20"/>
  </w:num>
  <w:num w:numId="42" w16cid:durableId="2100707801">
    <w:abstractNumId w:val="60"/>
  </w:num>
  <w:num w:numId="43" w16cid:durableId="22294961">
    <w:abstractNumId w:val="13"/>
  </w:num>
  <w:num w:numId="44" w16cid:durableId="1578520474">
    <w:abstractNumId w:val="140"/>
  </w:num>
  <w:num w:numId="45" w16cid:durableId="940143085">
    <w:abstractNumId w:val="135"/>
  </w:num>
  <w:num w:numId="46" w16cid:durableId="483476337">
    <w:abstractNumId w:val="90"/>
  </w:num>
  <w:num w:numId="47" w16cid:durableId="1483043042">
    <w:abstractNumId w:val="139"/>
  </w:num>
  <w:num w:numId="48" w16cid:durableId="2072268895">
    <w:abstractNumId w:val="48"/>
  </w:num>
  <w:num w:numId="49" w16cid:durableId="403726620">
    <w:abstractNumId w:val="61"/>
  </w:num>
  <w:num w:numId="50" w16cid:durableId="1230265875">
    <w:abstractNumId w:val="40"/>
  </w:num>
  <w:num w:numId="51" w16cid:durableId="1329596693">
    <w:abstractNumId w:val="57"/>
  </w:num>
  <w:num w:numId="52" w16cid:durableId="1817839051">
    <w:abstractNumId w:val="26"/>
  </w:num>
  <w:num w:numId="53" w16cid:durableId="999112262">
    <w:abstractNumId w:val="87"/>
  </w:num>
  <w:num w:numId="54" w16cid:durableId="1314606815">
    <w:abstractNumId w:val="49"/>
  </w:num>
  <w:num w:numId="55" w16cid:durableId="532890873">
    <w:abstractNumId w:val="94"/>
  </w:num>
  <w:num w:numId="56" w16cid:durableId="1444301198">
    <w:abstractNumId w:val="157"/>
  </w:num>
  <w:num w:numId="57" w16cid:durableId="749081327">
    <w:abstractNumId w:val="27"/>
  </w:num>
  <w:num w:numId="58" w16cid:durableId="2051950822">
    <w:abstractNumId w:val="41"/>
  </w:num>
  <w:num w:numId="59" w16cid:durableId="179324416">
    <w:abstractNumId w:val="58"/>
  </w:num>
  <w:num w:numId="60" w16cid:durableId="458036409">
    <w:abstractNumId w:val="11"/>
  </w:num>
  <w:num w:numId="61" w16cid:durableId="1628929328">
    <w:abstractNumId w:val="142"/>
  </w:num>
  <w:num w:numId="62" w16cid:durableId="935750064">
    <w:abstractNumId w:val="56"/>
  </w:num>
  <w:num w:numId="63" w16cid:durableId="1426144700">
    <w:abstractNumId w:val="117"/>
  </w:num>
  <w:num w:numId="64" w16cid:durableId="48504347">
    <w:abstractNumId w:val="75"/>
  </w:num>
  <w:num w:numId="65" w16cid:durableId="1617327322">
    <w:abstractNumId w:val="14"/>
  </w:num>
  <w:num w:numId="66" w16cid:durableId="1280576079">
    <w:abstractNumId w:val="5"/>
  </w:num>
  <w:num w:numId="67" w16cid:durableId="2561692">
    <w:abstractNumId w:val="119"/>
  </w:num>
  <w:num w:numId="68" w16cid:durableId="1735658813">
    <w:abstractNumId w:val="3"/>
  </w:num>
  <w:num w:numId="69" w16cid:durableId="573276114">
    <w:abstractNumId w:val="2"/>
  </w:num>
  <w:num w:numId="70" w16cid:durableId="1980766656">
    <w:abstractNumId w:val="114"/>
  </w:num>
  <w:num w:numId="71" w16cid:durableId="122962456">
    <w:abstractNumId w:val="122"/>
  </w:num>
  <w:num w:numId="72" w16cid:durableId="85002219">
    <w:abstractNumId w:val="78"/>
  </w:num>
  <w:num w:numId="73" w16cid:durableId="32312536">
    <w:abstractNumId w:val="120"/>
  </w:num>
  <w:num w:numId="74" w16cid:durableId="793138764">
    <w:abstractNumId w:val="1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58592684">
    <w:abstractNumId w:val="15"/>
  </w:num>
  <w:num w:numId="76" w16cid:durableId="531501462">
    <w:abstractNumId w:val="118"/>
  </w:num>
  <w:num w:numId="77" w16cid:durableId="41759075">
    <w:abstractNumId w:val="163"/>
  </w:num>
  <w:num w:numId="78" w16cid:durableId="1254585782">
    <w:abstractNumId w:val="0"/>
  </w:num>
  <w:num w:numId="79" w16cid:durableId="1659770988">
    <w:abstractNumId w:val="1"/>
  </w:num>
  <w:num w:numId="80" w16cid:durableId="1449930277">
    <w:abstractNumId w:val="70"/>
  </w:num>
  <w:num w:numId="81" w16cid:durableId="19144681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066025612">
    <w:abstractNumId w:val="102"/>
    <w:lvlOverride w:ilvl="0">
      <w:startOverride w:val="1"/>
    </w:lvlOverride>
  </w:num>
  <w:num w:numId="83" w16cid:durableId="201946151">
    <w:abstractNumId w:val="4"/>
  </w:num>
  <w:num w:numId="84" w16cid:durableId="1099132355">
    <w:abstractNumId w:val="125"/>
  </w:num>
  <w:num w:numId="85" w16cid:durableId="1707681670">
    <w:abstractNumId w:val="73"/>
  </w:num>
  <w:num w:numId="86" w16cid:durableId="710882831">
    <w:abstractNumId w:val="162"/>
  </w:num>
  <w:num w:numId="87" w16cid:durableId="58863301">
    <w:abstractNumId w:val="46"/>
  </w:num>
  <w:num w:numId="88" w16cid:durableId="1091901291">
    <w:abstractNumId w:val="167"/>
  </w:num>
  <w:num w:numId="89" w16cid:durableId="1409228517">
    <w:abstractNumId w:val="38"/>
  </w:num>
  <w:num w:numId="90" w16cid:durableId="257564348">
    <w:abstractNumId w:val="116"/>
  </w:num>
  <w:num w:numId="91" w16cid:durableId="1276330095">
    <w:abstractNumId w:val="101"/>
  </w:num>
  <w:num w:numId="92" w16cid:durableId="1519660910">
    <w:abstractNumId w:val="91"/>
  </w:num>
  <w:num w:numId="93" w16cid:durableId="1677148212">
    <w:abstractNumId w:val="151"/>
  </w:num>
  <w:num w:numId="94" w16cid:durableId="249314231">
    <w:abstractNumId w:val="74"/>
  </w:num>
  <w:num w:numId="95" w16cid:durableId="1902330734">
    <w:abstractNumId w:val="76"/>
  </w:num>
  <w:num w:numId="96" w16cid:durableId="1726949086">
    <w:abstractNumId w:val="97"/>
  </w:num>
  <w:num w:numId="97" w16cid:durableId="1397508515">
    <w:abstractNumId w:val="52"/>
  </w:num>
  <w:num w:numId="98" w16cid:durableId="268244961">
    <w:abstractNumId w:val="132"/>
  </w:num>
  <w:num w:numId="99" w16cid:durableId="2093042389">
    <w:abstractNumId w:val="86"/>
  </w:num>
  <w:num w:numId="100" w16cid:durableId="396318662">
    <w:abstractNumId w:val="105"/>
  </w:num>
  <w:num w:numId="101" w16cid:durableId="208689959">
    <w:abstractNumId w:val="53"/>
  </w:num>
  <w:num w:numId="102" w16cid:durableId="1889493819">
    <w:abstractNumId w:val="21"/>
  </w:num>
  <w:num w:numId="103" w16cid:durableId="384568061">
    <w:abstractNumId w:val="129"/>
  </w:num>
  <w:num w:numId="104" w16cid:durableId="352532440">
    <w:abstractNumId w:val="51"/>
  </w:num>
  <w:num w:numId="105" w16cid:durableId="108547469">
    <w:abstractNumId w:val="138"/>
  </w:num>
  <w:num w:numId="106" w16cid:durableId="1698193804">
    <w:abstractNumId w:val="39"/>
  </w:num>
  <w:num w:numId="107" w16cid:durableId="1219828463">
    <w:abstractNumId w:val="19"/>
  </w:num>
  <w:num w:numId="108" w16cid:durableId="1440298767">
    <w:abstractNumId w:val="152"/>
  </w:num>
  <w:num w:numId="109" w16cid:durableId="1265187679">
    <w:abstractNumId w:val="36"/>
  </w:num>
  <w:num w:numId="110" w16cid:durableId="813915969">
    <w:abstractNumId w:val="66"/>
  </w:num>
  <w:num w:numId="111" w16cid:durableId="1566330225">
    <w:abstractNumId w:val="22"/>
  </w:num>
  <w:num w:numId="112" w16cid:durableId="759570024">
    <w:abstractNumId w:val="30"/>
  </w:num>
  <w:num w:numId="113" w16cid:durableId="1522861998">
    <w:abstractNumId w:val="147"/>
  </w:num>
  <w:num w:numId="114" w16cid:durableId="2069256439">
    <w:abstractNumId w:val="47"/>
  </w:num>
  <w:num w:numId="115" w16cid:durableId="158010245">
    <w:abstractNumId w:val="124"/>
  </w:num>
  <w:num w:numId="116" w16cid:durableId="821311867">
    <w:abstractNumId w:val="45"/>
  </w:num>
  <w:num w:numId="117" w16cid:durableId="1030641098">
    <w:abstractNumId w:val="131"/>
  </w:num>
  <w:num w:numId="118" w16cid:durableId="1774278942">
    <w:abstractNumId w:val="150"/>
  </w:num>
  <w:num w:numId="119" w16cid:durableId="1071656099">
    <w:abstractNumId w:val="88"/>
  </w:num>
  <w:num w:numId="120" w16cid:durableId="460223464">
    <w:abstractNumId w:val="71"/>
  </w:num>
  <w:num w:numId="121" w16cid:durableId="1379427495">
    <w:abstractNumId w:val="93"/>
  </w:num>
  <w:num w:numId="122" w16cid:durableId="809712520">
    <w:abstractNumId w:val="32"/>
  </w:num>
  <w:num w:numId="123" w16cid:durableId="1813980469">
    <w:abstractNumId w:val="67"/>
  </w:num>
  <w:num w:numId="124" w16cid:durableId="476456227">
    <w:abstractNumId w:val="10"/>
  </w:num>
  <w:num w:numId="125" w16cid:durableId="1862742592">
    <w:abstractNumId w:val="55"/>
  </w:num>
  <w:num w:numId="126" w16cid:durableId="792209869">
    <w:abstractNumId w:val="127"/>
  </w:num>
  <w:num w:numId="127" w16cid:durableId="1902904853">
    <w:abstractNumId w:val="106"/>
  </w:num>
  <w:num w:numId="128" w16cid:durableId="60566552">
    <w:abstractNumId w:val="104"/>
  </w:num>
  <w:num w:numId="129" w16cid:durableId="388577702">
    <w:abstractNumId w:val="98"/>
  </w:num>
  <w:num w:numId="130" w16cid:durableId="20323184">
    <w:abstractNumId w:val="155"/>
  </w:num>
  <w:num w:numId="131" w16cid:durableId="1807816730">
    <w:abstractNumId w:val="35"/>
  </w:num>
  <w:num w:numId="132" w16cid:durableId="1441532061">
    <w:abstractNumId w:val="95"/>
  </w:num>
  <w:num w:numId="133" w16cid:durableId="1459033283">
    <w:abstractNumId w:val="108"/>
  </w:num>
  <w:num w:numId="134" w16cid:durableId="727071129">
    <w:abstractNumId w:val="168"/>
  </w:num>
  <w:num w:numId="135" w16cid:durableId="1542742250">
    <w:abstractNumId w:val="160"/>
  </w:num>
  <w:num w:numId="136" w16cid:durableId="1464889711">
    <w:abstractNumId w:val="84"/>
  </w:num>
  <w:num w:numId="137" w16cid:durableId="1895659546">
    <w:abstractNumId w:val="16"/>
  </w:num>
  <w:num w:numId="138" w16cid:durableId="668295125">
    <w:abstractNumId w:val="6"/>
    <w:lvlOverride w:ilvl="0">
      <w:lvl w:ilvl="0">
        <w:numFmt w:val="bullet"/>
        <w:lvlText w:val=""/>
        <w:legacy w:legacy="1" w:legacySpace="0" w:legacyIndent="360"/>
        <w:lvlJc w:val="left"/>
        <w:rPr>
          <w:rFonts w:ascii="Symbol" w:hAnsi="Symbol" w:hint="default"/>
        </w:rPr>
      </w:lvl>
    </w:lvlOverride>
  </w:num>
  <w:num w:numId="139" w16cid:durableId="2097481150">
    <w:abstractNumId w:val="17"/>
  </w:num>
  <w:num w:numId="140" w16cid:durableId="353851977">
    <w:abstractNumId w:val="42"/>
  </w:num>
  <w:num w:numId="141" w16cid:durableId="982343710">
    <w:abstractNumId w:val="23"/>
  </w:num>
  <w:num w:numId="142" w16cid:durableId="1709792063">
    <w:abstractNumId w:val="85"/>
  </w:num>
  <w:num w:numId="143" w16cid:durableId="1738434636">
    <w:abstractNumId w:val="81"/>
  </w:num>
  <w:num w:numId="144" w16cid:durableId="468325397">
    <w:abstractNumId w:val="134"/>
  </w:num>
  <w:num w:numId="145" w16cid:durableId="1343553732">
    <w:abstractNumId w:val="133"/>
  </w:num>
  <w:num w:numId="146" w16cid:durableId="2128350420">
    <w:abstractNumId w:val="113"/>
  </w:num>
  <w:num w:numId="147" w16cid:durableId="1664580899">
    <w:abstractNumId w:val="50"/>
  </w:num>
  <w:num w:numId="148" w16cid:durableId="1440025569">
    <w:abstractNumId w:val="137"/>
  </w:num>
  <w:num w:numId="149" w16cid:durableId="1586499946">
    <w:abstractNumId w:val="96"/>
  </w:num>
  <w:num w:numId="150" w16cid:durableId="1186021892">
    <w:abstractNumId w:val="109"/>
  </w:num>
  <w:num w:numId="151" w16cid:durableId="1336373425">
    <w:abstractNumId w:val="79"/>
  </w:num>
  <w:num w:numId="152" w16cid:durableId="1268196760">
    <w:abstractNumId w:val="8"/>
  </w:num>
  <w:num w:numId="153" w16cid:durableId="1471707655">
    <w:abstractNumId w:val="144"/>
  </w:num>
  <w:num w:numId="154" w16cid:durableId="1684237391">
    <w:abstractNumId w:val="89"/>
  </w:num>
  <w:num w:numId="155" w16cid:durableId="2102678984">
    <w:abstractNumId w:val="154"/>
  </w:num>
  <w:num w:numId="156" w16cid:durableId="1495150263">
    <w:abstractNumId w:val="146"/>
  </w:num>
  <w:num w:numId="157" w16cid:durableId="544374384">
    <w:abstractNumId w:val="80"/>
  </w:num>
  <w:num w:numId="158" w16cid:durableId="1261376754">
    <w:abstractNumId w:val="145"/>
  </w:num>
  <w:num w:numId="159" w16cid:durableId="1020355895">
    <w:abstractNumId w:val="166"/>
  </w:num>
  <w:num w:numId="160" w16cid:durableId="865021629">
    <w:abstractNumId w:val="83"/>
  </w:num>
  <w:num w:numId="161" w16cid:durableId="422648466">
    <w:abstractNumId w:val="82"/>
  </w:num>
  <w:num w:numId="162" w16cid:durableId="639504428">
    <w:abstractNumId w:val="115"/>
  </w:num>
  <w:num w:numId="163" w16cid:durableId="2113821922">
    <w:abstractNumId w:val="111"/>
  </w:num>
  <w:num w:numId="164" w16cid:durableId="1710569074">
    <w:abstractNumId w:val="148"/>
  </w:num>
  <w:num w:numId="165" w16cid:durableId="1581136389">
    <w:abstractNumId w:val="37"/>
  </w:num>
  <w:num w:numId="166" w16cid:durableId="666977017">
    <w:abstractNumId w:val="54"/>
  </w:num>
  <w:num w:numId="167" w16cid:durableId="4796123">
    <w:abstractNumId w:val="156"/>
  </w:num>
  <w:num w:numId="168" w16cid:durableId="101465317">
    <w:abstractNumId w:val="161"/>
  </w:num>
  <w:num w:numId="169" w16cid:durableId="64146738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1100486272">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672099295">
    <w:abstractNumId w:val="107"/>
    <w:lvlOverride w:ilvl="0">
      <w:startOverride w:val="2"/>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1337079260">
    <w:abstractNumId w:val="6"/>
    <w:lvlOverride w:ilvl="0">
      <w:lvl w:ilvl="0">
        <w:numFmt w:val="bullet"/>
        <w:lvlText w:val=""/>
        <w:legacy w:legacy="1" w:legacySpace="0" w:legacyIndent="283"/>
        <w:lvlJc w:val="left"/>
        <w:pPr>
          <w:ind w:left="283" w:hanging="283"/>
        </w:pPr>
        <w:rPr>
          <w:rFonts w:ascii="Symbol" w:hAnsi="Symbol" w:hint="default"/>
          <w:sz w:val="20"/>
        </w:rPr>
      </w:lvl>
    </w:lvlOverride>
  </w:num>
  <w:num w:numId="173" w16cid:durableId="341512959">
    <w:abstractNumId w:val="72"/>
    <w:lvlOverride w:ilvl="0">
      <w:startOverride w:val="1"/>
    </w:lvlOverride>
  </w:num>
  <w:num w:numId="174" w16cid:durableId="1553537830">
    <w:abstractNumId w:val="157"/>
  </w:num>
  <w:num w:numId="175" w16cid:durableId="148689653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076322900">
    <w:abstractNumId w:val="25"/>
  </w:num>
  <w:num w:numId="177" w16cid:durableId="1680112277">
    <w:abstractNumId w:val="34"/>
  </w:num>
  <w:num w:numId="178" w16cid:durableId="10140388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970014490">
    <w:abstractNumId w:val="16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13598134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039357651">
    <w:abstractNumId w:val="6"/>
    <w:lvlOverride w:ilvl="0">
      <w:lvl w:ilvl="0">
        <w:numFmt w:val="decimal"/>
        <w:lvlText w:val=""/>
        <w:legacy w:legacy="1" w:legacySpace="0" w:legacyIndent="283"/>
        <w:lvlJc w:val="left"/>
        <w:pPr>
          <w:ind w:left="283" w:hanging="283"/>
        </w:pPr>
        <w:rPr>
          <w:rFonts w:ascii="Symbol" w:hAnsi="Symbol" w:hint="default"/>
        </w:rPr>
      </w:lvl>
    </w:lvlOverride>
  </w:num>
  <w:num w:numId="182" w16cid:durableId="380324475">
    <w:abstractNumId w:val="6"/>
    <w:lvlOverride w:ilvl="0">
      <w:lvl w:ilvl="0">
        <w:numFmt w:val="decimal"/>
        <w:lvlText w:val=""/>
        <w:legacy w:legacy="1" w:legacySpace="0" w:legacyIndent="360"/>
        <w:lvlJc w:val="left"/>
        <w:pPr>
          <w:ind w:left="0" w:firstLine="0"/>
        </w:pPr>
        <w:rPr>
          <w:rFonts w:ascii="Symbol" w:hAnsi="Symbol" w:hint="default"/>
        </w:rPr>
      </w:lvl>
    </w:lvlOverride>
  </w:num>
  <w:num w:numId="183" w16cid:durableId="675617646">
    <w:abstractNumId w:val="59"/>
    <w:lvlOverride w:ilvl="0">
      <w:startOverride w:val="1"/>
    </w:lvlOverride>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891"/>
    <w:rsid w:val="00030549"/>
    <w:rsid w:val="00050DBE"/>
    <w:rsid w:val="000C5C5D"/>
    <w:rsid w:val="000D7891"/>
    <w:rsid w:val="000E4DB9"/>
    <w:rsid w:val="00142451"/>
    <w:rsid w:val="001E0AEB"/>
    <w:rsid w:val="002151CA"/>
    <w:rsid w:val="002214EF"/>
    <w:rsid w:val="002962B7"/>
    <w:rsid w:val="002A326C"/>
    <w:rsid w:val="00307CD9"/>
    <w:rsid w:val="00336D00"/>
    <w:rsid w:val="00386337"/>
    <w:rsid w:val="003A11E0"/>
    <w:rsid w:val="0045653A"/>
    <w:rsid w:val="004853EB"/>
    <w:rsid w:val="004F465D"/>
    <w:rsid w:val="00602EF6"/>
    <w:rsid w:val="00611A8D"/>
    <w:rsid w:val="0068081D"/>
    <w:rsid w:val="006945B1"/>
    <w:rsid w:val="006C30A7"/>
    <w:rsid w:val="00713454"/>
    <w:rsid w:val="007C2B2C"/>
    <w:rsid w:val="0082360A"/>
    <w:rsid w:val="009114EF"/>
    <w:rsid w:val="00AF3E49"/>
    <w:rsid w:val="00B26F4A"/>
    <w:rsid w:val="00B3296F"/>
    <w:rsid w:val="00B35B59"/>
    <w:rsid w:val="00B67D8D"/>
    <w:rsid w:val="00B81F7B"/>
    <w:rsid w:val="00BB6660"/>
    <w:rsid w:val="00BF7EE3"/>
    <w:rsid w:val="00C562CD"/>
    <w:rsid w:val="00CC1EF4"/>
    <w:rsid w:val="00CF69C0"/>
    <w:rsid w:val="00D67957"/>
    <w:rsid w:val="00D86E93"/>
    <w:rsid w:val="00DD36B3"/>
    <w:rsid w:val="00DD5BCD"/>
    <w:rsid w:val="00E12A26"/>
    <w:rsid w:val="00E45376"/>
    <w:rsid w:val="00E50679"/>
    <w:rsid w:val="00E95D02"/>
    <w:rsid w:val="00EB470C"/>
    <w:rsid w:val="00EE7F97"/>
    <w:rsid w:val="00F52A0B"/>
    <w:rsid w:val="00FD49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FC32B"/>
  <w15:chartTrackingRefBased/>
  <w15:docId w15:val="{0667EDFC-F864-4F20-9E57-69EC6024C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N 1,Title 1,Title 1 Znak Znak1"/>
    <w:basedOn w:val="Normalny"/>
    <w:next w:val="Normalny"/>
    <w:link w:val="Nagwek1Znak"/>
    <w:qFormat/>
    <w:rsid w:val="00CC1EF4"/>
    <w:pPr>
      <w:keepNext/>
      <w:keepLines/>
      <w:suppressAutoHyphens/>
      <w:overflowPunct w:val="0"/>
      <w:autoSpaceDE w:val="0"/>
      <w:autoSpaceDN w:val="0"/>
      <w:adjustRightInd w:val="0"/>
      <w:spacing w:before="240" w:after="120" w:line="240" w:lineRule="auto"/>
      <w:jc w:val="both"/>
      <w:textAlignment w:val="baseline"/>
      <w:outlineLvl w:val="0"/>
    </w:pPr>
    <w:rPr>
      <w:rFonts w:ascii="Times New Roman" w:eastAsia="Times New Roman" w:hAnsi="Times New Roman" w:cs="Times New Roman"/>
      <w:b/>
      <w:caps/>
      <w:kern w:val="28"/>
      <w:sz w:val="24"/>
      <w:szCs w:val="20"/>
      <w:lang w:eastAsia="pl-PL"/>
    </w:rPr>
  </w:style>
  <w:style w:type="paragraph" w:styleId="Nagwek2">
    <w:name w:val="heading 2"/>
    <w:aliases w:val="Title 2 Znak Znak,Title 2"/>
    <w:basedOn w:val="Normalny"/>
    <w:next w:val="Normalny"/>
    <w:link w:val="Nagwek2Znak"/>
    <w:qFormat/>
    <w:rsid w:val="00CC1EF4"/>
    <w:pPr>
      <w:keepNext/>
      <w:overflowPunct w:val="0"/>
      <w:autoSpaceDE w:val="0"/>
      <w:autoSpaceDN w:val="0"/>
      <w:adjustRightInd w:val="0"/>
      <w:spacing w:before="120" w:after="120" w:line="240" w:lineRule="auto"/>
      <w:jc w:val="both"/>
      <w:textAlignment w:val="baseline"/>
      <w:outlineLvl w:val="1"/>
    </w:pPr>
    <w:rPr>
      <w:rFonts w:ascii="Times New Roman" w:eastAsia="Times New Roman" w:hAnsi="Times New Roman" w:cs="Times New Roman"/>
      <w:b/>
      <w:sz w:val="24"/>
      <w:szCs w:val="20"/>
      <w:lang w:eastAsia="pl-PL"/>
    </w:rPr>
  </w:style>
  <w:style w:type="paragraph" w:styleId="Nagwek3">
    <w:name w:val="heading 3"/>
    <w:aliases w:val="Podtytuł2,Podtytu32"/>
    <w:basedOn w:val="Normalny"/>
    <w:next w:val="Normalny"/>
    <w:link w:val="Nagwek3Znak"/>
    <w:qFormat/>
    <w:rsid w:val="00CC1EF4"/>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qFormat/>
    <w:rsid w:val="00CC1EF4"/>
    <w:pPr>
      <w:keepNext/>
      <w:tabs>
        <w:tab w:val="num" w:pos="851"/>
      </w:tabs>
      <w:spacing w:before="240" w:after="60" w:line="240" w:lineRule="auto"/>
      <w:ind w:left="851" w:hanging="851"/>
      <w:jc w:val="both"/>
      <w:outlineLvl w:val="3"/>
    </w:pPr>
    <w:rPr>
      <w:rFonts w:ascii="Arial" w:eastAsia="Times New Roman" w:hAnsi="Arial" w:cs="Times New Roman"/>
      <w:b/>
      <w:i/>
      <w:sz w:val="20"/>
      <w:szCs w:val="20"/>
    </w:rPr>
  </w:style>
  <w:style w:type="paragraph" w:styleId="Nagwek5">
    <w:name w:val="heading 5"/>
    <w:basedOn w:val="Normalny"/>
    <w:next w:val="Normalny"/>
    <w:link w:val="Nagwek5Znak"/>
    <w:rsid w:val="00CC1EF4"/>
    <w:pPr>
      <w:numPr>
        <w:ilvl w:val="4"/>
        <w:numId w:val="66"/>
      </w:numPr>
      <w:spacing w:before="60" w:after="60" w:line="240" w:lineRule="auto"/>
      <w:jc w:val="both"/>
      <w:outlineLvl w:val="4"/>
    </w:pPr>
    <w:rPr>
      <w:rFonts w:ascii="Arial" w:eastAsia="Times New Roman" w:hAnsi="Arial" w:cs="Times New Roman"/>
      <w:sz w:val="20"/>
      <w:szCs w:val="20"/>
    </w:rPr>
  </w:style>
  <w:style w:type="paragraph" w:styleId="Nagwek6">
    <w:name w:val="heading 6"/>
    <w:basedOn w:val="Normalny"/>
    <w:next w:val="Normalny"/>
    <w:link w:val="Nagwek6Znak"/>
    <w:qFormat/>
    <w:rsid w:val="00CC1EF4"/>
    <w:pPr>
      <w:numPr>
        <w:ilvl w:val="5"/>
        <w:numId w:val="66"/>
      </w:numPr>
      <w:spacing w:before="240" w:after="60" w:line="240" w:lineRule="auto"/>
      <w:jc w:val="both"/>
      <w:outlineLvl w:val="5"/>
    </w:pPr>
    <w:rPr>
      <w:rFonts w:ascii="Times New Roman" w:eastAsia="Times New Roman" w:hAnsi="Times New Roman" w:cs="Times New Roman"/>
      <w:i/>
      <w:szCs w:val="20"/>
    </w:rPr>
  </w:style>
  <w:style w:type="paragraph" w:styleId="Nagwek7">
    <w:name w:val="heading 7"/>
    <w:basedOn w:val="Normalny"/>
    <w:next w:val="Normalny"/>
    <w:link w:val="Nagwek7Znak"/>
    <w:qFormat/>
    <w:rsid w:val="00CC1EF4"/>
    <w:pPr>
      <w:numPr>
        <w:ilvl w:val="6"/>
        <w:numId w:val="66"/>
      </w:numPr>
      <w:spacing w:before="240" w:after="60" w:line="240" w:lineRule="auto"/>
      <w:jc w:val="both"/>
      <w:outlineLvl w:val="6"/>
    </w:pPr>
    <w:rPr>
      <w:rFonts w:ascii="Arial" w:eastAsia="Times New Roman" w:hAnsi="Arial" w:cs="Times New Roman"/>
      <w:sz w:val="20"/>
      <w:szCs w:val="20"/>
    </w:rPr>
  </w:style>
  <w:style w:type="paragraph" w:styleId="Nagwek8">
    <w:name w:val="heading 8"/>
    <w:basedOn w:val="Normalny"/>
    <w:next w:val="Normalny"/>
    <w:link w:val="Nagwek8Znak"/>
    <w:qFormat/>
    <w:rsid w:val="00CC1EF4"/>
    <w:pPr>
      <w:numPr>
        <w:ilvl w:val="7"/>
        <w:numId w:val="66"/>
      </w:numPr>
      <w:spacing w:before="240" w:after="60" w:line="240" w:lineRule="auto"/>
      <w:jc w:val="both"/>
      <w:outlineLvl w:val="7"/>
    </w:pPr>
    <w:rPr>
      <w:rFonts w:ascii="Arial" w:eastAsia="Times New Roman" w:hAnsi="Arial" w:cs="Times New Roman"/>
      <w:i/>
      <w:sz w:val="20"/>
      <w:szCs w:val="20"/>
    </w:rPr>
  </w:style>
  <w:style w:type="paragraph" w:styleId="Nagwek9">
    <w:name w:val="heading 9"/>
    <w:basedOn w:val="Normalny"/>
    <w:next w:val="Normalny"/>
    <w:link w:val="Nagwek9Znak"/>
    <w:qFormat/>
    <w:rsid w:val="00CC1EF4"/>
    <w:pPr>
      <w:numPr>
        <w:ilvl w:val="8"/>
        <w:numId w:val="66"/>
      </w:numPr>
      <w:spacing w:before="240" w:after="60" w:line="240" w:lineRule="auto"/>
      <w:jc w:val="both"/>
      <w:outlineLvl w:val="8"/>
    </w:pPr>
    <w:rPr>
      <w:rFonts w:ascii="Arial" w:eastAsia="Times New Roman" w:hAnsi="Arial" w:cs="Times New Roman"/>
      <w:b/>
      <w:i/>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 1 Znak,Title 1 Znak,Title 1 Znak Znak1 Znak1"/>
    <w:basedOn w:val="Domylnaczcionkaakapitu"/>
    <w:link w:val="Nagwek1"/>
    <w:rsid w:val="00CC1EF4"/>
    <w:rPr>
      <w:rFonts w:ascii="Times New Roman" w:eastAsia="Times New Roman" w:hAnsi="Times New Roman" w:cs="Times New Roman"/>
      <w:b/>
      <w:caps/>
      <w:kern w:val="28"/>
      <w:sz w:val="24"/>
      <w:szCs w:val="20"/>
      <w:lang w:eastAsia="pl-PL"/>
    </w:rPr>
  </w:style>
  <w:style w:type="character" w:customStyle="1" w:styleId="Nagwek2Znak">
    <w:name w:val="Nagłówek 2 Znak"/>
    <w:aliases w:val="Title 2 Znak Znak Znak1,Title 2 Znak1"/>
    <w:basedOn w:val="Domylnaczcionkaakapitu"/>
    <w:link w:val="Nagwek2"/>
    <w:rsid w:val="00CC1EF4"/>
    <w:rPr>
      <w:rFonts w:ascii="Times New Roman" w:eastAsia="Times New Roman" w:hAnsi="Times New Roman" w:cs="Times New Roman"/>
      <w:b/>
      <w:sz w:val="24"/>
      <w:szCs w:val="20"/>
      <w:lang w:eastAsia="pl-PL"/>
    </w:rPr>
  </w:style>
  <w:style w:type="character" w:customStyle="1" w:styleId="Nagwek3Znak">
    <w:name w:val="Nagłówek 3 Znak"/>
    <w:aliases w:val="Podtytuł2 Znak,Podtytu32 Znak"/>
    <w:basedOn w:val="Domylnaczcionkaakapitu"/>
    <w:link w:val="Nagwek3"/>
    <w:rsid w:val="00CC1EF4"/>
    <w:rPr>
      <w:rFonts w:ascii="Times New Roman" w:eastAsia="Times New Roman" w:hAnsi="Times New Roman" w:cs="Times New Roman"/>
      <w:sz w:val="24"/>
      <w:szCs w:val="20"/>
      <w:lang w:eastAsia="pl-PL"/>
    </w:rPr>
  </w:style>
  <w:style w:type="numbering" w:customStyle="1" w:styleId="Bezlisty1">
    <w:name w:val="Bez listy1"/>
    <w:next w:val="Bezlisty"/>
    <w:semiHidden/>
    <w:rsid w:val="00CC1EF4"/>
  </w:style>
  <w:style w:type="paragraph" w:styleId="Spistreci1">
    <w:name w:val="toc 1"/>
    <w:basedOn w:val="Normalny"/>
    <w:next w:val="Normalny"/>
    <w:uiPriority w:val="39"/>
    <w:qFormat/>
    <w:rsid w:val="00CC1EF4"/>
    <w:pPr>
      <w:tabs>
        <w:tab w:val="right" w:leader="dot" w:pos="8789"/>
      </w:tabs>
      <w:overflowPunct w:val="0"/>
      <w:autoSpaceDE w:val="0"/>
      <w:autoSpaceDN w:val="0"/>
      <w:adjustRightInd w:val="0"/>
      <w:spacing w:after="0" w:line="240" w:lineRule="auto"/>
      <w:jc w:val="both"/>
      <w:textAlignment w:val="baseline"/>
    </w:pPr>
    <w:rPr>
      <w:rFonts w:ascii="Times New Roman" w:eastAsia="Times New Roman" w:hAnsi="Times New Roman" w:cs="Times New Roman"/>
      <w:b/>
      <w:caps/>
      <w:sz w:val="24"/>
      <w:szCs w:val="20"/>
      <w:lang w:eastAsia="pl-PL"/>
    </w:rPr>
  </w:style>
  <w:style w:type="paragraph" w:styleId="Spistreci2">
    <w:name w:val="toc 2"/>
    <w:basedOn w:val="Normalny"/>
    <w:next w:val="Normalny"/>
    <w:link w:val="Spistreci2Znak"/>
    <w:uiPriority w:val="39"/>
    <w:qFormat/>
    <w:rsid w:val="00CC1EF4"/>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4"/>
      <w:szCs w:val="20"/>
      <w:lang w:eastAsia="pl-PL"/>
    </w:rPr>
  </w:style>
  <w:style w:type="paragraph" w:styleId="Spistreci3">
    <w:name w:val="toc 3"/>
    <w:basedOn w:val="Normalny"/>
    <w:next w:val="Normalny"/>
    <w:uiPriority w:val="39"/>
    <w:qFormat/>
    <w:rsid w:val="00CC1EF4"/>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uiPriority w:val="39"/>
    <w:rsid w:val="00CC1EF4"/>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uiPriority w:val="39"/>
    <w:rsid w:val="00CC1EF4"/>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uiPriority w:val="39"/>
    <w:rsid w:val="00CC1EF4"/>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uiPriority w:val="39"/>
    <w:rsid w:val="00CC1EF4"/>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uiPriority w:val="39"/>
    <w:rsid w:val="00CC1EF4"/>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uiPriority w:val="39"/>
    <w:rsid w:val="00CC1EF4"/>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CC1EF4"/>
  </w:style>
  <w:style w:type="paragraph" w:styleId="Tekstpodstawowy2">
    <w:name w:val="Body Text 2"/>
    <w:basedOn w:val="Normalny"/>
    <w:link w:val="Tekstpodstawowy2Znak"/>
    <w:rsid w:val="00CC1EF4"/>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CC1EF4"/>
    <w:rPr>
      <w:rFonts w:ascii="Times New Roman" w:eastAsia="Times New Roman" w:hAnsi="Times New Roman" w:cs="Times New Roman"/>
      <w:sz w:val="24"/>
      <w:szCs w:val="20"/>
      <w:lang w:eastAsia="pl-P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Nag3ówek strony nieparzyst"/>
    <w:basedOn w:val="Normalny"/>
    <w:link w:val="NagwekZnak"/>
    <w:rsid w:val="00CC1EF4"/>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Znak"/>
    <w:basedOn w:val="Domylnaczcionkaakapitu"/>
    <w:link w:val="Nagwek"/>
    <w:rsid w:val="00CC1EF4"/>
    <w:rPr>
      <w:rFonts w:ascii="Century Gothic" w:eastAsia="Times New Roman" w:hAnsi="Century Gothic" w:cs="Times New Roman"/>
      <w:sz w:val="24"/>
      <w:szCs w:val="20"/>
      <w:lang w:eastAsia="pl-PL"/>
    </w:rPr>
  </w:style>
  <w:style w:type="paragraph" w:styleId="Stopka">
    <w:name w:val="footer"/>
    <w:basedOn w:val="Normalny"/>
    <w:link w:val="StopkaZnak"/>
    <w:rsid w:val="00CC1EF4"/>
    <w:pPr>
      <w:tabs>
        <w:tab w:val="center" w:pos="4536"/>
        <w:tab w:val="right" w:pos="9072"/>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rsid w:val="00CC1EF4"/>
    <w:rPr>
      <w:rFonts w:ascii="Times New Roman" w:eastAsia="Times New Roman" w:hAnsi="Times New Roman" w:cs="Times New Roman"/>
      <w:sz w:val="24"/>
      <w:szCs w:val="20"/>
      <w:lang w:eastAsia="pl-PL"/>
    </w:rPr>
  </w:style>
  <w:style w:type="paragraph" w:styleId="Tekstprzypisudolnego">
    <w:name w:val="footnote text"/>
    <w:aliases w:val="Tekst przypisu"/>
    <w:basedOn w:val="Normalny"/>
    <w:link w:val="TekstprzypisudolnegoZnak"/>
    <w:rsid w:val="00CC1EF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TekstprzypisudolnegoZnak">
    <w:name w:val="Tekst przypisu dolnego Znak"/>
    <w:aliases w:val="Tekst przypisu Znak"/>
    <w:basedOn w:val="Domylnaczcionkaakapitu"/>
    <w:link w:val="Tekstprzypisudolnego"/>
    <w:rsid w:val="00CC1EF4"/>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CC1EF4"/>
    <w:pPr>
      <w:overflowPunct w:val="0"/>
      <w:autoSpaceDE w:val="0"/>
      <w:autoSpaceDN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CC1EF4"/>
    <w:rPr>
      <w:rFonts w:ascii="Times New Roman" w:eastAsia="Times New Roman" w:hAnsi="Times New Roman" w:cs="Times New Roman"/>
      <w:sz w:val="24"/>
      <w:szCs w:val="20"/>
      <w:lang w:eastAsia="pl-PL"/>
    </w:rPr>
  </w:style>
  <w:style w:type="character" w:styleId="Odwoanieprzypisudolnego">
    <w:name w:val="footnote reference"/>
    <w:aliases w:val="Footnote Reference/"/>
    <w:rsid w:val="00CC1EF4"/>
    <w:rPr>
      <w:vertAlign w:val="superscript"/>
    </w:rPr>
  </w:style>
  <w:style w:type="paragraph" w:customStyle="1" w:styleId="Standardowytekst">
    <w:name w:val="Standardowy.tekst"/>
    <w:rsid w:val="00CC1EF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styleId="Hipercze">
    <w:name w:val="Hyperlink"/>
    <w:uiPriority w:val="99"/>
    <w:rsid w:val="00CC1EF4"/>
    <w:rPr>
      <w:color w:val="0000FF"/>
      <w:u w:val="single"/>
    </w:rPr>
  </w:style>
  <w:style w:type="paragraph" w:styleId="Tekstpodstawowy">
    <w:name w:val="Body Text"/>
    <w:aliases w:val="a2"/>
    <w:basedOn w:val="Normalny"/>
    <w:link w:val="TekstpodstawowyZnak"/>
    <w:rsid w:val="00CC1EF4"/>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aliases w:val="a2 Znak"/>
    <w:basedOn w:val="Domylnaczcionkaakapitu"/>
    <w:link w:val="Tekstpodstawowy"/>
    <w:rsid w:val="00CC1EF4"/>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CC1EF4"/>
    <w:pPr>
      <w:spacing w:after="0"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rsid w:val="00CC1EF4"/>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rsid w:val="00CC1EF4"/>
    <w:pPr>
      <w:spacing w:before="60" w:after="0" w:line="240" w:lineRule="auto"/>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rsid w:val="00CC1EF4"/>
    <w:rPr>
      <w:rFonts w:ascii="Times New Roman" w:eastAsia="Times New Roman" w:hAnsi="Times New Roman" w:cs="Times New Roman"/>
      <w:sz w:val="24"/>
      <w:szCs w:val="20"/>
      <w:lang w:eastAsia="pl-PL"/>
    </w:rPr>
  </w:style>
  <w:style w:type="paragraph" w:styleId="Listapunktowana">
    <w:name w:val="List Bullet"/>
    <w:basedOn w:val="Normalny"/>
    <w:rsid w:val="00CC1EF4"/>
    <w:pPr>
      <w:spacing w:after="0"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CC1EF4"/>
    <w:pPr>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rsid w:val="00CC1EF4"/>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CC1EF4"/>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CC1EF4"/>
    <w:pPr>
      <w:spacing w:after="0" w:line="240" w:lineRule="auto"/>
      <w:jc w:val="both"/>
    </w:pPr>
    <w:rPr>
      <w:rFonts w:ascii="Times New Roman" w:eastAsia="Times New Roman" w:hAnsi="Times New Roman" w:cs="Times New Roman"/>
      <w:sz w:val="24"/>
      <w:szCs w:val="20"/>
      <w:lang w:eastAsia="pl-PL"/>
    </w:rPr>
  </w:style>
  <w:style w:type="table" w:styleId="Tabela-Siatka">
    <w:name w:val="Table Grid"/>
    <w:basedOn w:val="Standardowy"/>
    <w:rsid w:val="00CC1EF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CC1EF4"/>
    <w:pPr>
      <w:overflowPunct w:val="0"/>
      <w:autoSpaceDE w:val="0"/>
      <w:autoSpaceDN w:val="0"/>
      <w:adjustRightInd w:val="0"/>
      <w:spacing w:after="0" w:line="240" w:lineRule="auto"/>
      <w:jc w:val="both"/>
      <w:textAlignment w:val="baseline"/>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rsid w:val="00CC1EF4"/>
    <w:rPr>
      <w:rFonts w:ascii="Tahoma" w:eastAsia="Times New Roman" w:hAnsi="Tahoma" w:cs="Tahoma"/>
      <w:sz w:val="16"/>
      <w:szCs w:val="16"/>
      <w:lang w:eastAsia="pl-PL"/>
    </w:rPr>
  </w:style>
  <w:style w:type="numbering" w:customStyle="1" w:styleId="Bezlisty2">
    <w:name w:val="Bez listy2"/>
    <w:next w:val="Bezlisty"/>
    <w:semiHidden/>
    <w:rsid w:val="00CC1EF4"/>
  </w:style>
  <w:style w:type="paragraph" w:styleId="Bezodstpw">
    <w:name w:val="No Spacing"/>
    <w:basedOn w:val="Normalny"/>
    <w:link w:val="BezodstpwZnak"/>
    <w:qFormat/>
    <w:rsid w:val="00CC1EF4"/>
    <w:pPr>
      <w:spacing w:after="0" w:line="240" w:lineRule="auto"/>
      <w:ind w:firstLine="697"/>
      <w:jc w:val="both"/>
    </w:pPr>
    <w:rPr>
      <w:rFonts w:ascii="Times New Roman" w:eastAsia="Calibri" w:hAnsi="Times New Roman" w:cs="Times New Roman"/>
      <w:sz w:val="24"/>
      <w:szCs w:val="24"/>
    </w:rPr>
  </w:style>
  <w:style w:type="character" w:customStyle="1" w:styleId="BezodstpwZnak">
    <w:name w:val="Bez odstępów Znak"/>
    <w:link w:val="Bezodstpw"/>
    <w:rsid w:val="00CC1EF4"/>
    <w:rPr>
      <w:rFonts w:ascii="Times New Roman" w:eastAsia="Calibri" w:hAnsi="Times New Roman" w:cs="Times New Roman"/>
      <w:sz w:val="24"/>
      <w:szCs w:val="24"/>
    </w:rPr>
  </w:style>
  <w:style w:type="paragraph" w:customStyle="1" w:styleId="StylIwony">
    <w:name w:val="Styl Iwony"/>
    <w:basedOn w:val="Normalny"/>
    <w:rsid w:val="00CC1EF4"/>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table" w:customStyle="1" w:styleId="Tabela-Siatka1">
    <w:name w:val="Tabela - Siatka1"/>
    <w:basedOn w:val="Standardowy"/>
    <w:next w:val="Tabela-Siatka"/>
    <w:rsid w:val="00CC1EF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rsid w:val="00CC1EF4"/>
    <w:rPr>
      <w:rFonts w:ascii="Arial" w:eastAsia="Times New Roman" w:hAnsi="Arial" w:cs="Times New Roman"/>
      <w:b/>
      <w:i/>
      <w:sz w:val="20"/>
      <w:szCs w:val="20"/>
    </w:rPr>
  </w:style>
  <w:style w:type="character" w:customStyle="1" w:styleId="Nagwek5Znak">
    <w:name w:val="Nagłówek 5 Znak"/>
    <w:basedOn w:val="Domylnaczcionkaakapitu"/>
    <w:link w:val="Nagwek5"/>
    <w:rsid w:val="00CC1EF4"/>
    <w:rPr>
      <w:rFonts w:ascii="Arial" w:eastAsia="Times New Roman" w:hAnsi="Arial" w:cs="Times New Roman"/>
      <w:sz w:val="20"/>
      <w:szCs w:val="20"/>
    </w:rPr>
  </w:style>
  <w:style w:type="character" w:customStyle="1" w:styleId="Nagwek6Znak">
    <w:name w:val="Nagłówek 6 Znak"/>
    <w:basedOn w:val="Domylnaczcionkaakapitu"/>
    <w:link w:val="Nagwek6"/>
    <w:rsid w:val="00CC1EF4"/>
    <w:rPr>
      <w:rFonts w:ascii="Times New Roman" w:eastAsia="Times New Roman" w:hAnsi="Times New Roman" w:cs="Times New Roman"/>
      <w:i/>
      <w:szCs w:val="20"/>
    </w:rPr>
  </w:style>
  <w:style w:type="character" w:customStyle="1" w:styleId="Nagwek7Znak">
    <w:name w:val="Nagłówek 7 Znak"/>
    <w:basedOn w:val="Domylnaczcionkaakapitu"/>
    <w:link w:val="Nagwek7"/>
    <w:rsid w:val="00CC1EF4"/>
    <w:rPr>
      <w:rFonts w:ascii="Arial" w:eastAsia="Times New Roman" w:hAnsi="Arial" w:cs="Times New Roman"/>
      <w:sz w:val="20"/>
      <w:szCs w:val="20"/>
    </w:rPr>
  </w:style>
  <w:style w:type="character" w:customStyle="1" w:styleId="Nagwek8Znak">
    <w:name w:val="Nagłówek 8 Znak"/>
    <w:basedOn w:val="Domylnaczcionkaakapitu"/>
    <w:link w:val="Nagwek8"/>
    <w:rsid w:val="00CC1EF4"/>
    <w:rPr>
      <w:rFonts w:ascii="Arial" w:eastAsia="Times New Roman" w:hAnsi="Arial" w:cs="Times New Roman"/>
      <w:i/>
      <w:sz w:val="20"/>
      <w:szCs w:val="20"/>
    </w:rPr>
  </w:style>
  <w:style w:type="character" w:customStyle="1" w:styleId="Nagwek9Znak">
    <w:name w:val="Nagłówek 9 Znak"/>
    <w:basedOn w:val="Domylnaczcionkaakapitu"/>
    <w:link w:val="Nagwek9"/>
    <w:rsid w:val="00CC1EF4"/>
    <w:rPr>
      <w:rFonts w:ascii="Arial" w:eastAsia="Times New Roman" w:hAnsi="Arial" w:cs="Times New Roman"/>
      <w:b/>
      <w:i/>
      <w:sz w:val="18"/>
      <w:szCs w:val="20"/>
    </w:rPr>
  </w:style>
  <w:style w:type="numbering" w:customStyle="1" w:styleId="Bezlisty3">
    <w:name w:val="Bez listy3"/>
    <w:next w:val="Bezlisty"/>
    <w:uiPriority w:val="99"/>
    <w:semiHidden/>
    <w:unhideWhenUsed/>
    <w:rsid w:val="00CC1EF4"/>
  </w:style>
  <w:style w:type="paragraph" w:customStyle="1" w:styleId="Styl1">
    <w:name w:val="Styl1"/>
    <w:basedOn w:val="Normalny"/>
    <w:link w:val="Styl1Znak"/>
    <w:rsid w:val="00CC1EF4"/>
    <w:pPr>
      <w:spacing w:after="0" w:line="240" w:lineRule="auto"/>
      <w:jc w:val="both"/>
    </w:pPr>
    <w:rPr>
      <w:rFonts w:ascii="Arial" w:eastAsia="Times New Roman" w:hAnsi="Arial" w:cs="Times New Roman"/>
      <w:bCs/>
      <w:sz w:val="20"/>
      <w:szCs w:val="24"/>
    </w:rPr>
  </w:style>
  <w:style w:type="character" w:customStyle="1" w:styleId="Styl1Znak">
    <w:name w:val="Styl1 Znak"/>
    <w:link w:val="Styl1"/>
    <w:rsid w:val="00CC1EF4"/>
    <w:rPr>
      <w:rFonts w:ascii="Arial" w:eastAsia="Times New Roman" w:hAnsi="Arial" w:cs="Times New Roman"/>
      <w:bCs/>
      <w:sz w:val="20"/>
      <w:szCs w:val="24"/>
    </w:rPr>
  </w:style>
  <w:style w:type="paragraph" w:customStyle="1" w:styleId="Reportbold">
    <w:name w:val="Report_bold"/>
    <w:basedOn w:val="Normalny"/>
    <w:next w:val="Normalny"/>
    <w:link w:val="ReportboldChar"/>
    <w:uiPriority w:val="99"/>
    <w:rsid w:val="00CC1EF4"/>
    <w:pPr>
      <w:framePr w:wrap="around" w:vAnchor="page" w:hAnchor="page" w:x="1702" w:y="2836"/>
      <w:spacing w:after="0" w:line="280" w:lineRule="atLeast"/>
      <w:jc w:val="both"/>
    </w:pPr>
    <w:rPr>
      <w:rFonts w:ascii="Arial" w:eastAsia="Times New Roman" w:hAnsi="Arial" w:cs="Times New Roman"/>
      <w:b/>
      <w:sz w:val="19"/>
      <w:szCs w:val="19"/>
      <w:lang w:val="en-US"/>
    </w:rPr>
  </w:style>
  <w:style w:type="character" w:customStyle="1" w:styleId="ReportboldChar">
    <w:name w:val="Report_bold Char"/>
    <w:link w:val="Reportbold"/>
    <w:uiPriority w:val="99"/>
    <w:rsid w:val="00CC1EF4"/>
    <w:rPr>
      <w:rFonts w:ascii="Arial" w:eastAsia="Times New Roman" w:hAnsi="Arial" w:cs="Times New Roman"/>
      <w:b/>
      <w:sz w:val="19"/>
      <w:szCs w:val="19"/>
      <w:lang w:val="en-US"/>
    </w:rPr>
  </w:style>
  <w:style w:type="paragraph" w:styleId="Akapitzlist">
    <w:name w:val="List Paragraph"/>
    <w:aliases w:val="Tekst specyfikacji"/>
    <w:basedOn w:val="Normalny"/>
    <w:uiPriority w:val="34"/>
    <w:qFormat/>
    <w:rsid w:val="00CC1EF4"/>
    <w:pPr>
      <w:spacing w:after="0" w:line="240" w:lineRule="auto"/>
      <w:ind w:left="720"/>
      <w:contextualSpacing/>
      <w:jc w:val="both"/>
    </w:pPr>
    <w:rPr>
      <w:rFonts w:ascii="Arial" w:hAnsi="Arial"/>
      <w:sz w:val="20"/>
    </w:rPr>
  </w:style>
  <w:style w:type="table" w:customStyle="1" w:styleId="TableGrid">
    <w:name w:val="TableGrid"/>
    <w:rsid w:val="00CC1EF4"/>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footnotedescription">
    <w:name w:val="footnote description"/>
    <w:next w:val="Normalny"/>
    <w:link w:val="footnotedescriptionChar"/>
    <w:hidden/>
    <w:rsid w:val="00CC1EF4"/>
    <w:pPr>
      <w:spacing w:after="0" w:line="265" w:lineRule="auto"/>
      <w:ind w:left="862" w:right="1" w:hanging="142"/>
      <w:jc w:val="both"/>
    </w:pPr>
    <w:rPr>
      <w:rFonts w:ascii="Times New Roman" w:eastAsia="Times New Roman" w:hAnsi="Times New Roman" w:cs="Times New Roman"/>
      <w:color w:val="000000"/>
      <w:sz w:val="18"/>
      <w:lang w:eastAsia="pl-PL"/>
    </w:rPr>
  </w:style>
  <w:style w:type="character" w:customStyle="1" w:styleId="footnotedescriptionChar">
    <w:name w:val="footnote description Char"/>
    <w:link w:val="footnotedescription"/>
    <w:rsid w:val="00CC1EF4"/>
    <w:rPr>
      <w:rFonts w:ascii="Times New Roman" w:eastAsia="Times New Roman" w:hAnsi="Times New Roman" w:cs="Times New Roman"/>
      <w:color w:val="000000"/>
      <w:sz w:val="18"/>
      <w:lang w:eastAsia="pl-PL"/>
    </w:rPr>
  </w:style>
  <w:style w:type="character" w:customStyle="1" w:styleId="footnotemark">
    <w:name w:val="footnote mark"/>
    <w:hidden/>
    <w:rsid w:val="00CC1EF4"/>
    <w:rPr>
      <w:rFonts w:ascii="Times New Roman" w:eastAsia="Times New Roman" w:hAnsi="Times New Roman" w:cs="Times New Roman"/>
      <w:color w:val="000000"/>
      <w:sz w:val="18"/>
      <w:vertAlign w:val="superscript"/>
    </w:rPr>
  </w:style>
  <w:style w:type="paragraph" w:customStyle="1" w:styleId="AKAPIT">
    <w:name w:val="AKAPIT"/>
    <w:basedOn w:val="Normalny"/>
    <w:link w:val="AKAPITZnak"/>
    <w:qFormat/>
    <w:rsid w:val="00CC1EF4"/>
    <w:pPr>
      <w:spacing w:before="240" w:after="240" w:line="240" w:lineRule="auto"/>
      <w:jc w:val="both"/>
    </w:pPr>
    <w:rPr>
      <w:rFonts w:ascii="Arial" w:hAnsi="Arial" w:cs="Arial"/>
      <w:sz w:val="20"/>
    </w:rPr>
  </w:style>
  <w:style w:type="paragraph" w:customStyle="1" w:styleId="POZIOM2">
    <w:name w:val="POZIOM 2"/>
    <w:basedOn w:val="Normalny"/>
    <w:next w:val="POZIOM3"/>
    <w:link w:val="POZIOM2Znak"/>
    <w:qFormat/>
    <w:rsid w:val="00CC1EF4"/>
    <w:pPr>
      <w:numPr>
        <w:ilvl w:val="1"/>
        <w:numId w:val="60"/>
      </w:numPr>
      <w:spacing w:before="240" w:after="240" w:line="240" w:lineRule="auto"/>
      <w:ind w:left="426" w:hanging="426"/>
      <w:jc w:val="both"/>
    </w:pPr>
    <w:rPr>
      <w:rFonts w:ascii="Arial" w:hAnsi="Arial" w:cs="Arial"/>
      <w:b/>
      <w:sz w:val="20"/>
    </w:rPr>
  </w:style>
  <w:style w:type="character" w:customStyle="1" w:styleId="AKAPITZnak">
    <w:name w:val="AKAPIT Znak"/>
    <w:basedOn w:val="Domylnaczcionkaakapitu"/>
    <w:link w:val="AKAPIT"/>
    <w:rsid w:val="00CC1EF4"/>
    <w:rPr>
      <w:rFonts w:ascii="Arial" w:hAnsi="Arial" w:cs="Arial"/>
      <w:sz w:val="20"/>
    </w:rPr>
  </w:style>
  <w:style w:type="paragraph" w:customStyle="1" w:styleId="POZIOM1">
    <w:name w:val="POZIOM 1"/>
    <w:basedOn w:val="POZIOM2"/>
    <w:next w:val="POZIOM2"/>
    <w:link w:val="POZIOM1Znak"/>
    <w:qFormat/>
    <w:rsid w:val="00CC1EF4"/>
    <w:pPr>
      <w:numPr>
        <w:ilvl w:val="0"/>
      </w:numPr>
      <w:ind w:left="284" w:hanging="284"/>
    </w:pPr>
  </w:style>
  <w:style w:type="character" w:customStyle="1" w:styleId="POZIOM2Znak">
    <w:name w:val="POZIOM 2 Znak"/>
    <w:basedOn w:val="AKAPITZnak"/>
    <w:link w:val="POZIOM2"/>
    <w:rsid w:val="00CC1EF4"/>
    <w:rPr>
      <w:rFonts w:ascii="Arial" w:hAnsi="Arial" w:cs="Arial"/>
      <w:b/>
      <w:sz w:val="20"/>
    </w:rPr>
  </w:style>
  <w:style w:type="paragraph" w:customStyle="1" w:styleId="PUNKTOWANIE0">
    <w:name w:val="PUNKTOWANIE"/>
    <w:basedOn w:val="AKAPIT"/>
    <w:link w:val="PUNKTOWANIEZnak"/>
    <w:qFormat/>
    <w:rsid w:val="00CC1EF4"/>
    <w:pPr>
      <w:numPr>
        <w:numId w:val="59"/>
      </w:numPr>
      <w:spacing w:before="0" w:after="0"/>
    </w:pPr>
  </w:style>
  <w:style w:type="character" w:customStyle="1" w:styleId="POZIOM1Znak">
    <w:name w:val="POZIOM 1 Znak"/>
    <w:basedOn w:val="POZIOM2Znak"/>
    <w:link w:val="POZIOM1"/>
    <w:rsid w:val="00CC1EF4"/>
    <w:rPr>
      <w:rFonts w:ascii="Arial" w:hAnsi="Arial" w:cs="Arial"/>
      <w:b/>
      <w:sz w:val="20"/>
    </w:rPr>
  </w:style>
  <w:style w:type="character" w:customStyle="1" w:styleId="PUNKTOWANIEZnak">
    <w:name w:val="PUNKTOWANIE Znak"/>
    <w:basedOn w:val="AKAPITZnak"/>
    <w:link w:val="PUNKTOWANIE0"/>
    <w:rsid w:val="00CC1EF4"/>
    <w:rPr>
      <w:rFonts w:ascii="Arial" w:hAnsi="Arial" w:cs="Arial"/>
      <w:sz w:val="20"/>
    </w:rPr>
  </w:style>
  <w:style w:type="paragraph" w:styleId="Tekstkomentarza">
    <w:name w:val="annotation text"/>
    <w:basedOn w:val="Normalny"/>
    <w:link w:val="TekstkomentarzaZnak"/>
    <w:unhideWhenUsed/>
    <w:rsid w:val="00CC1EF4"/>
    <w:pPr>
      <w:spacing w:after="0" w:line="240" w:lineRule="auto"/>
      <w:jc w:val="both"/>
    </w:pPr>
    <w:rPr>
      <w:rFonts w:ascii="Arial" w:hAnsi="Arial"/>
      <w:sz w:val="20"/>
      <w:szCs w:val="20"/>
    </w:rPr>
  </w:style>
  <w:style w:type="character" w:customStyle="1" w:styleId="TekstkomentarzaZnak">
    <w:name w:val="Tekst komentarza Znak"/>
    <w:basedOn w:val="Domylnaczcionkaakapitu"/>
    <w:link w:val="Tekstkomentarza"/>
    <w:rsid w:val="00CC1EF4"/>
    <w:rPr>
      <w:rFonts w:ascii="Arial" w:hAnsi="Arial"/>
      <w:sz w:val="20"/>
      <w:szCs w:val="20"/>
    </w:rPr>
  </w:style>
  <w:style w:type="paragraph" w:styleId="Tematkomentarza">
    <w:name w:val="annotation subject"/>
    <w:basedOn w:val="Tekstkomentarza"/>
    <w:next w:val="Tekstkomentarza"/>
    <w:link w:val="TematkomentarzaZnak"/>
    <w:unhideWhenUsed/>
    <w:rsid w:val="00CC1EF4"/>
    <w:pPr>
      <w:spacing w:after="5"/>
      <w:ind w:left="730" w:right="1" w:hanging="10"/>
    </w:pPr>
    <w:rPr>
      <w:rFonts w:ascii="Times New Roman" w:eastAsia="Times New Roman" w:hAnsi="Times New Roman" w:cs="Times New Roman"/>
      <w:b/>
      <w:bCs/>
      <w:color w:val="000000"/>
      <w:lang w:eastAsia="pl-PL"/>
    </w:rPr>
  </w:style>
  <w:style w:type="character" w:customStyle="1" w:styleId="TematkomentarzaZnak">
    <w:name w:val="Temat komentarza Znak"/>
    <w:basedOn w:val="TekstkomentarzaZnak"/>
    <w:link w:val="Tematkomentarza"/>
    <w:rsid w:val="00CC1EF4"/>
    <w:rPr>
      <w:rFonts w:ascii="Times New Roman" w:eastAsia="Times New Roman" w:hAnsi="Times New Roman" w:cs="Times New Roman"/>
      <w:b/>
      <w:bCs/>
      <w:color w:val="000000"/>
      <w:sz w:val="20"/>
      <w:szCs w:val="20"/>
      <w:lang w:eastAsia="pl-PL"/>
    </w:rPr>
  </w:style>
  <w:style w:type="paragraph" w:customStyle="1" w:styleId="LITEROWE">
    <w:name w:val="LITEROWE"/>
    <w:basedOn w:val="PUNKTOWANIE0"/>
    <w:next w:val="PUNKTOWANIE0"/>
    <w:link w:val="LITEROWEZnak"/>
    <w:qFormat/>
    <w:rsid w:val="00CC1EF4"/>
    <w:pPr>
      <w:numPr>
        <w:numId w:val="61"/>
      </w:numPr>
      <w:spacing w:before="120" w:after="120"/>
      <w:ind w:left="284" w:hanging="284"/>
    </w:pPr>
  </w:style>
  <w:style w:type="paragraph" w:customStyle="1" w:styleId="POZIOM3">
    <w:name w:val="POZIOM 3"/>
    <w:basedOn w:val="POZIOM2"/>
    <w:next w:val="POZIOM4"/>
    <w:link w:val="POZIOM3Znak"/>
    <w:qFormat/>
    <w:rsid w:val="00CC1EF4"/>
    <w:pPr>
      <w:numPr>
        <w:ilvl w:val="2"/>
        <w:numId w:val="62"/>
      </w:numPr>
      <w:ind w:left="567" w:hanging="567"/>
    </w:pPr>
  </w:style>
  <w:style w:type="character" w:customStyle="1" w:styleId="LITEROWEZnak">
    <w:name w:val="LITEROWE Znak"/>
    <w:basedOn w:val="AKAPITZnak"/>
    <w:link w:val="LITEROWE"/>
    <w:rsid w:val="00CC1EF4"/>
    <w:rPr>
      <w:rFonts w:ascii="Arial" w:hAnsi="Arial" w:cs="Arial"/>
      <w:sz w:val="20"/>
    </w:rPr>
  </w:style>
  <w:style w:type="paragraph" w:customStyle="1" w:styleId="POZIOM4">
    <w:name w:val="POZIOM 4"/>
    <w:basedOn w:val="POZIOM3"/>
    <w:link w:val="POZIOM4Znak"/>
    <w:qFormat/>
    <w:rsid w:val="00CC1EF4"/>
    <w:pPr>
      <w:numPr>
        <w:ilvl w:val="3"/>
      </w:numPr>
    </w:pPr>
  </w:style>
  <w:style w:type="character" w:customStyle="1" w:styleId="POZIOM3Znak">
    <w:name w:val="POZIOM 3 Znak"/>
    <w:basedOn w:val="POZIOM2Znak"/>
    <w:link w:val="POZIOM3"/>
    <w:rsid w:val="00CC1EF4"/>
    <w:rPr>
      <w:rFonts w:ascii="Arial" w:hAnsi="Arial" w:cs="Arial"/>
      <w:b/>
      <w:sz w:val="20"/>
    </w:rPr>
  </w:style>
  <w:style w:type="character" w:customStyle="1" w:styleId="POZIOM4Znak">
    <w:name w:val="POZIOM 4 Znak"/>
    <w:basedOn w:val="POZIOM3Znak"/>
    <w:link w:val="POZIOM4"/>
    <w:rsid w:val="00CC1EF4"/>
    <w:rPr>
      <w:rFonts w:ascii="Arial" w:hAnsi="Arial" w:cs="Arial"/>
      <w:b/>
      <w:sz w:val="20"/>
    </w:rPr>
  </w:style>
  <w:style w:type="paragraph" w:customStyle="1" w:styleId="Default">
    <w:name w:val="Default"/>
    <w:rsid w:val="00CC1EF4"/>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character" w:styleId="Odwoaniedokomentarza">
    <w:name w:val="annotation reference"/>
    <w:basedOn w:val="Domylnaczcionkaakapitu"/>
    <w:unhideWhenUsed/>
    <w:rsid w:val="00CC1EF4"/>
    <w:rPr>
      <w:sz w:val="16"/>
      <w:szCs w:val="16"/>
    </w:rPr>
  </w:style>
  <w:style w:type="character" w:customStyle="1" w:styleId="Teksttreci">
    <w:name w:val="Tekst treści_"/>
    <w:link w:val="Teksttreci0"/>
    <w:rsid w:val="00CC1EF4"/>
    <w:rPr>
      <w:sz w:val="17"/>
      <w:szCs w:val="17"/>
      <w:shd w:val="clear" w:color="auto" w:fill="FFFFFF"/>
    </w:rPr>
  </w:style>
  <w:style w:type="paragraph" w:customStyle="1" w:styleId="Teksttreci0">
    <w:name w:val="Tekst treści"/>
    <w:basedOn w:val="Normalny"/>
    <w:link w:val="Teksttreci"/>
    <w:rsid w:val="00CC1EF4"/>
    <w:pPr>
      <w:shd w:val="clear" w:color="auto" w:fill="FFFFFF"/>
      <w:spacing w:after="0" w:line="206" w:lineRule="exact"/>
      <w:ind w:hanging="560"/>
      <w:jc w:val="both"/>
    </w:pPr>
    <w:rPr>
      <w:sz w:val="17"/>
      <w:szCs w:val="17"/>
    </w:rPr>
  </w:style>
  <w:style w:type="paragraph" w:customStyle="1" w:styleId="TYTU1ROZDZIA">
    <w:name w:val="TYTUŁ_1 ROZDZIAŁ"/>
    <w:next w:val="Normalny"/>
    <w:rsid w:val="00CC1EF4"/>
    <w:pPr>
      <w:tabs>
        <w:tab w:val="left" w:pos="1418"/>
      </w:tabs>
      <w:spacing w:before="240" w:after="0" w:line="240" w:lineRule="auto"/>
      <w:ind w:left="1418" w:hanging="1418"/>
    </w:pPr>
    <w:rPr>
      <w:rFonts w:ascii="Arial" w:eastAsia="Times New Roman" w:hAnsi="Arial" w:cs="Times New Roman"/>
      <w:b/>
      <w:caps/>
      <w:szCs w:val="20"/>
      <w:lang w:eastAsia="pl-PL"/>
    </w:rPr>
  </w:style>
  <w:style w:type="paragraph" w:customStyle="1" w:styleId="CYFROWE">
    <w:name w:val="CYFROWE"/>
    <w:basedOn w:val="AKAPIT"/>
    <w:link w:val="CYFROWEZnak"/>
    <w:qFormat/>
    <w:rsid w:val="00CC1EF4"/>
  </w:style>
  <w:style w:type="character" w:customStyle="1" w:styleId="CYFROWEZnak">
    <w:name w:val="CYFROWE Znak"/>
    <w:basedOn w:val="AKAPITZnak"/>
    <w:link w:val="CYFROWE"/>
    <w:rsid w:val="00CC1EF4"/>
    <w:rPr>
      <w:rFonts w:ascii="Arial" w:hAnsi="Arial" w:cs="Arial"/>
      <w:sz w:val="20"/>
    </w:rPr>
  </w:style>
  <w:style w:type="character" w:customStyle="1" w:styleId="tekstdokbold">
    <w:name w:val="tekst dok. bold"/>
    <w:rsid w:val="00CC1EF4"/>
    <w:rPr>
      <w:b/>
    </w:rPr>
  </w:style>
  <w:style w:type="paragraph" w:customStyle="1" w:styleId="TytuST">
    <w:name w:val="Tytuł ST"/>
    <w:basedOn w:val="Styl1"/>
    <w:rsid w:val="00CC1EF4"/>
    <w:pPr>
      <w:tabs>
        <w:tab w:val="left" w:pos="1701"/>
      </w:tabs>
    </w:pPr>
    <w:rPr>
      <w:b/>
      <w:color w:val="000000"/>
      <w:sz w:val="22"/>
    </w:rPr>
  </w:style>
  <w:style w:type="paragraph" w:customStyle="1" w:styleId="tekstost">
    <w:name w:val="tekst ost"/>
    <w:basedOn w:val="Normalny"/>
    <w:link w:val="tekstostZnak"/>
    <w:rsid w:val="00CC1EF4"/>
    <w:pPr>
      <w:spacing w:after="0" w:line="240" w:lineRule="auto"/>
      <w:jc w:val="both"/>
    </w:pPr>
    <w:rPr>
      <w:rFonts w:ascii="Arial" w:eastAsia="Times New Roman" w:hAnsi="Arial" w:cs="Times New Roman"/>
      <w:sz w:val="20"/>
      <w:szCs w:val="20"/>
      <w:lang w:eastAsia="pl-PL"/>
    </w:rPr>
  </w:style>
  <w:style w:type="paragraph" w:customStyle="1" w:styleId="styl10">
    <w:name w:val="styl1"/>
    <w:basedOn w:val="Normalny"/>
    <w:rsid w:val="00CC1EF4"/>
    <w:pPr>
      <w:spacing w:after="0" w:line="240" w:lineRule="auto"/>
    </w:pPr>
    <w:rPr>
      <w:rFonts w:ascii="Arial" w:eastAsia="Times New Roman" w:hAnsi="Arial" w:cs="Times New Roman"/>
      <w:sz w:val="20"/>
      <w:szCs w:val="24"/>
      <w:lang w:eastAsia="pl-PL"/>
    </w:rPr>
  </w:style>
  <w:style w:type="paragraph" w:customStyle="1" w:styleId="Lista-">
    <w:name w:val="Lista -"/>
    <w:basedOn w:val="Normalny"/>
    <w:rsid w:val="00CC1EF4"/>
    <w:pPr>
      <w:numPr>
        <w:numId w:val="64"/>
      </w:numPr>
      <w:tabs>
        <w:tab w:val="left" w:pos="1247"/>
      </w:tabs>
      <w:spacing w:before="60" w:after="0" w:line="360" w:lineRule="auto"/>
      <w:jc w:val="both"/>
    </w:pPr>
    <w:rPr>
      <w:rFonts w:ascii="Arial" w:eastAsia="Times New Roman" w:hAnsi="Arial" w:cs="Times New Roman"/>
      <w:sz w:val="24"/>
      <w:szCs w:val="20"/>
      <w:lang w:eastAsia="pl-PL"/>
    </w:rPr>
  </w:style>
  <w:style w:type="character" w:customStyle="1" w:styleId="FontStyle18">
    <w:name w:val="Font Style18"/>
    <w:rsid w:val="00CC1EF4"/>
    <w:rPr>
      <w:rFonts w:ascii="Times New Roman" w:hAnsi="Times New Roman" w:cs="Times New Roman"/>
      <w:color w:val="000000"/>
      <w:sz w:val="20"/>
      <w:szCs w:val="20"/>
    </w:rPr>
  </w:style>
  <w:style w:type="character" w:customStyle="1" w:styleId="FontStyle17">
    <w:name w:val="Font Style17"/>
    <w:rsid w:val="00CC1EF4"/>
    <w:rPr>
      <w:rFonts w:ascii="Times New Roman" w:hAnsi="Times New Roman" w:cs="Times New Roman"/>
      <w:b/>
      <w:bCs/>
      <w:color w:val="000000"/>
      <w:sz w:val="20"/>
      <w:szCs w:val="20"/>
    </w:rPr>
  </w:style>
  <w:style w:type="paragraph" w:customStyle="1" w:styleId="rozdzia">
    <w:name w:val="rozdział"/>
    <w:basedOn w:val="Normalny"/>
    <w:autoRedefine/>
    <w:rsid w:val="00CC1EF4"/>
    <w:pPr>
      <w:spacing w:after="0" w:line="240" w:lineRule="auto"/>
    </w:pPr>
    <w:rPr>
      <w:rFonts w:ascii="Arial" w:eastAsia="Times New Roman" w:hAnsi="Arial" w:cs="Times New Roman"/>
      <w:bCs/>
      <w:sz w:val="16"/>
      <w:szCs w:val="20"/>
      <w:lang w:eastAsia="pl-PL"/>
    </w:rPr>
  </w:style>
  <w:style w:type="paragraph" w:styleId="Listanumerowana2">
    <w:name w:val="List Number 2"/>
    <w:basedOn w:val="Normalny"/>
    <w:rsid w:val="00CC1EF4"/>
    <w:pPr>
      <w:numPr>
        <w:numId w:val="67"/>
      </w:numPr>
      <w:spacing w:before="60" w:after="60" w:line="240" w:lineRule="auto"/>
      <w:ind w:left="907"/>
      <w:jc w:val="both"/>
    </w:pPr>
    <w:rPr>
      <w:rFonts w:ascii="Arial" w:eastAsia="Times New Roman" w:hAnsi="Arial" w:cs="Times New Roman"/>
      <w:sz w:val="20"/>
      <w:szCs w:val="20"/>
      <w:lang w:eastAsia="pl-PL"/>
    </w:rPr>
  </w:style>
  <w:style w:type="paragraph" w:customStyle="1" w:styleId="Specyfikacja">
    <w:name w:val="Specyfikacja"/>
    <w:basedOn w:val="Normalny"/>
    <w:rsid w:val="00CC1EF4"/>
    <w:pPr>
      <w:spacing w:before="60" w:after="240" w:line="240" w:lineRule="auto"/>
      <w:ind w:left="1418" w:hanging="1418"/>
      <w:jc w:val="both"/>
    </w:pPr>
    <w:rPr>
      <w:rFonts w:ascii="Arial" w:eastAsia="Times New Roman" w:hAnsi="Arial" w:cs="Times New Roman"/>
      <w:smallCaps/>
      <w:sz w:val="28"/>
      <w:szCs w:val="20"/>
      <w:lang w:eastAsia="pl-PL"/>
    </w:rPr>
  </w:style>
  <w:style w:type="paragraph" w:customStyle="1" w:styleId="Tabela">
    <w:name w:val="Tabela"/>
    <w:basedOn w:val="Normalny"/>
    <w:rsid w:val="00CC1EF4"/>
    <w:pPr>
      <w:spacing w:after="0" w:line="240" w:lineRule="auto"/>
    </w:pPr>
    <w:rPr>
      <w:rFonts w:ascii="Arial" w:eastAsia="Times New Roman" w:hAnsi="Arial" w:cs="Times New Roman"/>
      <w:sz w:val="20"/>
      <w:szCs w:val="20"/>
      <w:lang w:eastAsia="pl-PL"/>
    </w:rPr>
  </w:style>
  <w:style w:type="paragraph" w:styleId="Legenda">
    <w:name w:val="caption"/>
    <w:aliases w:val="Nagłówek 4 Znak Znak Znak,Legenda Znak Znak Znak Znak,Nagłówek 4 Znak Znak Znak Znak Znak Znak, Znak Znak9 Znak Znak Znak Znak Znak Znak Znak Znak Znak, Znak4 Znak Znak Znak Znak Znak Znak Znak Znak Znak Znak Znak, Znak Znak9 Znak"/>
    <w:basedOn w:val="Normalny"/>
    <w:next w:val="Normalny"/>
    <w:link w:val="LegendaZnak"/>
    <w:qFormat/>
    <w:rsid w:val="00CC1EF4"/>
    <w:pPr>
      <w:keepNext/>
      <w:spacing w:before="240" w:after="240" w:line="240" w:lineRule="auto"/>
      <w:ind w:left="2126" w:hanging="992"/>
    </w:pPr>
    <w:rPr>
      <w:rFonts w:ascii="Times New Roman" w:eastAsia="Times New Roman" w:hAnsi="Times New Roman" w:cs="Times New Roman"/>
      <w:b/>
      <w:sz w:val="20"/>
      <w:szCs w:val="20"/>
    </w:rPr>
  </w:style>
  <w:style w:type="paragraph" w:customStyle="1" w:styleId="BodyText21">
    <w:name w:val="Body Text 21"/>
    <w:basedOn w:val="Normalny"/>
    <w:rsid w:val="00CC1EF4"/>
    <w:pPr>
      <w:widowControl w:val="0"/>
      <w:spacing w:after="0" w:line="240" w:lineRule="auto"/>
    </w:pPr>
    <w:rPr>
      <w:rFonts w:ascii="Arial" w:eastAsia="Times New Roman" w:hAnsi="Arial" w:cs="Times New Roman"/>
      <w:snapToGrid w:val="0"/>
      <w:sz w:val="24"/>
      <w:szCs w:val="20"/>
      <w:lang w:eastAsia="pl-PL"/>
    </w:rPr>
  </w:style>
  <w:style w:type="paragraph" w:customStyle="1" w:styleId="RightPar3">
    <w:name w:val="Right Par 3"/>
    <w:rsid w:val="00CC1EF4"/>
    <w:pPr>
      <w:tabs>
        <w:tab w:val="left" w:pos="-720"/>
        <w:tab w:val="left" w:pos="0"/>
        <w:tab w:val="left" w:pos="720"/>
        <w:tab w:val="left" w:pos="1440"/>
        <w:tab w:val="decimal" w:pos="2160"/>
      </w:tabs>
      <w:suppressAutoHyphens/>
      <w:spacing w:after="0" w:line="240" w:lineRule="auto"/>
      <w:ind w:left="2160" w:hanging="432"/>
    </w:pPr>
    <w:rPr>
      <w:rFonts w:ascii="Courier" w:eastAsia="Times New Roman" w:hAnsi="Courier" w:cs="Times New Roman"/>
      <w:sz w:val="24"/>
      <w:szCs w:val="20"/>
      <w:lang w:val="en-US" w:eastAsia="pl-PL"/>
    </w:rPr>
  </w:style>
  <w:style w:type="paragraph" w:customStyle="1" w:styleId="spis">
    <w:name w:val="spis"/>
    <w:basedOn w:val="Normalny"/>
    <w:autoRedefine/>
    <w:rsid w:val="00CC1EF4"/>
    <w:pPr>
      <w:spacing w:after="0" w:line="240" w:lineRule="auto"/>
      <w:jc w:val="both"/>
      <w:outlineLvl w:val="0"/>
    </w:pPr>
    <w:rPr>
      <w:rFonts w:ascii="Arial" w:eastAsia="Times New Roman" w:hAnsi="Arial" w:cs="Times New Roman"/>
      <w:b/>
      <w:bCs/>
      <w:sz w:val="20"/>
      <w:szCs w:val="24"/>
      <w:lang w:eastAsia="pl-PL"/>
    </w:rPr>
  </w:style>
  <w:style w:type="paragraph" w:styleId="Tytu">
    <w:name w:val="Title"/>
    <w:basedOn w:val="Normalny"/>
    <w:link w:val="TytuZnak"/>
    <w:qFormat/>
    <w:rsid w:val="00CC1EF4"/>
    <w:pPr>
      <w:suppressAutoHyphens/>
      <w:spacing w:after="0" w:line="240" w:lineRule="auto"/>
      <w:jc w:val="center"/>
    </w:pPr>
    <w:rPr>
      <w:rFonts w:ascii="Times New Roman" w:eastAsia="Times New Roman" w:hAnsi="Times New Roman" w:cs="Times New Roman"/>
      <w:b/>
      <w:sz w:val="24"/>
      <w:szCs w:val="20"/>
      <w:u w:val="single"/>
    </w:rPr>
  </w:style>
  <w:style w:type="character" w:customStyle="1" w:styleId="TytuZnak">
    <w:name w:val="Tytuł Znak"/>
    <w:basedOn w:val="Domylnaczcionkaakapitu"/>
    <w:link w:val="Tytu"/>
    <w:rsid w:val="00CC1EF4"/>
    <w:rPr>
      <w:rFonts w:ascii="Times New Roman" w:eastAsia="Times New Roman" w:hAnsi="Times New Roman" w:cs="Times New Roman"/>
      <w:b/>
      <w:sz w:val="24"/>
      <w:szCs w:val="20"/>
      <w:u w:val="single"/>
    </w:rPr>
  </w:style>
  <w:style w:type="paragraph" w:styleId="Tekstblokowy">
    <w:name w:val="Block Text"/>
    <w:basedOn w:val="Normalny"/>
    <w:rsid w:val="00CC1EF4"/>
    <w:pPr>
      <w:numPr>
        <w:ilvl w:val="12"/>
      </w:numPr>
      <w:spacing w:before="120" w:after="0" w:line="240" w:lineRule="auto"/>
      <w:ind w:left="284" w:right="-11" w:hanging="284"/>
    </w:pPr>
    <w:rPr>
      <w:rFonts w:ascii="Arial" w:eastAsia="Times New Roman" w:hAnsi="Arial" w:cs="Times New Roman"/>
      <w:sz w:val="20"/>
      <w:szCs w:val="20"/>
      <w:lang w:eastAsia="pl-PL"/>
    </w:rPr>
  </w:style>
  <w:style w:type="character" w:customStyle="1" w:styleId="Document8">
    <w:name w:val="Document 8"/>
    <w:basedOn w:val="Domylnaczcionkaakapitu"/>
    <w:rsid w:val="00CC1EF4"/>
  </w:style>
  <w:style w:type="character" w:customStyle="1" w:styleId="Document4">
    <w:name w:val="Document 4"/>
    <w:rsid w:val="00CC1EF4"/>
    <w:rPr>
      <w:b/>
      <w:i/>
      <w:sz w:val="24"/>
    </w:rPr>
  </w:style>
  <w:style w:type="character" w:customStyle="1" w:styleId="Document6">
    <w:name w:val="Document 6"/>
    <w:basedOn w:val="Domylnaczcionkaakapitu"/>
    <w:rsid w:val="00CC1EF4"/>
  </w:style>
  <w:style w:type="character" w:customStyle="1" w:styleId="Document5">
    <w:name w:val="Document 5"/>
    <w:basedOn w:val="Domylnaczcionkaakapitu"/>
    <w:rsid w:val="00CC1EF4"/>
  </w:style>
  <w:style w:type="character" w:customStyle="1" w:styleId="Document2">
    <w:name w:val="Document 2"/>
    <w:rsid w:val="00CC1EF4"/>
    <w:rPr>
      <w:rFonts w:ascii="Courier" w:hAnsi="Courier"/>
      <w:noProof w:val="0"/>
      <w:sz w:val="24"/>
      <w:lang w:val="en-US"/>
    </w:rPr>
  </w:style>
  <w:style w:type="character" w:customStyle="1" w:styleId="Document7">
    <w:name w:val="Document 7"/>
    <w:basedOn w:val="Domylnaczcionkaakapitu"/>
    <w:rsid w:val="00CC1EF4"/>
  </w:style>
  <w:style w:type="character" w:customStyle="1" w:styleId="Bibliogrphy">
    <w:name w:val="Bibliogrphy"/>
    <w:basedOn w:val="Domylnaczcionkaakapitu"/>
    <w:rsid w:val="00CC1EF4"/>
  </w:style>
  <w:style w:type="paragraph" w:customStyle="1" w:styleId="RightPar1">
    <w:name w:val="Right Par 1"/>
    <w:rsid w:val="00CC1EF4"/>
    <w:pPr>
      <w:tabs>
        <w:tab w:val="left" w:pos="-720"/>
        <w:tab w:val="left" w:pos="0"/>
        <w:tab w:val="decimal" w:pos="720"/>
      </w:tabs>
      <w:suppressAutoHyphens/>
      <w:spacing w:after="0" w:line="240" w:lineRule="auto"/>
      <w:ind w:left="720" w:hanging="432"/>
    </w:pPr>
    <w:rPr>
      <w:rFonts w:ascii="Courier" w:eastAsia="Times New Roman" w:hAnsi="Courier" w:cs="Times New Roman"/>
      <w:sz w:val="24"/>
      <w:szCs w:val="20"/>
      <w:lang w:val="en-US" w:eastAsia="pl-PL"/>
    </w:rPr>
  </w:style>
  <w:style w:type="paragraph" w:customStyle="1" w:styleId="RightPar2">
    <w:name w:val="Right Par 2"/>
    <w:rsid w:val="00CC1EF4"/>
    <w:pPr>
      <w:tabs>
        <w:tab w:val="left" w:pos="-720"/>
        <w:tab w:val="left" w:pos="0"/>
        <w:tab w:val="left" w:pos="720"/>
        <w:tab w:val="decimal" w:pos="1440"/>
      </w:tabs>
      <w:suppressAutoHyphens/>
      <w:spacing w:after="0" w:line="240" w:lineRule="auto"/>
      <w:ind w:left="1440" w:hanging="432"/>
    </w:pPr>
    <w:rPr>
      <w:rFonts w:ascii="Courier" w:eastAsia="Times New Roman" w:hAnsi="Courier" w:cs="Times New Roman"/>
      <w:sz w:val="24"/>
      <w:szCs w:val="20"/>
      <w:lang w:val="en-US" w:eastAsia="pl-PL"/>
    </w:rPr>
  </w:style>
  <w:style w:type="character" w:customStyle="1" w:styleId="Document3">
    <w:name w:val="Document 3"/>
    <w:rsid w:val="00CC1EF4"/>
    <w:rPr>
      <w:rFonts w:ascii="Courier" w:hAnsi="Courier"/>
      <w:noProof w:val="0"/>
      <w:sz w:val="24"/>
      <w:lang w:val="en-US"/>
    </w:rPr>
  </w:style>
  <w:style w:type="paragraph" w:customStyle="1" w:styleId="RightPar4">
    <w:name w:val="Right Par 4"/>
    <w:rsid w:val="00CC1EF4"/>
    <w:pPr>
      <w:tabs>
        <w:tab w:val="left" w:pos="-720"/>
        <w:tab w:val="left" w:pos="0"/>
        <w:tab w:val="left" w:pos="720"/>
        <w:tab w:val="left" w:pos="1440"/>
        <w:tab w:val="left" w:pos="2160"/>
        <w:tab w:val="decimal" w:pos="2880"/>
      </w:tabs>
      <w:suppressAutoHyphens/>
      <w:spacing w:after="0" w:line="240" w:lineRule="auto"/>
      <w:ind w:left="2880" w:hanging="432"/>
    </w:pPr>
    <w:rPr>
      <w:rFonts w:ascii="Courier" w:eastAsia="Times New Roman" w:hAnsi="Courier" w:cs="Times New Roman"/>
      <w:sz w:val="24"/>
      <w:szCs w:val="20"/>
      <w:lang w:val="en-US" w:eastAsia="pl-PL"/>
    </w:rPr>
  </w:style>
  <w:style w:type="paragraph" w:customStyle="1" w:styleId="RightPar5">
    <w:name w:val="Right Par 5"/>
    <w:rsid w:val="00CC1EF4"/>
    <w:pPr>
      <w:tabs>
        <w:tab w:val="left" w:pos="-720"/>
        <w:tab w:val="left" w:pos="0"/>
        <w:tab w:val="left" w:pos="720"/>
        <w:tab w:val="left" w:pos="1440"/>
        <w:tab w:val="left" w:pos="2160"/>
        <w:tab w:val="left" w:pos="2880"/>
        <w:tab w:val="decimal" w:pos="3600"/>
      </w:tabs>
      <w:suppressAutoHyphens/>
      <w:spacing w:after="0" w:line="240" w:lineRule="auto"/>
      <w:ind w:left="3600" w:hanging="576"/>
    </w:pPr>
    <w:rPr>
      <w:rFonts w:ascii="Courier" w:eastAsia="Times New Roman" w:hAnsi="Courier" w:cs="Times New Roman"/>
      <w:sz w:val="24"/>
      <w:szCs w:val="20"/>
      <w:lang w:val="en-US" w:eastAsia="pl-PL"/>
    </w:rPr>
  </w:style>
  <w:style w:type="paragraph" w:customStyle="1" w:styleId="RightPar6">
    <w:name w:val="Right Par 6"/>
    <w:rsid w:val="00CC1EF4"/>
    <w:pPr>
      <w:tabs>
        <w:tab w:val="left" w:pos="-720"/>
        <w:tab w:val="left" w:pos="0"/>
        <w:tab w:val="left" w:pos="720"/>
        <w:tab w:val="left" w:pos="1440"/>
        <w:tab w:val="left" w:pos="2160"/>
        <w:tab w:val="left" w:pos="2880"/>
        <w:tab w:val="left" w:pos="3600"/>
        <w:tab w:val="decimal" w:pos="4320"/>
      </w:tabs>
      <w:suppressAutoHyphens/>
      <w:spacing w:after="0" w:line="240" w:lineRule="auto"/>
      <w:ind w:left="4320" w:hanging="576"/>
    </w:pPr>
    <w:rPr>
      <w:rFonts w:ascii="Courier" w:eastAsia="Times New Roman" w:hAnsi="Courier" w:cs="Times New Roman"/>
      <w:sz w:val="24"/>
      <w:szCs w:val="20"/>
      <w:lang w:val="en-US" w:eastAsia="pl-PL"/>
    </w:rPr>
  </w:style>
  <w:style w:type="paragraph" w:customStyle="1" w:styleId="RightPar7">
    <w:name w:val="Right Par 7"/>
    <w:rsid w:val="00CC1EF4"/>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hanging="432"/>
    </w:pPr>
    <w:rPr>
      <w:rFonts w:ascii="Courier" w:eastAsia="Times New Roman" w:hAnsi="Courier" w:cs="Times New Roman"/>
      <w:sz w:val="24"/>
      <w:szCs w:val="20"/>
      <w:lang w:val="en-US" w:eastAsia="pl-PL"/>
    </w:rPr>
  </w:style>
  <w:style w:type="paragraph" w:customStyle="1" w:styleId="RightPar8">
    <w:name w:val="Right Par 8"/>
    <w:rsid w:val="00CC1EF4"/>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hanging="432"/>
    </w:pPr>
    <w:rPr>
      <w:rFonts w:ascii="Courier" w:eastAsia="Times New Roman" w:hAnsi="Courier" w:cs="Times New Roman"/>
      <w:sz w:val="24"/>
      <w:szCs w:val="20"/>
      <w:lang w:val="en-US" w:eastAsia="pl-PL"/>
    </w:rPr>
  </w:style>
  <w:style w:type="character" w:customStyle="1" w:styleId="TechInit">
    <w:name w:val="Tech Init"/>
    <w:rsid w:val="00CC1EF4"/>
    <w:rPr>
      <w:rFonts w:ascii="Courier" w:hAnsi="Courier"/>
      <w:noProof w:val="0"/>
      <w:sz w:val="24"/>
      <w:lang w:val="en-US"/>
    </w:rPr>
  </w:style>
  <w:style w:type="paragraph" w:customStyle="1" w:styleId="Document1">
    <w:name w:val="Document 1"/>
    <w:rsid w:val="00CC1EF4"/>
    <w:pPr>
      <w:keepNext/>
      <w:keepLines/>
      <w:tabs>
        <w:tab w:val="left" w:pos="-720"/>
      </w:tabs>
      <w:suppressAutoHyphens/>
      <w:spacing w:after="0" w:line="240" w:lineRule="auto"/>
    </w:pPr>
    <w:rPr>
      <w:rFonts w:ascii="Courier" w:eastAsia="Times New Roman" w:hAnsi="Courier" w:cs="Times New Roman"/>
      <w:sz w:val="24"/>
      <w:szCs w:val="20"/>
      <w:lang w:val="en-US" w:eastAsia="pl-PL"/>
    </w:rPr>
  </w:style>
  <w:style w:type="paragraph" w:customStyle="1" w:styleId="Technical5">
    <w:name w:val="Technical 5"/>
    <w:rsid w:val="00CC1EF4"/>
    <w:pPr>
      <w:tabs>
        <w:tab w:val="left" w:pos="-720"/>
      </w:tabs>
      <w:suppressAutoHyphens/>
      <w:spacing w:after="0" w:line="240" w:lineRule="auto"/>
      <w:ind w:firstLine="720"/>
    </w:pPr>
    <w:rPr>
      <w:rFonts w:ascii="Courier" w:eastAsia="Times New Roman" w:hAnsi="Courier" w:cs="Times New Roman"/>
      <w:b/>
      <w:sz w:val="24"/>
      <w:szCs w:val="20"/>
      <w:lang w:val="en-US" w:eastAsia="pl-PL"/>
    </w:rPr>
  </w:style>
  <w:style w:type="paragraph" w:customStyle="1" w:styleId="Technical6">
    <w:name w:val="Technical 6"/>
    <w:rsid w:val="00CC1EF4"/>
    <w:pPr>
      <w:tabs>
        <w:tab w:val="left" w:pos="-720"/>
      </w:tabs>
      <w:suppressAutoHyphens/>
      <w:spacing w:after="0" w:line="240" w:lineRule="auto"/>
      <w:ind w:firstLine="720"/>
    </w:pPr>
    <w:rPr>
      <w:rFonts w:ascii="Courier" w:eastAsia="Times New Roman" w:hAnsi="Courier" w:cs="Times New Roman"/>
      <w:b/>
      <w:sz w:val="24"/>
      <w:szCs w:val="20"/>
      <w:lang w:val="en-US" w:eastAsia="pl-PL"/>
    </w:rPr>
  </w:style>
  <w:style w:type="character" w:customStyle="1" w:styleId="Technical2">
    <w:name w:val="Technical 2"/>
    <w:rsid w:val="00CC1EF4"/>
    <w:rPr>
      <w:rFonts w:ascii="Courier" w:hAnsi="Courier"/>
      <w:noProof w:val="0"/>
      <w:sz w:val="24"/>
      <w:lang w:val="en-US"/>
    </w:rPr>
  </w:style>
  <w:style w:type="character" w:customStyle="1" w:styleId="Technical3">
    <w:name w:val="Technical 3"/>
    <w:rsid w:val="00CC1EF4"/>
    <w:rPr>
      <w:rFonts w:ascii="Courier" w:hAnsi="Courier"/>
      <w:noProof w:val="0"/>
      <w:sz w:val="24"/>
      <w:lang w:val="en-US"/>
    </w:rPr>
  </w:style>
  <w:style w:type="paragraph" w:customStyle="1" w:styleId="Technical4">
    <w:name w:val="Technical 4"/>
    <w:rsid w:val="00CC1EF4"/>
    <w:pPr>
      <w:tabs>
        <w:tab w:val="left" w:pos="-720"/>
      </w:tabs>
      <w:suppressAutoHyphens/>
      <w:spacing w:after="0" w:line="240" w:lineRule="auto"/>
    </w:pPr>
    <w:rPr>
      <w:rFonts w:ascii="Courier" w:eastAsia="Times New Roman" w:hAnsi="Courier" w:cs="Times New Roman"/>
      <w:b/>
      <w:sz w:val="24"/>
      <w:szCs w:val="20"/>
      <w:lang w:val="en-US" w:eastAsia="pl-PL"/>
    </w:rPr>
  </w:style>
  <w:style w:type="character" w:customStyle="1" w:styleId="Technical1">
    <w:name w:val="Technical 1"/>
    <w:rsid w:val="00CC1EF4"/>
    <w:rPr>
      <w:rFonts w:ascii="Courier" w:hAnsi="Courier"/>
      <w:noProof w:val="0"/>
      <w:sz w:val="24"/>
      <w:lang w:val="en-US"/>
    </w:rPr>
  </w:style>
  <w:style w:type="paragraph" w:customStyle="1" w:styleId="Technical7">
    <w:name w:val="Technical 7"/>
    <w:rsid w:val="00CC1EF4"/>
    <w:pPr>
      <w:tabs>
        <w:tab w:val="left" w:pos="-720"/>
      </w:tabs>
      <w:suppressAutoHyphens/>
      <w:spacing w:after="0" w:line="240" w:lineRule="auto"/>
      <w:ind w:firstLine="720"/>
    </w:pPr>
    <w:rPr>
      <w:rFonts w:ascii="Courier" w:eastAsia="Times New Roman" w:hAnsi="Courier" w:cs="Times New Roman"/>
      <w:b/>
      <w:sz w:val="24"/>
      <w:szCs w:val="20"/>
      <w:lang w:val="en-US" w:eastAsia="pl-PL"/>
    </w:rPr>
  </w:style>
  <w:style w:type="paragraph" w:customStyle="1" w:styleId="Technical8">
    <w:name w:val="Technical 8"/>
    <w:rsid w:val="00CC1EF4"/>
    <w:pPr>
      <w:tabs>
        <w:tab w:val="left" w:pos="-720"/>
      </w:tabs>
      <w:suppressAutoHyphens/>
      <w:spacing w:after="0" w:line="240" w:lineRule="auto"/>
      <w:ind w:firstLine="720"/>
    </w:pPr>
    <w:rPr>
      <w:rFonts w:ascii="Courier" w:eastAsia="Times New Roman" w:hAnsi="Courier" w:cs="Times New Roman"/>
      <w:b/>
      <w:sz w:val="24"/>
      <w:szCs w:val="20"/>
      <w:lang w:val="en-US" w:eastAsia="pl-PL"/>
    </w:rPr>
  </w:style>
  <w:style w:type="character" w:customStyle="1" w:styleId="DocInit">
    <w:name w:val="Doc Init"/>
    <w:basedOn w:val="Domylnaczcionkaakapitu"/>
    <w:rsid w:val="00CC1EF4"/>
  </w:style>
  <w:style w:type="paragraph" w:customStyle="1" w:styleId="Pleading">
    <w:name w:val="Pleading"/>
    <w:rsid w:val="00CC1EF4"/>
    <w:pPr>
      <w:tabs>
        <w:tab w:val="left" w:pos="-720"/>
      </w:tabs>
      <w:suppressAutoHyphens/>
      <w:spacing w:after="0" w:line="240" w:lineRule="exact"/>
    </w:pPr>
    <w:rPr>
      <w:rFonts w:ascii="Courier" w:eastAsia="Times New Roman" w:hAnsi="Courier" w:cs="Times New Roman"/>
      <w:sz w:val="24"/>
      <w:szCs w:val="20"/>
      <w:lang w:val="en-US" w:eastAsia="pl-PL"/>
    </w:rPr>
  </w:style>
  <w:style w:type="character" w:customStyle="1" w:styleId="Nagwek21">
    <w:name w:val="Nagłówek 21"/>
    <w:rsid w:val="00CC1EF4"/>
    <w:rPr>
      <w:sz w:val="29"/>
      <w:u w:val="single"/>
    </w:rPr>
  </w:style>
  <w:style w:type="character" w:customStyle="1" w:styleId="Nagwek11">
    <w:name w:val="Nagłówek 11"/>
    <w:rsid w:val="00CC1EF4"/>
    <w:rPr>
      <w:b/>
      <w:sz w:val="36"/>
    </w:rPr>
  </w:style>
  <w:style w:type="character" w:customStyle="1" w:styleId="BulletList">
    <w:name w:val="Bullet List"/>
    <w:basedOn w:val="Domylnaczcionkaakapitu"/>
    <w:rsid w:val="00CC1EF4"/>
  </w:style>
  <w:style w:type="character" w:customStyle="1" w:styleId="reference">
    <w:name w:val="reference"/>
    <w:rsid w:val="00CC1EF4"/>
    <w:rPr>
      <w:rFonts w:ascii="Courier" w:hAnsi="Courier"/>
      <w:noProof w:val="0"/>
      <w:sz w:val="24"/>
      <w:lang w:val="en-US"/>
    </w:rPr>
  </w:style>
  <w:style w:type="character" w:customStyle="1" w:styleId="footnote">
    <w:name w:val="footnote"/>
    <w:rsid w:val="00CC1EF4"/>
    <w:rPr>
      <w:rFonts w:ascii="Courier" w:hAnsi="Courier"/>
      <w:b/>
      <w:noProof w:val="0"/>
      <w:sz w:val="19"/>
      <w:vertAlign w:val="superscript"/>
      <w:lang w:val="en-US"/>
    </w:rPr>
  </w:style>
  <w:style w:type="character" w:customStyle="1" w:styleId="insertion">
    <w:name w:val="insertion"/>
    <w:rsid w:val="00CC1EF4"/>
    <w:rPr>
      <w:rFonts w:ascii="Courier" w:hAnsi="Courier"/>
      <w:noProof w:val="0"/>
      <w:sz w:val="24"/>
      <w:lang w:val="en-US"/>
    </w:rPr>
  </w:style>
  <w:style w:type="character" w:customStyle="1" w:styleId="vlpgno">
    <w:name w:val="vl.pg.no."/>
    <w:rsid w:val="00CC1EF4"/>
    <w:rPr>
      <w:rFonts w:ascii="Courier" w:hAnsi="Courier"/>
      <w:b/>
      <w:noProof w:val="0"/>
      <w:sz w:val="36"/>
      <w:lang w:val="en-US"/>
    </w:rPr>
  </w:style>
  <w:style w:type="paragraph" w:customStyle="1" w:styleId="paragraph1">
    <w:name w:val="paragraph 1"/>
    <w:rsid w:val="00CC1EF4"/>
    <w:pPr>
      <w:tabs>
        <w:tab w:val="left" w:pos="-720"/>
      </w:tabs>
      <w:suppressAutoHyphens/>
      <w:spacing w:after="0" w:line="240" w:lineRule="auto"/>
    </w:pPr>
    <w:rPr>
      <w:rFonts w:ascii="Courier" w:eastAsia="Times New Roman" w:hAnsi="Courier" w:cs="Times New Roman"/>
      <w:sz w:val="24"/>
      <w:szCs w:val="20"/>
      <w:lang w:val="en-US" w:eastAsia="pl-PL"/>
    </w:rPr>
  </w:style>
  <w:style w:type="paragraph" w:customStyle="1" w:styleId="NA">
    <w:name w:val="N/A"/>
    <w:basedOn w:val="Normalny"/>
    <w:rsid w:val="00CC1EF4"/>
    <w:pPr>
      <w:tabs>
        <w:tab w:val="left" w:pos="9000"/>
        <w:tab w:val="right" w:pos="9360"/>
      </w:tabs>
      <w:suppressAutoHyphens/>
      <w:spacing w:after="0" w:line="240" w:lineRule="auto"/>
    </w:pPr>
    <w:rPr>
      <w:rFonts w:ascii="Courier" w:eastAsia="Times New Roman" w:hAnsi="Courier" w:cs="Times New Roman"/>
      <w:sz w:val="24"/>
      <w:szCs w:val="20"/>
      <w:lang w:val="en-US" w:eastAsia="pl-PL"/>
    </w:rPr>
  </w:style>
  <w:style w:type="character" w:customStyle="1" w:styleId="EquationCaption">
    <w:name w:val="_Equation Caption"/>
    <w:rsid w:val="00CC1EF4"/>
  </w:style>
  <w:style w:type="paragraph" w:customStyle="1" w:styleId="Tekstpodstawowy21">
    <w:name w:val="Tekst podstawowy 21"/>
    <w:basedOn w:val="Normalny"/>
    <w:rsid w:val="00CC1EF4"/>
    <w:pPr>
      <w:widowControl w:val="0"/>
      <w:tabs>
        <w:tab w:val="right" w:pos="-1368"/>
        <w:tab w:val="left" w:pos="14"/>
      </w:tabs>
      <w:spacing w:before="96" w:after="0" w:line="240" w:lineRule="auto"/>
      <w:jc w:val="both"/>
    </w:pPr>
    <w:rPr>
      <w:rFonts w:ascii="Arial" w:eastAsia="Times New Roman" w:hAnsi="Arial" w:cs="Times New Roman"/>
      <w:sz w:val="24"/>
      <w:szCs w:val="20"/>
      <w:lang w:eastAsia="pl-PL"/>
    </w:rPr>
  </w:style>
  <w:style w:type="paragraph" w:customStyle="1" w:styleId="Tyturozdziau">
    <w:name w:val="Tytuł rozdziału"/>
    <w:basedOn w:val="TytuST"/>
    <w:rsid w:val="00CC1EF4"/>
    <w:pPr>
      <w:tabs>
        <w:tab w:val="left" w:pos="1985"/>
      </w:tabs>
    </w:pPr>
  </w:style>
  <w:style w:type="paragraph" w:customStyle="1" w:styleId="Mylnik">
    <w:name w:val="Myślnik"/>
    <w:rsid w:val="00CC1EF4"/>
    <w:pPr>
      <w:tabs>
        <w:tab w:val="num" w:pos="927"/>
      </w:tabs>
      <w:spacing w:before="120" w:after="0" w:line="240" w:lineRule="auto"/>
      <w:ind w:left="907" w:hanging="340"/>
    </w:pPr>
    <w:rPr>
      <w:rFonts w:ascii="Arial" w:eastAsia="Times New Roman" w:hAnsi="Arial" w:cs="Times New Roman"/>
      <w:color w:val="000000"/>
      <w:sz w:val="20"/>
      <w:szCs w:val="20"/>
      <w:lang w:eastAsia="pl-PL"/>
    </w:rPr>
  </w:style>
  <w:style w:type="paragraph" w:customStyle="1" w:styleId="akapit2">
    <w:name w:val="akapit2"/>
    <w:rsid w:val="00CC1EF4"/>
    <w:pPr>
      <w:spacing w:after="0" w:line="240" w:lineRule="auto"/>
      <w:ind w:left="226" w:hanging="226"/>
      <w:jc w:val="both"/>
    </w:pPr>
    <w:rPr>
      <w:rFonts w:ascii="Times New Roman" w:eastAsia="Times New Roman" w:hAnsi="Times New Roman" w:cs="Times New Roman"/>
      <w:color w:val="000000"/>
      <w:sz w:val="24"/>
      <w:szCs w:val="20"/>
      <w:lang w:val="cs-CZ" w:eastAsia="pl-PL"/>
    </w:rPr>
  </w:style>
  <w:style w:type="paragraph" w:customStyle="1" w:styleId="Podpunkty">
    <w:name w:val="Podpunkty"/>
    <w:rsid w:val="00CC1EF4"/>
    <w:pPr>
      <w:keepNext/>
      <w:tabs>
        <w:tab w:val="left" w:pos="851"/>
        <w:tab w:val="left" w:pos="2835"/>
      </w:tabs>
      <w:spacing w:before="240" w:after="0" w:line="240" w:lineRule="auto"/>
      <w:ind w:left="851" w:hanging="851"/>
    </w:pPr>
    <w:rPr>
      <w:rFonts w:ascii="Arial" w:eastAsia="Times New Roman" w:hAnsi="Arial" w:cs="Times New Roman"/>
      <w:color w:val="000000"/>
      <w:sz w:val="20"/>
      <w:szCs w:val="20"/>
      <w:lang w:eastAsia="pl-PL"/>
    </w:rPr>
  </w:style>
  <w:style w:type="paragraph" w:customStyle="1" w:styleId="Tekst">
    <w:name w:val="Tekst"/>
    <w:link w:val="TekstZnak"/>
    <w:rsid w:val="00CC1EF4"/>
    <w:pPr>
      <w:tabs>
        <w:tab w:val="left" w:pos="851"/>
        <w:tab w:val="left" w:pos="1701"/>
        <w:tab w:val="left" w:pos="2835"/>
        <w:tab w:val="left" w:pos="3969"/>
      </w:tabs>
      <w:spacing w:before="120" w:after="0" w:line="240" w:lineRule="auto"/>
      <w:ind w:firstLine="851"/>
      <w:jc w:val="both"/>
    </w:pPr>
    <w:rPr>
      <w:rFonts w:ascii="Arial" w:eastAsia="Times New Roman" w:hAnsi="Arial" w:cs="Times New Roman"/>
      <w:color w:val="000000"/>
      <w:sz w:val="20"/>
      <w:szCs w:val="20"/>
      <w:lang w:eastAsia="pl-PL"/>
    </w:rPr>
  </w:style>
  <w:style w:type="paragraph" w:customStyle="1" w:styleId="gruodst1">
    <w:name w:val="gruodst1"/>
    <w:rsid w:val="00CC1EF4"/>
    <w:pPr>
      <w:spacing w:after="0" w:line="240" w:lineRule="auto"/>
      <w:jc w:val="both"/>
    </w:pPr>
    <w:rPr>
      <w:rFonts w:ascii="Times New Roman" w:eastAsia="Times New Roman" w:hAnsi="Times New Roman" w:cs="Times New Roman"/>
      <w:b/>
      <w:color w:val="000000"/>
      <w:sz w:val="24"/>
      <w:szCs w:val="20"/>
      <w:lang w:val="cs-CZ" w:eastAsia="pl-PL"/>
    </w:rPr>
  </w:style>
  <w:style w:type="paragraph" w:customStyle="1" w:styleId="PISMA">
    <w:name w:val="PISMA"/>
    <w:basedOn w:val="Normalny"/>
    <w:rsid w:val="00CC1EF4"/>
    <w:pPr>
      <w:tabs>
        <w:tab w:val="left" w:pos="851"/>
        <w:tab w:val="right" w:leader="dot" w:pos="8789"/>
      </w:tabs>
      <w:spacing w:before="40" w:after="40" w:line="240" w:lineRule="auto"/>
    </w:pPr>
    <w:rPr>
      <w:rFonts w:ascii="Arial" w:eastAsia="Times New Roman" w:hAnsi="Arial" w:cs="Times New Roman"/>
      <w:sz w:val="20"/>
      <w:szCs w:val="20"/>
      <w:lang w:eastAsia="pl-PL"/>
    </w:rPr>
  </w:style>
  <w:style w:type="paragraph" w:customStyle="1" w:styleId="TABELA02">
    <w:name w:val="TABELA_02"/>
    <w:basedOn w:val="Normalny"/>
    <w:rsid w:val="00CC1EF4"/>
    <w:pPr>
      <w:spacing w:before="120" w:after="0" w:line="240" w:lineRule="auto"/>
      <w:jc w:val="center"/>
    </w:pPr>
    <w:rPr>
      <w:rFonts w:ascii="Arial" w:eastAsia="Times New Roman" w:hAnsi="Arial" w:cs="Times New Roman"/>
      <w:b/>
      <w:sz w:val="24"/>
      <w:szCs w:val="20"/>
      <w:lang w:eastAsia="pl-PL"/>
    </w:rPr>
  </w:style>
  <w:style w:type="character" w:customStyle="1" w:styleId="ZnakZnak2">
    <w:name w:val="Znak Znak2"/>
    <w:rsid w:val="00CC1EF4"/>
    <w:rPr>
      <w:lang w:val="pl-PL" w:eastAsia="pl-PL" w:bidi="ar-SA"/>
    </w:rPr>
  </w:style>
  <w:style w:type="paragraph" w:styleId="Zwykytekst">
    <w:name w:val="Plain Text"/>
    <w:basedOn w:val="Normalny"/>
    <w:link w:val="ZwykytekstZnak"/>
    <w:rsid w:val="00CC1EF4"/>
    <w:pPr>
      <w:spacing w:after="0" w:line="240" w:lineRule="auto"/>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rsid w:val="00CC1EF4"/>
    <w:rPr>
      <w:rFonts w:ascii="Courier New" w:eastAsia="Times New Roman" w:hAnsi="Courier New" w:cs="Times New Roman"/>
      <w:sz w:val="20"/>
      <w:szCs w:val="20"/>
    </w:rPr>
  </w:style>
  <w:style w:type="paragraph" w:styleId="Listapunktowana2">
    <w:name w:val="List Bullet 2"/>
    <w:basedOn w:val="Normalny"/>
    <w:autoRedefine/>
    <w:rsid w:val="00CC1EF4"/>
    <w:pPr>
      <w:numPr>
        <w:numId w:val="68"/>
      </w:numPr>
      <w:spacing w:after="0" w:line="240" w:lineRule="auto"/>
    </w:pPr>
    <w:rPr>
      <w:rFonts w:ascii="CG Times" w:eastAsia="Times New Roman" w:hAnsi="CG Times" w:cs="Times New Roman"/>
      <w:sz w:val="20"/>
      <w:szCs w:val="20"/>
      <w:lang w:eastAsia="pl-PL"/>
    </w:rPr>
  </w:style>
  <w:style w:type="paragraph" w:styleId="Listapunktowana3">
    <w:name w:val="List Bullet 3"/>
    <w:basedOn w:val="Normalny"/>
    <w:autoRedefine/>
    <w:rsid w:val="00CC1EF4"/>
    <w:pPr>
      <w:numPr>
        <w:numId w:val="69"/>
      </w:numPr>
      <w:spacing w:after="0" w:line="240" w:lineRule="auto"/>
    </w:pPr>
    <w:rPr>
      <w:rFonts w:ascii="CG Times" w:eastAsia="Times New Roman" w:hAnsi="CG Times" w:cs="Times New Roman"/>
      <w:sz w:val="20"/>
      <w:szCs w:val="20"/>
      <w:lang w:eastAsia="pl-PL"/>
    </w:rPr>
  </w:style>
  <w:style w:type="paragraph" w:customStyle="1" w:styleId="PNTekstpodstawowy">
    <w:name w:val="PN Tekst podstawowy"/>
    <w:link w:val="PNTekstpodstawowyZnak"/>
    <w:rsid w:val="00CC1EF4"/>
    <w:pPr>
      <w:spacing w:before="240" w:after="0" w:line="240" w:lineRule="auto"/>
    </w:pPr>
    <w:rPr>
      <w:rFonts w:ascii="Arial" w:eastAsia="Times New Roman" w:hAnsi="Arial" w:cs="Times New Roman"/>
      <w:sz w:val="20"/>
      <w:szCs w:val="20"/>
      <w:lang w:eastAsia="pl-PL"/>
    </w:rPr>
  </w:style>
  <w:style w:type="character" w:customStyle="1" w:styleId="PNTekstpodstawowyZnak">
    <w:name w:val="PN Tekst podstawowy Znak"/>
    <w:link w:val="PNTekstpodstawowy"/>
    <w:rsid w:val="00CC1EF4"/>
    <w:rPr>
      <w:rFonts w:ascii="Arial" w:eastAsia="Times New Roman" w:hAnsi="Arial" w:cs="Times New Roman"/>
      <w:sz w:val="20"/>
      <w:szCs w:val="20"/>
      <w:lang w:eastAsia="pl-PL"/>
    </w:rPr>
  </w:style>
  <w:style w:type="paragraph" w:customStyle="1" w:styleId="PNNagwek1">
    <w:name w:val="PN Nagłówek 1"/>
    <w:basedOn w:val="PNTekstpodstawowy"/>
    <w:next w:val="PNTekstpodstawowy"/>
    <w:link w:val="PNNagwek1Znak"/>
    <w:rsid w:val="00CC1EF4"/>
    <w:pPr>
      <w:keepNext/>
      <w:numPr>
        <w:ilvl w:val="1"/>
        <w:numId w:val="70"/>
      </w:numPr>
      <w:tabs>
        <w:tab w:val="clear" w:pos="720"/>
        <w:tab w:val="num" w:pos="360"/>
        <w:tab w:val="left" w:pos="709"/>
      </w:tabs>
      <w:ind w:left="360" w:hanging="360"/>
      <w:outlineLvl w:val="0"/>
    </w:pPr>
    <w:rPr>
      <w:b/>
    </w:rPr>
  </w:style>
  <w:style w:type="character" w:customStyle="1" w:styleId="PNNagwek1Znak">
    <w:name w:val="PN Nagłówek 1 Znak"/>
    <w:link w:val="PNNagwek1"/>
    <w:rsid w:val="00CC1EF4"/>
    <w:rPr>
      <w:rFonts w:ascii="Arial" w:eastAsia="Times New Roman" w:hAnsi="Arial" w:cs="Times New Roman"/>
      <w:b/>
      <w:sz w:val="20"/>
      <w:szCs w:val="20"/>
      <w:lang w:eastAsia="pl-PL"/>
    </w:rPr>
  </w:style>
  <w:style w:type="paragraph" w:customStyle="1" w:styleId="PNNagwek2">
    <w:name w:val="PN Nagłówek 2"/>
    <w:basedOn w:val="PNNagwek1"/>
    <w:next w:val="PNTekstpodstawowy"/>
    <w:rsid w:val="00CC1EF4"/>
    <w:pPr>
      <w:numPr>
        <w:ilvl w:val="3"/>
      </w:numPr>
      <w:tabs>
        <w:tab w:val="clear" w:pos="1080"/>
        <w:tab w:val="num" w:pos="360"/>
        <w:tab w:val="num" w:pos="1440"/>
        <w:tab w:val="num" w:pos="2880"/>
      </w:tabs>
      <w:ind w:left="360" w:hanging="360"/>
      <w:outlineLvl w:val="1"/>
    </w:pPr>
  </w:style>
  <w:style w:type="paragraph" w:customStyle="1" w:styleId="PNNagwek3">
    <w:name w:val="PN Nagłówek 3"/>
    <w:basedOn w:val="PNNagwek1"/>
    <w:next w:val="PNTekstpodstawowy"/>
    <w:rsid w:val="00CC1EF4"/>
    <w:pPr>
      <w:numPr>
        <w:ilvl w:val="4"/>
      </w:numPr>
      <w:tabs>
        <w:tab w:val="clear" w:pos="1440"/>
        <w:tab w:val="num" w:pos="360"/>
        <w:tab w:val="num" w:pos="2160"/>
        <w:tab w:val="num" w:pos="3600"/>
      </w:tabs>
      <w:ind w:left="360" w:hanging="360"/>
      <w:outlineLvl w:val="2"/>
    </w:pPr>
  </w:style>
  <w:style w:type="paragraph" w:customStyle="1" w:styleId="PNNagwek4">
    <w:name w:val="PN Nagłówek 4"/>
    <w:basedOn w:val="PNNagwek1"/>
    <w:next w:val="PNTekstpodstawowy"/>
    <w:rsid w:val="00CC1EF4"/>
    <w:pPr>
      <w:numPr>
        <w:ilvl w:val="0"/>
        <w:numId w:val="0"/>
      </w:numPr>
      <w:tabs>
        <w:tab w:val="num" w:pos="360"/>
        <w:tab w:val="num" w:pos="2880"/>
      </w:tabs>
      <w:ind w:left="360" w:hanging="360"/>
      <w:outlineLvl w:val="3"/>
    </w:pPr>
  </w:style>
  <w:style w:type="paragraph" w:customStyle="1" w:styleId="PNNagwek5">
    <w:name w:val="PN Nagłówek 5"/>
    <w:basedOn w:val="PNNagwek1"/>
    <w:next w:val="PNTekstpodstawowy"/>
    <w:rsid w:val="00CC1EF4"/>
    <w:pPr>
      <w:numPr>
        <w:ilvl w:val="0"/>
        <w:numId w:val="0"/>
      </w:numPr>
      <w:tabs>
        <w:tab w:val="num" w:pos="360"/>
        <w:tab w:val="left" w:pos="1077"/>
        <w:tab w:val="num" w:pos="3600"/>
      </w:tabs>
      <w:ind w:left="360" w:hanging="360"/>
      <w:outlineLvl w:val="4"/>
    </w:pPr>
  </w:style>
  <w:style w:type="paragraph" w:customStyle="1" w:styleId="PNNagwek6">
    <w:name w:val="PN Nagłówek 6"/>
    <w:basedOn w:val="PNNagwek1"/>
    <w:next w:val="PNTekstpodstawowy"/>
    <w:rsid w:val="00CC1EF4"/>
    <w:pPr>
      <w:numPr>
        <w:ilvl w:val="0"/>
        <w:numId w:val="0"/>
      </w:numPr>
      <w:tabs>
        <w:tab w:val="num" w:pos="360"/>
        <w:tab w:val="left" w:pos="1077"/>
        <w:tab w:val="num" w:pos="4320"/>
      </w:tabs>
      <w:ind w:left="360" w:hanging="360"/>
      <w:outlineLvl w:val="5"/>
    </w:pPr>
  </w:style>
  <w:style w:type="paragraph" w:customStyle="1" w:styleId="PNStopka">
    <w:name w:val="PN Stopka"/>
    <w:basedOn w:val="PNTekstpodstawowy"/>
    <w:rsid w:val="00CC1EF4"/>
    <w:rPr>
      <w:sz w:val="18"/>
    </w:rPr>
  </w:style>
  <w:style w:type="paragraph" w:customStyle="1" w:styleId="PNNagwekstrony">
    <w:name w:val="PN Nagłówek strony"/>
    <w:basedOn w:val="PNTekstpodstawowy"/>
    <w:rsid w:val="00CC1EF4"/>
    <w:pPr>
      <w:jc w:val="center"/>
    </w:pPr>
    <w:rPr>
      <w:sz w:val="18"/>
    </w:rPr>
  </w:style>
  <w:style w:type="paragraph" w:customStyle="1" w:styleId="PNOpisrysunku">
    <w:name w:val="PN Opis rysunku"/>
    <w:basedOn w:val="PNTekstpodstawowy"/>
    <w:rsid w:val="00CC1EF4"/>
    <w:rPr>
      <w:sz w:val="18"/>
    </w:rPr>
  </w:style>
  <w:style w:type="paragraph" w:customStyle="1" w:styleId="PNTekstprzypisudolnego">
    <w:name w:val="PN Tekst przypisu dolnego"/>
    <w:basedOn w:val="PNTekstpodstawowy"/>
    <w:rsid w:val="00CC1EF4"/>
    <w:rPr>
      <w:sz w:val="18"/>
    </w:rPr>
  </w:style>
  <w:style w:type="paragraph" w:styleId="Lista">
    <w:name w:val="List"/>
    <w:basedOn w:val="Normalny"/>
    <w:rsid w:val="00CC1EF4"/>
    <w:pPr>
      <w:spacing w:after="0" w:line="240" w:lineRule="auto"/>
      <w:ind w:left="360" w:hanging="360"/>
    </w:pPr>
    <w:rPr>
      <w:rFonts w:ascii="CG Times" w:eastAsia="Times New Roman" w:hAnsi="CG Times" w:cs="Times New Roman"/>
      <w:sz w:val="20"/>
      <w:szCs w:val="20"/>
      <w:lang w:eastAsia="pl-PL"/>
    </w:rPr>
  </w:style>
  <w:style w:type="paragraph" w:styleId="Lista2">
    <w:name w:val="List 2"/>
    <w:basedOn w:val="Normalny"/>
    <w:rsid w:val="00CC1EF4"/>
    <w:pPr>
      <w:spacing w:after="0" w:line="240" w:lineRule="auto"/>
      <w:ind w:left="720" w:hanging="360"/>
    </w:pPr>
    <w:rPr>
      <w:rFonts w:ascii="CG Times" w:eastAsia="Times New Roman" w:hAnsi="CG Times" w:cs="Times New Roman"/>
      <w:sz w:val="20"/>
      <w:szCs w:val="20"/>
      <w:lang w:eastAsia="pl-PL"/>
    </w:rPr>
  </w:style>
  <w:style w:type="paragraph" w:styleId="Lista3">
    <w:name w:val="List 3"/>
    <w:basedOn w:val="Normalny"/>
    <w:rsid w:val="00CC1EF4"/>
    <w:pPr>
      <w:spacing w:after="0" w:line="240" w:lineRule="auto"/>
      <w:ind w:left="1080" w:hanging="360"/>
    </w:pPr>
    <w:rPr>
      <w:rFonts w:ascii="CG Times" w:eastAsia="Times New Roman" w:hAnsi="CG Times" w:cs="Times New Roman"/>
      <w:sz w:val="20"/>
      <w:szCs w:val="20"/>
      <w:lang w:eastAsia="pl-PL"/>
    </w:rPr>
  </w:style>
  <w:style w:type="paragraph" w:styleId="Lista4">
    <w:name w:val="List 4"/>
    <w:basedOn w:val="Normalny"/>
    <w:rsid w:val="00CC1EF4"/>
    <w:pPr>
      <w:spacing w:after="0" w:line="240" w:lineRule="auto"/>
      <w:ind w:left="1440" w:hanging="360"/>
    </w:pPr>
    <w:rPr>
      <w:rFonts w:ascii="CG Times" w:eastAsia="Times New Roman" w:hAnsi="CG Times" w:cs="Times New Roman"/>
      <w:sz w:val="20"/>
      <w:szCs w:val="20"/>
      <w:lang w:eastAsia="pl-PL"/>
    </w:rPr>
  </w:style>
  <w:style w:type="paragraph" w:styleId="Lista-kontynuacja">
    <w:name w:val="List Continue"/>
    <w:basedOn w:val="Normalny"/>
    <w:rsid w:val="00CC1EF4"/>
    <w:pPr>
      <w:spacing w:after="120" w:line="240" w:lineRule="auto"/>
      <w:ind w:left="360"/>
    </w:pPr>
    <w:rPr>
      <w:rFonts w:ascii="CG Times" w:eastAsia="Times New Roman" w:hAnsi="CG Times" w:cs="Times New Roman"/>
      <w:sz w:val="20"/>
      <w:szCs w:val="20"/>
      <w:lang w:eastAsia="pl-PL"/>
    </w:rPr>
  </w:style>
  <w:style w:type="paragraph" w:styleId="Lista-kontynuacja2">
    <w:name w:val="List Continue 2"/>
    <w:basedOn w:val="Normalny"/>
    <w:rsid w:val="00CC1EF4"/>
    <w:pPr>
      <w:spacing w:after="120" w:line="240" w:lineRule="auto"/>
      <w:ind w:left="720"/>
    </w:pPr>
    <w:rPr>
      <w:rFonts w:ascii="CG Times" w:eastAsia="Times New Roman" w:hAnsi="CG Times" w:cs="Times New Roman"/>
      <w:sz w:val="20"/>
      <w:szCs w:val="20"/>
      <w:lang w:eastAsia="pl-PL"/>
    </w:rPr>
  </w:style>
  <w:style w:type="paragraph" w:styleId="Lista-kontynuacja3">
    <w:name w:val="List Continue 3"/>
    <w:basedOn w:val="Normalny"/>
    <w:rsid w:val="00CC1EF4"/>
    <w:pPr>
      <w:spacing w:after="120" w:line="240" w:lineRule="auto"/>
      <w:ind w:left="1080"/>
    </w:pPr>
    <w:rPr>
      <w:rFonts w:ascii="CG Times" w:eastAsia="Times New Roman" w:hAnsi="CG Times" w:cs="Times New Roman"/>
      <w:sz w:val="20"/>
      <w:szCs w:val="20"/>
      <w:lang w:eastAsia="pl-PL"/>
    </w:rPr>
  </w:style>
  <w:style w:type="paragraph" w:styleId="Podtytu">
    <w:name w:val="Subtitle"/>
    <w:basedOn w:val="Normalny"/>
    <w:link w:val="PodtytuZnak"/>
    <w:qFormat/>
    <w:rsid w:val="00CC1EF4"/>
    <w:pPr>
      <w:spacing w:after="60" w:line="240" w:lineRule="auto"/>
      <w:jc w:val="center"/>
      <w:outlineLvl w:val="1"/>
    </w:pPr>
    <w:rPr>
      <w:rFonts w:ascii="Arial" w:eastAsia="Times New Roman" w:hAnsi="Arial" w:cs="Times New Roman"/>
      <w:sz w:val="24"/>
      <w:szCs w:val="20"/>
    </w:rPr>
  </w:style>
  <w:style w:type="character" w:customStyle="1" w:styleId="PodtytuZnak">
    <w:name w:val="Podtytuł Znak"/>
    <w:basedOn w:val="Domylnaczcionkaakapitu"/>
    <w:link w:val="Podtytu"/>
    <w:rsid w:val="00CC1EF4"/>
    <w:rPr>
      <w:rFonts w:ascii="Arial" w:eastAsia="Times New Roman" w:hAnsi="Arial" w:cs="Times New Roman"/>
      <w:sz w:val="24"/>
      <w:szCs w:val="20"/>
    </w:rPr>
  </w:style>
  <w:style w:type="character" w:customStyle="1" w:styleId="podpunkt">
    <w:name w:val="podpunkt"/>
    <w:rsid w:val="00CC1EF4"/>
    <w:rPr>
      <w:rFonts w:ascii="Times New Roman" w:hAnsi="Times New Roman"/>
      <w:b/>
    </w:rPr>
  </w:style>
  <w:style w:type="paragraph" w:customStyle="1" w:styleId="paragraf">
    <w:name w:val="paragraf"/>
    <w:basedOn w:val="Normalny"/>
    <w:rsid w:val="00CC1EF4"/>
    <w:pPr>
      <w:widowControl w:val="0"/>
      <w:spacing w:after="0" w:line="240" w:lineRule="auto"/>
      <w:ind w:firstLine="339"/>
      <w:jc w:val="both"/>
    </w:pPr>
    <w:rPr>
      <w:rFonts w:ascii="Arial" w:eastAsia="Times New Roman" w:hAnsi="Arial" w:cs="Times New Roman"/>
      <w:b/>
      <w:snapToGrid w:val="0"/>
      <w:sz w:val="24"/>
      <w:szCs w:val="20"/>
      <w:lang w:val="en-US" w:eastAsia="pl-PL"/>
    </w:rPr>
  </w:style>
  <w:style w:type="character" w:customStyle="1" w:styleId="header1">
    <w:name w:val="header1"/>
    <w:rsid w:val="00CC1EF4"/>
    <w:rPr>
      <w:rFonts w:ascii="Times New" w:hAnsi="Times New"/>
      <w:b/>
      <w:sz w:val="36"/>
    </w:rPr>
  </w:style>
  <w:style w:type="character" w:styleId="UyteHipercze">
    <w:name w:val="FollowedHyperlink"/>
    <w:uiPriority w:val="99"/>
    <w:rsid w:val="00CC1EF4"/>
    <w:rPr>
      <w:color w:val="800080"/>
      <w:u w:val="single"/>
    </w:rPr>
  </w:style>
  <w:style w:type="character" w:customStyle="1" w:styleId="aktprzedmiot1">
    <w:name w:val="aktprzedmiot1"/>
    <w:rsid w:val="00CC1EF4"/>
    <w:rPr>
      <w:b/>
      <w:bCs/>
      <w:sz w:val="27"/>
      <w:szCs w:val="27"/>
    </w:rPr>
  </w:style>
  <w:style w:type="paragraph" w:customStyle="1" w:styleId="podpkt1">
    <w:name w:val="pod_pkt1"/>
    <w:basedOn w:val="Normalny"/>
    <w:autoRedefine/>
    <w:rsid w:val="00CC1EF4"/>
    <w:pPr>
      <w:keepNext/>
      <w:widowControl w:val="0"/>
      <w:tabs>
        <w:tab w:val="left" w:pos="425"/>
      </w:tabs>
      <w:overflowPunct w:val="0"/>
      <w:autoSpaceDE w:val="0"/>
      <w:autoSpaceDN w:val="0"/>
      <w:adjustRightInd w:val="0"/>
      <w:spacing w:after="0" w:line="240" w:lineRule="auto"/>
      <w:ind w:left="851" w:hanging="851"/>
      <w:jc w:val="both"/>
      <w:textAlignment w:val="baseline"/>
    </w:pPr>
    <w:rPr>
      <w:rFonts w:ascii="Arial" w:eastAsia="Times New Roman" w:hAnsi="Arial" w:cs="Times New Roman"/>
      <w:b/>
      <w:sz w:val="20"/>
      <w:szCs w:val="20"/>
      <w:lang w:eastAsia="pl-PL"/>
    </w:rPr>
  </w:style>
  <w:style w:type="paragraph" w:customStyle="1" w:styleId="podpkt11">
    <w:name w:val="pod_pkt1.1"/>
    <w:basedOn w:val="Normalny"/>
    <w:autoRedefine/>
    <w:rsid w:val="00CC1EF4"/>
    <w:pPr>
      <w:keepNext/>
      <w:widowControl w:val="0"/>
      <w:overflowPunct w:val="0"/>
      <w:autoSpaceDE w:val="0"/>
      <w:autoSpaceDN w:val="0"/>
      <w:adjustRightInd w:val="0"/>
      <w:spacing w:after="0" w:line="240" w:lineRule="auto"/>
      <w:jc w:val="both"/>
      <w:textAlignment w:val="baseline"/>
    </w:pPr>
    <w:rPr>
      <w:rFonts w:ascii="Arial" w:eastAsia="Times New Roman" w:hAnsi="Arial" w:cs="Times New Roman"/>
      <w:bCs/>
      <w:sz w:val="24"/>
      <w:szCs w:val="24"/>
      <w:lang w:eastAsia="pl-PL"/>
    </w:rPr>
  </w:style>
  <w:style w:type="paragraph" w:customStyle="1" w:styleId="Zwykytekst1">
    <w:name w:val="Zwykły tekst1"/>
    <w:basedOn w:val="Normalny"/>
    <w:rsid w:val="00CC1EF4"/>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pl-PL"/>
    </w:rPr>
  </w:style>
  <w:style w:type="character" w:customStyle="1" w:styleId="WW8Num6z0">
    <w:name w:val="WW8Num6z0"/>
    <w:rsid w:val="00CC1EF4"/>
    <w:rPr>
      <w:rFonts w:ascii="StarSymbol" w:hAnsi="StarSymbol"/>
    </w:rPr>
  </w:style>
  <w:style w:type="paragraph" w:customStyle="1" w:styleId="Nagwek10">
    <w:name w:val="Nagłówek1"/>
    <w:basedOn w:val="Normalny"/>
    <w:next w:val="Tekstpodstawowy"/>
    <w:rsid w:val="00CC1EF4"/>
    <w:pPr>
      <w:keepNext/>
      <w:suppressAutoHyphens/>
      <w:spacing w:before="240" w:after="120" w:line="240" w:lineRule="auto"/>
    </w:pPr>
    <w:rPr>
      <w:rFonts w:ascii="Arial" w:eastAsia="MS Mincho" w:hAnsi="Arial" w:cs="Tahoma"/>
      <w:sz w:val="28"/>
      <w:szCs w:val="28"/>
      <w:lang w:eastAsia="ar-SA"/>
    </w:rPr>
  </w:style>
  <w:style w:type="paragraph" w:customStyle="1" w:styleId="TYTU3SPECYFIKACJA">
    <w:name w:val="TYTUŁ_3 SPECYFIKACJA"/>
    <w:basedOn w:val="Normalny"/>
    <w:next w:val="Normalny"/>
    <w:rsid w:val="00CC1EF4"/>
    <w:pPr>
      <w:tabs>
        <w:tab w:val="left" w:pos="1418"/>
      </w:tabs>
      <w:spacing w:before="240" w:after="0" w:line="240" w:lineRule="auto"/>
      <w:ind w:left="1418" w:hanging="1418"/>
    </w:pPr>
    <w:rPr>
      <w:rFonts w:ascii="Arial" w:eastAsia="Times New Roman" w:hAnsi="Arial" w:cs="Times New Roman"/>
      <w:b/>
      <w:caps/>
      <w:szCs w:val="20"/>
      <w:lang w:eastAsia="pl-PL"/>
    </w:rPr>
  </w:style>
  <w:style w:type="paragraph" w:customStyle="1" w:styleId="NORMY1PN">
    <w:name w:val="NORMY_1 PN"/>
    <w:rsid w:val="00CC1EF4"/>
    <w:pPr>
      <w:tabs>
        <w:tab w:val="left" w:pos="2268"/>
      </w:tabs>
      <w:spacing w:before="60" w:after="0" w:line="240" w:lineRule="auto"/>
      <w:ind w:left="2268" w:hanging="2268"/>
    </w:pPr>
    <w:rPr>
      <w:rFonts w:ascii="Arial" w:eastAsia="Times New Roman" w:hAnsi="Arial" w:cs="Times New Roman"/>
      <w:sz w:val="20"/>
      <w:szCs w:val="20"/>
      <w:lang w:eastAsia="pl-PL"/>
    </w:rPr>
  </w:style>
  <w:style w:type="paragraph" w:customStyle="1" w:styleId="Tytusekcji">
    <w:name w:val="Tytuł sekcji"/>
    <w:basedOn w:val="Tyturozdziau"/>
    <w:next w:val="Normalny"/>
    <w:autoRedefine/>
    <w:rsid w:val="00CC1EF4"/>
    <w:pPr>
      <w:tabs>
        <w:tab w:val="clear" w:pos="1701"/>
      </w:tabs>
      <w:spacing w:before="120" w:after="120"/>
      <w:outlineLvl w:val="0"/>
    </w:pPr>
    <w:rPr>
      <w:caps/>
      <w:noProof/>
      <w:color w:val="auto"/>
      <w:kern w:val="28"/>
      <w:sz w:val="24"/>
      <w:szCs w:val="20"/>
    </w:rPr>
  </w:style>
  <w:style w:type="paragraph" w:customStyle="1" w:styleId="NAGWEK1SPECYFIKACJA">
    <w:name w:val="NAGŁÓWEK_1_SPECYFIKACJA"/>
    <w:rsid w:val="00CC1EF4"/>
    <w:pPr>
      <w:tabs>
        <w:tab w:val="left" w:pos="907"/>
      </w:tabs>
      <w:spacing w:after="0" w:line="240" w:lineRule="auto"/>
      <w:ind w:left="1134" w:hanging="1134"/>
    </w:pPr>
    <w:rPr>
      <w:rFonts w:ascii="Arial" w:eastAsia="Times New Roman" w:hAnsi="Arial" w:cs="Times New Roman"/>
      <w:caps/>
      <w:sz w:val="16"/>
      <w:szCs w:val="20"/>
      <w:lang w:eastAsia="pl-PL"/>
    </w:rPr>
  </w:style>
  <w:style w:type="paragraph" w:customStyle="1" w:styleId="NAGWEK2Kontrakt">
    <w:name w:val="NAGŁÓWEK_2_Kontrakt"/>
    <w:rsid w:val="00CC1EF4"/>
    <w:pPr>
      <w:spacing w:after="0" w:line="240" w:lineRule="auto"/>
    </w:pPr>
    <w:rPr>
      <w:rFonts w:ascii="Arial" w:eastAsia="Times New Roman" w:hAnsi="Arial" w:cs="Times New Roman"/>
      <w:sz w:val="16"/>
      <w:szCs w:val="20"/>
      <w:lang w:eastAsia="pl-PL"/>
    </w:rPr>
  </w:style>
  <w:style w:type="character" w:customStyle="1" w:styleId="FontStyle26">
    <w:name w:val="Font Style26"/>
    <w:uiPriority w:val="99"/>
    <w:rsid w:val="00CC1EF4"/>
    <w:rPr>
      <w:rFonts w:ascii="Arial Unicode MS" w:eastAsia="Arial Unicode MS" w:cs="Arial Unicode MS"/>
      <w:sz w:val="14"/>
      <w:szCs w:val="14"/>
    </w:rPr>
  </w:style>
  <w:style w:type="paragraph" w:customStyle="1" w:styleId="Style13">
    <w:name w:val="Style13"/>
    <w:basedOn w:val="Normalny"/>
    <w:uiPriority w:val="99"/>
    <w:rsid w:val="00CC1EF4"/>
    <w:pPr>
      <w:widowControl w:val="0"/>
      <w:autoSpaceDE w:val="0"/>
      <w:autoSpaceDN w:val="0"/>
      <w:adjustRightInd w:val="0"/>
      <w:spacing w:after="0" w:line="209" w:lineRule="exact"/>
      <w:jc w:val="center"/>
    </w:pPr>
    <w:rPr>
      <w:rFonts w:ascii="Arial Unicode MS" w:eastAsia="Arial Unicode MS" w:hAnsi="Calibri" w:cs="Arial Unicode MS"/>
      <w:sz w:val="24"/>
      <w:szCs w:val="24"/>
      <w:lang w:eastAsia="pl-PL"/>
    </w:rPr>
  </w:style>
  <w:style w:type="character" w:customStyle="1" w:styleId="FontStyle24">
    <w:name w:val="Font Style24"/>
    <w:uiPriority w:val="99"/>
    <w:rsid w:val="00CC1EF4"/>
    <w:rPr>
      <w:rFonts w:ascii="Arial Unicode MS" w:eastAsia="Arial Unicode MS" w:cs="Arial Unicode MS"/>
      <w:i/>
      <w:iCs/>
      <w:spacing w:val="10"/>
      <w:sz w:val="14"/>
      <w:szCs w:val="14"/>
    </w:rPr>
  </w:style>
  <w:style w:type="paragraph" w:customStyle="1" w:styleId="Style16">
    <w:name w:val="Style16"/>
    <w:basedOn w:val="Normalny"/>
    <w:uiPriority w:val="99"/>
    <w:rsid w:val="00CC1EF4"/>
    <w:pPr>
      <w:widowControl w:val="0"/>
      <w:autoSpaceDE w:val="0"/>
      <w:autoSpaceDN w:val="0"/>
      <w:adjustRightInd w:val="0"/>
      <w:spacing w:after="0" w:line="204" w:lineRule="exact"/>
      <w:jc w:val="center"/>
    </w:pPr>
    <w:rPr>
      <w:rFonts w:ascii="Arial Unicode MS" w:eastAsia="Arial Unicode MS" w:hAnsi="Calibri" w:cs="Arial Unicode MS"/>
      <w:sz w:val="24"/>
      <w:szCs w:val="24"/>
      <w:lang w:eastAsia="pl-PL"/>
    </w:rPr>
  </w:style>
  <w:style w:type="paragraph" w:customStyle="1" w:styleId="Style15">
    <w:name w:val="Style15"/>
    <w:basedOn w:val="Normalny"/>
    <w:uiPriority w:val="99"/>
    <w:rsid w:val="00CC1EF4"/>
    <w:pPr>
      <w:widowControl w:val="0"/>
      <w:autoSpaceDE w:val="0"/>
      <w:autoSpaceDN w:val="0"/>
      <w:adjustRightInd w:val="0"/>
      <w:spacing w:after="0" w:line="206" w:lineRule="exact"/>
    </w:pPr>
    <w:rPr>
      <w:rFonts w:ascii="Arial Unicode MS" w:eastAsia="Arial Unicode MS" w:hAnsi="Calibri" w:cs="Arial Unicode MS"/>
      <w:sz w:val="24"/>
      <w:szCs w:val="24"/>
      <w:lang w:eastAsia="pl-PL"/>
    </w:rPr>
  </w:style>
  <w:style w:type="character" w:customStyle="1" w:styleId="FontStyle28">
    <w:name w:val="Font Style28"/>
    <w:uiPriority w:val="99"/>
    <w:rsid w:val="00CC1EF4"/>
    <w:rPr>
      <w:rFonts w:ascii="Arial Unicode MS" w:eastAsia="Arial Unicode MS" w:cs="Arial Unicode MS"/>
      <w:b/>
      <w:bCs/>
      <w:sz w:val="16"/>
      <w:szCs w:val="16"/>
    </w:rPr>
  </w:style>
  <w:style w:type="character" w:customStyle="1" w:styleId="FontStyle29">
    <w:name w:val="Font Style29"/>
    <w:uiPriority w:val="99"/>
    <w:rsid w:val="00CC1EF4"/>
    <w:rPr>
      <w:rFonts w:ascii="Arial Unicode MS" w:eastAsia="Arial Unicode MS" w:cs="Arial Unicode MS"/>
      <w:sz w:val="16"/>
      <w:szCs w:val="16"/>
    </w:rPr>
  </w:style>
  <w:style w:type="character" w:customStyle="1" w:styleId="FontStyle30">
    <w:name w:val="Font Style30"/>
    <w:uiPriority w:val="99"/>
    <w:rsid w:val="00CC1EF4"/>
    <w:rPr>
      <w:rFonts w:ascii="Arial Unicode MS" w:eastAsia="Arial Unicode MS" w:cs="Arial Unicode MS"/>
      <w:i/>
      <w:iCs/>
      <w:spacing w:val="20"/>
      <w:sz w:val="16"/>
      <w:szCs w:val="16"/>
    </w:rPr>
  </w:style>
  <w:style w:type="paragraph" w:customStyle="1" w:styleId="Style5">
    <w:name w:val="Style5"/>
    <w:basedOn w:val="Normalny"/>
    <w:uiPriority w:val="99"/>
    <w:rsid w:val="00CC1EF4"/>
    <w:pPr>
      <w:widowControl w:val="0"/>
      <w:autoSpaceDE w:val="0"/>
      <w:autoSpaceDN w:val="0"/>
      <w:adjustRightInd w:val="0"/>
      <w:spacing w:after="0" w:line="230" w:lineRule="exact"/>
    </w:pPr>
    <w:rPr>
      <w:rFonts w:ascii="Arial Unicode MS" w:eastAsia="Arial Unicode MS" w:hAnsi="Calibri" w:cs="Arial Unicode MS"/>
      <w:sz w:val="24"/>
      <w:szCs w:val="24"/>
      <w:lang w:eastAsia="pl-PL"/>
    </w:rPr>
  </w:style>
  <w:style w:type="paragraph" w:customStyle="1" w:styleId="Style9">
    <w:name w:val="Style9"/>
    <w:basedOn w:val="Normalny"/>
    <w:uiPriority w:val="99"/>
    <w:rsid w:val="00CC1EF4"/>
    <w:pPr>
      <w:widowControl w:val="0"/>
      <w:autoSpaceDE w:val="0"/>
      <w:autoSpaceDN w:val="0"/>
      <w:adjustRightInd w:val="0"/>
      <w:spacing w:after="0" w:line="235" w:lineRule="exact"/>
      <w:jc w:val="both"/>
    </w:pPr>
    <w:rPr>
      <w:rFonts w:ascii="Arial Unicode MS" w:eastAsia="Arial Unicode MS" w:hAnsi="Calibri" w:cs="Arial Unicode MS"/>
      <w:sz w:val="24"/>
      <w:szCs w:val="24"/>
      <w:lang w:eastAsia="pl-PL"/>
    </w:rPr>
  </w:style>
  <w:style w:type="paragraph" w:customStyle="1" w:styleId="Style7">
    <w:name w:val="Style7"/>
    <w:basedOn w:val="Normalny"/>
    <w:uiPriority w:val="99"/>
    <w:rsid w:val="00CC1EF4"/>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pl-PL"/>
    </w:rPr>
  </w:style>
  <w:style w:type="paragraph" w:customStyle="1" w:styleId="Style12">
    <w:name w:val="Style12"/>
    <w:basedOn w:val="Normalny"/>
    <w:uiPriority w:val="99"/>
    <w:rsid w:val="00CC1EF4"/>
    <w:pPr>
      <w:widowControl w:val="0"/>
      <w:autoSpaceDE w:val="0"/>
      <w:autoSpaceDN w:val="0"/>
      <w:adjustRightInd w:val="0"/>
      <w:spacing w:after="0" w:line="230" w:lineRule="exact"/>
      <w:ind w:hanging="274"/>
    </w:pPr>
    <w:rPr>
      <w:rFonts w:ascii="Arial Unicode MS" w:eastAsia="Arial Unicode MS" w:hAnsi="Calibri" w:cs="Arial Unicode MS"/>
      <w:sz w:val="24"/>
      <w:szCs w:val="24"/>
      <w:lang w:eastAsia="pl-PL"/>
    </w:rPr>
  </w:style>
  <w:style w:type="paragraph" w:customStyle="1" w:styleId="Style21">
    <w:name w:val="Style21"/>
    <w:basedOn w:val="Normalny"/>
    <w:uiPriority w:val="99"/>
    <w:rsid w:val="00CC1EF4"/>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pl-PL"/>
    </w:rPr>
  </w:style>
  <w:style w:type="paragraph" w:customStyle="1" w:styleId="Style11">
    <w:name w:val="Style11"/>
    <w:basedOn w:val="Normalny"/>
    <w:uiPriority w:val="99"/>
    <w:rsid w:val="00CC1EF4"/>
    <w:pPr>
      <w:widowControl w:val="0"/>
      <w:autoSpaceDE w:val="0"/>
      <w:autoSpaceDN w:val="0"/>
      <w:adjustRightInd w:val="0"/>
      <w:spacing w:after="0" w:line="139" w:lineRule="exact"/>
    </w:pPr>
    <w:rPr>
      <w:rFonts w:ascii="Arial Unicode MS" w:eastAsia="Arial Unicode MS" w:hAnsi="Calibri" w:cs="Arial Unicode MS"/>
      <w:sz w:val="24"/>
      <w:szCs w:val="24"/>
      <w:lang w:eastAsia="pl-PL"/>
    </w:rPr>
  </w:style>
  <w:style w:type="character" w:customStyle="1" w:styleId="FontStyle25">
    <w:name w:val="Font Style25"/>
    <w:uiPriority w:val="99"/>
    <w:rsid w:val="00CC1EF4"/>
    <w:rPr>
      <w:rFonts w:ascii="Arial Unicode MS" w:eastAsia="Arial Unicode MS" w:cs="Arial Unicode MS"/>
      <w:b/>
      <w:bCs/>
      <w:sz w:val="10"/>
      <w:szCs w:val="10"/>
    </w:rPr>
  </w:style>
  <w:style w:type="paragraph" w:customStyle="1" w:styleId="Style18">
    <w:name w:val="Style18"/>
    <w:basedOn w:val="Normalny"/>
    <w:uiPriority w:val="99"/>
    <w:rsid w:val="00CC1EF4"/>
    <w:pPr>
      <w:widowControl w:val="0"/>
      <w:autoSpaceDE w:val="0"/>
      <w:autoSpaceDN w:val="0"/>
      <w:adjustRightInd w:val="0"/>
      <w:spacing w:after="0" w:line="211" w:lineRule="exact"/>
    </w:pPr>
    <w:rPr>
      <w:rFonts w:ascii="Arial Unicode MS" w:eastAsia="Arial Unicode MS" w:hAnsi="Calibri" w:cs="Arial Unicode MS"/>
      <w:sz w:val="24"/>
      <w:szCs w:val="24"/>
      <w:lang w:eastAsia="pl-PL"/>
    </w:rPr>
  </w:style>
  <w:style w:type="paragraph" w:customStyle="1" w:styleId="Style1">
    <w:name w:val="Style1"/>
    <w:basedOn w:val="Normalny"/>
    <w:rsid w:val="00CC1EF4"/>
    <w:pPr>
      <w:widowControl w:val="0"/>
      <w:autoSpaceDE w:val="0"/>
      <w:autoSpaceDN w:val="0"/>
      <w:adjustRightInd w:val="0"/>
      <w:spacing w:after="0" w:line="230" w:lineRule="exact"/>
    </w:pPr>
    <w:rPr>
      <w:rFonts w:ascii="Arial Unicode MS" w:eastAsia="Arial Unicode MS" w:hAnsi="Calibri" w:cs="Arial Unicode MS"/>
      <w:sz w:val="24"/>
      <w:szCs w:val="24"/>
      <w:lang w:eastAsia="pl-PL"/>
    </w:rPr>
  </w:style>
  <w:style w:type="character" w:customStyle="1" w:styleId="FontStyle27">
    <w:name w:val="Font Style27"/>
    <w:uiPriority w:val="99"/>
    <w:rsid w:val="00CC1EF4"/>
    <w:rPr>
      <w:rFonts w:ascii="Arial Unicode MS" w:eastAsia="Arial Unicode MS" w:cs="Arial Unicode MS"/>
      <w:b/>
      <w:bCs/>
      <w:i/>
      <w:iCs/>
      <w:spacing w:val="20"/>
      <w:sz w:val="16"/>
      <w:szCs w:val="16"/>
    </w:rPr>
  </w:style>
  <w:style w:type="paragraph" w:customStyle="1" w:styleId="Style14">
    <w:name w:val="Style14"/>
    <w:basedOn w:val="Normalny"/>
    <w:uiPriority w:val="99"/>
    <w:rsid w:val="00CC1EF4"/>
    <w:pPr>
      <w:widowControl w:val="0"/>
      <w:autoSpaceDE w:val="0"/>
      <w:autoSpaceDN w:val="0"/>
      <w:adjustRightInd w:val="0"/>
      <w:spacing w:after="0" w:line="230" w:lineRule="exact"/>
      <w:ind w:hanging="226"/>
    </w:pPr>
    <w:rPr>
      <w:rFonts w:ascii="Arial Unicode MS" w:eastAsia="Arial Unicode MS" w:hAnsi="Calibri" w:cs="Arial Unicode MS"/>
      <w:sz w:val="24"/>
      <w:szCs w:val="24"/>
      <w:lang w:eastAsia="pl-PL"/>
    </w:rPr>
  </w:style>
  <w:style w:type="paragraph" w:customStyle="1" w:styleId="Style4">
    <w:name w:val="Style4"/>
    <w:basedOn w:val="Normalny"/>
    <w:rsid w:val="00CC1EF4"/>
    <w:pPr>
      <w:widowControl w:val="0"/>
      <w:autoSpaceDE w:val="0"/>
      <w:autoSpaceDN w:val="0"/>
      <w:adjustRightInd w:val="0"/>
      <w:spacing w:after="0" w:line="230" w:lineRule="exact"/>
      <w:ind w:firstLine="1651"/>
    </w:pPr>
    <w:rPr>
      <w:rFonts w:ascii="Arial Unicode MS" w:eastAsia="Arial Unicode MS" w:hAnsi="Calibri" w:cs="Arial Unicode MS"/>
      <w:sz w:val="24"/>
      <w:szCs w:val="24"/>
      <w:lang w:eastAsia="pl-PL"/>
    </w:rPr>
  </w:style>
  <w:style w:type="character" w:customStyle="1" w:styleId="FontStyle37">
    <w:name w:val="Font Style37"/>
    <w:uiPriority w:val="99"/>
    <w:rsid w:val="00CC1EF4"/>
    <w:rPr>
      <w:rFonts w:ascii="Arial Unicode MS" w:eastAsia="Arial Unicode MS" w:cs="Arial Unicode MS"/>
      <w:sz w:val="16"/>
      <w:szCs w:val="16"/>
    </w:rPr>
  </w:style>
  <w:style w:type="character" w:customStyle="1" w:styleId="FontStyle35">
    <w:name w:val="Font Style35"/>
    <w:uiPriority w:val="99"/>
    <w:rsid w:val="00CC1EF4"/>
    <w:rPr>
      <w:rFonts w:ascii="Arial Unicode MS" w:eastAsia="Arial Unicode MS" w:cs="Arial Unicode MS"/>
      <w:b/>
      <w:bCs/>
      <w:sz w:val="16"/>
      <w:szCs w:val="16"/>
    </w:rPr>
  </w:style>
  <w:style w:type="paragraph" w:customStyle="1" w:styleId="Style6">
    <w:name w:val="Style6"/>
    <w:basedOn w:val="Normalny"/>
    <w:uiPriority w:val="99"/>
    <w:rsid w:val="00CC1EF4"/>
    <w:pPr>
      <w:widowControl w:val="0"/>
      <w:autoSpaceDE w:val="0"/>
      <w:autoSpaceDN w:val="0"/>
      <w:adjustRightInd w:val="0"/>
      <w:spacing w:after="0" w:line="240" w:lineRule="auto"/>
    </w:pPr>
    <w:rPr>
      <w:rFonts w:ascii="Arial Unicode MS" w:eastAsia="Arial Unicode MS" w:hAnsi="Calibri" w:cs="Arial Unicode MS"/>
      <w:sz w:val="24"/>
      <w:szCs w:val="24"/>
      <w:lang w:eastAsia="pl-PL"/>
    </w:rPr>
  </w:style>
  <w:style w:type="character" w:customStyle="1" w:styleId="FontStyle34">
    <w:name w:val="Font Style34"/>
    <w:uiPriority w:val="99"/>
    <w:rsid w:val="00CC1EF4"/>
    <w:rPr>
      <w:rFonts w:ascii="Arial Unicode MS" w:eastAsia="Arial Unicode MS" w:cs="Arial Unicode MS"/>
      <w:b/>
      <w:bCs/>
      <w:i/>
      <w:iCs/>
      <w:spacing w:val="20"/>
      <w:sz w:val="16"/>
      <w:szCs w:val="16"/>
    </w:rPr>
  </w:style>
  <w:style w:type="paragraph" w:customStyle="1" w:styleId="Style3">
    <w:name w:val="Style3"/>
    <w:basedOn w:val="Normalny"/>
    <w:uiPriority w:val="99"/>
    <w:rsid w:val="00CC1EF4"/>
    <w:pPr>
      <w:widowControl w:val="0"/>
      <w:autoSpaceDE w:val="0"/>
      <w:autoSpaceDN w:val="0"/>
      <w:adjustRightInd w:val="0"/>
      <w:spacing w:after="0" w:line="240" w:lineRule="auto"/>
    </w:pPr>
    <w:rPr>
      <w:rFonts w:ascii="Arial Unicode MS" w:eastAsia="Arial Unicode MS" w:hAnsi="Calibri" w:cs="Arial Unicode MS"/>
      <w:sz w:val="24"/>
      <w:szCs w:val="24"/>
      <w:lang w:eastAsia="pl-PL"/>
    </w:rPr>
  </w:style>
  <w:style w:type="paragraph" w:customStyle="1" w:styleId="Style10">
    <w:name w:val="Style10"/>
    <w:basedOn w:val="Normalny"/>
    <w:uiPriority w:val="99"/>
    <w:rsid w:val="00CC1EF4"/>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pl-PL"/>
    </w:rPr>
  </w:style>
  <w:style w:type="character" w:customStyle="1" w:styleId="FontStyle36">
    <w:name w:val="Font Style36"/>
    <w:uiPriority w:val="99"/>
    <w:rsid w:val="00CC1EF4"/>
    <w:rPr>
      <w:rFonts w:ascii="Arial Unicode MS" w:eastAsia="Arial Unicode MS" w:cs="Arial Unicode MS"/>
      <w:i/>
      <w:iCs/>
      <w:spacing w:val="20"/>
      <w:sz w:val="16"/>
      <w:szCs w:val="16"/>
    </w:rPr>
  </w:style>
  <w:style w:type="paragraph" w:customStyle="1" w:styleId="Style19">
    <w:name w:val="Style19"/>
    <w:basedOn w:val="Normalny"/>
    <w:uiPriority w:val="99"/>
    <w:rsid w:val="00CC1EF4"/>
    <w:pPr>
      <w:widowControl w:val="0"/>
      <w:autoSpaceDE w:val="0"/>
      <w:autoSpaceDN w:val="0"/>
      <w:adjustRightInd w:val="0"/>
      <w:spacing w:after="0" w:line="240" w:lineRule="exact"/>
    </w:pPr>
    <w:rPr>
      <w:rFonts w:ascii="Arial Unicode MS" w:eastAsia="Arial Unicode MS" w:hAnsi="Calibri" w:cs="Arial Unicode MS"/>
      <w:sz w:val="24"/>
      <w:szCs w:val="24"/>
      <w:lang w:eastAsia="pl-PL"/>
    </w:rPr>
  </w:style>
  <w:style w:type="character" w:customStyle="1" w:styleId="FontStyle32">
    <w:name w:val="Font Style32"/>
    <w:uiPriority w:val="99"/>
    <w:rsid w:val="00CC1EF4"/>
    <w:rPr>
      <w:rFonts w:ascii="Arial Unicode MS" w:eastAsia="Arial Unicode MS" w:cs="Arial Unicode MS"/>
      <w:sz w:val="18"/>
      <w:szCs w:val="18"/>
    </w:rPr>
  </w:style>
  <w:style w:type="paragraph" w:customStyle="1" w:styleId="Style22">
    <w:name w:val="Style22"/>
    <w:basedOn w:val="Normalny"/>
    <w:uiPriority w:val="99"/>
    <w:rsid w:val="00CC1EF4"/>
    <w:pPr>
      <w:widowControl w:val="0"/>
      <w:autoSpaceDE w:val="0"/>
      <w:autoSpaceDN w:val="0"/>
      <w:adjustRightInd w:val="0"/>
      <w:spacing w:after="0" w:line="222" w:lineRule="exact"/>
    </w:pPr>
    <w:rPr>
      <w:rFonts w:ascii="Arial Unicode MS" w:eastAsia="Arial Unicode MS" w:hAnsi="Calibri" w:cs="Arial Unicode MS"/>
      <w:sz w:val="24"/>
      <w:szCs w:val="24"/>
      <w:lang w:eastAsia="pl-PL"/>
    </w:rPr>
  </w:style>
  <w:style w:type="character" w:customStyle="1" w:styleId="FontStyle31">
    <w:name w:val="Font Style31"/>
    <w:uiPriority w:val="99"/>
    <w:rsid w:val="00CC1EF4"/>
    <w:rPr>
      <w:rFonts w:ascii="Arial Unicode MS" w:eastAsia="Arial Unicode MS" w:cs="Arial Unicode MS"/>
      <w:smallCaps/>
      <w:sz w:val="18"/>
      <w:szCs w:val="18"/>
    </w:rPr>
  </w:style>
  <w:style w:type="character" w:customStyle="1" w:styleId="FontStyle33">
    <w:name w:val="Font Style33"/>
    <w:uiPriority w:val="99"/>
    <w:rsid w:val="00CC1EF4"/>
    <w:rPr>
      <w:rFonts w:ascii="Arial Unicode MS" w:eastAsia="Arial Unicode MS" w:cs="Arial Unicode MS"/>
      <w:b/>
      <w:bCs/>
      <w:sz w:val="18"/>
      <w:szCs w:val="18"/>
    </w:rPr>
  </w:style>
  <w:style w:type="paragraph" w:customStyle="1" w:styleId="Style24">
    <w:name w:val="Style24"/>
    <w:basedOn w:val="Normalny"/>
    <w:uiPriority w:val="99"/>
    <w:rsid w:val="00CC1EF4"/>
    <w:pPr>
      <w:widowControl w:val="0"/>
      <w:autoSpaceDE w:val="0"/>
      <w:autoSpaceDN w:val="0"/>
      <w:adjustRightInd w:val="0"/>
      <w:spacing w:after="0" w:line="206" w:lineRule="exact"/>
      <w:jc w:val="center"/>
    </w:pPr>
    <w:rPr>
      <w:rFonts w:ascii="Arial Unicode MS" w:eastAsia="Arial Unicode MS" w:hAnsi="Calibri" w:cs="Arial Unicode MS"/>
      <w:sz w:val="24"/>
      <w:szCs w:val="24"/>
      <w:lang w:eastAsia="pl-PL"/>
    </w:rPr>
  </w:style>
  <w:style w:type="paragraph" w:customStyle="1" w:styleId="Style17">
    <w:name w:val="Style17"/>
    <w:basedOn w:val="Normalny"/>
    <w:uiPriority w:val="99"/>
    <w:rsid w:val="00CC1EF4"/>
    <w:pPr>
      <w:widowControl w:val="0"/>
      <w:autoSpaceDE w:val="0"/>
      <w:autoSpaceDN w:val="0"/>
      <w:adjustRightInd w:val="0"/>
      <w:spacing w:after="0" w:line="240" w:lineRule="auto"/>
    </w:pPr>
    <w:rPr>
      <w:rFonts w:ascii="Arial Unicode MS" w:eastAsia="Arial Unicode MS" w:hAnsi="Calibri" w:cs="Arial Unicode MS"/>
      <w:sz w:val="24"/>
      <w:szCs w:val="24"/>
      <w:lang w:eastAsia="pl-PL"/>
    </w:rPr>
  </w:style>
  <w:style w:type="character" w:customStyle="1" w:styleId="FontStyle23">
    <w:name w:val="Font Style23"/>
    <w:uiPriority w:val="99"/>
    <w:rsid w:val="00CC1EF4"/>
    <w:rPr>
      <w:rFonts w:ascii="Arial Unicode MS" w:eastAsia="Arial Unicode MS" w:cs="Arial Unicode MS"/>
      <w:b/>
      <w:bCs/>
      <w:sz w:val="16"/>
      <w:szCs w:val="16"/>
    </w:rPr>
  </w:style>
  <w:style w:type="paragraph" w:customStyle="1" w:styleId="Style8">
    <w:name w:val="Style8"/>
    <w:basedOn w:val="Normalny"/>
    <w:uiPriority w:val="99"/>
    <w:rsid w:val="00CC1EF4"/>
    <w:pPr>
      <w:widowControl w:val="0"/>
      <w:autoSpaceDE w:val="0"/>
      <w:autoSpaceDN w:val="0"/>
      <w:adjustRightInd w:val="0"/>
      <w:spacing w:after="0" w:line="240" w:lineRule="auto"/>
    </w:pPr>
    <w:rPr>
      <w:rFonts w:ascii="Arial Unicode MS" w:eastAsia="Arial Unicode MS" w:hAnsi="Calibri" w:cs="Arial Unicode MS"/>
      <w:sz w:val="24"/>
      <w:szCs w:val="24"/>
      <w:lang w:eastAsia="pl-PL"/>
    </w:rPr>
  </w:style>
  <w:style w:type="character" w:customStyle="1" w:styleId="FontStyle22">
    <w:name w:val="Font Style22"/>
    <w:uiPriority w:val="99"/>
    <w:rsid w:val="00CC1EF4"/>
    <w:rPr>
      <w:rFonts w:ascii="Arial Unicode MS" w:eastAsia="Arial Unicode MS" w:cs="Arial Unicode MS"/>
      <w:b/>
      <w:bCs/>
      <w:i/>
      <w:iCs/>
      <w:spacing w:val="20"/>
      <w:sz w:val="16"/>
      <w:szCs w:val="16"/>
    </w:rPr>
  </w:style>
  <w:style w:type="character" w:customStyle="1" w:styleId="FontStyle19">
    <w:name w:val="Font Style19"/>
    <w:uiPriority w:val="99"/>
    <w:rsid w:val="00CC1EF4"/>
    <w:rPr>
      <w:rFonts w:ascii="Arial Unicode MS" w:eastAsia="Arial Unicode MS" w:cs="Arial Unicode MS"/>
      <w:sz w:val="16"/>
      <w:szCs w:val="16"/>
    </w:rPr>
  </w:style>
  <w:style w:type="character" w:customStyle="1" w:styleId="FontStyle20">
    <w:name w:val="Font Style20"/>
    <w:uiPriority w:val="99"/>
    <w:rsid w:val="00CC1EF4"/>
    <w:rPr>
      <w:rFonts w:ascii="Arial" w:hAnsi="Arial" w:cs="Arial"/>
      <w:i/>
      <w:iCs/>
      <w:w w:val="66"/>
      <w:sz w:val="20"/>
      <w:szCs w:val="20"/>
    </w:rPr>
  </w:style>
  <w:style w:type="character" w:customStyle="1" w:styleId="FontStyle21">
    <w:name w:val="Font Style21"/>
    <w:uiPriority w:val="99"/>
    <w:rsid w:val="00CC1EF4"/>
    <w:rPr>
      <w:rFonts w:ascii="Arial Unicode MS" w:eastAsia="Arial Unicode MS" w:cs="Arial Unicode MS"/>
      <w:sz w:val="16"/>
      <w:szCs w:val="16"/>
    </w:rPr>
  </w:style>
  <w:style w:type="character" w:customStyle="1" w:styleId="FontStyle38">
    <w:name w:val="Font Style38"/>
    <w:rsid w:val="00CC1EF4"/>
    <w:rPr>
      <w:rFonts w:ascii="Arial Unicode MS" w:eastAsia="Arial Unicode MS" w:cs="Arial Unicode MS"/>
      <w:sz w:val="16"/>
      <w:szCs w:val="16"/>
    </w:rPr>
  </w:style>
  <w:style w:type="paragraph" w:customStyle="1" w:styleId="Style20">
    <w:name w:val="Style20"/>
    <w:basedOn w:val="Normalny"/>
    <w:uiPriority w:val="99"/>
    <w:rsid w:val="00CC1EF4"/>
    <w:pPr>
      <w:widowControl w:val="0"/>
      <w:autoSpaceDE w:val="0"/>
      <w:autoSpaceDN w:val="0"/>
      <w:adjustRightInd w:val="0"/>
      <w:spacing w:after="0" w:line="206" w:lineRule="exact"/>
    </w:pPr>
    <w:rPr>
      <w:rFonts w:ascii="Arial Unicode MS" w:eastAsia="Arial Unicode MS" w:hAnsi="Calibri" w:cs="Arial Unicode MS"/>
      <w:sz w:val="24"/>
      <w:szCs w:val="24"/>
      <w:lang w:eastAsia="pl-PL"/>
    </w:rPr>
  </w:style>
  <w:style w:type="paragraph" w:customStyle="1" w:styleId="Style23">
    <w:name w:val="Style23"/>
    <w:basedOn w:val="Normalny"/>
    <w:uiPriority w:val="99"/>
    <w:rsid w:val="00CC1EF4"/>
    <w:pPr>
      <w:widowControl w:val="0"/>
      <w:autoSpaceDE w:val="0"/>
      <w:autoSpaceDN w:val="0"/>
      <w:adjustRightInd w:val="0"/>
      <w:spacing w:after="0" w:line="230" w:lineRule="exact"/>
      <w:ind w:hanging="269"/>
    </w:pPr>
    <w:rPr>
      <w:rFonts w:ascii="Arial Unicode MS" w:eastAsia="Arial Unicode MS" w:hAnsi="Calibri" w:cs="Arial Unicode MS"/>
      <w:sz w:val="24"/>
      <w:szCs w:val="24"/>
      <w:lang w:eastAsia="pl-PL"/>
    </w:rPr>
  </w:style>
  <w:style w:type="character" w:customStyle="1" w:styleId="FontStyle16">
    <w:name w:val="Font Style16"/>
    <w:uiPriority w:val="99"/>
    <w:rsid w:val="00CC1EF4"/>
    <w:rPr>
      <w:rFonts w:ascii="Arial Unicode MS" w:eastAsia="Arial Unicode MS" w:cs="Arial Unicode MS"/>
      <w:sz w:val="16"/>
      <w:szCs w:val="16"/>
    </w:rPr>
  </w:style>
  <w:style w:type="paragraph" w:customStyle="1" w:styleId="Style2">
    <w:name w:val="Style2"/>
    <w:basedOn w:val="Normalny"/>
    <w:uiPriority w:val="99"/>
    <w:rsid w:val="00CC1EF4"/>
    <w:pPr>
      <w:widowControl w:val="0"/>
      <w:autoSpaceDE w:val="0"/>
      <w:autoSpaceDN w:val="0"/>
      <w:adjustRightInd w:val="0"/>
      <w:spacing w:after="0" w:line="226" w:lineRule="exact"/>
      <w:ind w:hanging="710"/>
    </w:pPr>
    <w:rPr>
      <w:rFonts w:ascii="Arial Unicode MS" w:eastAsia="Arial Unicode MS" w:hAnsi="Calibri" w:cs="Arial Unicode MS"/>
      <w:sz w:val="24"/>
      <w:szCs w:val="24"/>
      <w:lang w:eastAsia="pl-PL"/>
    </w:rPr>
  </w:style>
  <w:style w:type="paragraph" w:customStyle="1" w:styleId="Style25">
    <w:name w:val="Style25"/>
    <w:basedOn w:val="Normalny"/>
    <w:uiPriority w:val="99"/>
    <w:rsid w:val="00CC1EF4"/>
    <w:pPr>
      <w:widowControl w:val="0"/>
      <w:autoSpaceDE w:val="0"/>
      <w:autoSpaceDN w:val="0"/>
      <w:adjustRightInd w:val="0"/>
      <w:spacing w:after="0" w:line="230" w:lineRule="exact"/>
      <w:ind w:hanging="274"/>
    </w:pPr>
    <w:rPr>
      <w:rFonts w:ascii="Arial Unicode MS" w:eastAsia="Arial Unicode MS" w:hAnsi="Calibri" w:cs="Arial Unicode MS"/>
      <w:sz w:val="24"/>
      <w:szCs w:val="24"/>
      <w:lang w:eastAsia="pl-PL"/>
    </w:rPr>
  </w:style>
  <w:style w:type="character" w:customStyle="1" w:styleId="FontStyle15">
    <w:name w:val="Font Style15"/>
    <w:uiPriority w:val="99"/>
    <w:rsid w:val="00CC1EF4"/>
    <w:rPr>
      <w:rFonts w:ascii="Arial Unicode MS" w:eastAsia="Arial Unicode MS" w:cs="Arial Unicode MS"/>
      <w:sz w:val="16"/>
      <w:szCs w:val="16"/>
    </w:rPr>
  </w:style>
  <w:style w:type="character" w:customStyle="1" w:styleId="FontStyle13">
    <w:name w:val="Font Style13"/>
    <w:uiPriority w:val="99"/>
    <w:rsid w:val="00CC1EF4"/>
    <w:rPr>
      <w:rFonts w:ascii="Arial Unicode MS" w:eastAsia="Arial Unicode MS" w:cs="Arial Unicode MS"/>
      <w:b/>
      <w:bCs/>
      <w:sz w:val="16"/>
      <w:szCs w:val="16"/>
    </w:rPr>
  </w:style>
  <w:style w:type="character" w:customStyle="1" w:styleId="FontStyle14">
    <w:name w:val="Font Style14"/>
    <w:uiPriority w:val="99"/>
    <w:rsid w:val="00CC1EF4"/>
    <w:rPr>
      <w:rFonts w:ascii="Arial Unicode MS" w:eastAsia="Arial Unicode MS" w:cs="Arial Unicode MS"/>
      <w:b/>
      <w:bCs/>
      <w:i/>
      <w:iCs/>
      <w:spacing w:val="20"/>
      <w:sz w:val="16"/>
      <w:szCs w:val="16"/>
    </w:rPr>
  </w:style>
  <w:style w:type="character" w:customStyle="1" w:styleId="FontStyle59">
    <w:name w:val="Font Style59"/>
    <w:uiPriority w:val="99"/>
    <w:rsid w:val="00CC1EF4"/>
    <w:rPr>
      <w:rFonts w:ascii="Arial Unicode MS" w:eastAsia="Arial Unicode MS" w:cs="Arial Unicode MS"/>
      <w:sz w:val="16"/>
      <w:szCs w:val="16"/>
    </w:rPr>
  </w:style>
  <w:style w:type="paragraph" w:customStyle="1" w:styleId="Style28">
    <w:name w:val="Style28"/>
    <w:basedOn w:val="Normalny"/>
    <w:uiPriority w:val="99"/>
    <w:rsid w:val="00CC1EF4"/>
    <w:pPr>
      <w:widowControl w:val="0"/>
      <w:autoSpaceDE w:val="0"/>
      <w:autoSpaceDN w:val="0"/>
      <w:adjustRightInd w:val="0"/>
      <w:spacing w:after="0" w:line="228" w:lineRule="exact"/>
      <w:ind w:firstLine="1272"/>
    </w:pPr>
    <w:rPr>
      <w:rFonts w:ascii="Arial Unicode MS" w:eastAsia="Arial Unicode MS" w:hAnsi="Calibri" w:cs="Arial Unicode MS"/>
      <w:sz w:val="24"/>
      <w:szCs w:val="24"/>
      <w:lang w:eastAsia="pl-PL"/>
    </w:rPr>
  </w:style>
  <w:style w:type="paragraph" w:customStyle="1" w:styleId="Style32">
    <w:name w:val="Style32"/>
    <w:basedOn w:val="Normalny"/>
    <w:uiPriority w:val="99"/>
    <w:rsid w:val="00CC1EF4"/>
    <w:pPr>
      <w:widowControl w:val="0"/>
      <w:autoSpaceDE w:val="0"/>
      <w:autoSpaceDN w:val="0"/>
      <w:adjustRightInd w:val="0"/>
      <w:spacing w:after="0" w:line="230" w:lineRule="exact"/>
      <w:ind w:hanging="274"/>
    </w:pPr>
    <w:rPr>
      <w:rFonts w:ascii="Arial Unicode MS" w:eastAsia="Arial Unicode MS" w:hAnsi="Calibri" w:cs="Arial Unicode MS"/>
      <w:sz w:val="24"/>
      <w:szCs w:val="24"/>
      <w:lang w:eastAsia="pl-PL"/>
    </w:rPr>
  </w:style>
  <w:style w:type="paragraph" w:customStyle="1" w:styleId="Style33">
    <w:name w:val="Style33"/>
    <w:basedOn w:val="Normalny"/>
    <w:uiPriority w:val="99"/>
    <w:rsid w:val="00CC1EF4"/>
    <w:pPr>
      <w:widowControl w:val="0"/>
      <w:autoSpaceDE w:val="0"/>
      <w:autoSpaceDN w:val="0"/>
      <w:adjustRightInd w:val="0"/>
      <w:spacing w:after="0" w:line="226" w:lineRule="exact"/>
      <w:ind w:hanging="1272"/>
    </w:pPr>
    <w:rPr>
      <w:rFonts w:ascii="Arial Unicode MS" w:eastAsia="Arial Unicode MS" w:hAnsi="Calibri" w:cs="Arial Unicode MS"/>
      <w:sz w:val="24"/>
      <w:szCs w:val="24"/>
      <w:lang w:eastAsia="pl-PL"/>
    </w:rPr>
  </w:style>
  <w:style w:type="character" w:customStyle="1" w:styleId="FontStyle58">
    <w:name w:val="Font Style58"/>
    <w:uiPriority w:val="99"/>
    <w:rsid w:val="00CC1EF4"/>
    <w:rPr>
      <w:rFonts w:ascii="Arial Unicode MS" w:eastAsia="Arial Unicode MS" w:cs="Arial Unicode MS"/>
      <w:b/>
      <w:bCs/>
      <w:sz w:val="16"/>
      <w:szCs w:val="16"/>
    </w:rPr>
  </w:style>
  <w:style w:type="character" w:customStyle="1" w:styleId="FontStyle43">
    <w:name w:val="Font Style43"/>
    <w:uiPriority w:val="99"/>
    <w:rsid w:val="00CC1EF4"/>
    <w:rPr>
      <w:rFonts w:ascii="Arial Unicode MS" w:eastAsia="Arial Unicode MS" w:cs="Arial Unicode MS"/>
      <w:b/>
      <w:bCs/>
      <w:sz w:val="22"/>
      <w:szCs w:val="22"/>
    </w:rPr>
  </w:style>
  <w:style w:type="character" w:customStyle="1" w:styleId="FontStyle57">
    <w:name w:val="Font Style57"/>
    <w:uiPriority w:val="99"/>
    <w:rsid w:val="00CC1EF4"/>
    <w:rPr>
      <w:rFonts w:ascii="Arial Unicode MS" w:eastAsia="Arial Unicode MS" w:cs="Arial Unicode MS"/>
      <w:b/>
      <w:bCs/>
      <w:i/>
      <w:iCs/>
      <w:spacing w:val="20"/>
      <w:sz w:val="16"/>
      <w:szCs w:val="16"/>
    </w:rPr>
  </w:style>
  <w:style w:type="paragraph" w:customStyle="1" w:styleId="SPIStandardeinzug">
    <w:name w:val="SPI_Standardeinzug"/>
    <w:basedOn w:val="Normalny"/>
    <w:autoRedefine/>
    <w:rsid w:val="00CC1EF4"/>
    <w:pPr>
      <w:spacing w:before="60" w:after="60" w:line="240" w:lineRule="auto"/>
      <w:jc w:val="both"/>
    </w:pPr>
    <w:rPr>
      <w:rFonts w:ascii="Arial" w:eastAsia="Times New Roman" w:hAnsi="Arial" w:cs="Times New Roman"/>
      <w:szCs w:val="20"/>
      <w:lang w:eastAsia="de-DE"/>
    </w:rPr>
  </w:style>
  <w:style w:type="paragraph" w:customStyle="1" w:styleId="Akapitzlist3">
    <w:name w:val="Akapit z listą3"/>
    <w:aliases w:val="normalny tekst"/>
    <w:basedOn w:val="Normalny"/>
    <w:link w:val="AkapitzlistZnak"/>
    <w:qFormat/>
    <w:rsid w:val="00CC1EF4"/>
    <w:pPr>
      <w:spacing w:after="0" w:line="240" w:lineRule="auto"/>
      <w:ind w:left="720"/>
      <w:contextualSpacing/>
    </w:pPr>
    <w:rPr>
      <w:rFonts w:ascii="Arial" w:eastAsia="Calibri" w:hAnsi="Arial" w:cs="Arial"/>
      <w:sz w:val="20"/>
      <w:szCs w:val="20"/>
    </w:rPr>
  </w:style>
  <w:style w:type="paragraph" w:styleId="Tekstprzypisukocowego">
    <w:name w:val="endnote text"/>
    <w:basedOn w:val="Normalny"/>
    <w:link w:val="TekstprzypisukocowegoZnak"/>
    <w:rsid w:val="00CC1EF4"/>
    <w:pPr>
      <w:spacing w:after="0" w:line="240" w:lineRule="auto"/>
    </w:pPr>
    <w:rPr>
      <w:rFonts w:ascii="Arial" w:eastAsia="Times New Roman" w:hAnsi="Arial" w:cs="Times New Roman"/>
      <w:sz w:val="20"/>
      <w:szCs w:val="20"/>
      <w:lang w:eastAsia="pl-PL"/>
    </w:rPr>
  </w:style>
  <w:style w:type="character" w:customStyle="1" w:styleId="TekstprzypisukocowegoZnak">
    <w:name w:val="Tekst przypisu końcowego Znak"/>
    <w:basedOn w:val="Domylnaczcionkaakapitu"/>
    <w:link w:val="Tekstprzypisukocowego"/>
    <w:rsid w:val="00CC1EF4"/>
    <w:rPr>
      <w:rFonts w:ascii="Arial" w:eastAsia="Times New Roman" w:hAnsi="Arial" w:cs="Times New Roman"/>
      <w:sz w:val="20"/>
      <w:szCs w:val="20"/>
      <w:lang w:eastAsia="pl-PL"/>
    </w:rPr>
  </w:style>
  <w:style w:type="character" w:styleId="Odwoanieprzypisukocowego">
    <w:name w:val="endnote reference"/>
    <w:rsid w:val="00CC1EF4"/>
    <w:rPr>
      <w:vertAlign w:val="superscript"/>
    </w:rPr>
  </w:style>
  <w:style w:type="paragraph" w:customStyle="1" w:styleId="tekstdokumentu">
    <w:name w:val="tekst dokumentu"/>
    <w:basedOn w:val="Normalny"/>
    <w:autoRedefine/>
    <w:rsid w:val="00CC1EF4"/>
    <w:pPr>
      <w:spacing w:after="0" w:line="240" w:lineRule="auto"/>
    </w:pPr>
    <w:rPr>
      <w:rFonts w:ascii="Arial" w:eastAsia="Times New Roman" w:hAnsi="Arial" w:cs="Arial"/>
      <w:b/>
      <w:iCs/>
      <w:sz w:val="24"/>
      <w:szCs w:val="20"/>
      <w:lang w:eastAsia="pl-PL"/>
    </w:rPr>
  </w:style>
  <w:style w:type="character" w:customStyle="1" w:styleId="biggertext">
    <w:name w:val="biggertext"/>
    <w:rsid w:val="00CC1EF4"/>
  </w:style>
  <w:style w:type="paragraph" w:customStyle="1" w:styleId="Tekstpodstawowywcity21">
    <w:name w:val="Tekst podstawowy wcięty 21"/>
    <w:basedOn w:val="Normalny"/>
    <w:rsid w:val="00CC1EF4"/>
    <w:pPr>
      <w:widowControl w:val="0"/>
      <w:tabs>
        <w:tab w:val="left" w:pos="-1440"/>
        <w:tab w:val="right" w:pos="-1368"/>
        <w:tab w:val="left" w:pos="720"/>
      </w:tabs>
      <w:spacing w:after="0" w:line="240" w:lineRule="auto"/>
      <w:ind w:left="709"/>
      <w:jc w:val="both"/>
    </w:pPr>
    <w:rPr>
      <w:rFonts w:ascii="Arial" w:eastAsia="Times New Roman" w:hAnsi="Arial" w:cs="Times New Roman"/>
      <w:sz w:val="24"/>
      <w:szCs w:val="20"/>
      <w:lang w:eastAsia="pl-PL"/>
    </w:rPr>
  </w:style>
  <w:style w:type="paragraph" w:customStyle="1" w:styleId="Tekstpodstawowywcity31">
    <w:name w:val="Tekst podstawowy wcięty 31"/>
    <w:basedOn w:val="Normalny"/>
    <w:rsid w:val="00CC1EF4"/>
    <w:pPr>
      <w:widowControl w:val="0"/>
      <w:tabs>
        <w:tab w:val="right" w:pos="-1368"/>
        <w:tab w:val="left" w:pos="-677"/>
      </w:tabs>
      <w:spacing w:after="0" w:line="240" w:lineRule="auto"/>
      <w:ind w:left="709"/>
    </w:pPr>
    <w:rPr>
      <w:rFonts w:ascii="Arial" w:eastAsia="Times New Roman" w:hAnsi="Arial" w:cs="Times New Roman"/>
      <w:sz w:val="24"/>
      <w:szCs w:val="20"/>
      <w:lang w:eastAsia="pl-PL"/>
    </w:rPr>
  </w:style>
  <w:style w:type="character" w:customStyle="1" w:styleId="LegendaZnak">
    <w:name w:val="Legenda Znak"/>
    <w:aliases w:val="Nagłówek 4 Znak Znak Znak Znak,Legenda Znak Znak Znak Znak Znak,Nagłówek 4 Znak Znak Znak Znak Znak Znak Znak, Znak Znak9 Znak Znak Znak Znak Znak Znak Znak Znak Znak Znak, Znak4 Znak Znak Znak Znak Znak Znak Znak Znak Znak Znak Znak Znak"/>
    <w:link w:val="Legenda"/>
    <w:rsid w:val="00CC1EF4"/>
    <w:rPr>
      <w:rFonts w:ascii="Times New Roman" w:eastAsia="Times New Roman" w:hAnsi="Times New Roman" w:cs="Times New Roman"/>
      <w:b/>
      <w:sz w:val="20"/>
      <w:szCs w:val="20"/>
    </w:rPr>
  </w:style>
  <w:style w:type="character" w:customStyle="1" w:styleId="FontStyle259">
    <w:name w:val="Font Style259"/>
    <w:rsid w:val="00CC1EF4"/>
    <w:rPr>
      <w:rFonts w:ascii="Garamond" w:hAnsi="Garamond" w:cs="Garamond"/>
      <w:sz w:val="18"/>
      <w:szCs w:val="18"/>
    </w:rPr>
  </w:style>
  <w:style w:type="paragraph" w:customStyle="1" w:styleId="Style72">
    <w:name w:val="Style72"/>
    <w:basedOn w:val="Normalny"/>
    <w:rsid w:val="00CC1EF4"/>
    <w:pPr>
      <w:widowControl w:val="0"/>
      <w:autoSpaceDE w:val="0"/>
      <w:autoSpaceDN w:val="0"/>
      <w:adjustRightInd w:val="0"/>
      <w:spacing w:after="0" w:line="216" w:lineRule="exact"/>
      <w:ind w:hanging="984"/>
    </w:pPr>
    <w:rPr>
      <w:rFonts w:ascii="Garamond" w:eastAsia="Times New Roman" w:hAnsi="Garamond" w:cs="Times New Roman"/>
      <w:sz w:val="24"/>
      <w:szCs w:val="24"/>
      <w:lang w:eastAsia="pl-PL"/>
    </w:rPr>
  </w:style>
  <w:style w:type="paragraph" w:customStyle="1" w:styleId="Style68">
    <w:name w:val="Style68"/>
    <w:basedOn w:val="Normalny"/>
    <w:rsid w:val="00CC1EF4"/>
    <w:pPr>
      <w:widowControl w:val="0"/>
      <w:autoSpaceDE w:val="0"/>
      <w:autoSpaceDN w:val="0"/>
      <w:adjustRightInd w:val="0"/>
      <w:spacing w:after="0" w:line="214" w:lineRule="exact"/>
      <w:ind w:firstLine="250"/>
      <w:jc w:val="both"/>
    </w:pPr>
    <w:rPr>
      <w:rFonts w:ascii="Garamond" w:eastAsia="Times New Roman" w:hAnsi="Garamond" w:cs="Times New Roman"/>
      <w:sz w:val="24"/>
      <w:szCs w:val="24"/>
      <w:lang w:eastAsia="pl-PL"/>
    </w:rPr>
  </w:style>
  <w:style w:type="character" w:customStyle="1" w:styleId="FontStyle268">
    <w:name w:val="Font Style268"/>
    <w:rsid w:val="00CC1EF4"/>
    <w:rPr>
      <w:rFonts w:ascii="Garamond" w:hAnsi="Garamond" w:cs="Garamond"/>
      <w:sz w:val="18"/>
      <w:szCs w:val="18"/>
    </w:rPr>
  </w:style>
  <w:style w:type="character" w:customStyle="1" w:styleId="FontStyle352">
    <w:name w:val="Font Style352"/>
    <w:rsid w:val="00CC1EF4"/>
    <w:rPr>
      <w:rFonts w:ascii="Garamond" w:hAnsi="Garamond" w:cs="Garamond"/>
      <w:b/>
      <w:bCs/>
      <w:sz w:val="18"/>
      <w:szCs w:val="18"/>
    </w:rPr>
  </w:style>
  <w:style w:type="paragraph" w:customStyle="1" w:styleId="Style133">
    <w:name w:val="Style133"/>
    <w:basedOn w:val="Normalny"/>
    <w:rsid w:val="00CC1EF4"/>
    <w:pPr>
      <w:widowControl w:val="0"/>
      <w:autoSpaceDE w:val="0"/>
      <w:autoSpaceDN w:val="0"/>
      <w:adjustRightInd w:val="0"/>
      <w:spacing w:after="0" w:line="211" w:lineRule="exact"/>
      <w:jc w:val="center"/>
    </w:pPr>
    <w:rPr>
      <w:rFonts w:ascii="Garamond" w:eastAsia="Times New Roman" w:hAnsi="Garamond" w:cs="Times New Roman"/>
      <w:sz w:val="24"/>
      <w:szCs w:val="24"/>
      <w:lang w:eastAsia="pl-PL"/>
    </w:rPr>
  </w:style>
  <w:style w:type="paragraph" w:customStyle="1" w:styleId="Style135">
    <w:name w:val="Style135"/>
    <w:basedOn w:val="Normalny"/>
    <w:rsid w:val="00CC1EF4"/>
    <w:pPr>
      <w:widowControl w:val="0"/>
      <w:autoSpaceDE w:val="0"/>
      <w:autoSpaceDN w:val="0"/>
      <w:adjustRightInd w:val="0"/>
      <w:spacing w:after="0" w:line="192" w:lineRule="exact"/>
    </w:pPr>
    <w:rPr>
      <w:rFonts w:ascii="Garamond" w:eastAsia="Times New Roman" w:hAnsi="Garamond" w:cs="Times New Roman"/>
      <w:sz w:val="24"/>
      <w:szCs w:val="24"/>
      <w:lang w:eastAsia="pl-PL"/>
    </w:rPr>
  </w:style>
  <w:style w:type="character" w:customStyle="1" w:styleId="FontStyle325">
    <w:name w:val="Font Style325"/>
    <w:rsid w:val="00CC1EF4"/>
    <w:rPr>
      <w:rFonts w:ascii="Garamond" w:hAnsi="Garamond" w:cs="Garamond"/>
      <w:sz w:val="18"/>
      <w:szCs w:val="18"/>
    </w:rPr>
  </w:style>
  <w:style w:type="paragraph" w:customStyle="1" w:styleId="Style26">
    <w:name w:val="Style26"/>
    <w:basedOn w:val="Normalny"/>
    <w:rsid w:val="00CC1EF4"/>
    <w:pPr>
      <w:widowControl w:val="0"/>
      <w:autoSpaceDE w:val="0"/>
      <w:autoSpaceDN w:val="0"/>
      <w:adjustRightInd w:val="0"/>
      <w:spacing w:after="0" w:line="216" w:lineRule="exact"/>
      <w:jc w:val="center"/>
    </w:pPr>
    <w:rPr>
      <w:rFonts w:ascii="Garamond" w:eastAsia="Times New Roman" w:hAnsi="Garamond" w:cs="Times New Roman"/>
      <w:sz w:val="24"/>
      <w:szCs w:val="24"/>
      <w:lang w:eastAsia="pl-PL"/>
    </w:rPr>
  </w:style>
  <w:style w:type="paragraph" w:customStyle="1" w:styleId="Style27">
    <w:name w:val="Style27"/>
    <w:basedOn w:val="Normalny"/>
    <w:rsid w:val="00CC1EF4"/>
    <w:pPr>
      <w:widowControl w:val="0"/>
      <w:autoSpaceDE w:val="0"/>
      <w:autoSpaceDN w:val="0"/>
      <w:adjustRightInd w:val="0"/>
      <w:spacing w:after="0" w:line="134" w:lineRule="exact"/>
      <w:jc w:val="center"/>
    </w:pPr>
    <w:rPr>
      <w:rFonts w:ascii="Garamond" w:eastAsia="Times New Roman" w:hAnsi="Garamond" w:cs="Times New Roman"/>
      <w:sz w:val="24"/>
      <w:szCs w:val="24"/>
      <w:lang w:eastAsia="pl-PL"/>
    </w:rPr>
  </w:style>
  <w:style w:type="paragraph" w:customStyle="1" w:styleId="Style57">
    <w:name w:val="Style57"/>
    <w:basedOn w:val="Normalny"/>
    <w:rsid w:val="00CC1EF4"/>
    <w:pPr>
      <w:widowControl w:val="0"/>
      <w:autoSpaceDE w:val="0"/>
      <w:autoSpaceDN w:val="0"/>
      <w:adjustRightInd w:val="0"/>
      <w:spacing w:after="0" w:line="240" w:lineRule="auto"/>
    </w:pPr>
    <w:rPr>
      <w:rFonts w:ascii="Garamond" w:eastAsia="Times New Roman" w:hAnsi="Garamond" w:cs="Times New Roman"/>
      <w:sz w:val="24"/>
      <w:szCs w:val="24"/>
      <w:lang w:eastAsia="pl-PL"/>
    </w:rPr>
  </w:style>
  <w:style w:type="paragraph" w:customStyle="1" w:styleId="Style81">
    <w:name w:val="Style81"/>
    <w:basedOn w:val="Normalny"/>
    <w:rsid w:val="00CC1EF4"/>
    <w:pPr>
      <w:widowControl w:val="0"/>
      <w:autoSpaceDE w:val="0"/>
      <w:autoSpaceDN w:val="0"/>
      <w:adjustRightInd w:val="0"/>
      <w:spacing w:after="0" w:line="154" w:lineRule="exact"/>
      <w:jc w:val="both"/>
    </w:pPr>
    <w:rPr>
      <w:rFonts w:ascii="Garamond" w:eastAsia="Times New Roman" w:hAnsi="Garamond" w:cs="Times New Roman"/>
      <w:sz w:val="24"/>
      <w:szCs w:val="24"/>
      <w:lang w:eastAsia="pl-PL"/>
    </w:rPr>
  </w:style>
  <w:style w:type="paragraph" w:styleId="Wcicienormalne">
    <w:name w:val="Normal Indent"/>
    <w:basedOn w:val="Normalny"/>
    <w:rsid w:val="00CC1EF4"/>
    <w:pPr>
      <w:spacing w:before="120" w:after="0" w:line="240" w:lineRule="auto"/>
      <w:ind w:left="708"/>
      <w:jc w:val="both"/>
    </w:pPr>
    <w:rPr>
      <w:rFonts w:ascii="PL Times New Roman" w:eastAsia="Times New Roman" w:hAnsi="PL Times New Roman" w:cs="Times New Roman"/>
      <w:snapToGrid w:val="0"/>
      <w:sz w:val="20"/>
      <w:szCs w:val="20"/>
      <w:lang w:eastAsia="pl-PL"/>
    </w:rPr>
  </w:style>
  <w:style w:type="paragraph" w:customStyle="1" w:styleId="Style127">
    <w:name w:val="Style127"/>
    <w:basedOn w:val="Normalny"/>
    <w:rsid w:val="00CC1EF4"/>
    <w:pPr>
      <w:widowControl w:val="0"/>
      <w:autoSpaceDE w:val="0"/>
      <w:autoSpaceDN w:val="0"/>
      <w:adjustRightInd w:val="0"/>
      <w:spacing w:after="0" w:line="216" w:lineRule="exact"/>
      <w:jc w:val="center"/>
    </w:pPr>
    <w:rPr>
      <w:rFonts w:ascii="Garamond" w:eastAsia="Times New Roman" w:hAnsi="Garamond" w:cs="Times New Roman"/>
      <w:sz w:val="24"/>
      <w:szCs w:val="24"/>
      <w:lang w:eastAsia="pl-PL"/>
    </w:rPr>
  </w:style>
  <w:style w:type="paragraph" w:customStyle="1" w:styleId="Style31">
    <w:name w:val="Style31"/>
    <w:basedOn w:val="Normalny"/>
    <w:rsid w:val="00CC1EF4"/>
    <w:pPr>
      <w:widowControl w:val="0"/>
      <w:autoSpaceDE w:val="0"/>
      <w:autoSpaceDN w:val="0"/>
      <w:adjustRightInd w:val="0"/>
      <w:spacing w:after="0" w:line="240" w:lineRule="auto"/>
    </w:pPr>
    <w:rPr>
      <w:rFonts w:ascii="Garamond" w:eastAsia="Times New Roman" w:hAnsi="Garamond" w:cs="Times New Roman"/>
      <w:sz w:val="24"/>
      <w:szCs w:val="24"/>
      <w:lang w:eastAsia="pl-PL"/>
    </w:rPr>
  </w:style>
  <w:style w:type="character" w:customStyle="1" w:styleId="FontStyle361">
    <w:name w:val="Font Style361"/>
    <w:rsid w:val="00CC1EF4"/>
    <w:rPr>
      <w:rFonts w:ascii="Georgia" w:hAnsi="Georgia" w:cs="Georgia"/>
      <w:sz w:val="12"/>
      <w:szCs w:val="12"/>
    </w:rPr>
  </w:style>
  <w:style w:type="paragraph" w:customStyle="1" w:styleId="Style56">
    <w:name w:val="Style56"/>
    <w:basedOn w:val="Normalny"/>
    <w:rsid w:val="00CC1EF4"/>
    <w:pPr>
      <w:widowControl w:val="0"/>
      <w:autoSpaceDE w:val="0"/>
      <w:autoSpaceDN w:val="0"/>
      <w:adjustRightInd w:val="0"/>
      <w:spacing w:after="0" w:line="240" w:lineRule="auto"/>
    </w:pPr>
    <w:rPr>
      <w:rFonts w:ascii="Garamond" w:eastAsia="Times New Roman" w:hAnsi="Garamond" w:cs="Times New Roman"/>
      <w:sz w:val="24"/>
      <w:szCs w:val="24"/>
      <w:lang w:eastAsia="pl-PL"/>
    </w:rPr>
  </w:style>
  <w:style w:type="paragraph" w:customStyle="1" w:styleId="Style39">
    <w:name w:val="Style39"/>
    <w:basedOn w:val="Normalny"/>
    <w:rsid w:val="00CC1EF4"/>
    <w:pPr>
      <w:widowControl w:val="0"/>
      <w:autoSpaceDE w:val="0"/>
      <w:autoSpaceDN w:val="0"/>
      <w:adjustRightInd w:val="0"/>
      <w:spacing w:after="0" w:line="240" w:lineRule="auto"/>
    </w:pPr>
    <w:rPr>
      <w:rFonts w:ascii="Garamond" w:eastAsia="Times New Roman" w:hAnsi="Garamond" w:cs="Times New Roman"/>
      <w:sz w:val="24"/>
      <w:szCs w:val="24"/>
      <w:lang w:eastAsia="pl-PL"/>
    </w:rPr>
  </w:style>
  <w:style w:type="paragraph" w:customStyle="1" w:styleId="HNumber">
    <w:name w:val="H Number"/>
    <w:basedOn w:val="Normalny"/>
    <w:rsid w:val="00CC1EF4"/>
    <w:pPr>
      <w:spacing w:before="120" w:after="0" w:line="240" w:lineRule="auto"/>
      <w:ind w:left="851" w:hanging="851"/>
      <w:jc w:val="both"/>
    </w:pPr>
    <w:rPr>
      <w:rFonts w:ascii="Arial" w:eastAsia="Times New Roman" w:hAnsi="Arial" w:cs="Times New Roman"/>
      <w:sz w:val="20"/>
      <w:szCs w:val="20"/>
      <w:lang w:val="en-GB"/>
    </w:rPr>
  </w:style>
  <w:style w:type="character" w:customStyle="1" w:styleId="Normal12Znak">
    <w:name w:val="Normal 12 Znak"/>
    <w:rsid w:val="00CC1EF4"/>
    <w:rPr>
      <w:rFonts w:cs="Arial"/>
      <w:bCs/>
      <w:iCs/>
      <w:noProof w:val="0"/>
      <w:szCs w:val="24"/>
      <w:lang w:val="pl-PL" w:eastAsia="pl-PL" w:bidi="ar-SA"/>
    </w:rPr>
  </w:style>
  <w:style w:type="character" w:customStyle="1" w:styleId="FontStyle156">
    <w:name w:val="Font Style156"/>
    <w:rsid w:val="00CC1EF4"/>
    <w:rPr>
      <w:rFonts w:ascii="Times New Roman" w:hAnsi="Times New Roman" w:cs="Times New Roman"/>
      <w:sz w:val="18"/>
      <w:szCs w:val="18"/>
    </w:rPr>
  </w:style>
  <w:style w:type="character" w:customStyle="1" w:styleId="FontStyle157">
    <w:name w:val="Font Style157"/>
    <w:rsid w:val="00CC1EF4"/>
    <w:rPr>
      <w:rFonts w:ascii="Times New Roman" w:hAnsi="Times New Roman" w:cs="Times New Roman"/>
      <w:i/>
      <w:iCs/>
      <w:sz w:val="18"/>
      <w:szCs w:val="18"/>
    </w:rPr>
  </w:style>
  <w:style w:type="character" w:customStyle="1" w:styleId="FontStyle176">
    <w:name w:val="Font Style176"/>
    <w:rsid w:val="00CC1EF4"/>
    <w:rPr>
      <w:rFonts w:ascii="Candara" w:hAnsi="Candara" w:cs="Candara"/>
      <w:b/>
      <w:bCs/>
      <w:i/>
      <w:iCs/>
      <w:spacing w:val="10"/>
      <w:sz w:val="14"/>
      <w:szCs w:val="14"/>
    </w:rPr>
  </w:style>
  <w:style w:type="paragraph" w:customStyle="1" w:styleId="normalny3">
    <w:name w:val="normalny 3"/>
    <w:basedOn w:val="Normalny"/>
    <w:rsid w:val="00CC1EF4"/>
    <w:pPr>
      <w:tabs>
        <w:tab w:val="left" w:pos="397"/>
        <w:tab w:val="left" w:pos="737"/>
      </w:tabs>
      <w:spacing w:before="60" w:after="0" w:line="240" w:lineRule="auto"/>
      <w:jc w:val="both"/>
    </w:pPr>
    <w:rPr>
      <w:rFonts w:ascii="Arial" w:eastAsia="Times New Roman" w:hAnsi="Arial" w:cs="Arial"/>
      <w:bCs/>
      <w:iCs/>
      <w:sz w:val="20"/>
      <w:szCs w:val="24"/>
      <w:lang w:eastAsia="pl-PL"/>
    </w:rPr>
  </w:style>
  <w:style w:type="character" w:customStyle="1" w:styleId="apple-converted-space">
    <w:name w:val="apple-converted-space"/>
    <w:rsid w:val="00CC1EF4"/>
  </w:style>
  <w:style w:type="character" w:customStyle="1" w:styleId="WW8Num8z0">
    <w:name w:val="WW8Num8z0"/>
    <w:rsid w:val="00CC1EF4"/>
    <w:rPr>
      <w:rFonts w:ascii="Arial" w:hAnsi="Arial" w:cs="Arial"/>
      <w:b w:val="0"/>
      <w:i w:val="0"/>
      <w:sz w:val="20"/>
    </w:rPr>
  </w:style>
  <w:style w:type="paragraph" w:customStyle="1" w:styleId="Akapitzlist1">
    <w:name w:val="Akapit z listą1"/>
    <w:basedOn w:val="Normalny"/>
    <w:rsid w:val="00CC1EF4"/>
    <w:pPr>
      <w:suppressAutoHyphens/>
      <w:spacing w:after="0" w:line="240" w:lineRule="auto"/>
      <w:ind w:left="720"/>
      <w:jc w:val="both"/>
    </w:pPr>
    <w:rPr>
      <w:rFonts w:ascii="Arial" w:eastAsia="Times New Roman" w:hAnsi="Arial" w:cs="Arial"/>
      <w:szCs w:val="24"/>
      <w:lang w:eastAsia="ar-SA"/>
    </w:rPr>
  </w:style>
  <w:style w:type="paragraph" w:customStyle="1" w:styleId="WW-Tekstpodstawowywcity3">
    <w:name w:val="WW-Tekst podstawowy wcięty 3"/>
    <w:basedOn w:val="Normalny"/>
    <w:rsid w:val="00CC1EF4"/>
    <w:pPr>
      <w:suppressAutoHyphens/>
      <w:spacing w:after="0" w:line="240" w:lineRule="auto"/>
      <w:ind w:firstLine="284"/>
      <w:jc w:val="both"/>
    </w:pPr>
    <w:rPr>
      <w:rFonts w:ascii="Arial" w:eastAsia="Times New Roman" w:hAnsi="Arial" w:cs="Arial"/>
      <w:sz w:val="24"/>
      <w:szCs w:val="24"/>
      <w:lang w:eastAsia="ar-SA"/>
    </w:rPr>
  </w:style>
  <w:style w:type="character" w:customStyle="1" w:styleId="Teksttreci2">
    <w:name w:val="Tekst treści (2)_"/>
    <w:link w:val="Teksttreci20"/>
    <w:rsid w:val="00CC1EF4"/>
    <w:rPr>
      <w:rFonts w:ascii="Arial" w:eastAsia="Arial" w:hAnsi="Arial" w:cs="Arial"/>
      <w:shd w:val="clear" w:color="auto" w:fill="FFFFFF"/>
    </w:rPr>
  </w:style>
  <w:style w:type="character" w:customStyle="1" w:styleId="PogrubienieTeksttreci275pt">
    <w:name w:val="Pogrubienie;Tekst treści (2) + 7.5 pt"/>
    <w:rsid w:val="00CC1EF4"/>
    <w:rPr>
      <w:rFonts w:ascii="Arial" w:eastAsia="Arial" w:hAnsi="Arial" w:cs="Arial"/>
      <w:b/>
      <w:bCs/>
      <w:color w:val="000000"/>
      <w:spacing w:val="0"/>
      <w:w w:val="100"/>
      <w:position w:val="0"/>
      <w:sz w:val="15"/>
      <w:szCs w:val="15"/>
      <w:shd w:val="clear" w:color="auto" w:fill="FFFFFF"/>
      <w:lang w:val="pl-PL" w:eastAsia="pl-PL" w:bidi="pl-PL"/>
    </w:rPr>
  </w:style>
  <w:style w:type="character" w:customStyle="1" w:styleId="Nagwek100">
    <w:name w:val="Nagłówek #10_"/>
    <w:link w:val="Nagwek101"/>
    <w:rsid w:val="00CC1EF4"/>
    <w:rPr>
      <w:rFonts w:ascii="Arial" w:eastAsia="Arial" w:hAnsi="Arial" w:cs="Arial"/>
      <w:b/>
      <w:bCs/>
      <w:shd w:val="clear" w:color="auto" w:fill="FFFFFF"/>
    </w:rPr>
  </w:style>
  <w:style w:type="paragraph" w:customStyle="1" w:styleId="Teksttreci20">
    <w:name w:val="Tekst treści (2)"/>
    <w:basedOn w:val="Normalny"/>
    <w:link w:val="Teksttreci2"/>
    <w:rsid w:val="00CC1EF4"/>
    <w:pPr>
      <w:widowControl w:val="0"/>
      <w:shd w:val="clear" w:color="auto" w:fill="FFFFFF"/>
      <w:spacing w:after="0" w:line="245" w:lineRule="exact"/>
      <w:ind w:hanging="1980"/>
      <w:jc w:val="both"/>
    </w:pPr>
    <w:rPr>
      <w:rFonts w:ascii="Arial" w:eastAsia="Arial" w:hAnsi="Arial" w:cs="Arial"/>
    </w:rPr>
  </w:style>
  <w:style w:type="paragraph" w:customStyle="1" w:styleId="Nagwek101">
    <w:name w:val="Nagłówek #10"/>
    <w:basedOn w:val="Normalny"/>
    <w:link w:val="Nagwek100"/>
    <w:rsid w:val="00CC1EF4"/>
    <w:pPr>
      <w:widowControl w:val="0"/>
      <w:shd w:val="clear" w:color="auto" w:fill="FFFFFF"/>
      <w:spacing w:before="420" w:after="0" w:line="245" w:lineRule="exact"/>
      <w:ind w:hanging="740"/>
      <w:jc w:val="both"/>
    </w:pPr>
    <w:rPr>
      <w:rFonts w:ascii="Arial" w:eastAsia="Arial" w:hAnsi="Arial" w:cs="Arial"/>
      <w:b/>
      <w:bCs/>
    </w:rPr>
  </w:style>
  <w:style w:type="character" w:customStyle="1" w:styleId="Teksttreci2Kursywa">
    <w:name w:val="Tekst treści (2) + Kursywa"/>
    <w:rsid w:val="00CC1EF4"/>
    <w:rPr>
      <w:rFonts w:ascii="Arial" w:eastAsia="Arial" w:hAnsi="Arial" w:cs="Arial"/>
      <w:b w:val="0"/>
      <w:bCs w:val="0"/>
      <w:i/>
      <w:iCs/>
      <w:smallCaps w:val="0"/>
      <w:strike w:val="0"/>
      <w:color w:val="000000"/>
      <w:spacing w:val="0"/>
      <w:w w:val="100"/>
      <w:position w:val="0"/>
      <w:sz w:val="22"/>
      <w:szCs w:val="22"/>
      <w:u w:val="none"/>
      <w:shd w:val="clear" w:color="auto" w:fill="FFFFFF"/>
      <w:lang w:val="pl-PL" w:eastAsia="pl-PL" w:bidi="pl-PL"/>
    </w:rPr>
  </w:style>
  <w:style w:type="paragraph" w:customStyle="1" w:styleId="Wyszkow1">
    <w:name w:val="Wyszkow_1"/>
    <w:basedOn w:val="Normalny"/>
    <w:qFormat/>
    <w:rsid w:val="00CC1EF4"/>
    <w:pPr>
      <w:spacing w:after="0" w:line="240" w:lineRule="auto"/>
    </w:pPr>
    <w:rPr>
      <w:rFonts w:ascii="Arial" w:eastAsia="Times New Roman" w:hAnsi="Arial" w:cs="Times New Roman"/>
      <w:b/>
      <w:szCs w:val="2"/>
    </w:rPr>
  </w:style>
  <w:style w:type="paragraph" w:customStyle="1" w:styleId="Wyszkow2">
    <w:name w:val="Wyszkow_2"/>
    <w:basedOn w:val="Wyszkow1"/>
    <w:qFormat/>
    <w:rsid w:val="00CC1EF4"/>
    <w:pPr>
      <w:spacing w:line="360" w:lineRule="auto"/>
    </w:pPr>
    <w:rPr>
      <w:b w:val="0"/>
      <w:sz w:val="18"/>
    </w:rPr>
  </w:style>
  <w:style w:type="paragraph" w:customStyle="1" w:styleId="Wyszkow3">
    <w:name w:val="Wyszkow_3"/>
    <w:basedOn w:val="Normalny"/>
    <w:qFormat/>
    <w:rsid w:val="00CC1EF4"/>
    <w:pPr>
      <w:framePr w:hSpace="141" w:wrap="around" w:vAnchor="text" w:hAnchor="margin" w:y="100"/>
      <w:spacing w:after="0" w:line="280" w:lineRule="atLeast"/>
      <w:jc w:val="center"/>
    </w:pPr>
    <w:rPr>
      <w:rFonts w:ascii="Arial" w:eastAsia="Times New Roman" w:hAnsi="Arial" w:cs="Arial"/>
      <w:b/>
      <w:sz w:val="26"/>
      <w:szCs w:val="26"/>
    </w:rPr>
  </w:style>
  <w:style w:type="paragraph" w:customStyle="1" w:styleId="tekst0">
    <w:name w:val="tekst"/>
    <w:basedOn w:val="Normalny"/>
    <w:rsid w:val="00CC1EF4"/>
    <w:pPr>
      <w:spacing w:after="0" w:line="300" w:lineRule="atLeast"/>
      <w:jc w:val="both"/>
    </w:pPr>
    <w:rPr>
      <w:rFonts w:ascii="Arial" w:eastAsia="Times New Roman" w:hAnsi="Arial" w:cs="Times New Roman"/>
      <w:sz w:val="24"/>
      <w:szCs w:val="20"/>
      <w:lang w:eastAsia="pl-PL"/>
    </w:rPr>
  </w:style>
  <w:style w:type="character" w:customStyle="1" w:styleId="TekstZnak">
    <w:name w:val="Tekst Znak"/>
    <w:link w:val="Tekst"/>
    <w:rsid w:val="00CC1EF4"/>
    <w:rPr>
      <w:rFonts w:ascii="Arial" w:eastAsia="Times New Roman" w:hAnsi="Arial" w:cs="Times New Roman"/>
      <w:color w:val="000000"/>
      <w:sz w:val="20"/>
      <w:szCs w:val="20"/>
      <w:lang w:eastAsia="pl-PL"/>
    </w:rPr>
  </w:style>
  <w:style w:type="paragraph" w:customStyle="1" w:styleId="PN">
    <w:name w:val="PN"/>
    <w:basedOn w:val="Normalny"/>
    <w:rsid w:val="00CC1EF4"/>
    <w:pPr>
      <w:tabs>
        <w:tab w:val="left" w:pos="851"/>
      </w:tabs>
      <w:suppressAutoHyphens/>
      <w:spacing w:after="0" w:line="240" w:lineRule="auto"/>
      <w:ind w:left="2836" w:hanging="1985"/>
    </w:pPr>
    <w:rPr>
      <w:rFonts w:ascii="Arial" w:eastAsia="Times New Roman" w:hAnsi="Arial" w:cs="Arial"/>
      <w:sz w:val="20"/>
      <w:szCs w:val="20"/>
      <w:lang w:eastAsia="ar-SA"/>
    </w:rPr>
  </w:style>
  <w:style w:type="paragraph" w:customStyle="1" w:styleId="Punkty">
    <w:name w:val="Punkty"/>
    <w:basedOn w:val="Normalny"/>
    <w:next w:val="Tekst"/>
    <w:rsid w:val="00CC1EF4"/>
    <w:pPr>
      <w:keepNext/>
      <w:tabs>
        <w:tab w:val="left" w:pos="855"/>
      </w:tabs>
      <w:suppressAutoHyphens/>
      <w:spacing w:before="240" w:after="120" w:line="240" w:lineRule="auto"/>
    </w:pPr>
    <w:rPr>
      <w:rFonts w:ascii="Arial" w:eastAsia="Times New Roman" w:hAnsi="Arial" w:cs="Arial"/>
      <w:b/>
      <w:bCs/>
      <w:sz w:val="20"/>
      <w:szCs w:val="20"/>
      <w:lang w:eastAsia="ar-SA"/>
    </w:rPr>
  </w:style>
  <w:style w:type="paragraph" w:customStyle="1" w:styleId="Zawartotabeli">
    <w:name w:val="Zawartość tabeli"/>
    <w:basedOn w:val="Normalny"/>
    <w:rsid w:val="00CC1EF4"/>
    <w:pPr>
      <w:suppressLineNumbers/>
      <w:suppressAutoHyphens/>
      <w:spacing w:after="0" w:line="240" w:lineRule="auto"/>
    </w:pPr>
    <w:rPr>
      <w:rFonts w:ascii="Arial" w:eastAsia="Times New Roman" w:hAnsi="Arial" w:cs="Times New Roman"/>
      <w:sz w:val="24"/>
      <w:szCs w:val="24"/>
      <w:lang w:eastAsia="ar-SA"/>
    </w:rPr>
  </w:style>
  <w:style w:type="character" w:customStyle="1" w:styleId="Heading1Char">
    <w:name w:val="Heading 1 Char"/>
    <w:aliases w:val="Title 1 Znak Znak1 Char"/>
    <w:locked/>
    <w:rsid w:val="00CC1EF4"/>
    <w:rPr>
      <w:rFonts w:ascii="Cambria" w:hAnsi="Cambria" w:cs="Times New Roman"/>
      <w:b/>
      <w:bCs/>
      <w:kern w:val="32"/>
      <w:sz w:val="32"/>
      <w:szCs w:val="32"/>
      <w:lang w:eastAsia="en-US"/>
    </w:rPr>
  </w:style>
  <w:style w:type="character" w:customStyle="1" w:styleId="Nagwek2Znak1">
    <w:name w:val="Nagłówek 2 Znak1"/>
    <w:aliases w:val="Title 2 Znak Znak Znak,Title 2 Znak"/>
    <w:locked/>
    <w:rsid w:val="00CC1EF4"/>
    <w:rPr>
      <w:rFonts w:ascii="Times New Roman" w:hAnsi="Times New Roman" w:cs="Arial"/>
      <w:b/>
      <w:kern w:val="24"/>
      <w:sz w:val="24"/>
      <w:szCs w:val="24"/>
      <w:lang w:eastAsia="pl-PL"/>
    </w:rPr>
  </w:style>
  <w:style w:type="character" w:customStyle="1" w:styleId="Nagwek1Znak1">
    <w:name w:val="Nagłówek 1 Znak1"/>
    <w:aliases w:val="Title 1 Znak Znak1 Znak"/>
    <w:locked/>
    <w:rsid w:val="00CC1EF4"/>
    <w:rPr>
      <w:rFonts w:ascii="Times New Roman" w:hAnsi="Times New Roman" w:cs="Arial"/>
      <w:b/>
      <w:iCs/>
      <w:caps/>
      <w:kern w:val="24"/>
      <w:sz w:val="24"/>
      <w:szCs w:val="24"/>
      <w:lang w:eastAsia="pl-PL"/>
    </w:rPr>
  </w:style>
  <w:style w:type="character" w:customStyle="1" w:styleId="FootnoteTextChar1">
    <w:name w:val="Footnote Text Char1"/>
    <w:aliases w:val="Tekst przypisu Char"/>
    <w:semiHidden/>
    <w:locked/>
    <w:rsid w:val="00CC1EF4"/>
    <w:rPr>
      <w:rFonts w:ascii="Times New Roman" w:hAnsi="Times New Roman"/>
      <w:sz w:val="20"/>
      <w:lang w:eastAsia="pl-PL"/>
    </w:rPr>
  </w:style>
  <w:style w:type="character" w:customStyle="1" w:styleId="TekstprzypisudolnegoZnak1">
    <w:name w:val="Tekst przypisu dolnego Znak1"/>
    <w:semiHidden/>
    <w:rsid w:val="00CC1EF4"/>
    <w:rPr>
      <w:rFonts w:cs="Times New Roman"/>
      <w:sz w:val="20"/>
      <w:szCs w:val="20"/>
    </w:rPr>
  </w:style>
  <w:style w:type="character" w:customStyle="1" w:styleId="tekstostZnak">
    <w:name w:val="tekst ost Znak"/>
    <w:link w:val="tekstost"/>
    <w:locked/>
    <w:rsid w:val="00CC1EF4"/>
    <w:rPr>
      <w:rFonts w:ascii="Arial" w:eastAsia="Times New Roman" w:hAnsi="Arial" w:cs="Times New Roman"/>
      <w:sz w:val="20"/>
      <w:szCs w:val="20"/>
      <w:lang w:eastAsia="pl-PL"/>
    </w:rPr>
  </w:style>
  <w:style w:type="character" w:customStyle="1" w:styleId="CommentTextChar1">
    <w:name w:val="Comment Text Char1"/>
    <w:locked/>
    <w:rsid w:val="00CC1EF4"/>
    <w:rPr>
      <w:rFonts w:ascii="Times New Roman" w:hAnsi="Times New Roman"/>
      <w:sz w:val="20"/>
      <w:lang w:eastAsia="pl-PL"/>
    </w:rPr>
  </w:style>
  <w:style w:type="character" w:customStyle="1" w:styleId="TekstkomentarzaZnak1">
    <w:name w:val="Tekst komentarza Znak1"/>
    <w:rsid w:val="00CC1EF4"/>
    <w:rPr>
      <w:rFonts w:cs="Times New Roman"/>
      <w:sz w:val="20"/>
      <w:szCs w:val="20"/>
    </w:rPr>
  </w:style>
  <w:style w:type="character" w:customStyle="1" w:styleId="TeksttreciExact">
    <w:name w:val="Tekst treści Exact"/>
    <w:rsid w:val="00CC1EF4"/>
    <w:rPr>
      <w:rFonts w:ascii="Segoe UI" w:hAnsi="Segoe UI" w:cs="Segoe UI"/>
      <w:spacing w:val="5"/>
      <w:sz w:val="19"/>
      <w:szCs w:val="19"/>
      <w:u w:val="none"/>
    </w:rPr>
  </w:style>
  <w:style w:type="character" w:customStyle="1" w:styleId="Nagwek12">
    <w:name w:val="Nagłówek #1_"/>
    <w:link w:val="Nagwek13"/>
    <w:locked/>
    <w:rsid w:val="00CC1EF4"/>
    <w:rPr>
      <w:rFonts w:ascii="Verdana" w:hAnsi="Verdana" w:cs="Verdana"/>
      <w:b/>
      <w:bCs/>
      <w:sz w:val="32"/>
      <w:szCs w:val="32"/>
      <w:shd w:val="clear" w:color="auto" w:fill="FFFFFF"/>
    </w:rPr>
  </w:style>
  <w:style w:type="paragraph" w:customStyle="1" w:styleId="Nagwek13">
    <w:name w:val="Nagłówek #1"/>
    <w:basedOn w:val="Normalny"/>
    <w:link w:val="Nagwek12"/>
    <w:rsid w:val="00CC1EF4"/>
    <w:pPr>
      <w:widowControl w:val="0"/>
      <w:shd w:val="clear" w:color="auto" w:fill="FFFFFF"/>
      <w:spacing w:before="1800" w:after="1200" w:line="240" w:lineRule="atLeast"/>
      <w:jc w:val="center"/>
      <w:outlineLvl w:val="0"/>
    </w:pPr>
    <w:rPr>
      <w:rFonts w:ascii="Verdana" w:hAnsi="Verdana" w:cs="Verdana"/>
      <w:b/>
      <w:bCs/>
      <w:sz w:val="32"/>
      <w:szCs w:val="32"/>
    </w:rPr>
  </w:style>
  <w:style w:type="character" w:customStyle="1" w:styleId="Teksttreci3">
    <w:name w:val="Tekst treści (3)_"/>
    <w:rsid w:val="00CC1EF4"/>
    <w:rPr>
      <w:rFonts w:ascii="Verdana" w:hAnsi="Verdana" w:cs="Verdana"/>
      <w:sz w:val="28"/>
      <w:szCs w:val="28"/>
      <w:u w:val="none"/>
    </w:rPr>
  </w:style>
  <w:style w:type="character" w:customStyle="1" w:styleId="Teksttreci4">
    <w:name w:val="Tekst treści (4)_"/>
    <w:rsid w:val="00CC1EF4"/>
    <w:rPr>
      <w:rFonts w:ascii="Verdana" w:hAnsi="Verdana" w:cs="Verdana"/>
      <w:b/>
      <w:bCs/>
      <w:sz w:val="28"/>
      <w:szCs w:val="28"/>
      <w:u w:val="none"/>
    </w:rPr>
  </w:style>
  <w:style w:type="character" w:customStyle="1" w:styleId="Nagweklubstopka">
    <w:name w:val="Nagłówek lub stopka_"/>
    <w:rsid w:val="00CC1EF4"/>
    <w:rPr>
      <w:rFonts w:ascii="Segoe UI" w:hAnsi="Segoe UI" w:cs="Segoe UI"/>
      <w:sz w:val="13"/>
      <w:szCs w:val="13"/>
      <w:u w:val="none"/>
    </w:rPr>
  </w:style>
  <w:style w:type="character" w:customStyle="1" w:styleId="NagweklubstopkaAngsanaUPC">
    <w:name w:val="Nagłówek lub stopka + AngsanaUPC"/>
    <w:aliases w:val="15,5 pt,Kursywa"/>
    <w:rsid w:val="00CC1EF4"/>
    <w:rPr>
      <w:rFonts w:ascii="AngsanaUPC" w:hAnsi="AngsanaUPC" w:cs="AngsanaUPC"/>
      <w:i/>
      <w:iCs/>
      <w:color w:val="000000"/>
      <w:spacing w:val="0"/>
      <w:w w:val="100"/>
      <w:position w:val="0"/>
      <w:sz w:val="31"/>
      <w:szCs w:val="31"/>
      <w:u w:val="none"/>
    </w:rPr>
  </w:style>
  <w:style w:type="character" w:customStyle="1" w:styleId="TeksttreciVerdana">
    <w:name w:val="Tekst treści + Verdana"/>
    <w:aliases w:val="11 pt"/>
    <w:rsid w:val="00CC1EF4"/>
    <w:rPr>
      <w:rFonts w:ascii="Verdana" w:hAnsi="Verdana" w:cs="Verdana"/>
      <w:color w:val="000000"/>
      <w:spacing w:val="0"/>
      <w:w w:val="100"/>
      <w:position w:val="0"/>
      <w:sz w:val="22"/>
      <w:szCs w:val="22"/>
      <w:u w:val="none"/>
      <w:lang w:val="pl-PL"/>
    </w:rPr>
  </w:style>
  <w:style w:type="character" w:customStyle="1" w:styleId="Teksttreci5">
    <w:name w:val="Tekst treści (5)_"/>
    <w:rsid w:val="00CC1EF4"/>
    <w:rPr>
      <w:rFonts w:ascii="Segoe UI" w:hAnsi="Segoe UI" w:cs="Segoe UI"/>
      <w:b/>
      <w:bCs/>
      <w:sz w:val="21"/>
      <w:szCs w:val="21"/>
      <w:u w:val="none"/>
    </w:rPr>
  </w:style>
  <w:style w:type="character" w:customStyle="1" w:styleId="Nagwek20">
    <w:name w:val="Nagłówek #2_"/>
    <w:link w:val="Nagwek22"/>
    <w:locked/>
    <w:rsid w:val="00CC1EF4"/>
    <w:rPr>
      <w:rFonts w:ascii="Segoe UI" w:hAnsi="Segoe UI" w:cs="Segoe UI"/>
      <w:b/>
      <w:bCs/>
      <w:sz w:val="21"/>
      <w:szCs w:val="21"/>
      <w:shd w:val="clear" w:color="auto" w:fill="FFFFFF"/>
    </w:rPr>
  </w:style>
  <w:style w:type="paragraph" w:customStyle="1" w:styleId="Nagwek22">
    <w:name w:val="Nagłówek #2"/>
    <w:basedOn w:val="Normalny"/>
    <w:link w:val="Nagwek20"/>
    <w:rsid w:val="00CC1EF4"/>
    <w:pPr>
      <w:widowControl w:val="0"/>
      <w:shd w:val="clear" w:color="auto" w:fill="FFFFFF"/>
      <w:spacing w:after="420" w:line="240" w:lineRule="atLeast"/>
      <w:ind w:hanging="960"/>
      <w:jc w:val="both"/>
      <w:outlineLvl w:val="1"/>
    </w:pPr>
    <w:rPr>
      <w:rFonts w:ascii="Segoe UI" w:hAnsi="Segoe UI" w:cs="Segoe UI"/>
      <w:b/>
      <w:bCs/>
      <w:sz w:val="21"/>
      <w:szCs w:val="21"/>
    </w:rPr>
  </w:style>
  <w:style w:type="character" w:customStyle="1" w:styleId="Nagweklubstopka0">
    <w:name w:val="Nagłówek lub stopka"/>
    <w:rsid w:val="00CC1EF4"/>
    <w:rPr>
      <w:rFonts w:ascii="Segoe UI" w:hAnsi="Segoe UI" w:cs="Segoe UI"/>
      <w:color w:val="000000"/>
      <w:spacing w:val="0"/>
      <w:w w:val="100"/>
      <w:position w:val="0"/>
      <w:sz w:val="13"/>
      <w:szCs w:val="13"/>
      <w:u w:val="single"/>
      <w:lang w:val="pl-PL"/>
    </w:rPr>
  </w:style>
  <w:style w:type="character" w:customStyle="1" w:styleId="Teksttreci6">
    <w:name w:val="Tekst treści (6)_"/>
    <w:link w:val="Teksttreci60"/>
    <w:locked/>
    <w:rsid w:val="00CC1EF4"/>
    <w:rPr>
      <w:rFonts w:ascii="Arial" w:hAnsi="Arial" w:cs="Arial"/>
      <w:b/>
      <w:bCs/>
      <w:sz w:val="19"/>
      <w:szCs w:val="19"/>
      <w:shd w:val="clear" w:color="auto" w:fill="FFFFFF"/>
    </w:rPr>
  </w:style>
  <w:style w:type="paragraph" w:customStyle="1" w:styleId="Teksttreci60">
    <w:name w:val="Tekst treści (6)"/>
    <w:basedOn w:val="Normalny"/>
    <w:link w:val="Teksttreci6"/>
    <w:rsid w:val="00CC1EF4"/>
    <w:pPr>
      <w:widowControl w:val="0"/>
      <w:shd w:val="clear" w:color="auto" w:fill="FFFFFF"/>
      <w:spacing w:before="420" w:after="180" w:line="240" w:lineRule="atLeast"/>
      <w:jc w:val="both"/>
    </w:pPr>
    <w:rPr>
      <w:rFonts w:ascii="Arial" w:hAnsi="Arial" w:cs="Arial"/>
      <w:b/>
      <w:bCs/>
      <w:sz w:val="19"/>
      <w:szCs w:val="19"/>
    </w:rPr>
  </w:style>
  <w:style w:type="character" w:customStyle="1" w:styleId="TeksttreciPogrubienie">
    <w:name w:val="Tekst treści + Pogrubienie"/>
    <w:rsid w:val="00CC1EF4"/>
    <w:rPr>
      <w:rFonts w:ascii="Segoe UI" w:hAnsi="Segoe UI" w:cs="Segoe UI"/>
      <w:b/>
      <w:bCs/>
      <w:color w:val="000000"/>
      <w:spacing w:val="0"/>
      <w:w w:val="100"/>
      <w:position w:val="0"/>
      <w:sz w:val="21"/>
      <w:szCs w:val="21"/>
      <w:u w:val="none"/>
      <w:lang w:val="pl-PL"/>
    </w:rPr>
  </w:style>
  <w:style w:type="character" w:customStyle="1" w:styleId="Podpistabeli">
    <w:name w:val="Podpis tabeli_"/>
    <w:rsid w:val="00CC1EF4"/>
    <w:rPr>
      <w:rFonts w:ascii="Segoe UI" w:hAnsi="Segoe UI" w:cs="Segoe UI"/>
      <w:b/>
      <w:bCs/>
      <w:sz w:val="21"/>
      <w:szCs w:val="21"/>
      <w:u w:val="none"/>
    </w:rPr>
  </w:style>
  <w:style w:type="character" w:customStyle="1" w:styleId="Podpistabeli0">
    <w:name w:val="Podpis tabeli"/>
    <w:rsid w:val="00CC1EF4"/>
    <w:rPr>
      <w:rFonts w:ascii="Segoe UI" w:hAnsi="Segoe UI" w:cs="Segoe UI"/>
      <w:b/>
      <w:bCs/>
      <w:color w:val="000000"/>
      <w:spacing w:val="0"/>
      <w:w w:val="100"/>
      <w:position w:val="0"/>
      <w:sz w:val="21"/>
      <w:szCs w:val="21"/>
      <w:u w:val="single"/>
      <w:lang w:val="pl-PL"/>
    </w:rPr>
  </w:style>
  <w:style w:type="character" w:customStyle="1" w:styleId="Podpistabeli2">
    <w:name w:val="Podpis tabeli (2)_"/>
    <w:link w:val="Podpistabeli20"/>
    <w:locked/>
    <w:rsid w:val="00CC1EF4"/>
    <w:rPr>
      <w:rFonts w:ascii="Verdana" w:hAnsi="Verdana" w:cs="Verdana"/>
      <w:i/>
      <w:iCs/>
      <w:sz w:val="19"/>
      <w:szCs w:val="19"/>
      <w:shd w:val="clear" w:color="auto" w:fill="FFFFFF"/>
    </w:rPr>
  </w:style>
  <w:style w:type="paragraph" w:customStyle="1" w:styleId="Podpistabeli20">
    <w:name w:val="Podpis tabeli (2)"/>
    <w:basedOn w:val="Normalny"/>
    <w:link w:val="Podpistabeli2"/>
    <w:rsid w:val="00CC1EF4"/>
    <w:pPr>
      <w:widowControl w:val="0"/>
      <w:shd w:val="clear" w:color="auto" w:fill="FFFFFF"/>
      <w:spacing w:after="0" w:line="216" w:lineRule="exact"/>
      <w:ind w:hanging="140"/>
      <w:jc w:val="both"/>
    </w:pPr>
    <w:rPr>
      <w:rFonts w:ascii="Verdana" w:hAnsi="Verdana" w:cs="Verdana"/>
      <w:i/>
      <w:iCs/>
      <w:sz w:val="19"/>
      <w:szCs w:val="19"/>
    </w:rPr>
  </w:style>
  <w:style w:type="character" w:customStyle="1" w:styleId="Podpistabeli3">
    <w:name w:val="Podpis tabeli (3)_"/>
    <w:link w:val="Podpistabeli30"/>
    <w:locked/>
    <w:rsid w:val="00CC1EF4"/>
    <w:rPr>
      <w:rFonts w:ascii="Segoe UI" w:hAnsi="Segoe UI" w:cs="Segoe UI"/>
      <w:sz w:val="21"/>
      <w:szCs w:val="21"/>
      <w:shd w:val="clear" w:color="auto" w:fill="FFFFFF"/>
    </w:rPr>
  </w:style>
  <w:style w:type="paragraph" w:customStyle="1" w:styleId="Podpistabeli30">
    <w:name w:val="Podpis tabeli (3)"/>
    <w:basedOn w:val="Normalny"/>
    <w:link w:val="Podpistabeli3"/>
    <w:rsid w:val="00CC1EF4"/>
    <w:pPr>
      <w:widowControl w:val="0"/>
      <w:shd w:val="clear" w:color="auto" w:fill="FFFFFF"/>
      <w:spacing w:after="0" w:line="466" w:lineRule="exact"/>
      <w:jc w:val="both"/>
    </w:pPr>
    <w:rPr>
      <w:rFonts w:ascii="Segoe UI" w:hAnsi="Segoe UI" w:cs="Segoe UI"/>
      <w:sz w:val="21"/>
      <w:szCs w:val="21"/>
    </w:rPr>
  </w:style>
  <w:style w:type="character" w:customStyle="1" w:styleId="Podpistabeli3Pogrubienie">
    <w:name w:val="Podpis tabeli (3) + Pogrubienie"/>
    <w:rsid w:val="00CC1EF4"/>
    <w:rPr>
      <w:rFonts w:ascii="Segoe UI" w:hAnsi="Segoe UI" w:cs="Segoe UI"/>
      <w:b/>
      <w:bCs/>
      <w:color w:val="000000"/>
      <w:spacing w:val="0"/>
      <w:w w:val="100"/>
      <w:position w:val="0"/>
      <w:sz w:val="21"/>
      <w:szCs w:val="21"/>
      <w:shd w:val="clear" w:color="auto" w:fill="FFFFFF"/>
      <w:lang w:val="pl-PL"/>
    </w:rPr>
  </w:style>
  <w:style w:type="character" w:customStyle="1" w:styleId="TeksttreciMaelitery">
    <w:name w:val="Tekst treści + Małe litery"/>
    <w:rsid w:val="00CC1EF4"/>
    <w:rPr>
      <w:rFonts w:ascii="Segoe UI" w:hAnsi="Segoe UI" w:cs="Segoe UI"/>
      <w:smallCaps/>
      <w:color w:val="000000"/>
      <w:spacing w:val="0"/>
      <w:w w:val="100"/>
      <w:position w:val="0"/>
      <w:sz w:val="21"/>
      <w:szCs w:val="21"/>
      <w:u w:val="none"/>
      <w:lang w:val="pl-PL"/>
    </w:rPr>
  </w:style>
  <w:style w:type="character" w:customStyle="1" w:styleId="TeksttreciCorbel">
    <w:name w:val="Tekst treści + Corbel"/>
    <w:aliases w:val="9 pt"/>
    <w:rsid w:val="00CC1EF4"/>
    <w:rPr>
      <w:rFonts w:ascii="Corbel" w:hAnsi="Corbel" w:cs="Corbel"/>
      <w:color w:val="000000"/>
      <w:spacing w:val="0"/>
      <w:w w:val="100"/>
      <w:position w:val="0"/>
      <w:sz w:val="18"/>
      <w:szCs w:val="18"/>
      <w:u w:val="none"/>
      <w:lang w:val="pl-PL"/>
    </w:rPr>
  </w:style>
  <w:style w:type="character" w:customStyle="1" w:styleId="TeksttreciVerdana2">
    <w:name w:val="Tekst treści + Verdana2"/>
    <w:aliases w:val="6 pt,Małe litery"/>
    <w:rsid w:val="00CC1EF4"/>
    <w:rPr>
      <w:rFonts w:ascii="Verdana" w:hAnsi="Verdana" w:cs="Verdana"/>
      <w:smallCaps/>
      <w:color w:val="000000"/>
      <w:spacing w:val="0"/>
      <w:w w:val="100"/>
      <w:position w:val="0"/>
      <w:sz w:val="12"/>
      <w:szCs w:val="12"/>
      <w:u w:val="none"/>
      <w:lang w:val="pl-PL"/>
    </w:rPr>
  </w:style>
  <w:style w:type="character" w:customStyle="1" w:styleId="Podpistabeli2SegoeUI">
    <w:name w:val="Podpis tabeli (2) + Segoe UI"/>
    <w:aliases w:val="10,5 pt11,Bez kursywy"/>
    <w:rsid w:val="00CC1EF4"/>
    <w:rPr>
      <w:rFonts w:ascii="Segoe UI" w:hAnsi="Segoe UI" w:cs="Segoe UI"/>
      <w:i/>
      <w:iCs/>
      <w:color w:val="000000"/>
      <w:spacing w:val="0"/>
      <w:w w:val="100"/>
      <w:position w:val="0"/>
      <w:sz w:val="21"/>
      <w:szCs w:val="21"/>
      <w:shd w:val="clear" w:color="auto" w:fill="FFFFFF"/>
      <w:lang w:val="pl-PL"/>
    </w:rPr>
  </w:style>
  <w:style w:type="character" w:customStyle="1" w:styleId="TeksttreciCorbel1">
    <w:name w:val="Tekst treści + Corbel1"/>
    <w:aliases w:val="7,5 pt10"/>
    <w:rsid w:val="00CC1EF4"/>
    <w:rPr>
      <w:rFonts w:ascii="Corbel" w:hAnsi="Corbel" w:cs="Corbel"/>
      <w:color w:val="000000"/>
      <w:spacing w:val="0"/>
      <w:w w:val="100"/>
      <w:position w:val="0"/>
      <w:sz w:val="15"/>
      <w:szCs w:val="15"/>
      <w:u w:val="none"/>
      <w:lang w:val="pl-PL"/>
    </w:rPr>
  </w:style>
  <w:style w:type="character" w:customStyle="1" w:styleId="Teksttreci5Bezpogrubienia">
    <w:name w:val="Tekst treści (5) + Bez pogrubienia"/>
    <w:rsid w:val="00CC1EF4"/>
    <w:rPr>
      <w:rFonts w:ascii="Segoe UI" w:hAnsi="Segoe UI" w:cs="Segoe UI"/>
      <w:b/>
      <w:bCs/>
      <w:color w:val="000000"/>
      <w:spacing w:val="0"/>
      <w:w w:val="100"/>
      <w:position w:val="0"/>
      <w:sz w:val="21"/>
      <w:szCs w:val="21"/>
      <w:u w:val="none"/>
      <w:lang w:val="pl-PL"/>
    </w:rPr>
  </w:style>
  <w:style w:type="character" w:customStyle="1" w:styleId="Teksttreci4pt">
    <w:name w:val="Tekst treści + 4 pt"/>
    <w:rsid w:val="00CC1EF4"/>
    <w:rPr>
      <w:rFonts w:ascii="Segoe UI" w:hAnsi="Segoe UI" w:cs="Segoe UI"/>
      <w:color w:val="000000"/>
      <w:spacing w:val="0"/>
      <w:w w:val="100"/>
      <w:position w:val="0"/>
      <w:sz w:val="8"/>
      <w:szCs w:val="8"/>
      <w:u w:val="none"/>
      <w:lang w:val="pl-PL"/>
    </w:rPr>
  </w:style>
  <w:style w:type="character" w:customStyle="1" w:styleId="TeksttreciAngsanaUPC">
    <w:name w:val="Tekst treści + AngsanaUPC"/>
    <w:aliases w:val="6 pt2"/>
    <w:rsid w:val="00CC1EF4"/>
    <w:rPr>
      <w:rFonts w:ascii="AngsanaUPC" w:hAnsi="AngsanaUPC" w:cs="AngsanaUPC"/>
      <w:color w:val="000000"/>
      <w:spacing w:val="0"/>
      <w:w w:val="100"/>
      <w:position w:val="0"/>
      <w:sz w:val="12"/>
      <w:szCs w:val="12"/>
      <w:u w:val="none"/>
      <w:lang w:val="pl-PL"/>
    </w:rPr>
  </w:style>
  <w:style w:type="character" w:customStyle="1" w:styleId="Nagwek2Bezpogrubienia">
    <w:name w:val="Nagłówek #2 + Bez pogrubienia"/>
    <w:rsid w:val="00CC1EF4"/>
    <w:rPr>
      <w:rFonts w:ascii="Segoe UI" w:hAnsi="Segoe UI" w:cs="Segoe UI"/>
      <w:b/>
      <w:bCs/>
      <w:color w:val="000000"/>
      <w:spacing w:val="0"/>
      <w:w w:val="100"/>
      <w:position w:val="0"/>
      <w:sz w:val="21"/>
      <w:szCs w:val="21"/>
      <w:shd w:val="clear" w:color="auto" w:fill="FFFFFF"/>
    </w:rPr>
  </w:style>
  <w:style w:type="character" w:customStyle="1" w:styleId="Teksttreci50">
    <w:name w:val="Tekst treści (5)"/>
    <w:rsid w:val="00CC1EF4"/>
    <w:rPr>
      <w:rFonts w:ascii="Segoe UI" w:hAnsi="Segoe UI" w:cs="Segoe UI"/>
      <w:b/>
      <w:bCs/>
      <w:color w:val="000000"/>
      <w:spacing w:val="0"/>
      <w:w w:val="100"/>
      <w:position w:val="0"/>
      <w:sz w:val="21"/>
      <w:szCs w:val="21"/>
      <w:u w:val="single"/>
      <w:lang w:val="pl-PL"/>
    </w:rPr>
  </w:style>
  <w:style w:type="character" w:customStyle="1" w:styleId="Teksttreci7">
    <w:name w:val="Tekst treści (7)_"/>
    <w:link w:val="Teksttreci70"/>
    <w:locked/>
    <w:rsid w:val="00CC1EF4"/>
    <w:rPr>
      <w:rFonts w:ascii="Verdana" w:hAnsi="Verdana" w:cs="Verdana"/>
      <w:i/>
      <w:iCs/>
      <w:sz w:val="19"/>
      <w:szCs w:val="19"/>
      <w:shd w:val="clear" w:color="auto" w:fill="FFFFFF"/>
    </w:rPr>
  </w:style>
  <w:style w:type="paragraph" w:customStyle="1" w:styleId="Teksttreci70">
    <w:name w:val="Tekst treści (7)"/>
    <w:basedOn w:val="Normalny"/>
    <w:link w:val="Teksttreci7"/>
    <w:rsid w:val="00CC1EF4"/>
    <w:pPr>
      <w:widowControl w:val="0"/>
      <w:shd w:val="clear" w:color="auto" w:fill="FFFFFF"/>
      <w:spacing w:before="240" w:after="240" w:line="235" w:lineRule="exact"/>
      <w:jc w:val="both"/>
    </w:pPr>
    <w:rPr>
      <w:rFonts w:ascii="Verdana" w:hAnsi="Verdana" w:cs="Verdana"/>
      <w:i/>
      <w:iCs/>
      <w:sz w:val="19"/>
      <w:szCs w:val="19"/>
    </w:rPr>
  </w:style>
  <w:style w:type="character" w:customStyle="1" w:styleId="Teksttreci10pt">
    <w:name w:val="Tekst treści + 10 pt"/>
    <w:rsid w:val="00CC1EF4"/>
    <w:rPr>
      <w:rFonts w:ascii="Segoe UI" w:hAnsi="Segoe UI" w:cs="Segoe UI"/>
      <w:color w:val="000000"/>
      <w:spacing w:val="0"/>
      <w:w w:val="100"/>
      <w:position w:val="0"/>
      <w:sz w:val="20"/>
      <w:szCs w:val="20"/>
      <w:u w:val="none"/>
    </w:rPr>
  </w:style>
  <w:style w:type="character" w:customStyle="1" w:styleId="Teksttreci8">
    <w:name w:val="Tekst treści (8)_"/>
    <w:link w:val="Teksttreci80"/>
    <w:locked/>
    <w:rsid w:val="00CC1EF4"/>
    <w:rPr>
      <w:rFonts w:ascii="Verdana" w:hAnsi="Verdana" w:cs="Verdana"/>
      <w:sz w:val="15"/>
      <w:szCs w:val="15"/>
      <w:shd w:val="clear" w:color="auto" w:fill="FFFFFF"/>
    </w:rPr>
  </w:style>
  <w:style w:type="paragraph" w:customStyle="1" w:styleId="Teksttreci80">
    <w:name w:val="Tekst treści (8)"/>
    <w:basedOn w:val="Normalny"/>
    <w:link w:val="Teksttreci8"/>
    <w:rsid w:val="00CC1EF4"/>
    <w:pPr>
      <w:widowControl w:val="0"/>
      <w:shd w:val="clear" w:color="auto" w:fill="FFFFFF"/>
      <w:spacing w:before="180" w:after="0" w:line="245" w:lineRule="exact"/>
      <w:ind w:firstLine="680"/>
      <w:jc w:val="both"/>
    </w:pPr>
    <w:rPr>
      <w:rFonts w:ascii="Verdana" w:hAnsi="Verdana" w:cs="Verdana"/>
      <w:sz w:val="15"/>
      <w:szCs w:val="15"/>
    </w:rPr>
  </w:style>
  <w:style w:type="character" w:customStyle="1" w:styleId="Teksttreci8SegoeUI">
    <w:name w:val="Tekst treści (8) + Segoe UI"/>
    <w:aliases w:val="102,5 pt9"/>
    <w:rsid w:val="00CC1EF4"/>
    <w:rPr>
      <w:rFonts w:ascii="Segoe UI" w:hAnsi="Segoe UI" w:cs="Segoe UI"/>
      <w:color w:val="000000"/>
      <w:spacing w:val="0"/>
      <w:w w:val="100"/>
      <w:position w:val="0"/>
      <w:sz w:val="21"/>
      <w:szCs w:val="21"/>
      <w:shd w:val="clear" w:color="auto" w:fill="FFFFFF"/>
      <w:lang w:val="pl-PL"/>
    </w:rPr>
  </w:style>
  <w:style w:type="character" w:customStyle="1" w:styleId="TeksttreciVerdana1">
    <w:name w:val="Tekst treści + Verdana1"/>
    <w:aliases w:val="9,5 pt8,Kursywa4"/>
    <w:rsid w:val="00CC1EF4"/>
    <w:rPr>
      <w:rFonts w:ascii="Verdana" w:hAnsi="Verdana" w:cs="Verdana"/>
      <w:i/>
      <w:iCs/>
      <w:color w:val="000000"/>
      <w:spacing w:val="0"/>
      <w:w w:val="100"/>
      <w:position w:val="0"/>
      <w:sz w:val="19"/>
      <w:szCs w:val="19"/>
      <w:u w:val="none"/>
      <w:lang w:val="pl-PL"/>
    </w:rPr>
  </w:style>
  <w:style w:type="character" w:customStyle="1" w:styleId="Teksttreci9">
    <w:name w:val="Tekst treści (9)_"/>
    <w:link w:val="Teksttreci90"/>
    <w:locked/>
    <w:rsid w:val="00CC1EF4"/>
    <w:rPr>
      <w:rFonts w:ascii="Verdana" w:hAnsi="Verdana" w:cs="Verdana"/>
      <w:shd w:val="clear" w:color="auto" w:fill="FFFFFF"/>
    </w:rPr>
  </w:style>
  <w:style w:type="paragraph" w:customStyle="1" w:styleId="Teksttreci90">
    <w:name w:val="Tekst treści (9)"/>
    <w:basedOn w:val="Normalny"/>
    <w:link w:val="Teksttreci9"/>
    <w:rsid w:val="00CC1EF4"/>
    <w:pPr>
      <w:widowControl w:val="0"/>
      <w:shd w:val="clear" w:color="auto" w:fill="FFFFFF"/>
      <w:spacing w:after="0" w:line="245" w:lineRule="exact"/>
      <w:jc w:val="both"/>
    </w:pPr>
    <w:rPr>
      <w:rFonts w:ascii="Verdana" w:hAnsi="Verdana" w:cs="Verdana"/>
    </w:rPr>
  </w:style>
  <w:style w:type="character" w:customStyle="1" w:styleId="Spistreci2Znak">
    <w:name w:val="Spis treści 2 Znak"/>
    <w:link w:val="Spistreci2"/>
    <w:locked/>
    <w:rsid w:val="00CC1EF4"/>
    <w:rPr>
      <w:rFonts w:ascii="Times New Roman" w:eastAsia="Times New Roman" w:hAnsi="Times New Roman" w:cs="Times New Roman"/>
      <w:sz w:val="24"/>
      <w:szCs w:val="20"/>
      <w:lang w:eastAsia="pl-PL"/>
    </w:rPr>
  </w:style>
  <w:style w:type="character" w:customStyle="1" w:styleId="Spistreci20">
    <w:name w:val="Spis treści (2)_"/>
    <w:link w:val="Spistreci21"/>
    <w:locked/>
    <w:rsid w:val="00CC1EF4"/>
    <w:rPr>
      <w:rFonts w:ascii="Segoe UI" w:hAnsi="Segoe UI" w:cs="Segoe UI"/>
      <w:b/>
      <w:bCs/>
      <w:sz w:val="21"/>
      <w:szCs w:val="21"/>
      <w:shd w:val="clear" w:color="auto" w:fill="FFFFFF"/>
    </w:rPr>
  </w:style>
  <w:style w:type="paragraph" w:customStyle="1" w:styleId="Spistreci21">
    <w:name w:val="Spis treści (2)"/>
    <w:basedOn w:val="Normalny"/>
    <w:link w:val="Spistreci20"/>
    <w:rsid w:val="00CC1EF4"/>
    <w:pPr>
      <w:widowControl w:val="0"/>
      <w:shd w:val="clear" w:color="auto" w:fill="FFFFFF"/>
      <w:spacing w:before="1200" w:after="60" w:line="240" w:lineRule="atLeast"/>
    </w:pPr>
    <w:rPr>
      <w:rFonts w:ascii="Segoe UI" w:hAnsi="Segoe UI" w:cs="Segoe UI"/>
      <w:b/>
      <w:bCs/>
      <w:sz w:val="21"/>
      <w:szCs w:val="21"/>
    </w:rPr>
  </w:style>
  <w:style w:type="character" w:customStyle="1" w:styleId="Nagwek40">
    <w:name w:val="Nagłówek #4_"/>
    <w:link w:val="Nagwek41"/>
    <w:locked/>
    <w:rsid w:val="00CC1EF4"/>
    <w:rPr>
      <w:rFonts w:ascii="Segoe UI" w:hAnsi="Segoe UI" w:cs="Segoe UI"/>
      <w:b/>
      <w:bCs/>
      <w:sz w:val="21"/>
      <w:szCs w:val="21"/>
      <w:shd w:val="clear" w:color="auto" w:fill="FFFFFF"/>
    </w:rPr>
  </w:style>
  <w:style w:type="paragraph" w:customStyle="1" w:styleId="Nagwek41">
    <w:name w:val="Nagłówek #4"/>
    <w:basedOn w:val="Normalny"/>
    <w:link w:val="Nagwek40"/>
    <w:rsid w:val="00CC1EF4"/>
    <w:pPr>
      <w:widowControl w:val="0"/>
      <w:shd w:val="clear" w:color="auto" w:fill="FFFFFF"/>
      <w:spacing w:before="540" w:after="300" w:line="240" w:lineRule="atLeast"/>
      <w:ind w:hanging="360"/>
      <w:jc w:val="both"/>
      <w:outlineLvl w:val="3"/>
    </w:pPr>
    <w:rPr>
      <w:rFonts w:ascii="Segoe UI" w:hAnsi="Segoe UI" w:cs="Segoe UI"/>
      <w:b/>
      <w:bCs/>
      <w:sz w:val="21"/>
      <w:szCs w:val="21"/>
    </w:rPr>
  </w:style>
  <w:style w:type="character" w:customStyle="1" w:styleId="Teksttreci71">
    <w:name w:val="Tekst treści + 7"/>
    <w:aliases w:val="5 pt7"/>
    <w:rsid w:val="00CC1EF4"/>
    <w:rPr>
      <w:rFonts w:ascii="Segoe UI" w:hAnsi="Segoe UI" w:cs="Segoe UI"/>
      <w:color w:val="000000"/>
      <w:spacing w:val="0"/>
      <w:w w:val="100"/>
      <w:position w:val="0"/>
      <w:sz w:val="15"/>
      <w:szCs w:val="15"/>
      <w:u w:val="none"/>
      <w:lang w:val="pl-PL"/>
    </w:rPr>
  </w:style>
  <w:style w:type="character" w:customStyle="1" w:styleId="Podpisobrazu">
    <w:name w:val="Podpis obrazu_"/>
    <w:rsid w:val="00CC1EF4"/>
    <w:rPr>
      <w:rFonts w:ascii="Segoe UI" w:hAnsi="Segoe UI" w:cs="Segoe UI"/>
      <w:sz w:val="15"/>
      <w:szCs w:val="15"/>
      <w:u w:val="none"/>
    </w:rPr>
  </w:style>
  <w:style w:type="character" w:customStyle="1" w:styleId="Podpisobrazu0">
    <w:name w:val="Podpis obrazu"/>
    <w:rsid w:val="00CC1EF4"/>
    <w:rPr>
      <w:rFonts w:ascii="Segoe UI" w:hAnsi="Segoe UI" w:cs="Segoe UI"/>
      <w:color w:val="000000"/>
      <w:spacing w:val="0"/>
      <w:w w:val="100"/>
      <w:position w:val="0"/>
      <w:sz w:val="15"/>
      <w:szCs w:val="15"/>
      <w:u w:val="none"/>
      <w:lang w:val="pl-PL"/>
    </w:rPr>
  </w:style>
  <w:style w:type="character" w:customStyle="1" w:styleId="PodpistabeliExact">
    <w:name w:val="Podpis tabeli Exact"/>
    <w:rsid w:val="00CC1EF4"/>
    <w:rPr>
      <w:rFonts w:ascii="Segoe UI" w:hAnsi="Segoe UI" w:cs="Segoe UI"/>
      <w:b/>
      <w:bCs/>
      <w:spacing w:val="6"/>
      <w:sz w:val="19"/>
      <w:szCs w:val="19"/>
      <w:u w:val="none"/>
    </w:rPr>
  </w:style>
  <w:style w:type="character" w:customStyle="1" w:styleId="PodpistabeliOdstpy0ptExact">
    <w:name w:val="Podpis tabeli + Odstępy 0 pt Exact"/>
    <w:rsid w:val="00CC1EF4"/>
    <w:rPr>
      <w:rFonts w:ascii="Segoe UI" w:hAnsi="Segoe UI" w:cs="Segoe UI"/>
      <w:b/>
      <w:bCs/>
      <w:color w:val="000000"/>
      <w:spacing w:val="7"/>
      <w:w w:val="100"/>
      <w:position w:val="0"/>
      <w:sz w:val="19"/>
      <w:szCs w:val="19"/>
      <w:u w:val="none"/>
      <w:lang w:val="pl-PL"/>
    </w:rPr>
  </w:style>
  <w:style w:type="character" w:customStyle="1" w:styleId="Podpistabeli3Exact">
    <w:name w:val="Podpis tabeli (3) Exact"/>
    <w:rsid w:val="00CC1EF4"/>
    <w:rPr>
      <w:rFonts w:ascii="Segoe UI" w:hAnsi="Segoe UI" w:cs="Segoe UI"/>
      <w:spacing w:val="5"/>
      <w:sz w:val="19"/>
      <w:szCs w:val="19"/>
      <w:u w:val="none"/>
    </w:rPr>
  </w:style>
  <w:style w:type="character" w:customStyle="1" w:styleId="Nagwek220">
    <w:name w:val="Nagłówek #2 (2)_"/>
    <w:link w:val="Nagwek221"/>
    <w:locked/>
    <w:rsid w:val="00CC1EF4"/>
    <w:rPr>
      <w:rFonts w:ascii="Verdana" w:hAnsi="Verdana" w:cs="Verdana"/>
      <w:b/>
      <w:bCs/>
      <w:sz w:val="28"/>
      <w:szCs w:val="28"/>
      <w:shd w:val="clear" w:color="auto" w:fill="FFFFFF"/>
    </w:rPr>
  </w:style>
  <w:style w:type="paragraph" w:customStyle="1" w:styleId="Nagwek221">
    <w:name w:val="Nagłówek #2 (2)"/>
    <w:basedOn w:val="Normalny"/>
    <w:link w:val="Nagwek220"/>
    <w:rsid w:val="00CC1EF4"/>
    <w:pPr>
      <w:widowControl w:val="0"/>
      <w:shd w:val="clear" w:color="auto" w:fill="FFFFFF"/>
      <w:spacing w:before="1680" w:after="1140" w:line="240" w:lineRule="atLeast"/>
      <w:jc w:val="center"/>
      <w:outlineLvl w:val="1"/>
    </w:pPr>
    <w:rPr>
      <w:rFonts w:ascii="Verdana" w:hAnsi="Verdana" w:cs="Verdana"/>
      <w:b/>
      <w:bCs/>
      <w:sz w:val="28"/>
      <w:szCs w:val="28"/>
    </w:rPr>
  </w:style>
  <w:style w:type="character" w:customStyle="1" w:styleId="Nagwek30">
    <w:name w:val="Nagłówek #3_"/>
    <w:link w:val="Nagwek31"/>
    <w:locked/>
    <w:rsid w:val="00CC1EF4"/>
    <w:rPr>
      <w:rFonts w:ascii="Verdana" w:hAnsi="Verdana" w:cs="Verdana"/>
      <w:sz w:val="28"/>
      <w:szCs w:val="28"/>
      <w:shd w:val="clear" w:color="auto" w:fill="FFFFFF"/>
    </w:rPr>
  </w:style>
  <w:style w:type="paragraph" w:customStyle="1" w:styleId="Nagwek31">
    <w:name w:val="Nagłówek #3"/>
    <w:basedOn w:val="Normalny"/>
    <w:link w:val="Nagwek30"/>
    <w:rsid w:val="00CC1EF4"/>
    <w:pPr>
      <w:widowControl w:val="0"/>
      <w:shd w:val="clear" w:color="auto" w:fill="FFFFFF"/>
      <w:spacing w:before="1140" w:after="1140" w:line="240" w:lineRule="atLeast"/>
      <w:jc w:val="center"/>
      <w:outlineLvl w:val="2"/>
    </w:pPr>
    <w:rPr>
      <w:rFonts w:ascii="Verdana" w:hAnsi="Verdana" w:cs="Verdana"/>
      <w:sz w:val="28"/>
      <w:szCs w:val="28"/>
    </w:rPr>
  </w:style>
  <w:style w:type="character" w:customStyle="1" w:styleId="Teksttreci40">
    <w:name w:val="Tekst treści (4)"/>
    <w:rsid w:val="00CC1EF4"/>
    <w:rPr>
      <w:rFonts w:ascii="Verdana" w:hAnsi="Verdana" w:cs="Verdana"/>
      <w:b/>
      <w:bCs/>
      <w:color w:val="000000"/>
      <w:spacing w:val="0"/>
      <w:w w:val="100"/>
      <w:position w:val="0"/>
      <w:sz w:val="28"/>
      <w:szCs w:val="28"/>
      <w:u w:val="none"/>
      <w:lang w:val="pl-PL"/>
    </w:rPr>
  </w:style>
  <w:style w:type="character" w:customStyle="1" w:styleId="Nagwek50">
    <w:name w:val="Nagłówek #5_"/>
    <w:link w:val="Nagwek51"/>
    <w:locked/>
    <w:rsid w:val="00CC1EF4"/>
    <w:rPr>
      <w:b/>
      <w:bCs/>
      <w:sz w:val="21"/>
      <w:szCs w:val="21"/>
      <w:shd w:val="clear" w:color="auto" w:fill="FFFFFF"/>
    </w:rPr>
  </w:style>
  <w:style w:type="paragraph" w:customStyle="1" w:styleId="Nagwek51">
    <w:name w:val="Nagłówek #5"/>
    <w:basedOn w:val="Normalny"/>
    <w:link w:val="Nagwek50"/>
    <w:rsid w:val="00CC1EF4"/>
    <w:pPr>
      <w:widowControl w:val="0"/>
      <w:shd w:val="clear" w:color="auto" w:fill="FFFFFF"/>
      <w:spacing w:after="360" w:line="240" w:lineRule="atLeast"/>
      <w:jc w:val="both"/>
      <w:outlineLvl w:val="4"/>
    </w:pPr>
    <w:rPr>
      <w:b/>
      <w:bCs/>
      <w:sz w:val="21"/>
      <w:szCs w:val="21"/>
    </w:rPr>
  </w:style>
  <w:style w:type="character" w:customStyle="1" w:styleId="NagweklubstopkaTimesNewRoman">
    <w:name w:val="Nagłówek lub stopka + Times New Roman"/>
    <w:aliases w:val="9 pt1,Kursywa3"/>
    <w:rsid w:val="00CC1EF4"/>
    <w:rPr>
      <w:rFonts w:ascii="Times New Roman" w:hAnsi="Times New Roman" w:cs="Times New Roman"/>
      <w:i/>
      <w:iCs/>
      <w:color w:val="000000"/>
      <w:spacing w:val="0"/>
      <w:w w:val="100"/>
      <w:position w:val="0"/>
      <w:sz w:val="18"/>
      <w:szCs w:val="18"/>
      <w:u w:val="single"/>
      <w:lang w:val="pl-PL"/>
    </w:rPr>
  </w:style>
  <w:style w:type="character" w:customStyle="1" w:styleId="Teksttreci10">
    <w:name w:val="Tekst treści (10)_"/>
    <w:rsid w:val="00CC1EF4"/>
    <w:rPr>
      <w:rFonts w:ascii="Times New Roman" w:hAnsi="Times New Roman" w:cs="Times New Roman"/>
      <w:sz w:val="21"/>
      <w:szCs w:val="21"/>
      <w:u w:val="none"/>
    </w:rPr>
  </w:style>
  <w:style w:type="character" w:customStyle="1" w:styleId="Teksttreci11">
    <w:name w:val="Tekst treści (11)_"/>
    <w:link w:val="Teksttreci110"/>
    <w:locked/>
    <w:rsid w:val="00CC1EF4"/>
    <w:rPr>
      <w:b/>
      <w:bCs/>
      <w:sz w:val="21"/>
      <w:szCs w:val="21"/>
      <w:shd w:val="clear" w:color="auto" w:fill="FFFFFF"/>
    </w:rPr>
  </w:style>
  <w:style w:type="paragraph" w:customStyle="1" w:styleId="Teksttreci110">
    <w:name w:val="Tekst treści (11)"/>
    <w:basedOn w:val="Normalny"/>
    <w:link w:val="Teksttreci11"/>
    <w:rsid w:val="00CC1EF4"/>
    <w:pPr>
      <w:widowControl w:val="0"/>
      <w:shd w:val="clear" w:color="auto" w:fill="FFFFFF"/>
      <w:spacing w:after="0" w:line="398" w:lineRule="exact"/>
      <w:jc w:val="both"/>
    </w:pPr>
    <w:rPr>
      <w:b/>
      <w:bCs/>
      <w:sz w:val="21"/>
      <w:szCs w:val="21"/>
    </w:rPr>
  </w:style>
  <w:style w:type="character" w:customStyle="1" w:styleId="Nagwek5Odstpy2pt">
    <w:name w:val="Nagłówek #5 + Odstępy 2 pt"/>
    <w:rsid w:val="00CC1EF4"/>
    <w:rPr>
      <w:rFonts w:ascii="Times New Roman" w:hAnsi="Times New Roman" w:cs="Times New Roman"/>
      <w:b/>
      <w:bCs/>
      <w:color w:val="000000"/>
      <w:spacing w:val="40"/>
      <w:w w:val="100"/>
      <w:position w:val="0"/>
      <w:sz w:val="21"/>
      <w:szCs w:val="21"/>
      <w:shd w:val="clear" w:color="auto" w:fill="FFFFFF"/>
      <w:lang w:val="pl-PL"/>
    </w:rPr>
  </w:style>
  <w:style w:type="character" w:customStyle="1" w:styleId="Teksttreci10Pogrubienie">
    <w:name w:val="Tekst treści (10) + Pogrubienie"/>
    <w:rsid w:val="00CC1EF4"/>
    <w:rPr>
      <w:rFonts w:ascii="Times New Roman" w:hAnsi="Times New Roman" w:cs="Times New Roman"/>
      <w:b/>
      <w:bCs/>
      <w:color w:val="000000"/>
      <w:spacing w:val="0"/>
      <w:w w:val="100"/>
      <w:position w:val="0"/>
      <w:sz w:val="21"/>
      <w:szCs w:val="21"/>
      <w:u w:val="single"/>
      <w:lang w:val="pl-PL"/>
    </w:rPr>
  </w:style>
  <w:style w:type="character" w:styleId="Pogrubienie">
    <w:name w:val="Strong"/>
    <w:aliases w:val="Tekst treści + Arial,92,5 pt6"/>
    <w:qFormat/>
    <w:rsid w:val="00CC1EF4"/>
    <w:rPr>
      <w:rFonts w:cs="Times New Roman"/>
      <w:b/>
      <w:bCs/>
    </w:rPr>
  </w:style>
  <w:style w:type="character" w:customStyle="1" w:styleId="Podpistabeli4">
    <w:name w:val="Podpis tabeli (4)_"/>
    <w:link w:val="Podpistabeli40"/>
    <w:locked/>
    <w:rsid w:val="00CC1EF4"/>
    <w:rPr>
      <w:sz w:val="14"/>
      <w:szCs w:val="14"/>
      <w:shd w:val="clear" w:color="auto" w:fill="FFFFFF"/>
    </w:rPr>
  </w:style>
  <w:style w:type="paragraph" w:customStyle="1" w:styleId="Podpistabeli40">
    <w:name w:val="Podpis tabeli (4)"/>
    <w:basedOn w:val="Normalny"/>
    <w:link w:val="Podpistabeli4"/>
    <w:rsid w:val="00CC1EF4"/>
    <w:pPr>
      <w:widowControl w:val="0"/>
      <w:shd w:val="clear" w:color="auto" w:fill="FFFFFF"/>
      <w:spacing w:after="0" w:line="240" w:lineRule="atLeast"/>
    </w:pPr>
    <w:rPr>
      <w:sz w:val="14"/>
      <w:szCs w:val="14"/>
    </w:rPr>
  </w:style>
  <w:style w:type="character" w:customStyle="1" w:styleId="Teksttreci10Maelitery">
    <w:name w:val="Tekst treści (10) + Małe litery"/>
    <w:rsid w:val="00CC1EF4"/>
    <w:rPr>
      <w:rFonts w:ascii="Times New Roman" w:hAnsi="Times New Roman" w:cs="Times New Roman"/>
      <w:smallCaps/>
      <w:color w:val="000000"/>
      <w:spacing w:val="0"/>
      <w:w w:val="100"/>
      <w:position w:val="0"/>
      <w:sz w:val="21"/>
      <w:szCs w:val="21"/>
      <w:u w:val="none"/>
      <w:lang w:val="pl-PL"/>
    </w:rPr>
  </w:style>
  <w:style w:type="character" w:customStyle="1" w:styleId="Podpistabeli5">
    <w:name w:val="Podpis tabeli (5)_"/>
    <w:rsid w:val="00CC1EF4"/>
    <w:rPr>
      <w:rFonts w:ascii="Times New Roman" w:hAnsi="Times New Roman" w:cs="Times New Roman"/>
      <w:b/>
      <w:bCs/>
      <w:sz w:val="21"/>
      <w:szCs w:val="21"/>
      <w:u w:val="none"/>
    </w:rPr>
  </w:style>
  <w:style w:type="character" w:customStyle="1" w:styleId="TeksttreciTimesNewRoman">
    <w:name w:val="Tekst treści + Times New Roman"/>
    <w:aliases w:val="10 pt"/>
    <w:rsid w:val="00CC1EF4"/>
    <w:rPr>
      <w:rFonts w:ascii="Times New Roman" w:hAnsi="Times New Roman" w:cs="Times New Roman"/>
      <w:color w:val="000000"/>
      <w:spacing w:val="0"/>
      <w:w w:val="100"/>
      <w:position w:val="0"/>
      <w:sz w:val="20"/>
      <w:szCs w:val="20"/>
      <w:u w:val="none"/>
      <w:lang w:val="pl-PL"/>
    </w:rPr>
  </w:style>
  <w:style w:type="character" w:customStyle="1" w:styleId="TeksttreciTimesNewRoman1">
    <w:name w:val="Tekst treści + Times New Roman1"/>
    <w:aliases w:val="4 pt"/>
    <w:rsid w:val="00CC1EF4"/>
    <w:rPr>
      <w:rFonts w:ascii="Times New Roman" w:hAnsi="Times New Roman" w:cs="Times New Roman"/>
      <w:color w:val="000000"/>
      <w:spacing w:val="0"/>
      <w:w w:val="100"/>
      <w:position w:val="0"/>
      <w:sz w:val="8"/>
      <w:szCs w:val="8"/>
      <w:u w:val="none"/>
      <w:lang w:val="pl-PL"/>
    </w:rPr>
  </w:style>
  <w:style w:type="character" w:customStyle="1" w:styleId="Teksttreci10Gulim">
    <w:name w:val="Tekst treści (10) + Gulim"/>
    <w:aliases w:val="6 pt1,Kursywa2"/>
    <w:rsid w:val="00CC1EF4"/>
    <w:rPr>
      <w:rFonts w:ascii="Gulim" w:eastAsia="Gulim" w:hAnsi="Gulim" w:cs="Gulim"/>
      <w:i/>
      <w:iCs/>
      <w:color w:val="000000"/>
      <w:spacing w:val="0"/>
      <w:w w:val="100"/>
      <w:position w:val="0"/>
      <w:sz w:val="12"/>
      <w:szCs w:val="12"/>
      <w:u w:val="none"/>
    </w:rPr>
  </w:style>
  <w:style w:type="character" w:customStyle="1" w:styleId="Teksttreci11Exact">
    <w:name w:val="Tekst treści (11) Exact"/>
    <w:rsid w:val="00CC1EF4"/>
    <w:rPr>
      <w:rFonts w:ascii="Times New Roman" w:hAnsi="Times New Roman" w:cs="Times New Roman"/>
      <w:b/>
      <w:bCs/>
      <w:spacing w:val="4"/>
      <w:sz w:val="19"/>
      <w:szCs w:val="19"/>
      <w:u w:val="none"/>
    </w:rPr>
  </w:style>
  <w:style w:type="character" w:customStyle="1" w:styleId="Teksttreci10Exact">
    <w:name w:val="Tekst treści (10) Exact"/>
    <w:rsid w:val="00CC1EF4"/>
    <w:rPr>
      <w:rFonts w:ascii="Times New Roman" w:hAnsi="Times New Roman" w:cs="Times New Roman"/>
      <w:spacing w:val="4"/>
      <w:sz w:val="19"/>
      <w:szCs w:val="19"/>
      <w:u w:val="none"/>
    </w:rPr>
  </w:style>
  <w:style w:type="character" w:customStyle="1" w:styleId="Teksttreci12">
    <w:name w:val="Tekst treści (12)_"/>
    <w:link w:val="Teksttreci120"/>
    <w:locked/>
    <w:rsid w:val="00CC1EF4"/>
    <w:rPr>
      <w:sz w:val="23"/>
      <w:szCs w:val="23"/>
      <w:shd w:val="clear" w:color="auto" w:fill="FFFFFF"/>
    </w:rPr>
  </w:style>
  <w:style w:type="paragraph" w:customStyle="1" w:styleId="Teksttreci120">
    <w:name w:val="Tekst treści (12)"/>
    <w:basedOn w:val="Normalny"/>
    <w:link w:val="Teksttreci12"/>
    <w:rsid w:val="00CC1EF4"/>
    <w:pPr>
      <w:widowControl w:val="0"/>
      <w:shd w:val="clear" w:color="auto" w:fill="FFFFFF"/>
      <w:spacing w:after="0" w:line="240" w:lineRule="atLeast"/>
      <w:jc w:val="right"/>
    </w:pPr>
    <w:rPr>
      <w:sz w:val="23"/>
      <w:szCs w:val="23"/>
    </w:rPr>
  </w:style>
  <w:style w:type="character" w:customStyle="1" w:styleId="Teksttreci13">
    <w:name w:val="Tekst treści (13)_"/>
    <w:rsid w:val="00CC1EF4"/>
    <w:rPr>
      <w:rFonts w:ascii="Times New Roman" w:hAnsi="Times New Roman" w:cs="Times New Roman"/>
      <w:sz w:val="16"/>
      <w:szCs w:val="16"/>
      <w:u w:val="none"/>
    </w:rPr>
  </w:style>
  <w:style w:type="character" w:customStyle="1" w:styleId="Teksttreci130">
    <w:name w:val="Tekst treści (13)"/>
    <w:rsid w:val="00CC1EF4"/>
    <w:rPr>
      <w:rFonts w:ascii="Times New Roman" w:hAnsi="Times New Roman" w:cs="Times New Roman"/>
      <w:color w:val="000000"/>
      <w:spacing w:val="0"/>
      <w:w w:val="100"/>
      <w:position w:val="0"/>
      <w:sz w:val="16"/>
      <w:szCs w:val="16"/>
      <w:u w:val="none"/>
      <w:lang w:val="pl-PL"/>
    </w:rPr>
  </w:style>
  <w:style w:type="character" w:customStyle="1" w:styleId="Teksttreci30">
    <w:name w:val="Tekst treści (3)"/>
    <w:rsid w:val="00CC1EF4"/>
    <w:rPr>
      <w:rFonts w:ascii="Verdana" w:hAnsi="Verdana" w:cs="Verdana"/>
      <w:color w:val="000000"/>
      <w:spacing w:val="0"/>
      <w:w w:val="100"/>
      <w:position w:val="0"/>
      <w:sz w:val="28"/>
      <w:szCs w:val="28"/>
      <w:u w:val="none"/>
      <w:lang w:val="pl-PL"/>
    </w:rPr>
  </w:style>
  <w:style w:type="character" w:customStyle="1" w:styleId="Teksttreci100">
    <w:name w:val="Tekst treści (10)"/>
    <w:rsid w:val="00CC1EF4"/>
    <w:rPr>
      <w:rFonts w:ascii="Times New Roman" w:hAnsi="Times New Roman" w:cs="Times New Roman"/>
      <w:color w:val="000000"/>
      <w:spacing w:val="0"/>
      <w:w w:val="100"/>
      <w:position w:val="0"/>
      <w:sz w:val="21"/>
      <w:szCs w:val="21"/>
      <w:u w:val="single"/>
      <w:lang w:val="pl-PL"/>
    </w:rPr>
  </w:style>
  <w:style w:type="character" w:customStyle="1" w:styleId="Teksttreci10SegoeUI">
    <w:name w:val="Tekst treści (10) + Segoe UI"/>
    <w:aliases w:val="6,5 pt5"/>
    <w:rsid w:val="00CC1EF4"/>
    <w:rPr>
      <w:rFonts w:ascii="Segoe UI" w:hAnsi="Segoe UI" w:cs="Segoe UI"/>
      <w:color w:val="000000"/>
      <w:spacing w:val="0"/>
      <w:w w:val="100"/>
      <w:position w:val="0"/>
      <w:sz w:val="13"/>
      <w:szCs w:val="13"/>
      <w:u w:val="none"/>
      <w:lang w:val="pl-PL"/>
    </w:rPr>
  </w:style>
  <w:style w:type="character" w:customStyle="1" w:styleId="Teksttreci107pt">
    <w:name w:val="Tekst treści (10) + 7 pt"/>
    <w:rsid w:val="00CC1EF4"/>
    <w:rPr>
      <w:rFonts w:ascii="Times New Roman" w:hAnsi="Times New Roman" w:cs="Times New Roman"/>
      <w:color w:val="000000"/>
      <w:spacing w:val="0"/>
      <w:w w:val="100"/>
      <w:position w:val="0"/>
      <w:sz w:val="14"/>
      <w:szCs w:val="14"/>
      <w:u w:val="none"/>
      <w:lang w:val="pl-PL"/>
    </w:rPr>
  </w:style>
  <w:style w:type="character" w:customStyle="1" w:styleId="Teksttreci10Corbel">
    <w:name w:val="Tekst treści (10) + Corbel"/>
    <w:aliases w:val="7 pt"/>
    <w:rsid w:val="00CC1EF4"/>
    <w:rPr>
      <w:rFonts w:ascii="Corbel" w:hAnsi="Corbel" w:cs="Corbel"/>
      <w:color w:val="000000"/>
      <w:spacing w:val="0"/>
      <w:w w:val="100"/>
      <w:position w:val="0"/>
      <w:sz w:val="14"/>
      <w:szCs w:val="14"/>
      <w:u w:val="none"/>
    </w:rPr>
  </w:style>
  <w:style w:type="character" w:customStyle="1" w:styleId="Podpistabeli50">
    <w:name w:val="Podpis tabeli (5)"/>
    <w:rsid w:val="00CC1EF4"/>
    <w:rPr>
      <w:rFonts w:ascii="Times New Roman" w:hAnsi="Times New Roman" w:cs="Times New Roman"/>
      <w:b/>
      <w:bCs/>
      <w:color w:val="000000"/>
      <w:spacing w:val="0"/>
      <w:w w:val="100"/>
      <w:position w:val="0"/>
      <w:sz w:val="21"/>
      <w:szCs w:val="21"/>
      <w:u w:val="single"/>
      <w:lang w:val="pl-PL"/>
    </w:rPr>
  </w:style>
  <w:style w:type="character" w:customStyle="1" w:styleId="Podpistabeli6">
    <w:name w:val="Podpis tabeli (6)_"/>
    <w:link w:val="Podpistabeli60"/>
    <w:locked/>
    <w:rsid w:val="00CC1EF4"/>
    <w:rPr>
      <w:sz w:val="21"/>
      <w:szCs w:val="21"/>
      <w:shd w:val="clear" w:color="auto" w:fill="FFFFFF"/>
    </w:rPr>
  </w:style>
  <w:style w:type="paragraph" w:customStyle="1" w:styleId="Podpistabeli60">
    <w:name w:val="Podpis tabeli (6)"/>
    <w:basedOn w:val="Normalny"/>
    <w:link w:val="Podpistabeli6"/>
    <w:rsid w:val="00CC1EF4"/>
    <w:pPr>
      <w:widowControl w:val="0"/>
      <w:shd w:val="clear" w:color="auto" w:fill="FFFFFF"/>
      <w:spacing w:after="0" w:line="240" w:lineRule="atLeast"/>
    </w:pPr>
    <w:rPr>
      <w:sz w:val="21"/>
      <w:szCs w:val="21"/>
    </w:rPr>
  </w:style>
  <w:style w:type="character" w:customStyle="1" w:styleId="Podpistabeli6Pogrubienie">
    <w:name w:val="Podpis tabeli (6) + Pogrubienie"/>
    <w:rsid w:val="00CC1EF4"/>
    <w:rPr>
      <w:rFonts w:ascii="Times New Roman" w:hAnsi="Times New Roman" w:cs="Times New Roman"/>
      <w:b/>
      <w:bCs/>
      <w:color w:val="000000"/>
      <w:spacing w:val="0"/>
      <w:w w:val="100"/>
      <w:position w:val="0"/>
      <w:sz w:val="21"/>
      <w:szCs w:val="21"/>
      <w:shd w:val="clear" w:color="auto" w:fill="FFFFFF"/>
      <w:lang w:val="pl-PL"/>
    </w:rPr>
  </w:style>
  <w:style w:type="character" w:customStyle="1" w:styleId="Podpistabeli4SegoeUI">
    <w:name w:val="Podpis tabeli (4) + Segoe UI"/>
    <w:aliases w:val="63,5 pt4"/>
    <w:rsid w:val="00CC1EF4"/>
    <w:rPr>
      <w:rFonts w:ascii="Segoe UI" w:hAnsi="Segoe UI" w:cs="Segoe UI"/>
      <w:color w:val="000000"/>
      <w:spacing w:val="0"/>
      <w:w w:val="100"/>
      <w:position w:val="0"/>
      <w:sz w:val="13"/>
      <w:szCs w:val="13"/>
      <w:shd w:val="clear" w:color="auto" w:fill="FFFFFF"/>
      <w:lang w:val="pl-PL"/>
    </w:rPr>
  </w:style>
  <w:style w:type="character" w:customStyle="1" w:styleId="Podpistabeli4Gulim">
    <w:name w:val="Podpis tabeli (4) + Gulim"/>
    <w:aliases w:val="5 pt3,Kursywa1"/>
    <w:rsid w:val="00CC1EF4"/>
    <w:rPr>
      <w:rFonts w:ascii="Gulim" w:eastAsia="Gulim" w:hAnsi="Gulim" w:cs="Gulim"/>
      <w:i/>
      <w:iCs/>
      <w:color w:val="000000"/>
      <w:spacing w:val="0"/>
      <w:w w:val="100"/>
      <w:position w:val="0"/>
      <w:sz w:val="10"/>
      <w:szCs w:val="10"/>
      <w:shd w:val="clear" w:color="auto" w:fill="FFFFFF"/>
      <w:lang w:val="pl-PL"/>
    </w:rPr>
  </w:style>
  <w:style w:type="character" w:customStyle="1" w:styleId="Teksttreci106">
    <w:name w:val="Tekst treści (10) + 6"/>
    <w:aliases w:val="5 pt2,Małe litery1"/>
    <w:rsid w:val="00CC1EF4"/>
    <w:rPr>
      <w:rFonts w:ascii="Times New Roman" w:hAnsi="Times New Roman" w:cs="Times New Roman"/>
      <w:smallCaps/>
      <w:color w:val="000000"/>
      <w:spacing w:val="0"/>
      <w:w w:val="100"/>
      <w:position w:val="0"/>
      <w:sz w:val="13"/>
      <w:szCs w:val="13"/>
      <w:u w:val="none"/>
    </w:rPr>
  </w:style>
  <w:style w:type="character" w:customStyle="1" w:styleId="TeksttreciGungsuh">
    <w:name w:val="Tekst treści + Gungsuh"/>
    <w:aliases w:val="62,5 pt1"/>
    <w:rsid w:val="00CC1EF4"/>
    <w:rPr>
      <w:rFonts w:ascii="Gungsuh" w:eastAsia="Gungsuh" w:hAnsi="Gungsuh" w:cs="Gungsuh"/>
      <w:color w:val="000000"/>
      <w:spacing w:val="0"/>
      <w:w w:val="100"/>
      <w:position w:val="0"/>
      <w:sz w:val="13"/>
      <w:szCs w:val="13"/>
      <w:u w:val="none"/>
      <w:lang w:val="pl-PL"/>
    </w:rPr>
  </w:style>
  <w:style w:type="character" w:customStyle="1" w:styleId="Nagwek5Bezpogrubienia">
    <w:name w:val="Nagłówek #5 + Bez pogrubienia"/>
    <w:rsid w:val="00CC1EF4"/>
    <w:rPr>
      <w:rFonts w:ascii="Times New Roman" w:hAnsi="Times New Roman" w:cs="Times New Roman"/>
      <w:b/>
      <w:bCs/>
      <w:color w:val="000000"/>
      <w:spacing w:val="0"/>
      <w:w w:val="100"/>
      <w:position w:val="0"/>
      <w:sz w:val="21"/>
      <w:szCs w:val="21"/>
      <w:shd w:val="clear" w:color="auto" w:fill="FFFFFF"/>
    </w:rPr>
  </w:style>
  <w:style w:type="character" w:customStyle="1" w:styleId="Nagwek3Znak1">
    <w:name w:val="Nagłówek 3 Znak1"/>
    <w:locked/>
    <w:rsid w:val="00CC1EF4"/>
    <w:rPr>
      <w:rFonts w:cs="Arial"/>
      <w:b/>
      <w:iCs/>
      <w:sz w:val="26"/>
      <w:szCs w:val="26"/>
    </w:rPr>
  </w:style>
  <w:style w:type="paragraph" w:customStyle="1" w:styleId="StylNagwek2">
    <w:name w:val="Styl Nagłówek 2"/>
    <w:basedOn w:val="Nagwek2"/>
    <w:rsid w:val="00CC1EF4"/>
    <w:pPr>
      <w:tabs>
        <w:tab w:val="left" w:pos="567"/>
        <w:tab w:val="num" w:pos="747"/>
        <w:tab w:val="left" w:pos="794"/>
        <w:tab w:val="num" w:pos="1440"/>
        <w:tab w:val="num" w:pos="2496"/>
      </w:tabs>
      <w:overflowPunct/>
      <w:autoSpaceDE/>
      <w:autoSpaceDN/>
      <w:adjustRightInd/>
      <w:spacing w:before="240" w:after="0"/>
      <w:ind w:left="180" w:hanging="360"/>
      <w:textAlignment w:val="auto"/>
    </w:pPr>
    <w:rPr>
      <w:rFonts w:eastAsia="Calibri"/>
      <w:b w:val="0"/>
      <w:kern w:val="24"/>
      <w:szCs w:val="24"/>
    </w:rPr>
  </w:style>
  <w:style w:type="paragraph" w:customStyle="1" w:styleId="StylNormalny">
    <w:name w:val="Styl Normalny"/>
    <w:basedOn w:val="Normalny"/>
    <w:rsid w:val="00CC1EF4"/>
    <w:pPr>
      <w:tabs>
        <w:tab w:val="left" w:pos="397"/>
        <w:tab w:val="left" w:pos="567"/>
        <w:tab w:val="left" w:pos="794"/>
      </w:tabs>
      <w:spacing w:before="240" w:after="0" w:line="240" w:lineRule="auto"/>
      <w:jc w:val="both"/>
    </w:pPr>
    <w:rPr>
      <w:rFonts w:ascii="Arial" w:eastAsia="Calibri" w:hAnsi="Arial" w:cs="Arial"/>
      <w:bCs/>
      <w:iCs/>
      <w:sz w:val="20"/>
      <w:szCs w:val="24"/>
      <w:lang w:eastAsia="pl-PL"/>
    </w:rPr>
  </w:style>
  <w:style w:type="paragraph" w:customStyle="1" w:styleId="TytuSST">
    <w:name w:val="Tytuł SST"/>
    <w:basedOn w:val="Normalny"/>
    <w:rsid w:val="00CC1EF4"/>
    <w:pPr>
      <w:tabs>
        <w:tab w:val="left" w:pos="794"/>
        <w:tab w:val="left" w:pos="2126"/>
      </w:tabs>
      <w:spacing w:before="120" w:after="0" w:line="240" w:lineRule="auto"/>
    </w:pPr>
    <w:rPr>
      <w:rFonts w:ascii="Arial" w:eastAsia="Calibri" w:hAnsi="Arial" w:cs="Arial"/>
      <w:b/>
      <w:bCs/>
      <w:iCs/>
      <w:caps/>
      <w:szCs w:val="24"/>
      <w:lang w:eastAsia="pl-PL"/>
    </w:rPr>
  </w:style>
  <w:style w:type="character" w:customStyle="1" w:styleId="ZnakZnak">
    <w:name w:val="Znak Znak"/>
    <w:rsid w:val="00CC1EF4"/>
    <w:rPr>
      <w:rFonts w:ascii="Arial" w:hAnsi="Arial" w:cs="Arial"/>
      <w:bCs/>
      <w:iCs/>
      <w:sz w:val="24"/>
      <w:szCs w:val="24"/>
      <w:lang w:val="pl-PL" w:eastAsia="pl-PL" w:bidi="ar-SA"/>
    </w:rPr>
  </w:style>
  <w:style w:type="paragraph" w:customStyle="1" w:styleId="Kropka">
    <w:name w:val="Kropka"/>
    <w:basedOn w:val="Normalny"/>
    <w:rsid w:val="00CC1EF4"/>
    <w:pPr>
      <w:tabs>
        <w:tab w:val="left" w:pos="397"/>
        <w:tab w:val="left" w:pos="794"/>
      </w:tabs>
      <w:spacing w:before="120" w:after="0" w:line="240" w:lineRule="auto"/>
      <w:ind w:left="284" w:hanging="284"/>
      <w:jc w:val="both"/>
    </w:pPr>
    <w:rPr>
      <w:rFonts w:ascii="Arial" w:eastAsia="Calibri" w:hAnsi="Arial" w:cs="Arial"/>
      <w:bCs/>
      <w:iCs/>
      <w:sz w:val="20"/>
      <w:szCs w:val="24"/>
      <w:lang w:eastAsia="pl-PL"/>
    </w:rPr>
  </w:style>
  <w:style w:type="paragraph" w:customStyle="1" w:styleId="11Pogrubienie">
    <w:name w:val="1.1. Pogrubienie"/>
    <w:basedOn w:val="Normalny"/>
    <w:rsid w:val="00CC1EF4"/>
    <w:pPr>
      <w:tabs>
        <w:tab w:val="left" w:pos="397"/>
        <w:tab w:val="left" w:pos="567"/>
        <w:tab w:val="left" w:pos="794"/>
      </w:tabs>
      <w:spacing w:before="240" w:after="120" w:line="240" w:lineRule="auto"/>
      <w:jc w:val="both"/>
    </w:pPr>
    <w:rPr>
      <w:rFonts w:ascii="Arial" w:eastAsia="Calibri" w:hAnsi="Arial" w:cs="Arial"/>
      <w:b/>
      <w:bCs/>
      <w:iCs/>
      <w:sz w:val="24"/>
      <w:szCs w:val="24"/>
      <w:lang w:eastAsia="pl-PL"/>
    </w:rPr>
  </w:style>
  <w:style w:type="character" w:customStyle="1" w:styleId="11PogrubienieZnakZnak">
    <w:name w:val="1.1. Pogrubienie Znak Znak"/>
    <w:rsid w:val="00CC1EF4"/>
    <w:rPr>
      <w:rFonts w:cs="Arial"/>
      <w:b/>
      <w:bCs/>
      <w:iCs/>
      <w:sz w:val="24"/>
      <w:szCs w:val="24"/>
      <w:lang w:val="pl-PL" w:eastAsia="pl-PL" w:bidi="ar-SA"/>
    </w:rPr>
  </w:style>
  <w:style w:type="character" w:customStyle="1" w:styleId="normalny3Znak">
    <w:name w:val="normalny 3 Znak"/>
    <w:rsid w:val="00CC1EF4"/>
    <w:rPr>
      <w:rFonts w:cs="Arial"/>
      <w:bCs/>
      <w:iCs/>
      <w:sz w:val="24"/>
      <w:szCs w:val="24"/>
      <w:lang w:val="pl-PL" w:eastAsia="pl-PL" w:bidi="ar-SA"/>
    </w:rPr>
  </w:style>
  <w:style w:type="paragraph" w:customStyle="1" w:styleId="Normal12">
    <w:name w:val="Normal 12"/>
    <w:basedOn w:val="Normalny"/>
    <w:rsid w:val="00CC1EF4"/>
    <w:pPr>
      <w:tabs>
        <w:tab w:val="left" w:pos="397"/>
        <w:tab w:val="left" w:pos="567"/>
        <w:tab w:val="left" w:pos="794"/>
      </w:tabs>
      <w:spacing w:before="240" w:after="0" w:line="240" w:lineRule="auto"/>
      <w:jc w:val="both"/>
    </w:pPr>
    <w:rPr>
      <w:rFonts w:ascii="Arial" w:eastAsia="Calibri" w:hAnsi="Arial" w:cs="Arial"/>
      <w:bCs/>
      <w:iCs/>
      <w:sz w:val="20"/>
      <w:szCs w:val="24"/>
      <w:lang w:eastAsia="pl-PL"/>
    </w:rPr>
  </w:style>
  <w:style w:type="paragraph" w:customStyle="1" w:styleId="Normal1">
    <w:name w:val="Normal 1"/>
    <w:basedOn w:val="Normalny"/>
    <w:rsid w:val="00CC1EF4"/>
    <w:pPr>
      <w:tabs>
        <w:tab w:val="left" w:pos="397"/>
        <w:tab w:val="left" w:pos="567"/>
        <w:tab w:val="left" w:pos="794"/>
      </w:tabs>
      <w:spacing w:before="240" w:after="0" w:line="240" w:lineRule="auto"/>
      <w:jc w:val="both"/>
    </w:pPr>
    <w:rPr>
      <w:rFonts w:ascii="Arial" w:eastAsia="Calibri" w:hAnsi="Arial" w:cs="Arial"/>
      <w:bCs/>
      <w:iCs/>
      <w:sz w:val="20"/>
      <w:szCs w:val="24"/>
      <w:lang w:eastAsia="pl-PL"/>
    </w:rPr>
  </w:style>
  <w:style w:type="character" w:customStyle="1" w:styleId="Normal1Znak">
    <w:name w:val="Normal 1 Znak"/>
    <w:rsid w:val="00CC1EF4"/>
    <w:rPr>
      <w:rFonts w:cs="Arial"/>
      <w:bCs/>
      <w:iCs/>
      <w:sz w:val="24"/>
      <w:szCs w:val="24"/>
      <w:lang w:val="pl-PL" w:eastAsia="pl-PL" w:bidi="ar-SA"/>
    </w:rPr>
  </w:style>
  <w:style w:type="character" w:customStyle="1" w:styleId="ZnakZnak1">
    <w:name w:val="Znak Znak1"/>
    <w:rsid w:val="00CC1EF4"/>
    <w:rPr>
      <w:rFonts w:cs="Arial"/>
      <w:b/>
      <w:iCs/>
      <w:sz w:val="26"/>
      <w:szCs w:val="26"/>
      <w:lang w:val="pl-PL" w:eastAsia="pl-PL" w:bidi="ar-SA"/>
    </w:rPr>
  </w:style>
  <w:style w:type="character" w:customStyle="1" w:styleId="normalny3ZnakZnak1">
    <w:name w:val="normalny 3 Znak Znak1"/>
    <w:rsid w:val="00CC1EF4"/>
    <w:rPr>
      <w:rFonts w:cs="Arial"/>
      <w:bCs/>
      <w:iCs/>
      <w:sz w:val="24"/>
      <w:szCs w:val="24"/>
      <w:lang w:val="pl-PL" w:eastAsia="pl-PL" w:bidi="ar-SA"/>
    </w:rPr>
  </w:style>
  <w:style w:type="paragraph" w:customStyle="1" w:styleId="StylNagwek3NiePogrubienie">
    <w:name w:val="Styl Nagłówek 3 + Nie Pogrubienie"/>
    <w:basedOn w:val="Nagwek3"/>
    <w:rsid w:val="00CC1EF4"/>
    <w:pPr>
      <w:tabs>
        <w:tab w:val="left" w:pos="737"/>
        <w:tab w:val="num" w:pos="1031"/>
        <w:tab w:val="num" w:pos="2160"/>
        <w:tab w:val="num" w:pos="3216"/>
      </w:tabs>
      <w:overflowPunct/>
      <w:autoSpaceDE/>
      <w:autoSpaceDN/>
      <w:adjustRightInd/>
      <w:spacing w:before="120" w:after="0"/>
      <w:ind w:left="180" w:hanging="360"/>
      <w:textAlignment w:val="auto"/>
    </w:pPr>
    <w:rPr>
      <w:rFonts w:ascii="Arial" w:eastAsia="Calibri" w:hAnsi="Arial" w:cs="Arial"/>
      <w:sz w:val="20"/>
      <w:szCs w:val="26"/>
    </w:rPr>
  </w:style>
  <w:style w:type="paragraph" w:customStyle="1" w:styleId="StylNagwek3NiePogrubienie1">
    <w:name w:val="Styl Nagłówek 3 + Nie Pogrubienie1"/>
    <w:basedOn w:val="Nagwek3"/>
    <w:rsid w:val="00CC1EF4"/>
    <w:pPr>
      <w:tabs>
        <w:tab w:val="left" w:pos="737"/>
        <w:tab w:val="num" w:pos="1031"/>
        <w:tab w:val="num" w:pos="2160"/>
        <w:tab w:val="num" w:pos="3216"/>
      </w:tabs>
      <w:overflowPunct/>
      <w:autoSpaceDE/>
      <w:autoSpaceDN/>
      <w:adjustRightInd/>
      <w:spacing w:before="120" w:after="0"/>
      <w:ind w:left="180" w:hanging="360"/>
      <w:textAlignment w:val="auto"/>
    </w:pPr>
    <w:rPr>
      <w:rFonts w:ascii="Arial" w:eastAsia="Calibri" w:hAnsi="Arial" w:cs="Arial"/>
      <w:sz w:val="20"/>
      <w:szCs w:val="26"/>
    </w:rPr>
  </w:style>
  <w:style w:type="character" w:customStyle="1" w:styleId="TabelaZnak">
    <w:name w:val="Tabela Znak"/>
    <w:rsid w:val="00CC1EF4"/>
    <w:rPr>
      <w:rFonts w:cs="Arial"/>
      <w:bCs/>
      <w:iCs/>
      <w:sz w:val="24"/>
      <w:szCs w:val="24"/>
      <w:lang w:val="pl-PL" w:eastAsia="pl-PL" w:bidi="ar-SA"/>
    </w:rPr>
  </w:style>
  <w:style w:type="paragraph" w:customStyle="1" w:styleId="normalnypunkt">
    <w:name w:val="normalny punkt"/>
    <w:basedOn w:val="Normalny"/>
    <w:rsid w:val="00CC1EF4"/>
    <w:pPr>
      <w:numPr>
        <w:numId w:val="73"/>
      </w:numPr>
      <w:tabs>
        <w:tab w:val="left" w:pos="567"/>
        <w:tab w:val="left" w:pos="794"/>
      </w:tabs>
      <w:spacing w:before="40" w:after="0" w:line="240" w:lineRule="auto"/>
      <w:jc w:val="both"/>
    </w:pPr>
    <w:rPr>
      <w:rFonts w:ascii="Arial" w:eastAsia="Calibri" w:hAnsi="Arial" w:cs="Arial"/>
      <w:bCs/>
      <w:iCs/>
      <w:sz w:val="20"/>
      <w:szCs w:val="20"/>
      <w:lang w:eastAsia="pl-PL"/>
    </w:rPr>
  </w:style>
  <w:style w:type="character" w:customStyle="1" w:styleId="spelle">
    <w:name w:val="spelle"/>
    <w:rsid w:val="00CC1EF4"/>
    <w:rPr>
      <w:rFonts w:cs="Times New Roman"/>
    </w:rPr>
  </w:style>
  <w:style w:type="paragraph" w:customStyle="1" w:styleId="normalny0">
    <w:name w:val="normalny 0"/>
    <w:basedOn w:val="Normalny"/>
    <w:rsid w:val="00CC1EF4"/>
    <w:pPr>
      <w:tabs>
        <w:tab w:val="left" w:pos="397"/>
        <w:tab w:val="left" w:pos="510"/>
        <w:tab w:val="left" w:pos="624"/>
        <w:tab w:val="left" w:pos="794"/>
        <w:tab w:val="left" w:pos="851"/>
      </w:tabs>
      <w:spacing w:after="0" w:line="240" w:lineRule="auto"/>
      <w:jc w:val="both"/>
    </w:pPr>
    <w:rPr>
      <w:rFonts w:ascii="Arial" w:eastAsia="Calibri" w:hAnsi="Arial" w:cs="Arial"/>
      <w:bCs/>
      <w:iCs/>
      <w:sz w:val="20"/>
      <w:szCs w:val="24"/>
      <w:lang w:eastAsia="pl-PL"/>
    </w:rPr>
  </w:style>
  <w:style w:type="character" w:customStyle="1" w:styleId="normalny0Znak">
    <w:name w:val="normalny 0 Znak"/>
    <w:rsid w:val="00CC1EF4"/>
    <w:rPr>
      <w:rFonts w:cs="Arial"/>
      <w:bCs/>
      <w:iCs/>
      <w:sz w:val="24"/>
      <w:szCs w:val="24"/>
      <w:lang w:val="pl-PL" w:eastAsia="pl-PL" w:bidi="ar-SA"/>
    </w:rPr>
  </w:style>
  <w:style w:type="paragraph" w:customStyle="1" w:styleId="StylPierwszywiersz05cm">
    <w:name w:val="Styl Pierwszy wiersz:  05 cm"/>
    <w:basedOn w:val="Normalny"/>
    <w:next w:val="Normalny"/>
    <w:rsid w:val="00CC1EF4"/>
    <w:pPr>
      <w:tabs>
        <w:tab w:val="left" w:pos="397"/>
        <w:tab w:val="left" w:pos="567"/>
        <w:tab w:val="left" w:pos="737"/>
      </w:tabs>
      <w:spacing w:before="120" w:after="0" w:line="240" w:lineRule="auto"/>
      <w:ind w:firstLine="567"/>
      <w:jc w:val="both"/>
    </w:pPr>
    <w:rPr>
      <w:rFonts w:ascii="Arial" w:eastAsia="Calibri" w:hAnsi="Arial" w:cs="Arial"/>
      <w:bCs/>
      <w:iCs/>
      <w:sz w:val="20"/>
      <w:szCs w:val="24"/>
      <w:lang w:eastAsia="pl-PL"/>
    </w:rPr>
  </w:style>
  <w:style w:type="character" w:customStyle="1" w:styleId="StylPierwszywiersz05cmZnak">
    <w:name w:val="Styl Pierwszy wiersz:  05 cm Znak"/>
    <w:rsid w:val="00CC1EF4"/>
    <w:rPr>
      <w:rFonts w:cs="Arial"/>
      <w:bCs/>
      <w:iCs/>
      <w:sz w:val="24"/>
      <w:szCs w:val="24"/>
      <w:lang w:val="pl-PL" w:eastAsia="pl-PL" w:bidi="ar-SA"/>
    </w:rPr>
  </w:style>
  <w:style w:type="paragraph" w:customStyle="1" w:styleId="StylPierwszywiersz1cm">
    <w:name w:val="Styl Pierwszy wiersz:  1 cm"/>
    <w:basedOn w:val="Normalny"/>
    <w:rsid w:val="00CC1EF4"/>
    <w:pPr>
      <w:tabs>
        <w:tab w:val="left" w:pos="397"/>
        <w:tab w:val="left" w:pos="567"/>
        <w:tab w:val="left" w:pos="737"/>
      </w:tabs>
      <w:spacing w:before="120" w:after="0" w:line="240" w:lineRule="auto"/>
      <w:ind w:firstLine="567"/>
      <w:jc w:val="both"/>
    </w:pPr>
    <w:rPr>
      <w:rFonts w:ascii="Arial" w:eastAsia="Calibri" w:hAnsi="Arial" w:cs="Arial"/>
      <w:bCs/>
      <w:iCs/>
      <w:sz w:val="20"/>
      <w:szCs w:val="20"/>
      <w:lang w:eastAsia="pl-PL"/>
    </w:rPr>
  </w:style>
  <w:style w:type="character" w:customStyle="1" w:styleId="StylPierwszywiersz1cmZnak">
    <w:name w:val="Styl Pierwszy wiersz:  1 cm Znak"/>
    <w:rsid w:val="00CC1EF4"/>
    <w:rPr>
      <w:rFonts w:cs="Arial"/>
      <w:bCs/>
      <w:iCs/>
      <w:lang w:val="pl-PL" w:eastAsia="pl-PL" w:bidi="ar-SA"/>
    </w:rPr>
  </w:style>
  <w:style w:type="paragraph" w:customStyle="1" w:styleId="StylNagwek1Wyjustowany">
    <w:name w:val="Styl Nagłówek 1 + Wyjustowany"/>
    <w:basedOn w:val="Nagwek1"/>
    <w:rsid w:val="00CC1EF4"/>
    <w:pPr>
      <w:keepLines w:val="0"/>
      <w:tabs>
        <w:tab w:val="num" w:pos="397"/>
        <w:tab w:val="left" w:pos="567"/>
        <w:tab w:val="left" w:pos="737"/>
        <w:tab w:val="num" w:pos="1776"/>
      </w:tabs>
      <w:suppressAutoHyphens w:val="0"/>
      <w:overflowPunct/>
      <w:autoSpaceDE/>
      <w:autoSpaceDN/>
      <w:adjustRightInd/>
      <w:spacing w:before="360"/>
      <w:ind w:left="360" w:hanging="397"/>
      <w:textAlignment w:val="auto"/>
    </w:pPr>
    <w:rPr>
      <w:rFonts w:eastAsia="Calibri"/>
      <w:bCs/>
      <w:iCs/>
      <w:kern w:val="24"/>
    </w:rPr>
  </w:style>
  <w:style w:type="paragraph" w:customStyle="1" w:styleId="StylWyjustowany">
    <w:name w:val="Styl Wyjustowany"/>
    <w:basedOn w:val="Normalny"/>
    <w:rsid w:val="00CC1EF4"/>
    <w:pPr>
      <w:tabs>
        <w:tab w:val="left" w:pos="397"/>
        <w:tab w:val="left" w:pos="567"/>
        <w:tab w:val="left" w:pos="737"/>
      </w:tabs>
      <w:spacing w:before="120" w:after="0" w:line="240" w:lineRule="auto"/>
      <w:jc w:val="both"/>
    </w:pPr>
    <w:rPr>
      <w:rFonts w:ascii="Arial" w:eastAsia="Calibri" w:hAnsi="Arial" w:cs="Arial"/>
      <w:bCs/>
      <w:iCs/>
      <w:sz w:val="20"/>
      <w:szCs w:val="20"/>
      <w:lang w:eastAsia="pl-PL"/>
    </w:rPr>
  </w:style>
  <w:style w:type="paragraph" w:customStyle="1" w:styleId="Litera">
    <w:name w:val="Litera"/>
    <w:basedOn w:val="Normalny"/>
    <w:next w:val="Normalny"/>
    <w:rsid w:val="00CC1EF4"/>
    <w:pPr>
      <w:tabs>
        <w:tab w:val="num" w:pos="397"/>
        <w:tab w:val="left" w:pos="737"/>
      </w:tabs>
      <w:spacing w:before="120" w:after="0" w:line="240" w:lineRule="auto"/>
      <w:ind w:left="397" w:hanging="397"/>
      <w:jc w:val="both"/>
    </w:pPr>
    <w:rPr>
      <w:rFonts w:ascii="Arial" w:eastAsia="Calibri" w:hAnsi="Arial" w:cs="Arial"/>
      <w:bCs/>
      <w:iCs/>
      <w:sz w:val="20"/>
      <w:szCs w:val="24"/>
      <w:lang w:eastAsia="pl-PL"/>
    </w:rPr>
  </w:style>
  <w:style w:type="paragraph" w:customStyle="1" w:styleId="11Normal1">
    <w:name w:val="1.1. Normal 1"/>
    <w:basedOn w:val="Normalny"/>
    <w:rsid w:val="00CC1EF4"/>
    <w:pPr>
      <w:tabs>
        <w:tab w:val="left" w:pos="397"/>
        <w:tab w:val="left" w:pos="567"/>
        <w:tab w:val="left" w:pos="737"/>
      </w:tabs>
      <w:spacing w:before="240" w:after="0" w:line="240" w:lineRule="auto"/>
      <w:jc w:val="both"/>
    </w:pPr>
    <w:rPr>
      <w:rFonts w:ascii="Arial" w:eastAsia="Calibri" w:hAnsi="Arial" w:cs="Arial"/>
      <w:bCs/>
      <w:iCs/>
      <w:sz w:val="20"/>
      <w:szCs w:val="24"/>
      <w:lang w:eastAsia="pl-PL"/>
    </w:rPr>
  </w:style>
  <w:style w:type="character" w:customStyle="1" w:styleId="11Normal1Znak">
    <w:name w:val="1.1. Normal 1 Znak"/>
    <w:rsid w:val="00CC1EF4"/>
    <w:rPr>
      <w:rFonts w:cs="Arial"/>
      <w:bCs/>
      <w:iCs/>
      <w:sz w:val="24"/>
      <w:szCs w:val="24"/>
      <w:lang w:val="pl-PL" w:eastAsia="pl-PL" w:bidi="ar-SA"/>
    </w:rPr>
  </w:style>
  <w:style w:type="paragraph" w:customStyle="1" w:styleId="Styl11Normal1Pogrubienie">
    <w:name w:val="Styl 1.1. Normal 1 + Pogrubienie"/>
    <w:basedOn w:val="11Normal1"/>
    <w:rsid w:val="00CC1EF4"/>
    <w:rPr>
      <w:b/>
      <w:bCs w:val="0"/>
    </w:rPr>
  </w:style>
  <w:style w:type="character" w:customStyle="1" w:styleId="Styl11Normal1PogrubienieZnak">
    <w:name w:val="Styl 1.1. Normal 1 + Pogrubienie Znak"/>
    <w:rsid w:val="00CC1EF4"/>
    <w:rPr>
      <w:rFonts w:cs="Arial"/>
      <w:b/>
      <w:bCs/>
      <w:iCs/>
      <w:sz w:val="24"/>
      <w:szCs w:val="24"/>
      <w:lang w:val="pl-PL" w:eastAsia="pl-PL" w:bidi="ar-SA"/>
    </w:rPr>
  </w:style>
  <w:style w:type="paragraph" w:customStyle="1" w:styleId="Norm12">
    <w:name w:val="Norm 12"/>
    <w:basedOn w:val="Normalny"/>
    <w:rsid w:val="00CC1EF4"/>
    <w:pPr>
      <w:tabs>
        <w:tab w:val="left" w:pos="397"/>
        <w:tab w:val="left" w:pos="567"/>
        <w:tab w:val="left" w:pos="737"/>
      </w:tabs>
      <w:spacing w:before="240" w:after="0" w:line="240" w:lineRule="auto"/>
      <w:jc w:val="both"/>
    </w:pPr>
    <w:rPr>
      <w:rFonts w:ascii="Arial" w:eastAsia="Calibri" w:hAnsi="Arial" w:cs="Arial"/>
      <w:bCs/>
      <w:iCs/>
      <w:sz w:val="20"/>
      <w:szCs w:val="24"/>
      <w:lang w:eastAsia="pl-PL"/>
    </w:rPr>
  </w:style>
  <w:style w:type="character" w:customStyle="1" w:styleId="StylWyjustowanyZnak">
    <w:name w:val="Styl Wyjustowany Znak"/>
    <w:rsid w:val="00CC1EF4"/>
    <w:rPr>
      <w:rFonts w:cs="Arial"/>
      <w:bCs/>
      <w:iCs/>
      <w:lang w:val="pl-PL" w:eastAsia="pl-PL" w:bidi="ar-SA"/>
    </w:rPr>
  </w:style>
  <w:style w:type="paragraph" w:customStyle="1" w:styleId="Wyjust12">
    <w:name w:val="Wyjust 12"/>
    <w:basedOn w:val="StylWyjustowany"/>
    <w:rsid w:val="00CC1EF4"/>
    <w:pPr>
      <w:spacing w:before="240"/>
    </w:pPr>
  </w:style>
  <w:style w:type="paragraph" w:customStyle="1" w:styleId="Kreska">
    <w:name w:val="Kreska"/>
    <w:basedOn w:val="Normalny"/>
    <w:rsid w:val="00CC1EF4"/>
    <w:pPr>
      <w:tabs>
        <w:tab w:val="left" w:pos="397"/>
        <w:tab w:val="left" w:pos="567"/>
        <w:tab w:val="left" w:pos="794"/>
      </w:tabs>
      <w:spacing w:before="120" w:after="0" w:line="240" w:lineRule="auto"/>
      <w:ind w:left="284" w:hanging="284"/>
      <w:jc w:val="both"/>
    </w:pPr>
    <w:rPr>
      <w:rFonts w:ascii="Arial" w:eastAsia="Calibri" w:hAnsi="Arial" w:cs="Arial"/>
      <w:bCs/>
      <w:iCs/>
      <w:sz w:val="20"/>
      <w:szCs w:val="24"/>
      <w:lang w:eastAsia="pl-PL"/>
    </w:rPr>
  </w:style>
  <w:style w:type="paragraph" w:customStyle="1" w:styleId="Standardowypodkrelony">
    <w:name w:val="Standardowy_podkreślony"/>
    <w:basedOn w:val="Normalny"/>
    <w:rsid w:val="00CC1EF4"/>
    <w:pPr>
      <w:tabs>
        <w:tab w:val="left" w:pos="397"/>
        <w:tab w:val="left" w:pos="567"/>
        <w:tab w:val="left" w:pos="794"/>
      </w:tabs>
      <w:spacing w:before="120" w:after="0" w:line="240" w:lineRule="auto"/>
      <w:jc w:val="both"/>
    </w:pPr>
    <w:rPr>
      <w:rFonts w:ascii="Arial" w:eastAsia="Calibri" w:hAnsi="Arial" w:cs="Arial"/>
      <w:bCs/>
      <w:iCs/>
      <w:sz w:val="20"/>
      <w:szCs w:val="24"/>
      <w:u w:val="single"/>
      <w:lang w:eastAsia="pl-PL"/>
    </w:rPr>
  </w:style>
  <w:style w:type="paragraph" w:customStyle="1" w:styleId="Wzr">
    <w:name w:val="Wzór"/>
    <w:basedOn w:val="Normalny"/>
    <w:rsid w:val="00CC1EF4"/>
    <w:pPr>
      <w:tabs>
        <w:tab w:val="left" w:pos="397"/>
        <w:tab w:val="left" w:pos="567"/>
        <w:tab w:val="left" w:pos="794"/>
      </w:tabs>
      <w:spacing w:before="120" w:after="120" w:line="240" w:lineRule="atLeast"/>
      <w:jc w:val="center"/>
    </w:pPr>
    <w:rPr>
      <w:rFonts w:ascii="Arial" w:eastAsia="Calibri" w:hAnsi="Arial" w:cs="Arial"/>
      <w:bCs/>
      <w:iCs/>
      <w:sz w:val="20"/>
      <w:szCs w:val="24"/>
      <w:lang w:eastAsia="pl-PL"/>
    </w:rPr>
  </w:style>
  <w:style w:type="paragraph" w:customStyle="1" w:styleId="Tytuspecyfikacji">
    <w:name w:val="Tytuł_specyfikacji"/>
    <w:basedOn w:val="Normalny"/>
    <w:rsid w:val="00CC1EF4"/>
    <w:pPr>
      <w:tabs>
        <w:tab w:val="left" w:pos="397"/>
        <w:tab w:val="left" w:pos="567"/>
        <w:tab w:val="left" w:pos="794"/>
      </w:tabs>
      <w:spacing w:before="360" w:after="0" w:line="240" w:lineRule="auto"/>
      <w:jc w:val="both"/>
    </w:pPr>
    <w:rPr>
      <w:rFonts w:ascii="Arial" w:eastAsia="Calibri" w:hAnsi="Arial" w:cs="Arial"/>
      <w:b/>
      <w:bCs/>
      <w:iCs/>
      <w:sz w:val="28"/>
      <w:szCs w:val="24"/>
      <w:lang w:eastAsia="pl-PL"/>
    </w:rPr>
  </w:style>
  <w:style w:type="paragraph" w:customStyle="1" w:styleId="Podpispodrysunkiem2">
    <w:name w:val="Podpis pod rysunkiem2"/>
    <w:basedOn w:val="Legenda"/>
    <w:rsid w:val="00CC1EF4"/>
    <w:pPr>
      <w:tabs>
        <w:tab w:val="left" w:pos="397"/>
        <w:tab w:val="left" w:pos="567"/>
        <w:tab w:val="left" w:pos="794"/>
      </w:tabs>
      <w:spacing w:before="120" w:after="120"/>
      <w:ind w:left="0" w:firstLine="0"/>
      <w:jc w:val="both"/>
    </w:pPr>
    <w:rPr>
      <w:rFonts w:eastAsia="Calibri" w:cs="Arial"/>
      <w:bCs/>
      <w:iCs/>
      <w:caps/>
      <w:szCs w:val="24"/>
      <w:lang w:eastAsia="pl-PL"/>
    </w:rPr>
  </w:style>
  <w:style w:type="paragraph" w:styleId="Zwrotpoegnalny">
    <w:name w:val="Closing"/>
    <w:basedOn w:val="Normalny"/>
    <w:link w:val="ZwrotpoegnalnyZnak"/>
    <w:rsid w:val="00CC1EF4"/>
    <w:pPr>
      <w:tabs>
        <w:tab w:val="left" w:pos="397"/>
        <w:tab w:val="left" w:pos="567"/>
        <w:tab w:val="left" w:pos="794"/>
      </w:tabs>
      <w:spacing w:after="0" w:line="240" w:lineRule="auto"/>
      <w:ind w:left="4252"/>
      <w:jc w:val="both"/>
    </w:pPr>
    <w:rPr>
      <w:rFonts w:ascii="Times New Roman" w:eastAsia="Calibri" w:hAnsi="Times New Roman" w:cs="Times New Roman"/>
      <w:bCs/>
      <w:iCs/>
      <w:sz w:val="24"/>
      <w:szCs w:val="24"/>
    </w:rPr>
  </w:style>
  <w:style w:type="character" w:customStyle="1" w:styleId="ZwrotpoegnalnyZnak">
    <w:name w:val="Zwrot pożegnalny Znak"/>
    <w:basedOn w:val="Domylnaczcionkaakapitu"/>
    <w:link w:val="Zwrotpoegnalny"/>
    <w:rsid w:val="00CC1EF4"/>
    <w:rPr>
      <w:rFonts w:ascii="Times New Roman" w:eastAsia="Calibri" w:hAnsi="Times New Roman" w:cs="Times New Roman"/>
      <w:bCs/>
      <w:iCs/>
      <w:sz w:val="24"/>
      <w:szCs w:val="24"/>
    </w:rPr>
  </w:style>
  <w:style w:type="paragraph" w:styleId="Adresnakopercie">
    <w:name w:val="envelope address"/>
    <w:basedOn w:val="Normalny"/>
    <w:rsid w:val="00CC1EF4"/>
    <w:pPr>
      <w:framePr w:w="7920" w:h="1980" w:hRule="exact" w:hSpace="141" w:wrap="auto" w:hAnchor="page" w:xAlign="center" w:yAlign="bottom"/>
      <w:tabs>
        <w:tab w:val="left" w:pos="397"/>
        <w:tab w:val="left" w:pos="567"/>
        <w:tab w:val="left" w:pos="794"/>
      </w:tabs>
      <w:spacing w:after="0" w:line="240" w:lineRule="auto"/>
      <w:ind w:left="2880"/>
      <w:jc w:val="both"/>
    </w:pPr>
    <w:rPr>
      <w:rFonts w:ascii="Arial" w:eastAsia="Calibri" w:hAnsi="Arial" w:cs="Arial"/>
      <w:bCs/>
      <w:iCs/>
      <w:sz w:val="20"/>
      <w:szCs w:val="24"/>
      <w:lang w:eastAsia="pl-PL"/>
    </w:rPr>
  </w:style>
  <w:style w:type="paragraph" w:customStyle="1" w:styleId="Rysunek">
    <w:name w:val="Rysunek"/>
    <w:basedOn w:val="Normalny"/>
    <w:rsid w:val="00CC1EF4"/>
    <w:pPr>
      <w:tabs>
        <w:tab w:val="left" w:pos="397"/>
        <w:tab w:val="left" w:pos="567"/>
        <w:tab w:val="left" w:pos="794"/>
      </w:tabs>
      <w:spacing w:before="60" w:after="0" w:line="240" w:lineRule="atLeast"/>
      <w:jc w:val="center"/>
    </w:pPr>
    <w:rPr>
      <w:rFonts w:ascii="Arial" w:eastAsia="Calibri" w:hAnsi="Arial" w:cs="Arial"/>
      <w:bCs/>
      <w:iCs/>
      <w:sz w:val="20"/>
      <w:szCs w:val="24"/>
      <w:lang w:eastAsia="pl-PL"/>
    </w:rPr>
  </w:style>
  <w:style w:type="paragraph" w:customStyle="1" w:styleId="Tekstcourier">
    <w:name w:val="Tekst_courier"/>
    <w:basedOn w:val="Zwykytekst"/>
    <w:rsid w:val="00CC1EF4"/>
    <w:pPr>
      <w:tabs>
        <w:tab w:val="left" w:pos="397"/>
        <w:tab w:val="left" w:pos="567"/>
        <w:tab w:val="left" w:pos="794"/>
        <w:tab w:val="left" w:pos="2268"/>
        <w:tab w:val="left" w:pos="2835"/>
        <w:tab w:val="left" w:pos="3402"/>
      </w:tabs>
      <w:jc w:val="both"/>
    </w:pPr>
    <w:rPr>
      <w:rFonts w:eastAsia="Calibri"/>
      <w:bCs/>
      <w:iCs/>
      <w:sz w:val="24"/>
      <w:szCs w:val="24"/>
      <w:lang w:eastAsia="pl-PL"/>
    </w:rPr>
  </w:style>
  <w:style w:type="paragraph" w:styleId="NormalnyWeb">
    <w:name w:val="Normal (Web)"/>
    <w:basedOn w:val="Normalny"/>
    <w:rsid w:val="00CC1EF4"/>
    <w:pPr>
      <w:tabs>
        <w:tab w:val="left" w:pos="397"/>
        <w:tab w:val="left" w:pos="567"/>
        <w:tab w:val="left" w:pos="794"/>
      </w:tabs>
      <w:spacing w:before="100" w:beforeAutospacing="1" w:after="119" w:line="240" w:lineRule="auto"/>
      <w:jc w:val="both"/>
    </w:pPr>
    <w:rPr>
      <w:rFonts w:ascii="Arial" w:eastAsia="Calibri" w:hAnsi="Arial" w:cs="Arial"/>
      <w:bCs/>
      <w:iCs/>
      <w:sz w:val="20"/>
      <w:szCs w:val="24"/>
      <w:lang w:eastAsia="pl-PL"/>
    </w:rPr>
  </w:style>
  <w:style w:type="paragraph" w:customStyle="1" w:styleId="Tekstpodstawowy1">
    <w:name w:val="Tekst podstawowy1"/>
    <w:rsid w:val="00CC1EF4"/>
    <w:pPr>
      <w:widowControl w:val="0"/>
      <w:suppressLineNumbers/>
      <w:suppressAutoHyphens/>
      <w:spacing w:after="0" w:line="240" w:lineRule="auto"/>
      <w:jc w:val="both"/>
    </w:pPr>
    <w:rPr>
      <w:rFonts w:ascii="Arial" w:eastAsia="Calibri" w:hAnsi="Arial" w:cs="Times New Roman"/>
      <w:color w:val="000000"/>
      <w:sz w:val="24"/>
      <w:szCs w:val="20"/>
      <w:lang w:eastAsia="pl-PL"/>
    </w:rPr>
  </w:style>
  <w:style w:type="paragraph" w:customStyle="1" w:styleId="StylNagwek2Pogrubienie">
    <w:name w:val="Styl Nagłówek 2 + Pogrubienie"/>
    <w:basedOn w:val="Nagwek2"/>
    <w:rsid w:val="00CC1EF4"/>
    <w:pPr>
      <w:tabs>
        <w:tab w:val="left" w:pos="567"/>
        <w:tab w:val="left" w:pos="794"/>
        <w:tab w:val="num" w:pos="2496"/>
      </w:tabs>
      <w:overflowPunct/>
      <w:autoSpaceDE/>
      <w:autoSpaceDN/>
      <w:adjustRightInd/>
      <w:spacing w:before="240" w:after="0"/>
      <w:ind w:left="2496" w:hanging="360"/>
      <w:textAlignment w:val="auto"/>
    </w:pPr>
    <w:rPr>
      <w:rFonts w:eastAsia="Calibri"/>
      <w:b w:val="0"/>
      <w:bCs/>
      <w:kern w:val="24"/>
      <w:szCs w:val="24"/>
    </w:rPr>
  </w:style>
  <w:style w:type="paragraph" w:customStyle="1" w:styleId="wyjust120">
    <w:name w:val="wyjust 12"/>
    <w:basedOn w:val="StylWyjustowany"/>
    <w:rsid w:val="00CC1EF4"/>
    <w:pPr>
      <w:tabs>
        <w:tab w:val="clear" w:pos="737"/>
        <w:tab w:val="left" w:pos="284"/>
        <w:tab w:val="left" w:pos="794"/>
        <w:tab w:val="left" w:pos="851"/>
      </w:tabs>
      <w:spacing w:before="240"/>
    </w:pPr>
  </w:style>
  <w:style w:type="paragraph" w:customStyle="1" w:styleId="norm120">
    <w:name w:val="norm 12"/>
    <w:basedOn w:val="StylWyjustowany"/>
    <w:rsid w:val="00CC1EF4"/>
    <w:pPr>
      <w:tabs>
        <w:tab w:val="clear" w:pos="737"/>
        <w:tab w:val="left" w:pos="284"/>
        <w:tab w:val="left" w:pos="794"/>
        <w:tab w:val="left" w:pos="851"/>
      </w:tabs>
      <w:spacing w:before="240"/>
    </w:pPr>
  </w:style>
  <w:style w:type="character" w:customStyle="1" w:styleId="norm12Znak">
    <w:name w:val="norm 12 Znak"/>
    <w:rsid w:val="00CC1EF4"/>
  </w:style>
  <w:style w:type="paragraph" w:customStyle="1" w:styleId="NORM0">
    <w:name w:val="NORM 0"/>
    <w:basedOn w:val="Normalny"/>
    <w:rsid w:val="00CC1EF4"/>
    <w:pPr>
      <w:tabs>
        <w:tab w:val="left" w:pos="284"/>
        <w:tab w:val="left" w:pos="567"/>
        <w:tab w:val="left" w:pos="794"/>
        <w:tab w:val="left" w:pos="851"/>
      </w:tabs>
      <w:spacing w:after="0" w:line="240" w:lineRule="auto"/>
      <w:jc w:val="both"/>
    </w:pPr>
    <w:rPr>
      <w:rFonts w:ascii="Arial" w:eastAsia="Calibri" w:hAnsi="Arial" w:cs="Times New Roman"/>
      <w:bCs/>
      <w:iCs/>
      <w:sz w:val="24"/>
      <w:szCs w:val="24"/>
      <w:lang w:eastAsia="pl-PL"/>
    </w:rPr>
  </w:style>
  <w:style w:type="character" w:customStyle="1" w:styleId="NORM0Znak">
    <w:name w:val="NORM 0 Znak"/>
    <w:rsid w:val="00CC1EF4"/>
    <w:rPr>
      <w:rFonts w:cs="Times New Roman"/>
      <w:bCs/>
      <w:iCs/>
      <w:sz w:val="24"/>
      <w:szCs w:val="24"/>
      <w:lang w:val="pl-PL" w:eastAsia="pl-PL" w:bidi="ar-SA"/>
    </w:rPr>
  </w:style>
  <w:style w:type="paragraph" w:customStyle="1" w:styleId="styliwony0">
    <w:name w:val="styliwony"/>
    <w:basedOn w:val="Normalny"/>
    <w:rsid w:val="00CC1EF4"/>
    <w:pPr>
      <w:tabs>
        <w:tab w:val="left" w:pos="794"/>
      </w:tabs>
      <w:spacing w:before="100" w:beforeAutospacing="1" w:after="100" w:afterAutospacing="1" w:line="240" w:lineRule="auto"/>
    </w:pPr>
    <w:rPr>
      <w:rFonts w:ascii="Arial" w:eastAsia="Calibri" w:hAnsi="Arial" w:cs="Times New Roman"/>
      <w:sz w:val="24"/>
      <w:szCs w:val="24"/>
      <w:lang w:eastAsia="pl-PL"/>
    </w:rPr>
  </w:style>
  <w:style w:type="character" w:customStyle="1" w:styleId="StylNagwek2PogrubienieZnak">
    <w:name w:val="Styl Nagłówek 2 + Pogrubienie Znak"/>
    <w:rsid w:val="00CC1EF4"/>
    <w:rPr>
      <w:rFonts w:ascii="Cambria" w:hAnsi="Cambria" w:cs="Arial"/>
      <w:b/>
      <w:bCs/>
      <w:color w:val="4F81BD"/>
      <w:kern w:val="24"/>
      <w:sz w:val="24"/>
      <w:szCs w:val="24"/>
      <w:lang w:val="pl-PL" w:eastAsia="pl-PL" w:bidi="ar-SA"/>
    </w:rPr>
  </w:style>
  <w:style w:type="paragraph" w:styleId="Data">
    <w:name w:val="Date"/>
    <w:basedOn w:val="Normalny"/>
    <w:next w:val="Normalny"/>
    <w:link w:val="DataZnak"/>
    <w:rsid w:val="00CC1EF4"/>
    <w:pPr>
      <w:tabs>
        <w:tab w:val="left" w:pos="397"/>
        <w:tab w:val="left" w:pos="567"/>
        <w:tab w:val="left" w:pos="794"/>
      </w:tabs>
      <w:spacing w:after="0" w:line="240" w:lineRule="auto"/>
    </w:pPr>
    <w:rPr>
      <w:rFonts w:ascii="Times New Roman" w:eastAsia="Calibri" w:hAnsi="Times New Roman" w:cs="Times New Roman"/>
      <w:bCs/>
      <w:iCs/>
      <w:sz w:val="24"/>
      <w:szCs w:val="24"/>
    </w:rPr>
  </w:style>
  <w:style w:type="character" w:customStyle="1" w:styleId="DataZnak">
    <w:name w:val="Data Znak"/>
    <w:basedOn w:val="Domylnaczcionkaakapitu"/>
    <w:link w:val="Data"/>
    <w:rsid w:val="00CC1EF4"/>
    <w:rPr>
      <w:rFonts w:ascii="Times New Roman" w:eastAsia="Calibri" w:hAnsi="Times New Roman" w:cs="Times New Roman"/>
      <w:bCs/>
      <w:iCs/>
      <w:sz w:val="24"/>
      <w:szCs w:val="24"/>
    </w:rPr>
  </w:style>
  <w:style w:type="paragraph" w:customStyle="1" w:styleId="71">
    <w:name w:val="71"/>
    <w:basedOn w:val="Normalny"/>
    <w:next w:val="Nagwek"/>
    <w:rsid w:val="00CC1EF4"/>
    <w:pPr>
      <w:pBdr>
        <w:bottom w:val="single" w:sz="4" w:space="1" w:color="auto"/>
      </w:pBdr>
      <w:tabs>
        <w:tab w:val="left" w:pos="397"/>
        <w:tab w:val="left" w:pos="794"/>
        <w:tab w:val="center" w:pos="4536"/>
        <w:tab w:val="right" w:pos="9072"/>
      </w:tabs>
      <w:spacing w:after="0" w:line="240" w:lineRule="auto"/>
      <w:jc w:val="both"/>
    </w:pPr>
    <w:rPr>
      <w:rFonts w:ascii="Arial" w:eastAsia="Calibri" w:hAnsi="Arial" w:cs="Arial"/>
      <w:bCs/>
      <w:i/>
      <w:iCs/>
      <w:sz w:val="20"/>
      <w:szCs w:val="24"/>
      <w:lang w:eastAsia="pl-PL"/>
    </w:rPr>
  </w:style>
  <w:style w:type="paragraph" w:customStyle="1" w:styleId="61">
    <w:name w:val="61"/>
    <w:basedOn w:val="Normalny"/>
    <w:next w:val="Nagwek"/>
    <w:rsid w:val="00CC1EF4"/>
    <w:pPr>
      <w:pBdr>
        <w:bottom w:val="single" w:sz="4" w:space="1" w:color="auto"/>
      </w:pBdr>
      <w:tabs>
        <w:tab w:val="left" w:pos="397"/>
        <w:tab w:val="left" w:pos="794"/>
        <w:tab w:val="center" w:pos="4536"/>
        <w:tab w:val="right" w:pos="9072"/>
      </w:tabs>
      <w:spacing w:after="0" w:line="240" w:lineRule="auto"/>
      <w:jc w:val="both"/>
    </w:pPr>
    <w:rPr>
      <w:rFonts w:ascii="Arial" w:eastAsia="Calibri" w:hAnsi="Arial" w:cs="Arial"/>
      <w:bCs/>
      <w:i/>
      <w:iCs/>
      <w:sz w:val="20"/>
      <w:szCs w:val="24"/>
      <w:lang w:eastAsia="pl-PL"/>
    </w:rPr>
  </w:style>
  <w:style w:type="paragraph" w:customStyle="1" w:styleId="5">
    <w:name w:val="5"/>
    <w:basedOn w:val="Normalny"/>
    <w:next w:val="Nagwek"/>
    <w:rsid w:val="00CC1EF4"/>
    <w:pPr>
      <w:pBdr>
        <w:bottom w:val="single" w:sz="4" w:space="1" w:color="auto"/>
      </w:pBdr>
      <w:tabs>
        <w:tab w:val="left" w:pos="397"/>
        <w:tab w:val="left" w:pos="794"/>
        <w:tab w:val="center" w:pos="4536"/>
        <w:tab w:val="right" w:pos="9072"/>
      </w:tabs>
      <w:spacing w:after="0" w:line="240" w:lineRule="auto"/>
      <w:jc w:val="both"/>
    </w:pPr>
    <w:rPr>
      <w:rFonts w:ascii="Arial" w:eastAsia="Calibri" w:hAnsi="Arial" w:cs="Arial"/>
      <w:bCs/>
      <w:i/>
      <w:iCs/>
      <w:sz w:val="20"/>
      <w:szCs w:val="24"/>
      <w:lang w:eastAsia="pl-PL"/>
    </w:rPr>
  </w:style>
  <w:style w:type="paragraph" w:customStyle="1" w:styleId="4">
    <w:name w:val="4"/>
    <w:basedOn w:val="Normalny"/>
    <w:next w:val="Nagwek"/>
    <w:rsid w:val="00CC1EF4"/>
    <w:pPr>
      <w:pBdr>
        <w:bottom w:val="single" w:sz="4" w:space="1" w:color="auto"/>
      </w:pBdr>
      <w:tabs>
        <w:tab w:val="left" w:pos="397"/>
        <w:tab w:val="left" w:pos="794"/>
        <w:tab w:val="center" w:pos="4536"/>
        <w:tab w:val="right" w:pos="9072"/>
      </w:tabs>
      <w:spacing w:after="0" w:line="240" w:lineRule="auto"/>
      <w:jc w:val="both"/>
    </w:pPr>
    <w:rPr>
      <w:rFonts w:ascii="Arial" w:eastAsia="Calibri" w:hAnsi="Arial" w:cs="Arial"/>
      <w:bCs/>
      <w:i/>
      <w:iCs/>
      <w:sz w:val="20"/>
      <w:szCs w:val="24"/>
      <w:lang w:eastAsia="pl-PL"/>
    </w:rPr>
  </w:style>
  <w:style w:type="paragraph" w:customStyle="1" w:styleId="3">
    <w:name w:val="3"/>
    <w:basedOn w:val="Normalny"/>
    <w:next w:val="Nagwek"/>
    <w:rsid w:val="00CC1EF4"/>
    <w:pPr>
      <w:pBdr>
        <w:bottom w:val="single" w:sz="4" w:space="1" w:color="auto"/>
      </w:pBdr>
      <w:tabs>
        <w:tab w:val="left" w:pos="397"/>
        <w:tab w:val="left" w:pos="794"/>
        <w:tab w:val="center" w:pos="4536"/>
        <w:tab w:val="right" w:pos="9072"/>
      </w:tabs>
      <w:spacing w:after="0" w:line="240" w:lineRule="auto"/>
      <w:jc w:val="both"/>
    </w:pPr>
    <w:rPr>
      <w:rFonts w:ascii="Arial" w:eastAsia="Calibri" w:hAnsi="Arial" w:cs="Arial"/>
      <w:bCs/>
      <w:i/>
      <w:iCs/>
      <w:sz w:val="20"/>
      <w:szCs w:val="24"/>
      <w:lang w:eastAsia="pl-PL"/>
    </w:rPr>
  </w:style>
  <w:style w:type="paragraph" w:customStyle="1" w:styleId="2">
    <w:name w:val="2"/>
    <w:basedOn w:val="Normalny"/>
    <w:next w:val="Nagwek"/>
    <w:rsid w:val="00CC1EF4"/>
    <w:pPr>
      <w:pBdr>
        <w:bottom w:val="single" w:sz="4" w:space="1" w:color="auto"/>
      </w:pBdr>
      <w:tabs>
        <w:tab w:val="left" w:pos="397"/>
        <w:tab w:val="left" w:pos="794"/>
        <w:tab w:val="center" w:pos="4536"/>
        <w:tab w:val="right" w:pos="9072"/>
      </w:tabs>
      <w:spacing w:after="0" w:line="240" w:lineRule="auto"/>
      <w:jc w:val="both"/>
    </w:pPr>
    <w:rPr>
      <w:rFonts w:ascii="Arial" w:eastAsia="Calibri" w:hAnsi="Arial" w:cs="Arial"/>
      <w:bCs/>
      <w:i/>
      <w:iCs/>
      <w:sz w:val="20"/>
      <w:szCs w:val="24"/>
      <w:lang w:eastAsia="pl-PL"/>
    </w:rPr>
  </w:style>
  <w:style w:type="paragraph" w:customStyle="1" w:styleId="1">
    <w:name w:val="1"/>
    <w:basedOn w:val="Normalny"/>
    <w:next w:val="Nagwek"/>
    <w:rsid w:val="00CC1EF4"/>
    <w:pPr>
      <w:pBdr>
        <w:bottom w:val="single" w:sz="4" w:space="1" w:color="auto"/>
      </w:pBdr>
      <w:tabs>
        <w:tab w:val="left" w:pos="397"/>
        <w:tab w:val="left" w:pos="794"/>
        <w:tab w:val="center" w:pos="4536"/>
        <w:tab w:val="right" w:pos="9072"/>
      </w:tabs>
      <w:spacing w:after="0" w:line="240" w:lineRule="auto"/>
      <w:jc w:val="both"/>
    </w:pPr>
    <w:rPr>
      <w:rFonts w:ascii="Arial" w:eastAsia="Calibri" w:hAnsi="Arial" w:cs="Arial"/>
      <w:bCs/>
      <w:i/>
      <w:iCs/>
      <w:sz w:val="20"/>
      <w:szCs w:val="24"/>
      <w:lang w:eastAsia="pl-PL"/>
    </w:rPr>
  </w:style>
  <w:style w:type="paragraph" w:customStyle="1" w:styleId="8">
    <w:name w:val="8"/>
    <w:basedOn w:val="Normalny"/>
    <w:next w:val="Nagwek"/>
    <w:rsid w:val="00CC1EF4"/>
    <w:pPr>
      <w:pBdr>
        <w:bottom w:val="single" w:sz="4" w:space="1" w:color="auto"/>
      </w:pBdr>
      <w:tabs>
        <w:tab w:val="left" w:pos="397"/>
        <w:tab w:val="left" w:pos="794"/>
        <w:tab w:val="center" w:pos="4536"/>
        <w:tab w:val="right" w:pos="9072"/>
      </w:tabs>
      <w:spacing w:after="0" w:line="240" w:lineRule="auto"/>
      <w:jc w:val="both"/>
    </w:pPr>
    <w:rPr>
      <w:rFonts w:ascii="Arial" w:eastAsia="Calibri" w:hAnsi="Arial" w:cs="Arial"/>
      <w:bCs/>
      <w:i/>
      <w:iCs/>
      <w:sz w:val="20"/>
      <w:szCs w:val="24"/>
      <w:lang w:eastAsia="pl-PL"/>
    </w:rPr>
  </w:style>
  <w:style w:type="paragraph" w:customStyle="1" w:styleId="11">
    <w:name w:val="11"/>
    <w:basedOn w:val="Normalny"/>
    <w:next w:val="Nagwek"/>
    <w:rsid w:val="00CC1EF4"/>
    <w:pPr>
      <w:pBdr>
        <w:bottom w:val="single" w:sz="4" w:space="1" w:color="auto"/>
      </w:pBdr>
      <w:tabs>
        <w:tab w:val="left" w:pos="397"/>
        <w:tab w:val="left" w:pos="794"/>
        <w:tab w:val="center" w:pos="4536"/>
        <w:tab w:val="right" w:pos="9072"/>
      </w:tabs>
      <w:spacing w:after="0" w:line="240" w:lineRule="auto"/>
      <w:jc w:val="both"/>
    </w:pPr>
    <w:rPr>
      <w:rFonts w:ascii="Arial" w:eastAsia="Calibri" w:hAnsi="Arial" w:cs="Arial"/>
      <w:bCs/>
      <w:i/>
      <w:iCs/>
      <w:sz w:val="20"/>
      <w:szCs w:val="24"/>
      <w:lang w:eastAsia="pl-PL"/>
    </w:rPr>
  </w:style>
  <w:style w:type="paragraph" w:customStyle="1" w:styleId="101">
    <w:name w:val="101"/>
    <w:basedOn w:val="Normalny"/>
    <w:next w:val="Nagwek"/>
    <w:rsid w:val="00CC1EF4"/>
    <w:pPr>
      <w:pBdr>
        <w:bottom w:val="single" w:sz="4" w:space="1" w:color="auto"/>
      </w:pBdr>
      <w:tabs>
        <w:tab w:val="left" w:pos="397"/>
        <w:tab w:val="left" w:pos="794"/>
        <w:tab w:val="center" w:pos="4536"/>
        <w:tab w:val="right" w:pos="9072"/>
      </w:tabs>
      <w:spacing w:after="0" w:line="240" w:lineRule="auto"/>
      <w:jc w:val="both"/>
    </w:pPr>
    <w:rPr>
      <w:rFonts w:ascii="Arial" w:eastAsia="Calibri" w:hAnsi="Arial" w:cs="Arial"/>
      <w:bCs/>
      <w:i/>
      <w:iCs/>
      <w:sz w:val="20"/>
      <w:szCs w:val="24"/>
      <w:lang w:eastAsia="pl-PL"/>
    </w:rPr>
  </w:style>
  <w:style w:type="paragraph" w:customStyle="1" w:styleId="91">
    <w:name w:val="91"/>
    <w:basedOn w:val="Normalny"/>
    <w:next w:val="Nagwek"/>
    <w:rsid w:val="00CC1EF4"/>
    <w:pPr>
      <w:pBdr>
        <w:bottom w:val="single" w:sz="4" w:space="1" w:color="auto"/>
      </w:pBdr>
      <w:tabs>
        <w:tab w:val="left" w:pos="397"/>
        <w:tab w:val="left" w:pos="794"/>
        <w:tab w:val="center" w:pos="4536"/>
        <w:tab w:val="right" w:pos="9072"/>
      </w:tabs>
      <w:spacing w:after="0" w:line="240" w:lineRule="auto"/>
      <w:jc w:val="both"/>
    </w:pPr>
    <w:rPr>
      <w:rFonts w:ascii="Arial" w:eastAsia="Calibri" w:hAnsi="Arial" w:cs="Arial"/>
      <w:bCs/>
      <w:i/>
      <w:iCs/>
      <w:sz w:val="20"/>
      <w:szCs w:val="24"/>
      <w:lang w:eastAsia="pl-PL"/>
    </w:rPr>
  </w:style>
  <w:style w:type="paragraph" w:customStyle="1" w:styleId="Normalny1">
    <w:name w:val="Normalny1"/>
    <w:basedOn w:val="Normalny"/>
    <w:rsid w:val="00CC1EF4"/>
    <w:pPr>
      <w:tabs>
        <w:tab w:val="left" w:pos="397"/>
        <w:tab w:val="left" w:pos="567"/>
        <w:tab w:val="left" w:pos="794"/>
      </w:tabs>
      <w:spacing w:before="240" w:after="0" w:line="240" w:lineRule="auto"/>
      <w:jc w:val="both"/>
    </w:pPr>
    <w:rPr>
      <w:rFonts w:ascii="Arial" w:eastAsia="Calibri" w:hAnsi="Arial" w:cs="Arial"/>
      <w:bCs/>
      <w:iCs/>
      <w:sz w:val="20"/>
      <w:szCs w:val="24"/>
      <w:lang w:eastAsia="pl-PL"/>
    </w:rPr>
  </w:style>
  <w:style w:type="character" w:customStyle="1" w:styleId="normalZnak">
    <w:name w:val="normal Znak"/>
    <w:link w:val="Normalny2"/>
    <w:locked/>
    <w:rsid w:val="00CC1EF4"/>
    <w:rPr>
      <w:rFonts w:cs="Arial"/>
      <w:bCs/>
      <w:iCs/>
      <w:sz w:val="24"/>
      <w:szCs w:val="24"/>
    </w:rPr>
  </w:style>
  <w:style w:type="paragraph" w:customStyle="1" w:styleId="norm00">
    <w:name w:val="norm 0"/>
    <w:basedOn w:val="Normalny"/>
    <w:rsid w:val="00CC1EF4"/>
    <w:pPr>
      <w:tabs>
        <w:tab w:val="left" w:pos="397"/>
        <w:tab w:val="left" w:pos="567"/>
        <w:tab w:val="left" w:pos="794"/>
      </w:tabs>
      <w:spacing w:after="0" w:line="240" w:lineRule="auto"/>
      <w:jc w:val="both"/>
    </w:pPr>
    <w:rPr>
      <w:rFonts w:ascii="Arial" w:eastAsia="Calibri" w:hAnsi="Arial" w:cs="Arial"/>
      <w:bCs/>
      <w:iCs/>
      <w:sz w:val="20"/>
      <w:szCs w:val="24"/>
      <w:lang w:eastAsia="pl-PL"/>
    </w:rPr>
  </w:style>
  <w:style w:type="character" w:customStyle="1" w:styleId="StylPogrubienie">
    <w:name w:val="Styl Pogrubienie"/>
    <w:rsid w:val="00CC1EF4"/>
    <w:rPr>
      <w:rFonts w:cs="Times New Roman"/>
      <w:b/>
    </w:rPr>
  </w:style>
  <w:style w:type="character" w:customStyle="1" w:styleId="DocumentMapChar">
    <w:name w:val="Document Map Char"/>
    <w:semiHidden/>
    <w:locked/>
    <w:rsid w:val="00CC1EF4"/>
    <w:rPr>
      <w:rFonts w:ascii="Tahoma" w:hAnsi="Tahoma"/>
      <w:sz w:val="20"/>
      <w:shd w:val="clear" w:color="auto" w:fill="000080"/>
      <w:lang w:eastAsia="pl-PL"/>
    </w:rPr>
  </w:style>
  <w:style w:type="paragraph" w:customStyle="1" w:styleId="Mapadokumentu1">
    <w:name w:val="Mapa dokumentu1"/>
    <w:basedOn w:val="Normalny"/>
    <w:next w:val="Mapadokumentu"/>
    <w:link w:val="MapadokumentuZnak2"/>
    <w:uiPriority w:val="99"/>
    <w:rsid w:val="00CC1EF4"/>
    <w:pPr>
      <w:shd w:val="clear" w:color="auto" w:fill="000080"/>
      <w:tabs>
        <w:tab w:val="left" w:pos="397"/>
        <w:tab w:val="left" w:pos="567"/>
        <w:tab w:val="left" w:pos="794"/>
      </w:tabs>
      <w:spacing w:before="120" w:after="0" w:line="240" w:lineRule="auto"/>
      <w:jc w:val="both"/>
    </w:pPr>
    <w:rPr>
      <w:rFonts w:ascii="Times New Roman" w:eastAsia="Times New Roman" w:hAnsi="Times New Roman" w:cs="Times New Roman"/>
      <w:sz w:val="2"/>
      <w:szCs w:val="20"/>
    </w:rPr>
  </w:style>
  <w:style w:type="character" w:customStyle="1" w:styleId="MapadokumentuZnak2">
    <w:name w:val="Mapa dokumentu Znak2"/>
    <w:link w:val="Mapadokumentu1"/>
    <w:uiPriority w:val="99"/>
    <w:locked/>
    <w:rsid w:val="00CC1EF4"/>
    <w:rPr>
      <w:rFonts w:ascii="Times New Roman" w:eastAsia="Times New Roman" w:hAnsi="Times New Roman" w:cs="Times New Roman"/>
      <w:sz w:val="2"/>
      <w:szCs w:val="20"/>
      <w:shd w:val="clear" w:color="auto" w:fill="000080"/>
    </w:rPr>
  </w:style>
  <w:style w:type="character" w:customStyle="1" w:styleId="MapadokumentuZnak1">
    <w:name w:val="Mapa dokumentu Znak1"/>
    <w:semiHidden/>
    <w:rsid w:val="00CC1EF4"/>
    <w:rPr>
      <w:rFonts w:ascii="Tahoma" w:hAnsi="Tahoma" w:cs="Tahoma"/>
      <w:sz w:val="16"/>
      <w:szCs w:val="16"/>
    </w:rPr>
  </w:style>
  <w:style w:type="paragraph" w:customStyle="1" w:styleId="Styl2">
    <w:name w:val="Styl2"/>
    <w:basedOn w:val="Tekstpodstawowy"/>
    <w:next w:val="Standardowytekst"/>
    <w:rsid w:val="00CC1EF4"/>
    <w:pPr>
      <w:tabs>
        <w:tab w:val="left" w:pos="397"/>
        <w:tab w:val="left" w:pos="567"/>
        <w:tab w:val="left" w:pos="794"/>
      </w:tabs>
      <w:spacing w:before="120" w:after="120" w:line="240" w:lineRule="auto"/>
      <w:jc w:val="both"/>
    </w:pPr>
    <w:rPr>
      <w:rFonts w:eastAsia="Calibri"/>
      <w:bCs/>
      <w:iCs/>
      <w:szCs w:val="24"/>
    </w:rPr>
  </w:style>
  <w:style w:type="character" w:customStyle="1" w:styleId="StylNormalny1210ptNiePogrubienieZnak">
    <w:name w:val="Styl Normalny 12 + 10 pt Nie Pogrubienie Znak"/>
    <w:link w:val="StylNormalny1210ptNiePogrubienie"/>
    <w:locked/>
    <w:rsid w:val="00CC1EF4"/>
    <w:rPr>
      <w:rFonts w:cs="Arial"/>
      <w:b/>
      <w:bCs/>
      <w:iCs/>
      <w:sz w:val="24"/>
      <w:szCs w:val="24"/>
    </w:rPr>
  </w:style>
  <w:style w:type="paragraph" w:customStyle="1" w:styleId="Vertragstext">
    <w:name w:val="Vertragstext"/>
    <w:basedOn w:val="Normalny"/>
    <w:rsid w:val="00CC1EF4"/>
    <w:pPr>
      <w:suppressAutoHyphens/>
      <w:spacing w:before="120" w:after="120" w:line="240" w:lineRule="auto"/>
      <w:ind w:left="1134"/>
      <w:jc w:val="both"/>
    </w:pPr>
    <w:rPr>
      <w:rFonts w:ascii="Arial" w:eastAsia="MS Mincho" w:hAnsi="Arial" w:cs="Times New Roman"/>
      <w:i/>
      <w:iCs/>
      <w:color w:val="000000"/>
      <w:sz w:val="24"/>
      <w:szCs w:val="20"/>
      <w:lang w:val="en-GB" w:eastAsia="de-DE"/>
    </w:rPr>
  </w:style>
  <w:style w:type="paragraph" w:customStyle="1" w:styleId="Gliederung1">
    <w:name w:val="Gliederung 1"/>
    <w:basedOn w:val="Normalny"/>
    <w:autoRedefine/>
    <w:rsid w:val="00CC1EF4"/>
    <w:pPr>
      <w:tabs>
        <w:tab w:val="left" w:pos="350"/>
        <w:tab w:val="num" w:pos="432"/>
        <w:tab w:val="left" w:pos="1418"/>
      </w:tabs>
      <w:spacing w:after="120" w:line="360" w:lineRule="auto"/>
      <w:ind w:left="432" w:right="-72" w:hanging="432"/>
      <w:jc w:val="center"/>
    </w:pPr>
    <w:rPr>
      <w:rFonts w:ascii="Arial" w:eastAsia="MS Mincho" w:hAnsi="Arial" w:cs="Arial"/>
      <w:b/>
      <w:bCs/>
      <w:szCs w:val="20"/>
      <w:lang w:val="de-DE" w:eastAsia="de-DE"/>
    </w:rPr>
  </w:style>
  <w:style w:type="paragraph" w:customStyle="1" w:styleId="Gliederung2">
    <w:name w:val="Gliederung2"/>
    <w:basedOn w:val="Tekstpodstawowy3"/>
    <w:autoRedefine/>
    <w:rsid w:val="00CC1EF4"/>
    <w:pPr>
      <w:tabs>
        <w:tab w:val="left" w:pos="350"/>
        <w:tab w:val="num" w:pos="576"/>
        <w:tab w:val="left" w:pos="851"/>
      </w:tabs>
      <w:spacing w:after="0" w:line="360" w:lineRule="auto"/>
      <w:ind w:left="576" w:right="-72" w:hanging="576"/>
      <w:jc w:val="center"/>
    </w:pPr>
    <w:rPr>
      <w:rFonts w:ascii="Arial" w:eastAsia="MS Mincho" w:hAnsi="Arial"/>
      <w:b/>
      <w:sz w:val="24"/>
      <w:szCs w:val="20"/>
      <w:lang w:val="de-DE" w:eastAsia="de-DE"/>
    </w:rPr>
  </w:style>
  <w:style w:type="paragraph" w:customStyle="1" w:styleId="Gliederung3">
    <w:name w:val="Gliederung3"/>
    <w:basedOn w:val="Normalny"/>
    <w:autoRedefine/>
    <w:rsid w:val="00CC1EF4"/>
    <w:pPr>
      <w:tabs>
        <w:tab w:val="left" w:pos="350"/>
        <w:tab w:val="num" w:pos="720"/>
        <w:tab w:val="left" w:pos="851"/>
      </w:tabs>
      <w:spacing w:after="120" w:line="360" w:lineRule="auto"/>
      <w:ind w:left="720" w:right="-72" w:hanging="720"/>
      <w:jc w:val="center"/>
    </w:pPr>
    <w:rPr>
      <w:rFonts w:ascii="Arial" w:eastAsia="MS Mincho" w:hAnsi="Arial" w:cs="Arial"/>
      <w:b/>
      <w:szCs w:val="20"/>
      <w:lang w:val="de-DE" w:eastAsia="de-DE"/>
    </w:rPr>
  </w:style>
  <w:style w:type="paragraph" w:customStyle="1" w:styleId="Gliederung4">
    <w:name w:val="Gliederung4"/>
    <w:basedOn w:val="Normalny"/>
    <w:autoRedefine/>
    <w:rsid w:val="00CC1EF4"/>
    <w:pPr>
      <w:tabs>
        <w:tab w:val="left" w:pos="350"/>
        <w:tab w:val="num" w:pos="864"/>
        <w:tab w:val="left" w:pos="1134"/>
      </w:tabs>
      <w:spacing w:after="120" w:line="360" w:lineRule="auto"/>
      <w:ind w:left="864" w:right="-72" w:hanging="864"/>
      <w:jc w:val="center"/>
    </w:pPr>
    <w:rPr>
      <w:rFonts w:ascii="Arial" w:eastAsia="MS Mincho" w:hAnsi="Arial" w:cs="Arial"/>
      <w:b/>
      <w:szCs w:val="20"/>
      <w:lang w:val="de-DE" w:eastAsia="de-DE"/>
    </w:rPr>
  </w:style>
  <w:style w:type="paragraph" w:customStyle="1" w:styleId="Gliederung5">
    <w:name w:val="Gliederung 5"/>
    <w:basedOn w:val="Normalny"/>
    <w:autoRedefine/>
    <w:rsid w:val="00CC1EF4"/>
    <w:pPr>
      <w:numPr>
        <w:ilvl w:val="4"/>
        <w:numId w:val="74"/>
      </w:numPr>
      <w:tabs>
        <w:tab w:val="left" w:pos="350"/>
        <w:tab w:val="left" w:pos="1418"/>
      </w:tabs>
      <w:spacing w:after="120" w:line="360" w:lineRule="auto"/>
      <w:ind w:right="-72"/>
      <w:jc w:val="center"/>
    </w:pPr>
    <w:rPr>
      <w:rFonts w:ascii="Arial" w:eastAsia="MS Mincho" w:hAnsi="Arial" w:cs="Arial"/>
      <w:b/>
      <w:szCs w:val="20"/>
      <w:lang w:val="de-DE" w:eastAsia="de-DE"/>
    </w:rPr>
  </w:style>
  <w:style w:type="paragraph" w:customStyle="1" w:styleId="Bezodstpw1">
    <w:name w:val="Bez odstępów1"/>
    <w:qFormat/>
    <w:rsid w:val="00CC1EF4"/>
    <w:pPr>
      <w:numPr>
        <w:numId w:val="87"/>
      </w:numPr>
      <w:spacing w:after="0" w:line="240" w:lineRule="auto"/>
      <w:ind w:left="0" w:firstLine="0"/>
    </w:pPr>
    <w:rPr>
      <w:rFonts w:ascii="Calibri" w:eastAsia="Times New Roman" w:hAnsi="Calibri" w:cs="Times New Roman"/>
    </w:rPr>
  </w:style>
  <w:style w:type="character" w:customStyle="1" w:styleId="Wyrnieniedelikatne1">
    <w:name w:val="Wyróżnienie delikatne1"/>
    <w:rsid w:val="00CC1EF4"/>
    <w:rPr>
      <w:rFonts w:cs="Times New Roman"/>
      <w:i/>
      <w:iCs/>
      <w:color w:val="808080"/>
    </w:rPr>
  </w:style>
  <w:style w:type="paragraph" w:customStyle="1" w:styleId="Normalny2">
    <w:name w:val="Normalny2"/>
    <w:basedOn w:val="Normalny"/>
    <w:link w:val="normalZnak"/>
    <w:rsid w:val="00CC1EF4"/>
    <w:pPr>
      <w:spacing w:before="240" w:after="0" w:line="240" w:lineRule="auto"/>
      <w:jc w:val="both"/>
    </w:pPr>
    <w:rPr>
      <w:rFonts w:cs="Arial"/>
      <w:bCs/>
      <w:iCs/>
      <w:sz w:val="24"/>
      <w:szCs w:val="24"/>
    </w:rPr>
  </w:style>
  <w:style w:type="paragraph" w:customStyle="1" w:styleId="StylTytuSSTZlewej0cmWysunicie375cm">
    <w:name w:val="Styl Tytuł SST + Z lewej:  0 cm Wysunięcie:  375 cm"/>
    <w:basedOn w:val="TytuSST"/>
    <w:rsid w:val="00CC1EF4"/>
    <w:pPr>
      <w:tabs>
        <w:tab w:val="clear" w:pos="794"/>
        <w:tab w:val="clear" w:pos="2126"/>
        <w:tab w:val="left" w:pos="1701"/>
      </w:tabs>
      <w:spacing w:before="60"/>
      <w:ind w:left="1701" w:hanging="1701"/>
    </w:pPr>
    <w:rPr>
      <w:rFonts w:cs="Times New Roman"/>
      <w:iCs w:val="0"/>
      <w:szCs w:val="20"/>
    </w:rPr>
  </w:style>
  <w:style w:type="character" w:customStyle="1" w:styleId="ZnakZnak3">
    <w:name w:val="Znak Znak3"/>
    <w:rsid w:val="00CC1EF4"/>
    <w:rPr>
      <w:b/>
      <w:sz w:val="26"/>
      <w:lang w:val="pl-PL" w:eastAsia="pl-PL"/>
    </w:rPr>
  </w:style>
  <w:style w:type="paragraph" w:customStyle="1" w:styleId="Nagwek-SST-nieparzysty">
    <w:name w:val="Nagłówek - SST - nieparzysty"/>
    <w:basedOn w:val="Standardowytekst"/>
    <w:autoRedefine/>
    <w:rsid w:val="00CC1EF4"/>
    <w:pPr>
      <w:tabs>
        <w:tab w:val="left" w:pos="355"/>
      </w:tabs>
      <w:overflowPunct/>
      <w:adjustRightInd/>
      <w:ind w:right="360"/>
      <w:jc w:val="right"/>
      <w:textAlignment w:val="auto"/>
    </w:pPr>
    <w:rPr>
      <w:rFonts w:eastAsia="Calibri"/>
      <w:iCs/>
      <w:noProof/>
      <w:szCs w:val="24"/>
      <w:lang w:val="en-GB"/>
    </w:rPr>
  </w:style>
  <w:style w:type="paragraph" w:customStyle="1" w:styleId="StylTytuSSTZlewej0cmWysunicie375cm1">
    <w:name w:val="Styl Tytuł SST + Z lewej:  0 cm Wysunięcie:  375 cm1"/>
    <w:basedOn w:val="TytuSST"/>
    <w:rsid w:val="00CC1EF4"/>
    <w:pPr>
      <w:tabs>
        <w:tab w:val="clear" w:pos="794"/>
        <w:tab w:val="clear" w:pos="2126"/>
        <w:tab w:val="left" w:pos="1701"/>
      </w:tabs>
      <w:spacing w:before="60"/>
      <w:ind w:left="1701" w:hanging="1701"/>
    </w:pPr>
    <w:rPr>
      <w:rFonts w:cs="Times New Roman"/>
      <w:iCs w:val="0"/>
      <w:szCs w:val="20"/>
    </w:rPr>
  </w:style>
  <w:style w:type="paragraph" w:customStyle="1" w:styleId="StylNagwek3NiePogrubienie2">
    <w:name w:val="Styl Nagłówek 3 + Nie Pogrubienie2"/>
    <w:basedOn w:val="Nagwek3"/>
    <w:rsid w:val="00CC1EF4"/>
    <w:pPr>
      <w:numPr>
        <w:ilvl w:val="2"/>
      </w:numPr>
      <w:tabs>
        <w:tab w:val="num" w:pos="680"/>
      </w:tabs>
      <w:overflowPunct/>
      <w:autoSpaceDE/>
      <w:autoSpaceDN/>
      <w:adjustRightInd/>
      <w:spacing w:after="0"/>
      <w:textAlignment w:val="auto"/>
    </w:pPr>
    <w:rPr>
      <w:rFonts w:ascii="Arial" w:eastAsia="Calibri" w:hAnsi="Arial"/>
      <w:sz w:val="18"/>
      <w:szCs w:val="26"/>
    </w:rPr>
  </w:style>
  <w:style w:type="paragraph" w:customStyle="1" w:styleId="StylNagwek3NiePogrubieniePrzed12pt">
    <w:name w:val="Styl Nagłówek 3 + Nie Pogrubienie Przed:  12 pt"/>
    <w:basedOn w:val="Nagwek3"/>
    <w:rsid w:val="00CC1EF4"/>
    <w:pPr>
      <w:numPr>
        <w:ilvl w:val="2"/>
      </w:numPr>
      <w:tabs>
        <w:tab w:val="num" w:pos="680"/>
      </w:tabs>
      <w:overflowPunct/>
      <w:autoSpaceDE/>
      <w:autoSpaceDN/>
      <w:adjustRightInd/>
      <w:spacing w:after="0"/>
      <w:textAlignment w:val="auto"/>
    </w:pPr>
    <w:rPr>
      <w:rFonts w:ascii="Arial" w:eastAsia="Calibri" w:hAnsi="Arial"/>
      <w:sz w:val="18"/>
    </w:rPr>
  </w:style>
  <w:style w:type="paragraph" w:customStyle="1" w:styleId="StylNagwek3NiePogrubienie3">
    <w:name w:val="Styl Nagłówek 3 + Nie Pogrubienie3"/>
    <w:basedOn w:val="Nagwek3"/>
    <w:rsid w:val="00CC1EF4"/>
    <w:pPr>
      <w:numPr>
        <w:ilvl w:val="2"/>
      </w:numPr>
      <w:tabs>
        <w:tab w:val="num" w:pos="680"/>
      </w:tabs>
      <w:overflowPunct/>
      <w:autoSpaceDE/>
      <w:autoSpaceDN/>
      <w:adjustRightInd/>
      <w:spacing w:after="0"/>
      <w:textAlignment w:val="auto"/>
    </w:pPr>
    <w:rPr>
      <w:rFonts w:ascii="Arial" w:eastAsia="Calibri" w:hAnsi="Arial"/>
      <w:sz w:val="18"/>
      <w:szCs w:val="26"/>
    </w:rPr>
  </w:style>
  <w:style w:type="character" w:customStyle="1" w:styleId="Nagwek2ZnakZnak">
    <w:name w:val="Nagłówek 2 Znak Znak"/>
    <w:rsid w:val="00CC1EF4"/>
    <w:rPr>
      <w:b/>
      <w:kern w:val="24"/>
      <w:sz w:val="24"/>
      <w:lang w:val="pl-PL" w:eastAsia="pl-PL"/>
    </w:rPr>
  </w:style>
  <w:style w:type="character" w:customStyle="1" w:styleId="Nagwek1ZnakZnak">
    <w:name w:val="Nagłówek 1 Znak Znak"/>
    <w:rsid w:val="00CC1EF4"/>
    <w:rPr>
      <w:b/>
      <w:caps/>
      <w:kern w:val="24"/>
      <w:lang w:val="pl-PL" w:eastAsia="pl-PL"/>
    </w:rPr>
  </w:style>
  <w:style w:type="paragraph" w:customStyle="1" w:styleId="tytuSSTmay">
    <w:name w:val="tytuł SST mały"/>
    <w:basedOn w:val="TytuSST"/>
    <w:rsid w:val="00CC1EF4"/>
    <w:pPr>
      <w:tabs>
        <w:tab w:val="clear" w:pos="794"/>
        <w:tab w:val="clear" w:pos="2126"/>
        <w:tab w:val="left" w:pos="1701"/>
      </w:tabs>
      <w:spacing w:before="60"/>
    </w:pPr>
    <w:rPr>
      <w:b w:val="0"/>
      <w:sz w:val="18"/>
    </w:rPr>
  </w:style>
  <w:style w:type="paragraph" w:customStyle="1" w:styleId="Komentarz">
    <w:name w:val="Komentarz"/>
    <w:basedOn w:val="Normalny"/>
    <w:rsid w:val="00CC1EF4"/>
    <w:pPr>
      <w:spacing w:before="60" w:after="0" w:line="240" w:lineRule="auto"/>
      <w:jc w:val="both"/>
    </w:pPr>
    <w:rPr>
      <w:rFonts w:ascii="Arial" w:eastAsia="Calibri" w:hAnsi="Arial" w:cs="Arial"/>
      <w:bCs/>
      <w:i/>
      <w:iCs/>
      <w:sz w:val="18"/>
      <w:szCs w:val="24"/>
      <w:lang w:eastAsia="pl-PL"/>
    </w:rPr>
  </w:style>
  <w:style w:type="paragraph" w:customStyle="1" w:styleId="Tekstpodstawowy22">
    <w:name w:val="Tekst podstawowy 22"/>
    <w:basedOn w:val="Normalny"/>
    <w:rsid w:val="00CC1EF4"/>
    <w:pPr>
      <w:spacing w:after="0" w:line="240" w:lineRule="auto"/>
      <w:jc w:val="both"/>
    </w:pPr>
    <w:rPr>
      <w:rFonts w:ascii="Arial" w:eastAsia="Calibri" w:hAnsi="Arial" w:cs="Arial"/>
      <w:b/>
      <w:bCs/>
      <w:iCs/>
      <w:sz w:val="28"/>
      <w:szCs w:val="24"/>
      <w:lang w:eastAsia="pl-PL"/>
    </w:rPr>
  </w:style>
  <w:style w:type="paragraph" w:customStyle="1" w:styleId="Tekstpodstawowy31">
    <w:name w:val="Tekst podstawowy 31"/>
    <w:basedOn w:val="Normalny"/>
    <w:rsid w:val="00CC1EF4"/>
    <w:pPr>
      <w:spacing w:after="0" w:line="240" w:lineRule="auto"/>
      <w:jc w:val="both"/>
    </w:pPr>
    <w:rPr>
      <w:rFonts w:ascii="Arial" w:eastAsia="Calibri" w:hAnsi="Arial" w:cs="Arial"/>
      <w:b/>
      <w:bCs/>
      <w:iCs/>
      <w:sz w:val="28"/>
      <w:szCs w:val="24"/>
      <w:lang w:eastAsia="pl-PL"/>
    </w:rPr>
  </w:style>
  <w:style w:type="paragraph" w:customStyle="1" w:styleId="a">
    <w:name w:val="Ś"/>
    <w:basedOn w:val="Stopka"/>
    <w:rsid w:val="00CC1EF4"/>
    <w:pPr>
      <w:tabs>
        <w:tab w:val="clear" w:pos="4536"/>
        <w:tab w:val="clear" w:pos="9072"/>
      </w:tabs>
      <w:overflowPunct/>
      <w:autoSpaceDE/>
      <w:autoSpaceDN/>
      <w:adjustRightInd/>
      <w:spacing w:before="40"/>
      <w:jc w:val="right"/>
      <w:textAlignment w:val="auto"/>
    </w:pPr>
    <w:rPr>
      <w:rFonts w:ascii="Arial" w:eastAsia="Calibri" w:hAnsi="Arial" w:cs="Arial"/>
      <w:bCs/>
      <w:i/>
      <w:iCs/>
      <w:sz w:val="16"/>
      <w:szCs w:val="16"/>
    </w:rPr>
  </w:style>
  <w:style w:type="paragraph" w:customStyle="1" w:styleId="tytu0">
    <w:name w:val="tytuł"/>
    <w:rsid w:val="00CC1EF4"/>
    <w:pPr>
      <w:spacing w:after="0" w:line="360" w:lineRule="atLeast"/>
      <w:jc w:val="center"/>
    </w:pPr>
    <w:rPr>
      <w:rFonts w:ascii="TimesEE" w:eastAsia="Calibri" w:hAnsi="TimesEE" w:cs="Times New Roman"/>
      <w:b/>
      <w:color w:val="000000"/>
      <w:sz w:val="24"/>
      <w:szCs w:val="20"/>
      <w:lang w:eastAsia="pl-PL"/>
    </w:rPr>
  </w:style>
  <w:style w:type="paragraph" w:customStyle="1" w:styleId="StylNagwek1Po0pt">
    <w:name w:val="Styl Nagłówek 1 + Po:  0 pt"/>
    <w:basedOn w:val="Nagwek1"/>
    <w:link w:val="StylNagwek1Po0ptZnak"/>
    <w:rsid w:val="00CC1EF4"/>
    <w:pPr>
      <w:keepLines w:val="0"/>
      <w:tabs>
        <w:tab w:val="num" w:pos="397"/>
      </w:tabs>
      <w:suppressAutoHyphens w:val="0"/>
      <w:overflowPunct/>
      <w:autoSpaceDE/>
      <w:autoSpaceDN/>
      <w:adjustRightInd/>
      <w:spacing w:before="600" w:after="0"/>
      <w:ind w:left="397" w:hanging="397"/>
      <w:jc w:val="left"/>
      <w:textAlignment w:val="auto"/>
    </w:pPr>
    <w:rPr>
      <w:rFonts w:ascii="Arial" w:eastAsia="Calibri" w:hAnsi="Arial"/>
      <w:kern w:val="24"/>
      <w:sz w:val="20"/>
      <w:lang w:eastAsia="en-US"/>
    </w:rPr>
  </w:style>
  <w:style w:type="character" w:customStyle="1" w:styleId="StylNagwek1Po0ptZnak">
    <w:name w:val="Styl Nagłówek 1 + Po:  0 pt Znak"/>
    <w:link w:val="StylNagwek1Po0pt"/>
    <w:locked/>
    <w:rsid w:val="00CC1EF4"/>
    <w:rPr>
      <w:rFonts w:ascii="Arial" w:eastAsia="Calibri" w:hAnsi="Arial" w:cs="Times New Roman"/>
      <w:b/>
      <w:caps/>
      <w:kern w:val="24"/>
      <w:sz w:val="20"/>
      <w:szCs w:val="20"/>
    </w:rPr>
  </w:style>
  <w:style w:type="paragraph" w:customStyle="1" w:styleId="Nagwek2Pogrubienie">
    <w:name w:val="Nagłówek 2 + Pogrubienie"/>
    <w:basedOn w:val="Nagwek2"/>
    <w:rsid w:val="00CC1EF4"/>
    <w:pPr>
      <w:tabs>
        <w:tab w:val="num" w:pos="1440"/>
      </w:tabs>
      <w:overflowPunct/>
      <w:autoSpaceDE/>
      <w:autoSpaceDN/>
      <w:adjustRightInd/>
      <w:spacing w:after="0"/>
      <w:ind w:left="1440" w:hanging="360"/>
      <w:textAlignment w:val="auto"/>
    </w:pPr>
    <w:rPr>
      <w:rFonts w:ascii="Arial" w:eastAsia="Calibri" w:hAnsi="Arial"/>
      <w:b w:val="0"/>
      <w:bCs/>
      <w:kern w:val="24"/>
      <w:sz w:val="18"/>
      <w:szCs w:val="24"/>
    </w:rPr>
  </w:style>
  <w:style w:type="paragraph" w:customStyle="1" w:styleId="Mylnik1">
    <w:name w:val="Myślnik 1"/>
    <w:basedOn w:val="Mylnik"/>
    <w:rsid w:val="00CC1EF4"/>
    <w:pPr>
      <w:tabs>
        <w:tab w:val="clear" w:pos="927"/>
      </w:tabs>
      <w:ind w:left="0" w:firstLine="0"/>
      <w:jc w:val="both"/>
    </w:pPr>
    <w:rPr>
      <w:rFonts w:eastAsia="Calibri" w:cs="Arial"/>
      <w:bCs/>
      <w:iCs/>
      <w:color w:val="auto"/>
      <w:sz w:val="18"/>
      <w:szCs w:val="24"/>
    </w:rPr>
  </w:style>
  <w:style w:type="paragraph" w:customStyle="1" w:styleId="StylZlewej0cmWysunicie2cmInterliniaConajmniej1">
    <w:name w:val="Styl Z lewej:  0 cm Wysunięcie:  2 cm Interlinia:  Co najmniej 1..."/>
    <w:basedOn w:val="Normalny"/>
    <w:rsid w:val="00CC1EF4"/>
    <w:pPr>
      <w:spacing w:before="60" w:after="0" w:line="240" w:lineRule="auto"/>
      <w:jc w:val="both"/>
    </w:pPr>
    <w:rPr>
      <w:rFonts w:ascii="Arial" w:eastAsia="Calibri" w:hAnsi="Arial" w:cs="Arial"/>
      <w:bCs/>
      <w:iCs/>
      <w:sz w:val="18"/>
      <w:szCs w:val="24"/>
      <w:lang w:eastAsia="pl-PL"/>
    </w:rPr>
  </w:style>
  <w:style w:type="paragraph" w:customStyle="1" w:styleId="StylStylZlewej0cmWysunicie2cmInterliniaConajmnie">
    <w:name w:val="Styl Styl Z lewej:  0 cm Wysunięcie:  2 cm Interlinia:  Co najmnie..."/>
    <w:basedOn w:val="StylZlewej0cmWysunicie2cmInterliniaConajmniej1"/>
    <w:rsid w:val="00CC1EF4"/>
    <w:pPr>
      <w:ind w:firstLine="851"/>
    </w:pPr>
    <w:rPr>
      <w:b/>
      <w:bCs w:val="0"/>
    </w:rPr>
  </w:style>
  <w:style w:type="paragraph" w:customStyle="1" w:styleId="Normalny12">
    <w:name w:val="Normalny 12"/>
    <w:basedOn w:val="Normalny"/>
    <w:link w:val="Normalny12Znak"/>
    <w:rsid w:val="00CC1EF4"/>
    <w:pPr>
      <w:tabs>
        <w:tab w:val="left" w:pos="3"/>
        <w:tab w:val="left" w:pos="147"/>
        <w:tab w:val="left" w:pos="291"/>
        <w:tab w:val="left" w:pos="723"/>
        <w:tab w:val="left" w:pos="867"/>
        <w:tab w:val="left" w:pos="1011"/>
      </w:tabs>
      <w:spacing w:before="240" w:after="0" w:line="240" w:lineRule="auto"/>
      <w:jc w:val="both"/>
    </w:pPr>
    <w:rPr>
      <w:rFonts w:ascii="Arial" w:eastAsia="Calibri" w:hAnsi="Arial" w:cs="Times New Roman"/>
      <w:b/>
      <w:sz w:val="24"/>
      <w:szCs w:val="20"/>
    </w:rPr>
  </w:style>
  <w:style w:type="character" w:customStyle="1" w:styleId="Normalny12Znak">
    <w:name w:val="Normalny 12 Znak"/>
    <w:link w:val="Normalny12"/>
    <w:locked/>
    <w:rsid w:val="00CC1EF4"/>
    <w:rPr>
      <w:rFonts w:ascii="Arial" w:eastAsia="Calibri" w:hAnsi="Arial" w:cs="Times New Roman"/>
      <w:b/>
      <w:sz w:val="24"/>
      <w:szCs w:val="20"/>
    </w:rPr>
  </w:style>
  <w:style w:type="paragraph" w:customStyle="1" w:styleId="Poprawka1">
    <w:name w:val="Poprawka1"/>
    <w:basedOn w:val="Normalny"/>
    <w:next w:val="Normalny"/>
    <w:rsid w:val="00CC1EF4"/>
    <w:pPr>
      <w:tabs>
        <w:tab w:val="left" w:pos="723"/>
      </w:tabs>
      <w:spacing w:before="240" w:after="0" w:line="240" w:lineRule="auto"/>
      <w:ind w:left="1009" w:hanging="1009"/>
      <w:jc w:val="both"/>
    </w:pPr>
    <w:rPr>
      <w:rFonts w:ascii="Arial" w:eastAsia="Calibri" w:hAnsi="Arial" w:cs="Arial"/>
      <w:bCs/>
      <w:iCs/>
      <w:sz w:val="18"/>
      <w:szCs w:val="24"/>
      <w:lang w:eastAsia="pl-PL"/>
    </w:rPr>
  </w:style>
  <w:style w:type="paragraph" w:customStyle="1" w:styleId="StylDolewejInterlinia15wiersza">
    <w:name w:val="Styl Do lewej Interlinia:  15 wiersza"/>
    <w:basedOn w:val="Normalny"/>
    <w:rsid w:val="00CC1EF4"/>
    <w:pPr>
      <w:spacing w:after="0" w:line="360" w:lineRule="auto"/>
    </w:pPr>
    <w:rPr>
      <w:rFonts w:ascii="Arial" w:eastAsia="Calibri" w:hAnsi="Arial" w:cs="Arial"/>
      <w:bCs/>
      <w:iCs/>
      <w:sz w:val="18"/>
      <w:szCs w:val="24"/>
      <w:lang w:eastAsia="pl-PL"/>
    </w:rPr>
  </w:style>
  <w:style w:type="paragraph" w:customStyle="1" w:styleId="normal0">
    <w:name w:val="normal 0"/>
    <w:basedOn w:val="Normalny"/>
    <w:rsid w:val="00CC1EF4"/>
    <w:pPr>
      <w:spacing w:after="0" w:line="240" w:lineRule="auto"/>
      <w:jc w:val="both"/>
    </w:pPr>
    <w:rPr>
      <w:rFonts w:ascii="Arial" w:eastAsia="Calibri" w:hAnsi="Arial" w:cs="Arial"/>
      <w:bCs/>
      <w:iCs/>
      <w:sz w:val="18"/>
      <w:szCs w:val="24"/>
      <w:lang w:eastAsia="pl-PL"/>
    </w:rPr>
  </w:style>
  <w:style w:type="paragraph" w:customStyle="1" w:styleId="StylNormalny1210ptNiePogrubienie">
    <w:name w:val="Styl Normalny 12 + 10 pt Nie Pogrubienie"/>
    <w:basedOn w:val="Normalny12"/>
    <w:link w:val="StylNormalny1210ptNiePogrubienieZnak"/>
    <w:rsid w:val="00CC1EF4"/>
    <w:pPr>
      <w:tabs>
        <w:tab w:val="clear" w:pos="3"/>
        <w:tab w:val="clear" w:pos="147"/>
        <w:tab w:val="clear" w:pos="723"/>
        <w:tab w:val="clear" w:pos="1011"/>
        <w:tab w:val="left" w:pos="1985"/>
      </w:tabs>
    </w:pPr>
    <w:rPr>
      <w:rFonts w:asciiTheme="minorHAnsi" w:eastAsiaTheme="minorHAnsi" w:hAnsiTheme="minorHAnsi" w:cs="Arial"/>
      <w:bCs/>
      <w:iCs/>
      <w:szCs w:val="24"/>
    </w:rPr>
  </w:style>
  <w:style w:type="paragraph" w:customStyle="1" w:styleId="tekstost0">
    <w:name w:val="tekstost"/>
    <w:basedOn w:val="Normalny"/>
    <w:rsid w:val="00CC1EF4"/>
    <w:pPr>
      <w:spacing w:before="100" w:beforeAutospacing="1" w:after="100" w:afterAutospacing="1" w:line="240" w:lineRule="auto"/>
    </w:pPr>
    <w:rPr>
      <w:rFonts w:ascii="Arial" w:eastAsia="Calibri" w:hAnsi="Arial" w:cs="Times New Roman"/>
      <w:sz w:val="24"/>
      <w:szCs w:val="24"/>
      <w:lang w:eastAsia="pl-PL"/>
    </w:rPr>
  </w:style>
  <w:style w:type="paragraph" w:customStyle="1" w:styleId="normalny30">
    <w:name w:val="normalny3"/>
    <w:basedOn w:val="Normalny"/>
    <w:rsid w:val="00CC1EF4"/>
    <w:pPr>
      <w:spacing w:before="100" w:beforeAutospacing="1" w:after="100" w:afterAutospacing="1" w:line="240" w:lineRule="auto"/>
    </w:pPr>
    <w:rPr>
      <w:rFonts w:ascii="Arial" w:eastAsia="Calibri" w:hAnsi="Arial" w:cs="Times New Roman"/>
      <w:sz w:val="24"/>
      <w:szCs w:val="24"/>
      <w:lang w:eastAsia="pl-PL"/>
    </w:rPr>
  </w:style>
  <w:style w:type="character" w:customStyle="1" w:styleId="Title1ZnakZnakZnakZnak">
    <w:name w:val="Title 1 Znak Znak Znak Znak"/>
    <w:locked/>
    <w:rsid w:val="00CC1EF4"/>
    <w:rPr>
      <w:b/>
      <w:caps/>
      <w:kern w:val="24"/>
      <w:sz w:val="24"/>
    </w:rPr>
  </w:style>
  <w:style w:type="character" w:customStyle="1" w:styleId="ZnakZnak22">
    <w:name w:val="Znak Znak22"/>
    <w:locked/>
    <w:rsid w:val="00CC1EF4"/>
    <w:rPr>
      <w:b/>
      <w:sz w:val="26"/>
    </w:rPr>
  </w:style>
  <w:style w:type="character" w:customStyle="1" w:styleId="ZnakZnak14">
    <w:name w:val="Znak Znak14"/>
    <w:locked/>
    <w:rsid w:val="00CC1EF4"/>
    <w:rPr>
      <w:sz w:val="24"/>
    </w:rPr>
  </w:style>
  <w:style w:type="paragraph" w:customStyle="1" w:styleId="tekst1">
    <w:name w:val="tekst1"/>
    <w:rsid w:val="00CC1EF4"/>
    <w:pPr>
      <w:spacing w:after="120" w:line="240" w:lineRule="auto"/>
      <w:ind w:left="425"/>
      <w:jc w:val="both"/>
    </w:pPr>
    <w:rPr>
      <w:rFonts w:ascii="Times New Roman" w:eastAsia="Calibri" w:hAnsi="Times New Roman" w:cs="Times New Roman"/>
      <w:sz w:val="20"/>
      <w:szCs w:val="20"/>
      <w:lang w:eastAsia="pl-PL"/>
    </w:rPr>
  </w:style>
  <w:style w:type="paragraph" w:customStyle="1" w:styleId="standardowytekst0">
    <w:name w:val="standardowytekst"/>
    <w:basedOn w:val="Normalny"/>
    <w:rsid w:val="00CC1EF4"/>
    <w:pPr>
      <w:spacing w:before="100" w:beforeAutospacing="1" w:after="100" w:afterAutospacing="1" w:line="240" w:lineRule="auto"/>
    </w:pPr>
    <w:rPr>
      <w:rFonts w:ascii="Arial" w:eastAsia="Calibri" w:hAnsi="Arial" w:cs="Times New Roman"/>
      <w:sz w:val="24"/>
      <w:szCs w:val="24"/>
      <w:lang w:eastAsia="pl-PL"/>
    </w:rPr>
  </w:style>
  <w:style w:type="paragraph" w:customStyle="1" w:styleId="Bullet1points">
    <w:name w:val="Bullet 1 points"/>
    <w:basedOn w:val="Normalny"/>
    <w:rsid w:val="00CC1EF4"/>
    <w:pPr>
      <w:numPr>
        <w:numId w:val="77"/>
      </w:numPr>
      <w:tabs>
        <w:tab w:val="left" w:pos="397"/>
        <w:tab w:val="left" w:pos="567"/>
        <w:tab w:val="left" w:pos="737"/>
      </w:tabs>
      <w:spacing w:before="60" w:after="60" w:line="240" w:lineRule="auto"/>
      <w:jc w:val="both"/>
    </w:pPr>
    <w:rPr>
      <w:rFonts w:ascii="Arial" w:eastAsia="Calibri" w:hAnsi="Arial" w:cs="Arial"/>
      <w:bCs/>
      <w:iCs/>
      <w:sz w:val="20"/>
      <w:szCs w:val="24"/>
      <w:lang w:eastAsia="pl-PL"/>
    </w:rPr>
  </w:style>
  <w:style w:type="paragraph" w:styleId="Tekstpodstawowyzwciciem">
    <w:name w:val="Body Text First Indent"/>
    <w:basedOn w:val="Tekstpodstawowy"/>
    <w:link w:val="TekstpodstawowyzwciciemZnak"/>
    <w:rsid w:val="00CC1EF4"/>
    <w:pPr>
      <w:spacing w:before="60" w:after="120" w:line="240" w:lineRule="auto"/>
      <w:ind w:firstLine="210"/>
      <w:jc w:val="both"/>
    </w:pPr>
    <w:rPr>
      <w:rFonts w:ascii="Arial" w:eastAsia="Calibri" w:hAnsi="Arial"/>
      <w:bCs/>
      <w:iCs/>
      <w:szCs w:val="24"/>
    </w:rPr>
  </w:style>
  <w:style w:type="character" w:customStyle="1" w:styleId="TekstpodstawowyzwciciemZnak">
    <w:name w:val="Tekst podstawowy z wcięciem Znak"/>
    <w:basedOn w:val="TekstpodstawowyZnak"/>
    <w:link w:val="Tekstpodstawowyzwciciem"/>
    <w:rsid w:val="00CC1EF4"/>
    <w:rPr>
      <w:rFonts w:ascii="Arial" w:eastAsia="Calibri" w:hAnsi="Arial" w:cs="Times New Roman"/>
      <w:bCs/>
      <w:iCs/>
      <w:sz w:val="24"/>
      <w:szCs w:val="24"/>
      <w:lang w:eastAsia="pl-PL"/>
    </w:rPr>
  </w:style>
  <w:style w:type="paragraph" w:customStyle="1" w:styleId="Akapitzlist2">
    <w:name w:val="Akapit z listą2"/>
    <w:basedOn w:val="Normalny"/>
    <w:rsid w:val="00CC1EF4"/>
    <w:pPr>
      <w:spacing w:after="200" w:line="276" w:lineRule="auto"/>
      <w:ind w:left="720"/>
    </w:pPr>
    <w:rPr>
      <w:rFonts w:ascii="Calibri" w:eastAsia="Calibri" w:hAnsi="Calibri" w:cs="Calibri"/>
    </w:rPr>
  </w:style>
  <w:style w:type="character" w:customStyle="1" w:styleId="CommentTextChar2">
    <w:name w:val="Comment Text Char2"/>
    <w:locked/>
    <w:rsid w:val="00CC1EF4"/>
  </w:style>
  <w:style w:type="table" w:customStyle="1" w:styleId="Tabela-Siatka11">
    <w:name w:val="Tabela - Siatka11"/>
    <w:uiPriority w:val="59"/>
    <w:rsid w:val="00CC1EF4"/>
    <w:pPr>
      <w:tabs>
        <w:tab w:val="left" w:pos="397"/>
        <w:tab w:val="left" w:pos="567"/>
        <w:tab w:val="left" w:pos="737"/>
      </w:tabs>
      <w:spacing w:before="120" w:after="0" w:line="240" w:lineRule="auto"/>
      <w:jc w:val="both"/>
    </w:pPr>
    <w:rPr>
      <w:rFonts w:ascii="Times New Roman" w:eastAsia="Calibri"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kstzastpczy1">
    <w:name w:val="Tekst zastępczy1"/>
    <w:semiHidden/>
    <w:rsid w:val="00CC1EF4"/>
    <w:rPr>
      <w:rFonts w:cs="Times New Roman"/>
      <w:color w:val="808080"/>
    </w:rPr>
  </w:style>
  <w:style w:type="paragraph" w:customStyle="1" w:styleId="NoteLevel1">
    <w:name w:val="Note Level 1"/>
    <w:basedOn w:val="Normalny"/>
    <w:rsid w:val="00CC1EF4"/>
    <w:pPr>
      <w:keepNext/>
      <w:numPr>
        <w:numId w:val="78"/>
      </w:numPr>
      <w:spacing w:after="0" w:line="240" w:lineRule="auto"/>
      <w:contextualSpacing/>
      <w:outlineLvl w:val="0"/>
    </w:pPr>
    <w:rPr>
      <w:rFonts w:ascii="Verdana" w:eastAsia="MS Gothic" w:hAnsi="Verdana" w:cs="Times New Roman"/>
      <w:sz w:val="24"/>
      <w:szCs w:val="24"/>
      <w:lang w:val="cs-CZ"/>
    </w:rPr>
  </w:style>
  <w:style w:type="paragraph" w:customStyle="1" w:styleId="NoteLevel2">
    <w:name w:val="Note Level 2"/>
    <w:basedOn w:val="Normalny"/>
    <w:rsid w:val="00CC1EF4"/>
    <w:pPr>
      <w:keepNext/>
      <w:numPr>
        <w:ilvl w:val="1"/>
        <w:numId w:val="78"/>
      </w:numPr>
      <w:spacing w:after="0" w:line="240" w:lineRule="auto"/>
      <w:contextualSpacing/>
      <w:outlineLvl w:val="1"/>
    </w:pPr>
    <w:rPr>
      <w:rFonts w:ascii="Verdana" w:eastAsia="MS Gothic" w:hAnsi="Verdana" w:cs="Times New Roman"/>
      <w:sz w:val="24"/>
      <w:szCs w:val="24"/>
      <w:lang w:val="cs-CZ"/>
    </w:rPr>
  </w:style>
  <w:style w:type="paragraph" w:customStyle="1" w:styleId="NoteLevel3">
    <w:name w:val="Note Level 3"/>
    <w:basedOn w:val="Normalny"/>
    <w:semiHidden/>
    <w:rsid w:val="00CC1EF4"/>
    <w:pPr>
      <w:keepNext/>
      <w:numPr>
        <w:ilvl w:val="2"/>
        <w:numId w:val="78"/>
      </w:numPr>
      <w:spacing w:after="0" w:line="240" w:lineRule="auto"/>
      <w:contextualSpacing/>
      <w:outlineLvl w:val="2"/>
    </w:pPr>
    <w:rPr>
      <w:rFonts w:ascii="Verdana" w:eastAsia="MS Gothic" w:hAnsi="Verdana" w:cs="Times New Roman"/>
      <w:sz w:val="24"/>
      <w:szCs w:val="24"/>
      <w:lang w:val="cs-CZ"/>
    </w:rPr>
  </w:style>
  <w:style w:type="paragraph" w:customStyle="1" w:styleId="NoteLevel4">
    <w:name w:val="Note Level 4"/>
    <w:basedOn w:val="Normalny"/>
    <w:semiHidden/>
    <w:rsid w:val="00CC1EF4"/>
    <w:pPr>
      <w:keepNext/>
      <w:numPr>
        <w:ilvl w:val="3"/>
        <w:numId w:val="78"/>
      </w:numPr>
      <w:spacing w:after="0" w:line="240" w:lineRule="auto"/>
      <w:contextualSpacing/>
      <w:outlineLvl w:val="3"/>
    </w:pPr>
    <w:rPr>
      <w:rFonts w:ascii="Verdana" w:eastAsia="MS Gothic" w:hAnsi="Verdana" w:cs="Times New Roman"/>
      <w:sz w:val="24"/>
      <w:szCs w:val="24"/>
      <w:lang w:val="cs-CZ"/>
    </w:rPr>
  </w:style>
  <w:style w:type="paragraph" w:customStyle="1" w:styleId="NoteLevel5">
    <w:name w:val="Note Level 5"/>
    <w:basedOn w:val="Normalny"/>
    <w:semiHidden/>
    <w:rsid w:val="00CC1EF4"/>
    <w:pPr>
      <w:keepNext/>
      <w:numPr>
        <w:ilvl w:val="4"/>
        <w:numId w:val="78"/>
      </w:numPr>
      <w:spacing w:after="0" w:line="240" w:lineRule="auto"/>
      <w:contextualSpacing/>
      <w:outlineLvl w:val="4"/>
    </w:pPr>
    <w:rPr>
      <w:rFonts w:ascii="Verdana" w:eastAsia="MS Gothic" w:hAnsi="Verdana" w:cs="Times New Roman"/>
      <w:sz w:val="24"/>
      <w:szCs w:val="24"/>
      <w:lang w:val="cs-CZ"/>
    </w:rPr>
  </w:style>
  <w:style w:type="paragraph" w:customStyle="1" w:styleId="NoteLevel6">
    <w:name w:val="Note Level 6"/>
    <w:basedOn w:val="Normalny"/>
    <w:semiHidden/>
    <w:rsid w:val="00CC1EF4"/>
    <w:pPr>
      <w:keepNext/>
      <w:numPr>
        <w:ilvl w:val="5"/>
        <w:numId w:val="78"/>
      </w:numPr>
      <w:spacing w:after="0" w:line="240" w:lineRule="auto"/>
      <w:contextualSpacing/>
      <w:outlineLvl w:val="5"/>
    </w:pPr>
    <w:rPr>
      <w:rFonts w:ascii="Verdana" w:eastAsia="MS Gothic" w:hAnsi="Verdana" w:cs="Times New Roman"/>
      <w:sz w:val="24"/>
      <w:szCs w:val="24"/>
      <w:lang w:val="cs-CZ"/>
    </w:rPr>
  </w:style>
  <w:style w:type="paragraph" w:customStyle="1" w:styleId="NoteLevel7">
    <w:name w:val="Note Level 7"/>
    <w:basedOn w:val="Normalny"/>
    <w:semiHidden/>
    <w:rsid w:val="00CC1EF4"/>
    <w:pPr>
      <w:keepNext/>
      <w:numPr>
        <w:ilvl w:val="6"/>
        <w:numId w:val="78"/>
      </w:numPr>
      <w:spacing w:after="0" w:line="240" w:lineRule="auto"/>
      <w:contextualSpacing/>
      <w:outlineLvl w:val="6"/>
    </w:pPr>
    <w:rPr>
      <w:rFonts w:ascii="Verdana" w:eastAsia="MS Gothic" w:hAnsi="Verdana" w:cs="Times New Roman"/>
      <w:sz w:val="24"/>
      <w:szCs w:val="24"/>
      <w:lang w:val="cs-CZ"/>
    </w:rPr>
  </w:style>
  <w:style w:type="paragraph" w:customStyle="1" w:styleId="NoteLevel8">
    <w:name w:val="Note Level 8"/>
    <w:basedOn w:val="Normalny"/>
    <w:semiHidden/>
    <w:rsid w:val="00CC1EF4"/>
    <w:pPr>
      <w:keepNext/>
      <w:numPr>
        <w:ilvl w:val="7"/>
        <w:numId w:val="78"/>
      </w:numPr>
      <w:spacing w:after="0" w:line="240" w:lineRule="auto"/>
      <w:contextualSpacing/>
      <w:outlineLvl w:val="7"/>
    </w:pPr>
    <w:rPr>
      <w:rFonts w:ascii="Verdana" w:eastAsia="MS Gothic" w:hAnsi="Verdana" w:cs="Times New Roman"/>
      <w:sz w:val="24"/>
      <w:szCs w:val="24"/>
      <w:lang w:val="cs-CZ"/>
    </w:rPr>
  </w:style>
  <w:style w:type="paragraph" w:customStyle="1" w:styleId="NoteLevel9">
    <w:name w:val="Note Level 9"/>
    <w:basedOn w:val="Normalny"/>
    <w:semiHidden/>
    <w:rsid w:val="00CC1EF4"/>
    <w:pPr>
      <w:keepNext/>
      <w:numPr>
        <w:ilvl w:val="8"/>
        <w:numId w:val="78"/>
      </w:numPr>
      <w:spacing w:after="0" w:line="240" w:lineRule="auto"/>
      <w:contextualSpacing/>
      <w:outlineLvl w:val="8"/>
    </w:pPr>
    <w:rPr>
      <w:rFonts w:ascii="Verdana" w:eastAsia="MS Gothic" w:hAnsi="Verdana" w:cs="Times New Roman"/>
      <w:sz w:val="24"/>
      <w:szCs w:val="24"/>
      <w:lang w:val="cs-CZ"/>
    </w:rPr>
  </w:style>
  <w:style w:type="character" w:customStyle="1" w:styleId="Nagweklubstopka11pt">
    <w:name w:val="Nagłówek lub stopka + 11 pt"/>
    <w:aliases w:val="Bez kursywy1,Odstępy 0 pt"/>
    <w:rsid w:val="00CC1EF4"/>
    <w:rPr>
      <w:rFonts w:ascii="Times New Roman" w:hAnsi="Times New Roman" w:cs="Times New Roman"/>
      <w:i/>
      <w:iCs/>
      <w:color w:val="000000"/>
      <w:spacing w:val="10"/>
      <w:w w:val="100"/>
      <w:position w:val="0"/>
      <w:sz w:val="22"/>
      <w:szCs w:val="22"/>
      <w:u w:val="none"/>
      <w:lang w:val="pl-PL"/>
    </w:rPr>
  </w:style>
  <w:style w:type="paragraph" w:customStyle="1" w:styleId="C289308D74E2492DA70DEFAE9D5EDFC8">
    <w:name w:val="C289308D74E2492DA70DEFAE9D5EDFC8"/>
    <w:rsid w:val="00CC1EF4"/>
    <w:pPr>
      <w:spacing w:after="200" w:line="276" w:lineRule="auto"/>
    </w:pPr>
    <w:rPr>
      <w:rFonts w:ascii="Calibri" w:eastAsia="Calibri" w:hAnsi="Calibri" w:cs="Times New Roman"/>
      <w:lang w:eastAsia="pl-PL"/>
    </w:rPr>
  </w:style>
  <w:style w:type="character" w:styleId="Numerwiersza">
    <w:name w:val="line number"/>
    <w:rsid w:val="00CC1EF4"/>
    <w:rPr>
      <w:rFonts w:cs="Times New Roman"/>
    </w:rPr>
  </w:style>
  <w:style w:type="numbering" w:customStyle="1" w:styleId="StylPunktowane">
    <w:name w:val="Styl Punktowane"/>
    <w:rsid w:val="00CC1EF4"/>
    <w:pPr>
      <w:numPr>
        <w:numId w:val="75"/>
      </w:numPr>
    </w:pPr>
  </w:style>
  <w:style w:type="numbering" w:customStyle="1" w:styleId="Punktowane21">
    <w:name w:val="Punktowane21"/>
    <w:rsid w:val="00CC1EF4"/>
    <w:pPr>
      <w:numPr>
        <w:numId w:val="72"/>
      </w:numPr>
    </w:pPr>
  </w:style>
  <w:style w:type="numbering" w:customStyle="1" w:styleId="Punktowane2">
    <w:name w:val="Punktowane2"/>
    <w:rsid w:val="00CC1EF4"/>
    <w:pPr>
      <w:numPr>
        <w:numId w:val="76"/>
      </w:numPr>
    </w:pPr>
  </w:style>
  <w:style w:type="numbering" w:customStyle="1" w:styleId="StylPunktowane1">
    <w:name w:val="Styl Punktowane1"/>
    <w:rsid w:val="00CC1EF4"/>
    <w:pPr>
      <w:numPr>
        <w:numId w:val="71"/>
      </w:numPr>
    </w:pPr>
  </w:style>
  <w:style w:type="paragraph" w:styleId="Listapunktowana4">
    <w:name w:val="List Bullet 4"/>
    <w:basedOn w:val="Normalny"/>
    <w:rsid w:val="00CC1EF4"/>
    <w:pPr>
      <w:numPr>
        <w:numId w:val="79"/>
      </w:numPr>
      <w:spacing w:after="200" w:line="276" w:lineRule="auto"/>
      <w:contextualSpacing/>
    </w:pPr>
    <w:rPr>
      <w:rFonts w:ascii="Calibri" w:eastAsia="Times New Roman" w:hAnsi="Calibri" w:cs="Times New Roman"/>
    </w:rPr>
  </w:style>
  <w:style w:type="paragraph" w:styleId="Lista-kontynuacja4">
    <w:name w:val="List Continue 4"/>
    <w:basedOn w:val="Normalny"/>
    <w:rsid w:val="00CC1EF4"/>
    <w:pPr>
      <w:spacing w:after="120" w:line="276" w:lineRule="auto"/>
      <w:ind w:left="1132"/>
      <w:contextualSpacing/>
    </w:pPr>
    <w:rPr>
      <w:rFonts w:ascii="Calibri" w:eastAsia="Times New Roman" w:hAnsi="Calibri" w:cs="Times New Roman"/>
    </w:rPr>
  </w:style>
  <w:style w:type="paragraph" w:customStyle="1" w:styleId="Skrconyadreszwrotny">
    <w:name w:val="Skrócony adres zwrotny"/>
    <w:basedOn w:val="Normalny"/>
    <w:rsid w:val="00CC1EF4"/>
    <w:pPr>
      <w:spacing w:after="200" w:line="276" w:lineRule="auto"/>
    </w:pPr>
    <w:rPr>
      <w:rFonts w:ascii="Calibri" w:eastAsia="Times New Roman" w:hAnsi="Calibri" w:cs="Times New Roman"/>
    </w:rPr>
  </w:style>
  <w:style w:type="paragraph" w:styleId="Tekstpodstawowyzwciciem2">
    <w:name w:val="Body Text First Indent 2"/>
    <w:basedOn w:val="Tekstpodstawowywcity"/>
    <w:link w:val="Tekstpodstawowyzwciciem2Znak"/>
    <w:rsid w:val="00CC1EF4"/>
    <w:pPr>
      <w:spacing w:after="120" w:line="276" w:lineRule="auto"/>
      <w:ind w:left="283" w:firstLine="210"/>
    </w:pPr>
    <w:rPr>
      <w:b w:val="0"/>
      <w:sz w:val="22"/>
      <w:szCs w:val="22"/>
      <w:lang w:eastAsia="en-US"/>
    </w:rPr>
  </w:style>
  <w:style w:type="character" w:customStyle="1" w:styleId="Tekstpodstawowyzwciciem2Znak">
    <w:name w:val="Tekst podstawowy z wcięciem 2 Znak"/>
    <w:basedOn w:val="TekstpodstawowywcityZnak"/>
    <w:link w:val="Tekstpodstawowyzwciciem2"/>
    <w:rsid w:val="00CC1EF4"/>
    <w:rPr>
      <w:rFonts w:ascii="Times New Roman" w:eastAsia="Times New Roman" w:hAnsi="Times New Roman" w:cs="Times New Roman"/>
      <w:b w:val="0"/>
      <w:sz w:val="24"/>
      <w:szCs w:val="20"/>
      <w:lang w:eastAsia="pl-PL"/>
    </w:rPr>
  </w:style>
  <w:style w:type="paragraph" w:styleId="Nagweknotatki">
    <w:name w:val="Note Heading"/>
    <w:basedOn w:val="Normalny"/>
    <w:next w:val="Normalny"/>
    <w:link w:val="NagweknotatkiZnak"/>
    <w:rsid w:val="00CC1EF4"/>
    <w:pPr>
      <w:spacing w:after="200" w:line="276" w:lineRule="auto"/>
    </w:pPr>
    <w:rPr>
      <w:rFonts w:ascii="Calibri" w:eastAsia="Times New Roman" w:hAnsi="Calibri" w:cs="Times New Roman"/>
    </w:rPr>
  </w:style>
  <w:style w:type="character" w:customStyle="1" w:styleId="NagweknotatkiZnak">
    <w:name w:val="Nagłówek notatki Znak"/>
    <w:basedOn w:val="Domylnaczcionkaakapitu"/>
    <w:link w:val="Nagweknotatki"/>
    <w:rsid w:val="00CC1EF4"/>
    <w:rPr>
      <w:rFonts w:ascii="Calibri" w:eastAsia="Times New Roman" w:hAnsi="Calibri" w:cs="Times New Roman"/>
    </w:rPr>
  </w:style>
  <w:style w:type="character" w:customStyle="1" w:styleId="price-excluding-tax">
    <w:name w:val="price-excluding-tax"/>
    <w:rsid w:val="00CC1EF4"/>
  </w:style>
  <w:style w:type="character" w:customStyle="1" w:styleId="label">
    <w:name w:val="label"/>
    <w:rsid w:val="00CC1EF4"/>
  </w:style>
  <w:style w:type="character" w:customStyle="1" w:styleId="price">
    <w:name w:val="price"/>
    <w:rsid w:val="00CC1EF4"/>
  </w:style>
  <w:style w:type="character" w:customStyle="1" w:styleId="price-including-tax">
    <w:name w:val="price-including-tax"/>
    <w:rsid w:val="00CC1EF4"/>
  </w:style>
  <w:style w:type="character" w:customStyle="1" w:styleId="Teksttreci23Odstpy0pt">
    <w:name w:val="Tekst treści (23) + Odstępy 0 pt"/>
    <w:rsid w:val="00CC1EF4"/>
    <w:rPr>
      <w:rFonts w:ascii="Arial" w:eastAsia="Arial" w:hAnsi="Arial" w:cs="Arial"/>
      <w:b w:val="0"/>
      <w:bCs w:val="0"/>
      <w:i w:val="0"/>
      <w:iCs w:val="0"/>
      <w:smallCaps w:val="0"/>
      <w:strike w:val="0"/>
      <w:color w:val="000000"/>
      <w:spacing w:val="0"/>
      <w:w w:val="100"/>
      <w:position w:val="0"/>
      <w:sz w:val="19"/>
      <w:szCs w:val="19"/>
      <w:u w:val="none"/>
      <w:lang w:val="en-US" w:eastAsia="en-US" w:bidi="en-US"/>
    </w:rPr>
  </w:style>
  <w:style w:type="paragraph" w:customStyle="1" w:styleId="jedyneczka">
    <w:name w:val="jedyneczka"/>
    <w:basedOn w:val="TytuST"/>
    <w:link w:val="jedyneczkaZnak"/>
    <w:qFormat/>
    <w:rsid w:val="00CC1EF4"/>
    <w:pPr>
      <w:spacing w:line="360" w:lineRule="auto"/>
    </w:pPr>
  </w:style>
  <w:style w:type="character" w:customStyle="1" w:styleId="jedyneczkaZnak">
    <w:name w:val="jedyneczka Znak"/>
    <w:link w:val="jedyneczka"/>
    <w:rsid w:val="00CC1EF4"/>
    <w:rPr>
      <w:rFonts w:ascii="Arial" w:eastAsia="Times New Roman" w:hAnsi="Arial" w:cs="Times New Roman"/>
      <w:b/>
      <w:bCs/>
      <w:color w:val="000000"/>
      <w:szCs w:val="24"/>
    </w:rPr>
  </w:style>
  <w:style w:type="character" w:customStyle="1" w:styleId="Teksttreci24">
    <w:name w:val="Tekst treści (24)_"/>
    <w:link w:val="Teksttreci240"/>
    <w:rsid w:val="00CC1EF4"/>
    <w:rPr>
      <w:sz w:val="15"/>
      <w:szCs w:val="15"/>
      <w:shd w:val="clear" w:color="auto" w:fill="FFFFFF"/>
    </w:rPr>
  </w:style>
  <w:style w:type="character" w:customStyle="1" w:styleId="Nagwek70">
    <w:name w:val="Nagłówek #7_"/>
    <w:link w:val="Nagwek71"/>
    <w:rsid w:val="00CC1EF4"/>
    <w:rPr>
      <w:b/>
      <w:bCs/>
      <w:sz w:val="19"/>
      <w:szCs w:val="19"/>
      <w:shd w:val="clear" w:color="auto" w:fill="FFFFFF"/>
    </w:rPr>
  </w:style>
  <w:style w:type="character" w:customStyle="1" w:styleId="Teksttreci23">
    <w:name w:val="Tekst treści (23)_"/>
    <w:link w:val="Teksttreci230"/>
    <w:rsid w:val="00CC1EF4"/>
    <w:rPr>
      <w:spacing w:val="20"/>
      <w:sz w:val="19"/>
      <w:szCs w:val="19"/>
      <w:shd w:val="clear" w:color="auto" w:fill="FFFFFF"/>
    </w:rPr>
  </w:style>
  <w:style w:type="character" w:customStyle="1" w:styleId="Teksttreci18">
    <w:name w:val="Tekst treści (18)_"/>
    <w:link w:val="Teksttreci180"/>
    <w:rsid w:val="00CC1EF4"/>
    <w:rPr>
      <w:i/>
      <w:iCs/>
      <w:sz w:val="19"/>
      <w:szCs w:val="19"/>
      <w:shd w:val="clear" w:color="auto" w:fill="FFFFFF"/>
    </w:rPr>
  </w:style>
  <w:style w:type="character" w:customStyle="1" w:styleId="Nagwek7105pt">
    <w:name w:val="Nagłówek #7 + 10;5 pt"/>
    <w:rsid w:val="00CC1EF4"/>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Nagwek62">
    <w:name w:val="Nagłówek #6 (2)_"/>
    <w:link w:val="Nagwek620"/>
    <w:rsid w:val="00CC1EF4"/>
    <w:rPr>
      <w:b/>
      <w:bCs/>
      <w:sz w:val="21"/>
      <w:szCs w:val="21"/>
      <w:shd w:val="clear" w:color="auto" w:fill="FFFFFF"/>
    </w:rPr>
  </w:style>
  <w:style w:type="character" w:customStyle="1" w:styleId="Nagwek6211pt">
    <w:name w:val="Nagłówek #6 (2) + 11 pt"/>
    <w:rsid w:val="00CC1EF4"/>
    <w:rPr>
      <w:rFonts w:ascii="Arial" w:eastAsia="Arial" w:hAnsi="Arial" w:cs="Arial"/>
      <w:b/>
      <w:bCs/>
      <w:i w:val="0"/>
      <w:iCs w:val="0"/>
      <w:smallCaps w:val="0"/>
      <w:strike w:val="0"/>
      <w:color w:val="000000"/>
      <w:spacing w:val="0"/>
      <w:w w:val="100"/>
      <w:position w:val="0"/>
      <w:sz w:val="22"/>
      <w:szCs w:val="22"/>
      <w:u w:val="none"/>
      <w:lang w:val="en-US" w:eastAsia="en-US" w:bidi="en-US"/>
    </w:rPr>
  </w:style>
  <w:style w:type="character" w:customStyle="1" w:styleId="Teksttreci23KursywaOdstpy0pt">
    <w:name w:val="Tekst treści (23) + Kursywa;Odstępy 0 pt"/>
    <w:rsid w:val="00CC1EF4"/>
    <w:rPr>
      <w:rFonts w:ascii="Arial" w:eastAsia="Arial" w:hAnsi="Arial" w:cs="Arial"/>
      <w:b w:val="0"/>
      <w:bCs w:val="0"/>
      <w:i/>
      <w:iCs/>
      <w:smallCaps w:val="0"/>
      <w:strike w:val="0"/>
      <w:color w:val="000000"/>
      <w:spacing w:val="0"/>
      <w:w w:val="100"/>
      <w:position w:val="0"/>
      <w:sz w:val="19"/>
      <w:szCs w:val="19"/>
      <w:u w:val="none"/>
      <w:lang w:val="en-US" w:eastAsia="en-US" w:bidi="en-US"/>
    </w:rPr>
  </w:style>
  <w:style w:type="character" w:customStyle="1" w:styleId="Nagwek72">
    <w:name w:val="Nagłówek #7 (2)_"/>
    <w:link w:val="Nagwek720"/>
    <w:rsid w:val="00CC1EF4"/>
    <w:rPr>
      <w:b/>
      <w:bCs/>
      <w:sz w:val="21"/>
      <w:szCs w:val="21"/>
      <w:shd w:val="clear" w:color="auto" w:fill="FFFFFF"/>
    </w:rPr>
  </w:style>
  <w:style w:type="paragraph" w:customStyle="1" w:styleId="Teksttreci240">
    <w:name w:val="Tekst treści (24)"/>
    <w:basedOn w:val="Normalny"/>
    <w:link w:val="Teksttreci24"/>
    <w:rsid w:val="00CC1EF4"/>
    <w:pPr>
      <w:widowControl w:val="0"/>
      <w:shd w:val="clear" w:color="auto" w:fill="FFFFFF"/>
      <w:spacing w:before="300" w:after="300" w:line="0" w:lineRule="atLeast"/>
      <w:jc w:val="both"/>
    </w:pPr>
    <w:rPr>
      <w:sz w:val="15"/>
      <w:szCs w:val="15"/>
    </w:rPr>
  </w:style>
  <w:style w:type="paragraph" w:customStyle="1" w:styleId="Nagwek71">
    <w:name w:val="Nagłówek #71"/>
    <w:basedOn w:val="Normalny"/>
    <w:link w:val="Nagwek70"/>
    <w:rsid w:val="00CC1EF4"/>
    <w:pPr>
      <w:widowControl w:val="0"/>
      <w:shd w:val="clear" w:color="auto" w:fill="FFFFFF"/>
      <w:spacing w:before="300" w:after="0" w:line="0" w:lineRule="atLeast"/>
      <w:outlineLvl w:val="6"/>
    </w:pPr>
    <w:rPr>
      <w:b/>
      <w:bCs/>
      <w:sz w:val="19"/>
      <w:szCs w:val="19"/>
    </w:rPr>
  </w:style>
  <w:style w:type="paragraph" w:customStyle="1" w:styleId="Teksttreci230">
    <w:name w:val="Tekst treści (23)"/>
    <w:basedOn w:val="Normalny"/>
    <w:link w:val="Teksttreci23"/>
    <w:rsid w:val="00CC1EF4"/>
    <w:pPr>
      <w:widowControl w:val="0"/>
      <w:shd w:val="clear" w:color="auto" w:fill="FFFFFF"/>
      <w:spacing w:after="0" w:line="0" w:lineRule="atLeast"/>
      <w:jc w:val="both"/>
    </w:pPr>
    <w:rPr>
      <w:spacing w:val="20"/>
      <w:sz w:val="19"/>
      <w:szCs w:val="19"/>
    </w:rPr>
  </w:style>
  <w:style w:type="paragraph" w:customStyle="1" w:styleId="Teksttreci21">
    <w:name w:val="Tekst treści (2)1"/>
    <w:basedOn w:val="Normalny"/>
    <w:rsid w:val="00CC1EF4"/>
    <w:pPr>
      <w:widowControl w:val="0"/>
      <w:shd w:val="clear" w:color="auto" w:fill="FFFFFF"/>
      <w:spacing w:after="480" w:line="0" w:lineRule="atLeast"/>
      <w:ind w:hanging="680"/>
      <w:jc w:val="both"/>
    </w:pPr>
    <w:rPr>
      <w:rFonts w:ascii="Arial" w:eastAsia="Arial" w:hAnsi="Arial" w:cs="Arial"/>
      <w:color w:val="000000"/>
      <w:sz w:val="19"/>
      <w:szCs w:val="19"/>
      <w:lang w:val="en-US" w:bidi="en-US"/>
    </w:rPr>
  </w:style>
  <w:style w:type="paragraph" w:customStyle="1" w:styleId="Teksttreci180">
    <w:name w:val="Tekst treści (18)"/>
    <w:basedOn w:val="Normalny"/>
    <w:link w:val="Teksttreci18"/>
    <w:rsid w:val="00CC1EF4"/>
    <w:pPr>
      <w:widowControl w:val="0"/>
      <w:shd w:val="clear" w:color="auto" w:fill="FFFFFF"/>
      <w:spacing w:before="180" w:after="0" w:line="450" w:lineRule="exact"/>
      <w:jc w:val="both"/>
    </w:pPr>
    <w:rPr>
      <w:i/>
      <w:iCs/>
      <w:sz w:val="19"/>
      <w:szCs w:val="19"/>
    </w:rPr>
  </w:style>
  <w:style w:type="paragraph" w:customStyle="1" w:styleId="Nagwek620">
    <w:name w:val="Nagłówek #6 (2)"/>
    <w:basedOn w:val="Normalny"/>
    <w:link w:val="Nagwek62"/>
    <w:rsid w:val="00CC1EF4"/>
    <w:pPr>
      <w:widowControl w:val="0"/>
      <w:shd w:val="clear" w:color="auto" w:fill="FFFFFF"/>
      <w:spacing w:before="180" w:after="0" w:line="450" w:lineRule="exact"/>
      <w:jc w:val="both"/>
      <w:outlineLvl w:val="5"/>
    </w:pPr>
    <w:rPr>
      <w:b/>
      <w:bCs/>
      <w:sz w:val="21"/>
      <w:szCs w:val="21"/>
    </w:rPr>
  </w:style>
  <w:style w:type="paragraph" w:customStyle="1" w:styleId="Nagwek720">
    <w:name w:val="Nagłówek #7 (2)"/>
    <w:basedOn w:val="Normalny"/>
    <w:link w:val="Nagwek72"/>
    <w:rsid w:val="00CC1EF4"/>
    <w:pPr>
      <w:widowControl w:val="0"/>
      <w:shd w:val="clear" w:color="auto" w:fill="FFFFFF"/>
      <w:spacing w:before="300" w:after="240" w:line="0" w:lineRule="atLeast"/>
      <w:jc w:val="both"/>
      <w:outlineLvl w:val="6"/>
    </w:pPr>
    <w:rPr>
      <w:b/>
      <w:bCs/>
      <w:sz w:val="21"/>
      <w:szCs w:val="21"/>
    </w:rPr>
  </w:style>
  <w:style w:type="character" w:customStyle="1" w:styleId="PlandokumentuZnak">
    <w:name w:val="Plan dokumentu Znak"/>
    <w:rsid w:val="00CC1EF4"/>
    <w:rPr>
      <w:rFonts w:ascii="Tahoma" w:eastAsia="Times New Roman" w:hAnsi="Tahoma" w:cs="Times New Roman"/>
      <w:sz w:val="16"/>
      <w:szCs w:val="16"/>
    </w:rPr>
  </w:style>
  <w:style w:type="paragraph" w:customStyle="1" w:styleId="Tekstpodstawowywcity32">
    <w:name w:val="Tekst podstawowy wcięty 32"/>
    <w:basedOn w:val="Normalny"/>
    <w:rsid w:val="00CC1EF4"/>
    <w:pPr>
      <w:suppressAutoHyphens/>
      <w:spacing w:after="120" w:line="240" w:lineRule="auto"/>
      <w:ind w:left="283"/>
    </w:pPr>
    <w:rPr>
      <w:rFonts w:ascii="Arial" w:eastAsia="Times New Roman" w:hAnsi="Arial" w:cs="Times New Roman"/>
      <w:sz w:val="16"/>
      <w:szCs w:val="16"/>
      <w:lang w:eastAsia="ar-SA"/>
    </w:rPr>
  </w:style>
  <w:style w:type="paragraph" w:customStyle="1" w:styleId="TEKST1Tre">
    <w:name w:val="TEKST_1 Treść"/>
    <w:link w:val="TEKST1TreZnak1"/>
    <w:uiPriority w:val="99"/>
    <w:rsid w:val="00CC1EF4"/>
    <w:pPr>
      <w:spacing w:after="0" w:line="240" w:lineRule="auto"/>
      <w:jc w:val="both"/>
    </w:pPr>
    <w:rPr>
      <w:rFonts w:ascii="Arial" w:eastAsia="Times New Roman" w:hAnsi="Arial" w:cs="Times New Roman"/>
      <w:sz w:val="16"/>
      <w:szCs w:val="20"/>
      <w:lang w:eastAsia="pl-PL"/>
    </w:rPr>
  </w:style>
  <w:style w:type="character" w:customStyle="1" w:styleId="TEKST1TreZnak1">
    <w:name w:val="TEKST_1 Treść Znak1"/>
    <w:link w:val="TEKST1Tre"/>
    <w:uiPriority w:val="99"/>
    <w:rsid w:val="00CC1EF4"/>
    <w:rPr>
      <w:rFonts w:ascii="Arial" w:eastAsia="Times New Roman" w:hAnsi="Arial" w:cs="Times New Roman"/>
      <w:sz w:val="16"/>
      <w:szCs w:val="20"/>
      <w:lang w:eastAsia="pl-PL"/>
    </w:rPr>
  </w:style>
  <w:style w:type="paragraph" w:customStyle="1" w:styleId="PUNKTY11">
    <w:name w:val="PUNKTY_1 1."/>
    <w:next w:val="TEKST1Tre"/>
    <w:link w:val="PUNKTY11ZnakZnak"/>
    <w:uiPriority w:val="99"/>
    <w:rsid w:val="00CC1EF4"/>
    <w:pPr>
      <w:keepNext/>
      <w:numPr>
        <w:numId w:val="81"/>
      </w:numPr>
      <w:tabs>
        <w:tab w:val="left" w:pos="1021"/>
      </w:tabs>
      <w:spacing w:before="120" w:after="0" w:line="240" w:lineRule="auto"/>
    </w:pPr>
    <w:rPr>
      <w:rFonts w:ascii="Arial" w:eastAsia="Times New Roman" w:hAnsi="Arial" w:cs="Times New Roman"/>
      <w:b/>
      <w:caps/>
      <w:sz w:val="18"/>
      <w:szCs w:val="20"/>
      <w:lang w:eastAsia="pl-PL"/>
    </w:rPr>
  </w:style>
  <w:style w:type="character" w:customStyle="1" w:styleId="PUNKTY11ZnakZnak">
    <w:name w:val="PUNKTY_1 1. Znak Znak"/>
    <w:link w:val="PUNKTY11"/>
    <w:uiPriority w:val="99"/>
    <w:rsid w:val="00CC1EF4"/>
    <w:rPr>
      <w:rFonts w:ascii="Arial" w:eastAsia="Times New Roman" w:hAnsi="Arial" w:cs="Times New Roman"/>
      <w:b/>
      <w:caps/>
      <w:sz w:val="18"/>
      <w:szCs w:val="20"/>
      <w:lang w:eastAsia="pl-PL"/>
    </w:rPr>
  </w:style>
  <w:style w:type="paragraph" w:customStyle="1" w:styleId="PUNKTY212">
    <w:name w:val="PUNKTY_2 1.2."/>
    <w:basedOn w:val="PUNKTY11"/>
    <w:next w:val="TEKST1Tre"/>
    <w:link w:val="PUNKTY212Znak"/>
    <w:uiPriority w:val="99"/>
    <w:rsid w:val="00CC1EF4"/>
    <w:pPr>
      <w:numPr>
        <w:ilvl w:val="1"/>
      </w:numPr>
      <w:tabs>
        <w:tab w:val="clear" w:pos="1021"/>
        <w:tab w:val="left" w:pos="851"/>
      </w:tabs>
    </w:pPr>
    <w:rPr>
      <w:caps w:val="0"/>
      <w:sz w:val="16"/>
    </w:rPr>
  </w:style>
  <w:style w:type="paragraph" w:customStyle="1" w:styleId="PUNKTY3123">
    <w:name w:val="PUNKTY_3 1.2.3"/>
    <w:basedOn w:val="PUNKTY11"/>
    <w:next w:val="TEKST1Tre"/>
    <w:link w:val="PUNKTY3123Znak1"/>
    <w:uiPriority w:val="99"/>
    <w:rsid w:val="00CC1EF4"/>
    <w:pPr>
      <w:numPr>
        <w:ilvl w:val="2"/>
      </w:numPr>
      <w:tabs>
        <w:tab w:val="clear" w:pos="1021"/>
        <w:tab w:val="left" w:pos="851"/>
        <w:tab w:val="left" w:pos="1134"/>
      </w:tabs>
    </w:pPr>
    <w:rPr>
      <w:caps w:val="0"/>
      <w:sz w:val="16"/>
    </w:rPr>
  </w:style>
  <w:style w:type="character" w:customStyle="1" w:styleId="PUNKTY3123Znak1">
    <w:name w:val="PUNKTY_3 1.2.3 Znak1"/>
    <w:link w:val="PUNKTY3123"/>
    <w:uiPriority w:val="99"/>
    <w:rsid w:val="00CC1EF4"/>
    <w:rPr>
      <w:rFonts w:ascii="Arial" w:eastAsia="Times New Roman" w:hAnsi="Arial" w:cs="Times New Roman"/>
      <w:b/>
      <w:sz w:val="16"/>
      <w:szCs w:val="20"/>
      <w:lang w:eastAsia="pl-PL"/>
    </w:rPr>
  </w:style>
  <w:style w:type="paragraph" w:customStyle="1" w:styleId="LISTA1-">
    <w:name w:val="LISTA_1 -"/>
    <w:link w:val="LISTA1-Znak"/>
    <w:uiPriority w:val="99"/>
    <w:rsid w:val="00CC1EF4"/>
    <w:pPr>
      <w:numPr>
        <w:numId w:val="80"/>
      </w:numPr>
      <w:tabs>
        <w:tab w:val="left" w:pos="397"/>
      </w:tabs>
      <w:spacing w:after="0" w:line="240" w:lineRule="auto"/>
      <w:jc w:val="both"/>
    </w:pPr>
    <w:rPr>
      <w:rFonts w:ascii="Arial" w:eastAsia="Times New Roman" w:hAnsi="Arial" w:cs="Times New Roman"/>
      <w:sz w:val="16"/>
      <w:szCs w:val="20"/>
      <w:lang w:eastAsia="pl-PL"/>
    </w:rPr>
  </w:style>
  <w:style w:type="character" w:customStyle="1" w:styleId="LISTA1-Znak">
    <w:name w:val="LISTA_1 - Znak"/>
    <w:link w:val="LISTA1-"/>
    <w:uiPriority w:val="99"/>
    <w:rsid w:val="00CC1EF4"/>
    <w:rPr>
      <w:rFonts w:ascii="Arial" w:eastAsia="Times New Roman" w:hAnsi="Arial" w:cs="Times New Roman"/>
      <w:sz w:val="16"/>
      <w:szCs w:val="20"/>
      <w:lang w:eastAsia="pl-PL"/>
    </w:rPr>
  </w:style>
  <w:style w:type="paragraph" w:customStyle="1" w:styleId="Nazwaspecyfikacji">
    <w:name w:val="Nazwa specyfikacji"/>
    <w:next w:val="PUNKTY11"/>
    <w:uiPriority w:val="99"/>
    <w:rsid w:val="00CC1EF4"/>
    <w:pPr>
      <w:spacing w:before="240" w:after="240" w:line="240" w:lineRule="auto"/>
    </w:pPr>
    <w:rPr>
      <w:rFonts w:ascii="Arial" w:eastAsia="Times New Roman" w:hAnsi="Arial" w:cs="Times New Roman"/>
      <w:bCs/>
      <w:caps/>
      <w:sz w:val="24"/>
      <w:szCs w:val="24"/>
      <w:lang w:eastAsia="pl-PL"/>
    </w:rPr>
  </w:style>
  <w:style w:type="paragraph" w:customStyle="1" w:styleId="PUNKTY4">
    <w:name w:val="PUNKTY_4"/>
    <w:basedOn w:val="PUNKTY3123"/>
    <w:next w:val="TEKST1Tre"/>
    <w:uiPriority w:val="99"/>
    <w:rsid w:val="00CC1EF4"/>
    <w:pPr>
      <w:numPr>
        <w:ilvl w:val="3"/>
      </w:numPr>
      <w:tabs>
        <w:tab w:val="num" w:pos="360"/>
        <w:tab w:val="num" w:pos="2880"/>
      </w:tabs>
      <w:spacing w:before="60"/>
      <w:ind w:left="2880" w:hanging="360"/>
    </w:pPr>
    <w:rPr>
      <w:b w:val="0"/>
    </w:rPr>
  </w:style>
  <w:style w:type="character" w:customStyle="1" w:styleId="PUNKTY212Znak">
    <w:name w:val="PUNKTY_2 1.2. Znak"/>
    <w:link w:val="PUNKTY212"/>
    <w:uiPriority w:val="99"/>
    <w:rsid w:val="00CC1EF4"/>
    <w:rPr>
      <w:rFonts w:ascii="Arial" w:eastAsia="Times New Roman" w:hAnsi="Arial" w:cs="Times New Roman"/>
      <w:b/>
      <w:sz w:val="16"/>
      <w:szCs w:val="20"/>
      <w:lang w:eastAsia="pl-PL"/>
    </w:rPr>
  </w:style>
  <w:style w:type="paragraph" w:customStyle="1" w:styleId="Naglowek-Ekkom">
    <w:name w:val="Naglowek-Ekkom"/>
    <w:basedOn w:val="Normalny"/>
    <w:rsid w:val="00CC1EF4"/>
    <w:pPr>
      <w:pBdr>
        <w:bottom w:val="single" w:sz="4" w:space="1" w:color="auto"/>
      </w:pBdr>
      <w:tabs>
        <w:tab w:val="left" w:pos="3918"/>
      </w:tabs>
      <w:spacing w:after="0" w:line="240" w:lineRule="auto"/>
      <w:jc w:val="right"/>
    </w:pPr>
    <w:rPr>
      <w:rFonts w:ascii="Arial" w:eastAsia="Times New Roman" w:hAnsi="Arial" w:cs="Times New Roman"/>
      <w:sz w:val="18"/>
      <w:szCs w:val="20"/>
      <w:lang w:eastAsia="pl-PL"/>
    </w:rPr>
  </w:style>
  <w:style w:type="paragraph" w:customStyle="1" w:styleId="TEKSTDEF">
    <w:name w:val="TEKST_DEF"/>
    <w:basedOn w:val="TEKST1Tre"/>
    <w:rsid w:val="00CC1EF4"/>
    <w:pPr>
      <w:numPr>
        <w:numId w:val="82"/>
      </w:numPr>
      <w:tabs>
        <w:tab w:val="clear" w:pos="454"/>
        <w:tab w:val="num" w:pos="360"/>
      </w:tabs>
      <w:ind w:left="0" w:firstLine="0"/>
    </w:pPr>
  </w:style>
  <w:style w:type="paragraph" w:customStyle="1" w:styleId="Wypunktowanie">
    <w:name w:val="Wypunktowanie"/>
    <w:basedOn w:val="Normalny"/>
    <w:rsid w:val="00CC1EF4"/>
    <w:pPr>
      <w:widowControl w:val="0"/>
      <w:tabs>
        <w:tab w:val="left" w:pos="708"/>
      </w:tabs>
      <w:overflowPunct w:val="0"/>
      <w:autoSpaceDE w:val="0"/>
      <w:autoSpaceDN w:val="0"/>
      <w:adjustRightInd w:val="0"/>
      <w:spacing w:after="0" w:line="240" w:lineRule="auto"/>
      <w:ind w:left="708" w:hanging="708"/>
      <w:textAlignment w:val="baseline"/>
    </w:pPr>
    <w:rPr>
      <w:rFonts w:ascii="Arial" w:eastAsia="Times New Roman" w:hAnsi="Arial" w:cs="Times New Roman"/>
      <w:sz w:val="24"/>
      <w:szCs w:val="20"/>
      <w:lang w:eastAsia="pl-PL"/>
    </w:rPr>
  </w:style>
  <w:style w:type="paragraph" w:customStyle="1" w:styleId="Tablica">
    <w:name w:val="Tablica"/>
    <w:basedOn w:val="Normalny"/>
    <w:next w:val="Normalny"/>
    <w:rsid w:val="00CC1EF4"/>
    <w:pPr>
      <w:keepNext/>
      <w:keepLines/>
      <w:tabs>
        <w:tab w:val="left" w:pos="-720"/>
      </w:tabs>
      <w:suppressAutoHyphens/>
      <w:overflowPunct w:val="0"/>
      <w:autoSpaceDE w:val="0"/>
      <w:autoSpaceDN w:val="0"/>
      <w:adjustRightInd w:val="0"/>
      <w:spacing w:before="120" w:after="0" w:line="360" w:lineRule="auto"/>
      <w:jc w:val="center"/>
      <w:textAlignment w:val="baseline"/>
    </w:pPr>
    <w:rPr>
      <w:rFonts w:ascii="Arial" w:eastAsia="Times New Roman" w:hAnsi="Arial" w:cs="Times New Roman"/>
      <w:b/>
      <w:sz w:val="24"/>
      <w:szCs w:val="20"/>
      <w:lang w:eastAsia="pl-PL"/>
    </w:rPr>
  </w:style>
  <w:style w:type="paragraph" w:customStyle="1" w:styleId="Teksttablicy">
    <w:name w:val="Tekst tablicy"/>
    <w:basedOn w:val="Tekstpodstawowy"/>
    <w:next w:val="Tekstpodstawowy"/>
    <w:rsid w:val="00CC1EF4"/>
    <w:pPr>
      <w:keepLines/>
      <w:spacing w:line="240" w:lineRule="auto"/>
      <w:jc w:val="center"/>
    </w:pPr>
    <w:rPr>
      <w:rFonts w:ascii="Arial" w:hAnsi="Arial" w:cs="Arial"/>
      <w:bCs/>
      <w:lang w:val="fr-FR"/>
    </w:rPr>
  </w:style>
  <w:style w:type="paragraph" w:customStyle="1" w:styleId="Numerowanie">
    <w:name w:val="Numerowanie"/>
    <w:basedOn w:val="Tekstpodstawowy"/>
    <w:rsid w:val="00CC1EF4"/>
    <w:pPr>
      <w:widowControl w:val="0"/>
      <w:overflowPunct w:val="0"/>
      <w:autoSpaceDE w:val="0"/>
      <w:autoSpaceDN w:val="0"/>
      <w:adjustRightInd w:val="0"/>
      <w:spacing w:line="240" w:lineRule="auto"/>
      <w:jc w:val="center"/>
      <w:textAlignment w:val="baseline"/>
    </w:pPr>
    <w:rPr>
      <w:lang w:val="fr-FR"/>
    </w:rPr>
  </w:style>
  <w:style w:type="paragraph" w:styleId="Listanumerowana">
    <w:name w:val="List Number"/>
    <w:basedOn w:val="Normalny"/>
    <w:rsid w:val="00CC1EF4"/>
    <w:pPr>
      <w:numPr>
        <w:numId w:val="83"/>
      </w:numPr>
      <w:spacing w:after="0" w:line="240" w:lineRule="auto"/>
      <w:jc w:val="both"/>
    </w:pPr>
    <w:rPr>
      <w:rFonts w:ascii="Arial" w:eastAsia="Times New Roman" w:hAnsi="Arial" w:cs="Arial"/>
      <w:iCs/>
      <w:lang w:eastAsia="pl-PL"/>
    </w:rPr>
  </w:style>
  <w:style w:type="paragraph" w:customStyle="1" w:styleId="adres2">
    <w:name w:val="adres2"/>
    <w:basedOn w:val="Stopka"/>
    <w:rsid w:val="00CC1EF4"/>
    <w:pPr>
      <w:overflowPunct/>
      <w:spacing w:line="180" w:lineRule="exact"/>
      <w:jc w:val="right"/>
      <w:textAlignment w:val="auto"/>
    </w:pPr>
    <w:rPr>
      <w:rFonts w:ascii="Arial" w:hAnsi="Arial" w:cs="ArialMT"/>
      <w:color w:val="000000"/>
      <w:sz w:val="15"/>
      <w:szCs w:val="15"/>
    </w:rPr>
  </w:style>
  <w:style w:type="paragraph" w:styleId="Nagwekspisutreci">
    <w:name w:val="TOC Heading"/>
    <w:basedOn w:val="Nagwek1"/>
    <w:next w:val="Normalny"/>
    <w:uiPriority w:val="39"/>
    <w:qFormat/>
    <w:rsid w:val="00CC1EF4"/>
    <w:pPr>
      <w:suppressAutoHyphens w:val="0"/>
      <w:overflowPunct/>
      <w:autoSpaceDE/>
      <w:autoSpaceDN/>
      <w:adjustRightInd/>
      <w:spacing w:before="480" w:after="0" w:line="276" w:lineRule="auto"/>
      <w:jc w:val="left"/>
      <w:textAlignment w:val="auto"/>
      <w:outlineLvl w:val="9"/>
    </w:pPr>
    <w:rPr>
      <w:rFonts w:ascii="Cambria" w:hAnsi="Cambria"/>
      <w:bCs/>
      <w:caps w:val="0"/>
      <w:color w:val="365F91"/>
      <w:kern w:val="0"/>
      <w:sz w:val="28"/>
      <w:szCs w:val="28"/>
      <w:lang w:eastAsia="en-US"/>
    </w:rPr>
  </w:style>
  <w:style w:type="character" w:customStyle="1" w:styleId="NagwekstronyZnakZnak">
    <w:name w:val="Nagłówek strony Znak Znak"/>
    <w:rsid w:val="00CC1EF4"/>
    <w:rPr>
      <w:sz w:val="24"/>
      <w:szCs w:val="24"/>
      <w:lang w:val="pl-PL" w:eastAsia="pl-PL" w:bidi="ar-SA"/>
    </w:rPr>
  </w:style>
  <w:style w:type="paragraph" w:customStyle="1" w:styleId="grzesiek">
    <w:name w:val="grzesiek"/>
    <w:basedOn w:val="Styl1"/>
    <w:link w:val="grzesiekZnak"/>
    <w:rsid w:val="00CC1EF4"/>
    <w:pPr>
      <w:spacing w:line="360" w:lineRule="auto"/>
      <w:ind w:firstLine="709"/>
    </w:pPr>
  </w:style>
  <w:style w:type="character" w:customStyle="1" w:styleId="grzesiekZnak">
    <w:name w:val="grzesiek Znak"/>
    <w:basedOn w:val="Styl1Znak"/>
    <w:link w:val="grzesiek"/>
    <w:rsid w:val="00CC1EF4"/>
    <w:rPr>
      <w:rFonts w:ascii="Arial" w:eastAsia="Times New Roman" w:hAnsi="Arial" w:cs="Times New Roman"/>
      <w:bCs/>
      <w:sz w:val="20"/>
      <w:szCs w:val="24"/>
    </w:rPr>
  </w:style>
  <w:style w:type="numbering" w:customStyle="1" w:styleId="Bezlisty11">
    <w:name w:val="Bez listy11"/>
    <w:next w:val="Bezlisty"/>
    <w:uiPriority w:val="99"/>
    <w:semiHidden/>
    <w:unhideWhenUsed/>
    <w:rsid w:val="00CC1EF4"/>
  </w:style>
  <w:style w:type="table" w:customStyle="1" w:styleId="Tabela-Siatka2">
    <w:name w:val="Tabela - Siatka2"/>
    <w:basedOn w:val="Standardowy"/>
    <w:next w:val="Tabela-Siatka"/>
    <w:uiPriority w:val="59"/>
    <w:rsid w:val="00CC1EF4"/>
    <w:pPr>
      <w:spacing w:after="0" w:line="240" w:lineRule="auto"/>
    </w:pPr>
    <w:rPr>
      <w:rFonts w:ascii="Calibri" w:eastAsia="Times New Roman"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yliczenie">
    <w:name w:val="wyliczenie"/>
    <w:basedOn w:val="Normalny"/>
    <w:rsid w:val="00CC1EF4"/>
    <w:pPr>
      <w:numPr>
        <w:numId w:val="84"/>
      </w:numPr>
      <w:tabs>
        <w:tab w:val="left" w:pos="567"/>
      </w:tabs>
      <w:spacing w:after="0" w:line="240" w:lineRule="auto"/>
    </w:pPr>
    <w:rPr>
      <w:rFonts w:ascii="Arial" w:eastAsia="Times New Roman" w:hAnsi="Arial" w:cs="Times New Roman"/>
      <w:sz w:val="20"/>
      <w:szCs w:val="20"/>
      <w:lang w:eastAsia="pl-PL"/>
    </w:rPr>
  </w:style>
  <w:style w:type="character" w:customStyle="1" w:styleId="FontStyle295">
    <w:name w:val="Font Style295"/>
    <w:rsid w:val="00CC1EF4"/>
    <w:rPr>
      <w:rFonts w:ascii="Times New Roman" w:hAnsi="Times New Roman" w:cs="Times New Roman"/>
      <w:b/>
      <w:bCs/>
      <w:sz w:val="18"/>
      <w:szCs w:val="18"/>
    </w:rPr>
  </w:style>
  <w:style w:type="character" w:customStyle="1" w:styleId="FontStyle296">
    <w:name w:val="Font Style296"/>
    <w:rsid w:val="00CC1EF4"/>
    <w:rPr>
      <w:rFonts w:ascii="Times New Roman" w:hAnsi="Times New Roman" w:cs="Times New Roman"/>
      <w:sz w:val="18"/>
      <w:szCs w:val="18"/>
    </w:rPr>
  </w:style>
  <w:style w:type="paragraph" w:customStyle="1" w:styleId="Style29">
    <w:name w:val="Style29"/>
    <w:basedOn w:val="Normalny"/>
    <w:rsid w:val="00CC1EF4"/>
    <w:pPr>
      <w:widowControl w:val="0"/>
      <w:autoSpaceDE w:val="0"/>
      <w:autoSpaceDN w:val="0"/>
      <w:adjustRightInd w:val="0"/>
      <w:spacing w:after="0" w:line="229" w:lineRule="exact"/>
      <w:ind w:firstLine="566"/>
      <w:jc w:val="both"/>
    </w:pPr>
    <w:rPr>
      <w:rFonts w:ascii="Arial Unicode MS" w:eastAsia="Arial Unicode MS" w:hAnsi="Arial" w:cs="Times New Roman"/>
      <w:sz w:val="24"/>
      <w:szCs w:val="24"/>
      <w:lang w:eastAsia="pl-PL"/>
    </w:rPr>
  </w:style>
  <w:style w:type="paragraph" w:customStyle="1" w:styleId="StylNagwek3Arial10pt">
    <w:name w:val="Styl Nagłówek 3 + Arial 10 pt"/>
    <w:basedOn w:val="Nagwek3"/>
    <w:link w:val="StylNagwek3Arial10ptZnak"/>
    <w:rsid w:val="00CC1EF4"/>
    <w:pPr>
      <w:keepNext w:val="0"/>
      <w:widowControl w:val="0"/>
      <w:numPr>
        <w:ilvl w:val="2"/>
      </w:numPr>
      <w:tabs>
        <w:tab w:val="num" w:pos="0"/>
        <w:tab w:val="num" w:pos="720"/>
        <w:tab w:val="num" w:pos="851"/>
      </w:tabs>
      <w:overflowPunct/>
      <w:autoSpaceDE/>
      <w:autoSpaceDN/>
      <w:adjustRightInd/>
      <w:spacing w:before="0" w:after="0"/>
      <w:ind w:left="720" w:hanging="720"/>
      <w:textAlignment w:val="auto"/>
    </w:pPr>
    <w:rPr>
      <w:rFonts w:ascii="Arial" w:hAnsi="Arial"/>
      <w:sz w:val="20"/>
      <w:lang w:eastAsia="en-US"/>
    </w:rPr>
  </w:style>
  <w:style w:type="character" w:customStyle="1" w:styleId="StylNagwek3Arial10ptZnak">
    <w:name w:val="Styl Nagłówek 3 + Arial 10 pt Znak"/>
    <w:link w:val="StylNagwek3Arial10pt"/>
    <w:rsid w:val="00CC1EF4"/>
    <w:rPr>
      <w:rFonts w:ascii="Arial" w:eastAsia="Times New Roman" w:hAnsi="Arial" w:cs="Times New Roman"/>
      <w:sz w:val="20"/>
      <w:szCs w:val="20"/>
    </w:rPr>
  </w:style>
  <w:style w:type="paragraph" w:customStyle="1" w:styleId="StylStylNagwek3DolewejZlewej0cmPierwszywiersz01">
    <w:name w:val="Styl Styl Nagłówek 3 + Do lewej Z lewej:  0 cm Pierwszy wiersz:  0...1"/>
    <w:basedOn w:val="Normalny"/>
    <w:link w:val="StylStylNagwek3DolewejZlewej0cmPierwszywiersz01Znak"/>
    <w:rsid w:val="00CC1EF4"/>
    <w:pPr>
      <w:widowControl w:val="0"/>
      <w:numPr>
        <w:ilvl w:val="2"/>
        <w:numId w:val="85"/>
      </w:numPr>
      <w:spacing w:before="120" w:after="0" w:line="240" w:lineRule="auto"/>
      <w:jc w:val="both"/>
      <w:outlineLvl w:val="2"/>
    </w:pPr>
    <w:rPr>
      <w:rFonts w:ascii="Arial" w:eastAsia="Times New Roman" w:hAnsi="Arial" w:cs="Times New Roman"/>
      <w:b/>
      <w:sz w:val="20"/>
      <w:szCs w:val="20"/>
    </w:rPr>
  </w:style>
  <w:style w:type="character" w:customStyle="1" w:styleId="StylStylNagwek3DolewejZlewej0cmPierwszywiersz01Znak">
    <w:name w:val="Styl Styl Nagłówek 3 + Do lewej Z lewej:  0 cm Pierwszy wiersz:  0...1 Znak"/>
    <w:link w:val="StylStylNagwek3DolewejZlewej0cmPierwszywiersz01"/>
    <w:rsid w:val="00CC1EF4"/>
    <w:rPr>
      <w:rFonts w:ascii="Arial" w:eastAsia="Times New Roman" w:hAnsi="Arial" w:cs="Times New Roman"/>
      <w:b/>
      <w:sz w:val="20"/>
      <w:szCs w:val="20"/>
    </w:rPr>
  </w:style>
  <w:style w:type="paragraph" w:customStyle="1" w:styleId="Punktowanie">
    <w:name w:val="Punktowanie"/>
    <w:basedOn w:val="Normalny"/>
    <w:rsid w:val="00CC1EF4"/>
    <w:pPr>
      <w:numPr>
        <w:numId w:val="65"/>
      </w:numPr>
      <w:spacing w:after="0" w:line="240" w:lineRule="auto"/>
    </w:pPr>
    <w:rPr>
      <w:rFonts w:ascii="Arial" w:eastAsia="Times New Roman" w:hAnsi="Arial" w:cs="Times New Roman"/>
      <w:sz w:val="24"/>
      <w:szCs w:val="20"/>
      <w:lang w:eastAsia="pl-PL"/>
    </w:rPr>
  </w:style>
  <w:style w:type="paragraph" w:customStyle="1" w:styleId="StandardowytekstZnak">
    <w:name w:val="Standardowy.tekst Znak"/>
    <w:rsid w:val="00CC1EF4"/>
    <w:pPr>
      <w:overflowPunct w:val="0"/>
      <w:autoSpaceDE w:val="0"/>
      <w:autoSpaceDN w:val="0"/>
      <w:adjustRightInd w:val="0"/>
      <w:spacing w:after="0" w:line="240" w:lineRule="auto"/>
      <w:jc w:val="both"/>
      <w:textAlignment w:val="baseline"/>
    </w:pPr>
    <w:rPr>
      <w:rFonts w:ascii="Times New Roman" w:eastAsia="SimSun" w:hAnsi="Times New Roman" w:cs="Times New Roman"/>
      <w:sz w:val="24"/>
      <w:szCs w:val="20"/>
      <w:lang w:eastAsia="pl-PL"/>
    </w:rPr>
  </w:style>
  <w:style w:type="paragraph" w:customStyle="1" w:styleId="DefaultText">
    <w:name w:val="Default Text"/>
    <w:basedOn w:val="Normalny"/>
    <w:rsid w:val="00CC1EF4"/>
    <w:pPr>
      <w:spacing w:after="0" w:line="240" w:lineRule="auto"/>
      <w:jc w:val="both"/>
    </w:pPr>
    <w:rPr>
      <w:rFonts w:ascii="Arial" w:eastAsia="Times New Roman" w:hAnsi="Arial" w:cs="Times New Roman"/>
      <w:sz w:val="24"/>
      <w:szCs w:val="20"/>
      <w:lang w:eastAsia="pl-PL"/>
    </w:rPr>
  </w:style>
  <w:style w:type="paragraph" w:customStyle="1" w:styleId="Tytuspecyfikacji0">
    <w:name w:val="Tytuł specyfikacji"/>
    <w:basedOn w:val="Tytu"/>
    <w:link w:val="TytuspecyfikacjiZnak"/>
    <w:rsid w:val="00CC1EF4"/>
    <w:pPr>
      <w:tabs>
        <w:tab w:val="left" w:pos="1985"/>
      </w:tabs>
      <w:suppressAutoHyphens w:val="0"/>
      <w:spacing w:before="120" w:after="120"/>
      <w:ind w:left="1985" w:hanging="1985"/>
      <w:jc w:val="left"/>
      <w:outlineLvl w:val="0"/>
    </w:pPr>
    <w:rPr>
      <w:rFonts w:ascii="Arial" w:hAnsi="Arial"/>
      <w:caps/>
      <w:noProof/>
      <w:kern w:val="28"/>
      <w:u w:val="none"/>
    </w:rPr>
  </w:style>
  <w:style w:type="character" w:customStyle="1" w:styleId="TytuspecyfikacjiZnak">
    <w:name w:val="Tytuł specyfikacji Znak"/>
    <w:link w:val="Tytuspecyfikacji0"/>
    <w:rsid w:val="00CC1EF4"/>
    <w:rPr>
      <w:rFonts w:ascii="Arial" w:eastAsia="Times New Roman" w:hAnsi="Arial" w:cs="Times New Roman"/>
      <w:b/>
      <w:caps/>
      <w:noProof/>
      <w:kern w:val="28"/>
      <w:sz w:val="24"/>
      <w:szCs w:val="20"/>
    </w:rPr>
  </w:style>
  <w:style w:type="paragraph" w:customStyle="1" w:styleId="111">
    <w:name w:val="1.1.1."/>
    <w:basedOn w:val="Normalny"/>
    <w:rsid w:val="00CC1EF4"/>
    <w:pPr>
      <w:tabs>
        <w:tab w:val="left" w:pos="2126"/>
      </w:tabs>
      <w:spacing w:after="0" w:line="360" w:lineRule="auto"/>
      <w:ind w:left="2127" w:hanging="709"/>
      <w:jc w:val="both"/>
    </w:pPr>
    <w:rPr>
      <w:rFonts w:ascii="Arial" w:eastAsia="Times New Roman" w:hAnsi="Arial" w:cs="Times New Roman"/>
      <w:sz w:val="26"/>
      <w:szCs w:val="20"/>
      <w:lang w:eastAsia="pl-PL"/>
    </w:rPr>
  </w:style>
  <w:style w:type="paragraph" w:customStyle="1" w:styleId="110">
    <w:name w:val="1.1."/>
    <w:basedOn w:val="Normalny"/>
    <w:rsid w:val="00CC1EF4"/>
    <w:pPr>
      <w:spacing w:after="0" w:line="360" w:lineRule="auto"/>
      <w:ind w:left="1418" w:hanging="709"/>
      <w:jc w:val="both"/>
    </w:pPr>
    <w:rPr>
      <w:rFonts w:ascii="Arial" w:eastAsia="Times New Roman" w:hAnsi="Arial" w:cs="Times New Roman"/>
      <w:sz w:val="26"/>
      <w:szCs w:val="20"/>
      <w:lang w:eastAsia="pl-PL"/>
    </w:rPr>
  </w:style>
  <w:style w:type="paragraph" w:customStyle="1" w:styleId="tekst-11">
    <w:name w:val="tekst-1.1."/>
    <w:basedOn w:val="110"/>
    <w:rsid w:val="00CC1EF4"/>
    <w:pPr>
      <w:ind w:firstLine="0"/>
    </w:pPr>
  </w:style>
  <w:style w:type="paragraph" w:customStyle="1" w:styleId="12">
    <w:name w:val="1."/>
    <w:basedOn w:val="Normalny"/>
    <w:rsid w:val="00CC1EF4"/>
    <w:pPr>
      <w:spacing w:after="0" w:line="360" w:lineRule="auto"/>
    </w:pPr>
    <w:rPr>
      <w:rFonts w:ascii="Arial" w:eastAsia="Times New Roman" w:hAnsi="Arial" w:cs="Times New Roman"/>
      <w:b/>
      <w:sz w:val="26"/>
      <w:szCs w:val="20"/>
      <w:lang w:eastAsia="pl-PL"/>
    </w:rPr>
  </w:style>
  <w:style w:type="paragraph" w:customStyle="1" w:styleId="tekst-1">
    <w:name w:val="tekst-1."/>
    <w:basedOn w:val="tekst-11"/>
    <w:rsid w:val="00CC1EF4"/>
    <w:pPr>
      <w:ind w:left="709"/>
    </w:pPr>
  </w:style>
  <w:style w:type="paragraph" w:customStyle="1" w:styleId="tekst-111">
    <w:name w:val="tekst-1.1.1."/>
    <w:basedOn w:val="tekst-11"/>
    <w:rsid w:val="00CC1EF4"/>
    <w:pPr>
      <w:ind w:left="2835"/>
    </w:pPr>
  </w:style>
  <w:style w:type="paragraph" w:customStyle="1" w:styleId="oddl-nadpis">
    <w:name w:val="oddíl-nadpis"/>
    <w:basedOn w:val="Normalny"/>
    <w:rsid w:val="00CC1EF4"/>
    <w:pPr>
      <w:keepNext/>
      <w:tabs>
        <w:tab w:val="left" w:pos="567"/>
      </w:tabs>
      <w:spacing w:before="240" w:after="0" w:line="240" w:lineRule="exact"/>
    </w:pPr>
    <w:rPr>
      <w:rFonts w:ascii="Arial" w:eastAsia="Times New Roman" w:hAnsi="Arial" w:cs="Times New Roman"/>
      <w:b/>
      <w:sz w:val="24"/>
      <w:szCs w:val="20"/>
      <w:lang w:val="cs-CZ" w:eastAsia="pl-PL"/>
    </w:rPr>
  </w:style>
  <w:style w:type="paragraph" w:customStyle="1" w:styleId="OPIS">
    <w:name w:val="OPIS"/>
    <w:link w:val="OPISZnak"/>
    <w:rsid w:val="00CC1EF4"/>
    <w:pPr>
      <w:tabs>
        <w:tab w:val="left" w:pos="1134"/>
      </w:tabs>
      <w:spacing w:before="60" w:after="0" w:line="360" w:lineRule="auto"/>
      <w:ind w:firstLine="851"/>
      <w:jc w:val="both"/>
    </w:pPr>
    <w:rPr>
      <w:rFonts w:ascii="Arial" w:eastAsia="Times New Roman" w:hAnsi="Arial" w:cs="Times New Roman"/>
      <w:sz w:val="20"/>
      <w:szCs w:val="24"/>
      <w:lang w:eastAsia="pl-PL"/>
    </w:rPr>
  </w:style>
  <w:style w:type="character" w:customStyle="1" w:styleId="OPISZnak">
    <w:name w:val="OPIS Znak"/>
    <w:link w:val="OPIS"/>
    <w:rsid w:val="00CC1EF4"/>
    <w:rPr>
      <w:rFonts w:ascii="Arial" w:eastAsia="Times New Roman" w:hAnsi="Arial" w:cs="Times New Roman"/>
      <w:sz w:val="20"/>
      <w:szCs w:val="24"/>
      <w:lang w:eastAsia="pl-PL"/>
    </w:rPr>
  </w:style>
  <w:style w:type="paragraph" w:customStyle="1" w:styleId="TEKST2Definicje">
    <w:name w:val="TEKST_2 Definicje"/>
    <w:rsid w:val="00CC1EF4"/>
    <w:pPr>
      <w:tabs>
        <w:tab w:val="left" w:pos="851"/>
      </w:tabs>
      <w:spacing w:before="240" w:after="0" w:line="240" w:lineRule="auto"/>
      <w:ind w:left="851" w:hanging="851"/>
    </w:pPr>
    <w:rPr>
      <w:rFonts w:ascii="Arial" w:eastAsia="Times New Roman" w:hAnsi="Arial" w:cs="Times New Roman"/>
      <w:sz w:val="20"/>
      <w:szCs w:val="20"/>
      <w:lang w:eastAsia="pl-PL"/>
    </w:rPr>
  </w:style>
  <w:style w:type="paragraph" w:customStyle="1" w:styleId="Standartowywcity">
    <w:name w:val="Standartowy wcięty"/>
    <w:basedOn w:val="Normalny"/>
    <w:rsid w:val="00CC1EF4"/>
    <w:pPr>
      <w:suppressAutoHyphens/>
      <w:spacing w:after="0" w:line="240" w:lineRule="auto"/>
      <w:ind w:firstLine="567"/>
      <w:jc w:val="both"/>
    </w:pPr>
    <w:rPr>
      <w:rFonts w:ascii="Arial" w:eastAsia="Times New Roman" w:hAnsi="Arial" w:cs="Times New Roman"/>
      <w:sz w:val="20"/>
      <w:szCs w:val="20"/>
      <w:lang w:eastAsia="ar-SA"/>
    </w:rPr>
  </w:style>
  <w:style w:type="character" w:customStyle="1" w:styleId="ZnakZnak8">
    <w:name w:val="Znak Znak8"/>
    <w:rsid w:val="00CC1EF4"/>
    <w:rPr>
      <w:i/>
      <w:sz w:val="22"/>
    </w:rPr>
  </w:style>
  <w:style w:type="paragraph" w:customStyle="1" w:styleId="rozdzia1">
    <w:name w:val="rozdział1"/>
    <w:basedOn w:val="Normalny"/>
    <w:next w:val="DefaultText"/>
    <w:rsid w:val="00CC1EF4"/>
    <w:pPr>
      <w:spacing w:after="0" w:line="240" w:lineRule="auto"/>
    </w:pPr>
    <w:rPr>
      <w:rFonts w:ascii="Arial" w:eastAsia="Times New Roman" w:hAnsi="Arial" w:cs="Times New Roman"/>
      <w:b/>
      <w:noProof/>
      <w:sz w:val="24"/>
      <w:szCs w:val="20"/>
      <w:lang w:eastAsia="pl-PL"/>
    </w:rPr>
  </w:style>
  <w:style w:type="paragraph" w:styleId="Indeks1">
    <w:name w:val="index 1"/>
    <w:basedOn w:val="Normalny"/>
    <w:next w:val="Normalny"/>
    <w:rsid w:val="00CC1EF4"/>
    <w:pPr>
      <w:spacing w:before="120" w:after="0" w:line="240" w:lineRule="auto"/>
      <w:jc w:val="both"/>
    </w:pPr>
    <w:rPr>
      <w:rFonts w:ascii="PL Times New Roman" w:eastAsia="Times New Roman" w:hAnsi="PL Times New Roman" w:cs="Times New Roman"/>
      <w:sz w:val="20"/>
      <w:szCs w:val="20"/>
      <w:lang w:eastAsia="pl-PL"/>
    </w:rPr>
  </w:style>
  <w:style w:type="character" w:customStyle="1" w:styleId="TekstpodstawowywcityZnak1">
    <w:name w:val="Tekst podstawowy wcięty Znak1"/>
    <w:rsid w:val="00CC1EF4"/>
  </w:style>
  <w:style w:type="character" w:customStyle="1" w:styleId="st">
    <w:name w:val="st"/>
    <w:rsid w:val="00CC1EF4"/>
  </w:style>
  <w:style w:type="character" w:styleId="Uwydatnienie">
    <w:name w:val="Emphasis"/>
    <w:uiPriority w:val="20"/>
    <w:qFormat/>
    <w:rsid w:val="00CC1EF4"/>
    <w:rPr>
      <w:i/>
      <w:iCs/>
    </w:rPr>
  </w:style>
  <w:style w:type="paragraph" w:customStyle="1" w:styleId="tabela0">
    <w:name w:val="tabela"/>
    <w:basedOn w:val="Normalny"/>
    <w:rsid w:val="00CC1EF4"/>
    <w:pPr>
      <w:spacing w:before="60" w:after="60" w:line="240" w:lineRule="auto"/>
    </w:pPr>
    <w:rPr>
      <w:rFonts w:ascii="Arial" w:eastAsia="Times New Roman" w:hAnsi="Arial" w:cs="Times New Roman"/>
      <w:spacing w:val="10"/>
      <w:szCs w:val="20"/>
      <w:lang w:eastAsia="pl-PL"/>
    </w:rPr>
  </w:style>
  <w:style w:type="character" w:customStyle="1" w:styleId="r">
    <w:name w:val="r"/>
    <w:rsid w:val="00CC1EF4"/>
  </w:style>
  <w:style w:type="paragraph" w:customStyle="1" w:styleId="TRE">
    <w:name w:val="TREŚĆ"/>
    <w:basedOn w:val="Normalny"/>
    <w:rsid w:val="00CC1EF4"/>
    <w:pPr>
      <w:widowControl w:val="0"/>
      <w:spacing w:after="0" w:line="240" w:lineRule="auto"/>
      <w:ind w:left="709"/>
      <w:jc w:val="both"/>
    </w:pPr>
    <w:rPr>
      <w:rFonts w:ascii="Arial" w:eastAsia="Times New Roman" w:hAnsi="Arial" w:cs="Times New Roman"/>
      <w:kern w:val="24"/>
      <w:sz w:val="24"/>
      <w:szCs w:val="20"/>
      <w:lang w:eastAsia="pl-PL"/>
    </w:rPr>
  </w:style>
  <w:style w:type="paragraph" w:customStyle="1" w:styleId="Standardowy1">
    <w:name w:val="Standardowy1"/>
    <w:rsid w:val="00CC1EF4"/>
    <w:pPr>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TekstpodstawowyZnak">
    <w:name w:val="Tekst podstawowy.Tekst podstawowy Znak"/>
    <w:basedOn w:val="Normalny"/>
    <w:rsid w:val="00CC1EF4"/>
    <w:pPr>
      <w:widowControl w:val="0"/>
      <w:spacing w:after="0" w:line="240" w:lineRule="auto"/>
      <w:jc w:val="both"/>
    </w:pPr>
    <w:rPr>
      <w:rFonts w:ascii="Arial" w:eastAsia="Times New Roman" w:hAnsi="Arial" w:cs="Times New Roman"/>
      <w:sz w:val="24"/>
      <w:szCs w:val="24"/>
      <w:lang w:eastAsia="pl-PL"/>
    </w:rPr>
  </w:style>
  <w:style w:type="paragraph" w:customStyle="1" w:styleId="a0">
    <w:name w:val="a)"/>
    <w:rsid w:val="00CC1EF4"/>
    <w:pPr>
      <w:spacing w:before="120" w:after="0" w:line="240" w:lineRule="auto"/>
      <w:ind w:left="1701" w:hanging="567"/>
    </w:pPr>
    <w:rPr>
      <w:rFonts w:ascii="Arial" w:eastAsia="Times New Roman" w:hAnsi="Arial" w:cs="Times New Roman"/>
      <w:color w:val="000000"/>
      <w:sz w:val="20"/>
      <w:szCs w:val="20"/>
      <w:lang w:eastAsia="pl-PL"/>
    </w:rPr>
  </w:style>
  <w:style w:type="character" w:customStyle="1" w:styleId="FontStyle56">
    <w:name w:val="Font Style56"/>
    <w:uiPriority w:val="99"/>
    <w:rsid w:val="00CC1EF4"/>
    <w:rPr>
      <w:rFonts w:ascii="Times New Roman" w:hAnsi="Times New Roman" w:cs="Times New Roman"/>
      <w:b/>
      <w:bCs/>
      <w:sz w:val="20"/>
      <w:szCs w:val="20"/>
    </w:rPr>
  </w:style>
  <w:style w:type="paragraph" w:customStyle="1" w:styleId="zwyky">
    <w:name w:val="zwykły"/>
    <w:basedOn w:val="Normalny"/>
    <w:rsid w:val="00CC1EF4"/>
    <w:pPr>
      <w:spacing w:after="120" w:line="240" w:lineRule="auto"/>
      <w:jc w:val="both"/>
    </w:pPr>
    <w:rPr>
      <w:rFonts w:ascii="Arial" w:eastAsia="Times New Roman" w:hAnsi="Arial" w:cs="Times New Roman"/>
      <w:sz w:val="24"/>
      <w:szCs w:val="20"/>
      <w:lang w:eastAsia="pl-PL"/>
    </w:rPr>
  </w:style>
  <w:style w:type="paragraph" w:customStyle="1" w:styleId="Style125">
    <w:name w:val="Style125"/>
    <w:basedOn w:val="Normalny"/>
    <w:rsid w:val="00CC1EF4"/>
    <w:pPr>
      <w:widowControl w:val="0"/>
      <w:autoSpaceDE w:val="0"/>
      <w:autoSpaceDN w:val="0"/>
      <w:adjustRightInd w:val="0"/>
      <w:spacing w:after="0" w:line="406" w:lineRule="exact"/>
      <w:ind w:hanging="331"/>
      <w:jc w:val="both"/>
    </w:pPr>
    <w:rPr>
      <w:rFonts w:ascii="Arial Narrow" w:eastAsia="Times New Roman" w:hAnsi="Arial Narrow" w:cs="Times New Roman"/>
      <w:sz w:val="24"/>
      <w:szCs w:val="24"/>
      <w:lang w:eastAsia="pl-PL"/>
    </w:rPr>
  </w:style>
  <w:style w:type="paragraph" w:customStyle="1" w:styleId="DocumentInfoblok5">
    <w:name w:val="DocumentInfo (blok 5)"/>
    <w:basedOn w:val="Normalny"/>
    <w:link w:val="DocumentInfoblok5Char"/>
    <w:rsid w:val="00CC1EF4"/>
    <w:pPr>
      <w:spacing w:after="0" w:line="200" w:lineRule="exact"/>
    </w:pPr>
    <w:rPr>
      <w:rFonts w:ascii="Arial" w:eastAsia="Times New Roman" w:hAnsi="Arial" w:cs="Times New Roman"/>
      <w:sz w:val="15"/>
      <w:szCs w:val="24"/>
      <w:lang w:val="en-US"/>
    </w:rPr>
  </w:style>
  <w:style w:type="character" w:customStyle="1" w:styleId="DocumentInfoblok5Char">
    <w:name w:val="DocumentInfo (blok 5) Char"/>
    <w:link w:val="DocumentInfoblok5"/>
    <w:rsid w:val="00CC1EF4"/>
    <w:rPr>
      <w:rFonts w:ascii="Arial" w:eastAsia="Times New Roman" w:hAnsi="Arial" w:cs="Times New Roman"/>
      <w:sz w:val="15"/>
      <w:szCs w:val="24"/>
      <w:lang w:val="en-US"/>
    </w:rPr>
  </w:style>
  <w:style w:type="paragraph" w:styleId="Indeks2">
    <w:name w:val="index 2"/>
    <w:basedOn w:val="Normalny"/>
    <w:next w:val="Normalny"/>
    <w:rsid w:val="00CC1EF4"/>
    <w:pPr>
      <w:tabs>
        <w:tab w:val="left" w:leader="dot" w:pos="9000"/>
        <w:tab w:val="right" w:pos="9360"/>
      </w:tabs>
      <w:suppressAutoHyphens/>
      <w:spacing w:after="0" w:line="240" w:lineRule="auto"/>
      <w:ind w:left="1440" w:right="720" w:hanging="720"/>
    </w:pPr>
    <w:rPr>
      <w:rFonts w:ascii="Courier" w:eastAsia="Times New Roman" w:hAnsi="Courier" w:cs="Times New Roman"/>
      <w:sz w:val="24"/>
      <w:szCs w:val="20"/>
      <w:lang w:val="en-US" w:eastAsia="pl-PL"/>
    </w:rPr>
  </w:style>
  <w:style w:type="paragraph" w:customStyle="1" w:styleId="Standard">
    <w:name w:val="Standard"/>
    <w:rsid w:val="00CC1EF4"/>
    <w:pPr>
      <w:autoSpaceDE w:val="0"/>
      <w:autoSpaceDN w:val="0"/>
      <w:adjustRightInd w:val="0"/>
      <w:spacing w:after="0" w:line="240" w:lineRule="auto"/>
    </w:pPr>
    <w:rPr>
      <w:rFonts w:ascii="Times New Roman" w:eastAsia="Times New Roman" w:hAnsi="Times New Roman" w:cs="Times New Roman"/>
      <w:sz w:val="20"/>
      <w:szCs w:val="24"/>
      <w:lang w:eastAsia="pl-PL"/>
    </w:rPr>
  </w:style>
  <w:style w:type="paragraph" w:customStyle="1" w:styleId="wyliczenie1">
    <w:name w:val="wyliczenie 1"/>
    <w:basedOn w:val="Normalny"/>
    <w:rsid w:val="00CC1EF4"/>
    <w:pPr>
      <w:spacing w:after="0" w:line="240" w:lineRule="auto"/>
    </w:pPr>
    <w:rPr>
      <w:rFonts w:ascii="Arial" w:eastAsia="Times New Roman" w:hAnsi="Arial" w:cs="Times New Roman"/>
      <w:sz w:val="24"/>
      <w:szCs w:val="20"/>
      <w:lang w:eastAsia="pl-PL"/>
    </w:rPr>
  </w:style>
  <w:style w:type="character" w:customStyle="1" w:styleId="TekstoznakowanyjakoHTML">
    <w:name w:val="Tekst oznakowany jako HTML"/>
    <w:rsid w:val="00CC1EF4"/>
    <w:rPr>
      <w:vanish/>
      <w:color w:val="FF0000"/>
    </w:rPr>
  </w:style>
  <w:style w:type="paragraph" w:customStyle="1" w:styleId="TytuST1">
    <w:name w:val="Tytuł ST1"/>
    <w:basedOn w:val="Styl1"/>
    <w:rsid w:val="00CC1EF4"/>
    <w:pPr>
      <w:tabs>
        <w:tab w:val="left" w:pos="1701"/>
      </w:tabs>
    </w:pPr>
    <w:rPr>
      <w:b/>
      <w:color w:val="000000"/>
      <w:sz w:val="22"/>
    </w:rPr>
  </w:style>
  <w:style w:type="character" w:customStyle="1" w:styleId="AkapitzlistZnak">
    <w:name w:val="Akapit z listą Znak"/>
    <w:aliases w:val="normalny tekst Znak"/>
    <w:link w:val="Akapitzlist3"/>
    <w:locked/>
    <w:rsid w:val="00CC1EF4"/>
    <w:rPr>
      <w:rFonts w:ascii="Arial" w:eastAsia="Calibri" w:hAnsi="Arial" w:cs="Arial"/>
      <w:sz w:val="20"/>
      <w:szCs w:val="20"/>
    </w:rPr>
  </w:style>
  <w:style w:type="character" w:customStyle="1" w:styleId="HeaderChar">
    <w:name w:val="Header Char"/>
    <w:aliases w:val="Nagłówek strony nieparzystej Char,Nagłówek strony nieparzystej1 Char,Nagłówek strony nieparzystej2 Char,Nagłówek strony nieparzystej3 Char,Nagłówek strony nieparzystej4 Char,Nagłówek strony nieparzystej5 Char,NAGŁÓWEK Char"/>
    <w:locked/>
    <w:rsid w:val="00CC1EF4"/>
    <w:rPr>
      <w:rFonts w:ascii="Times New Roman" w:hAnsi="Times New Roman" w:cs="Times New Roman"/>
      <w:sz w:val="24"/>
      <w:szCs w:val="24"/>
      <w:lang w:eastAsia="pl-PL"/>
    </w:rPr>
  </w:style>
  <w:style w:type="paragraph" w:customStyle="1" w:styleId="TPKWytyczneLista">
    <w:name w:val="TPK_Wytyczne_Lista"/>
    <w:basedOn w:val="Normalny"/>
    <w:rsid w:val="00CC1EF4"/>
    <w:pPr>
      <w:numPr>
        <w:numId w:val="86"/>
      </w:numPr>
      <w:spacing w:before="120" w:after="0" w:line="240" w:lineRule="auto"/>
      <w:jc w:val="both"/>
    </w:pPr>
    <w:rPr>
      <w:rFonts w:ascii="Arial" w:eastAsia="Times New Roman" w:hAnsi="Arial" w:cs="Times New Roman"/>
      <w:color w:val="FF00FF"/>
      <w:sz w:val="20"/>
      <w:szCs w:val="20"/>
      <w:lang w:eastAsia="pl-PL"/>
    </w:rPr>
  </w:style>
  <w:style w:type="character" w:customStyle="1" w:styleId="WW8Num2z3">
    <w:name w:val="WW8Num2z3"/>
    <w:rsid w:val="00CC1EF4"/>
    <w:rPr>
      <w:rFonts w:ascii="Symbol" w:hAnsi="Symbol"/>
    </w:rPr>
  </w:style>
  <w:style w:type="paragraph" w:customStyle="1" w:styleId="StylNagwek1Czerwony">
    <w:name w:val="Styl Nagłówek 1 + Czerwony"/>
    <w:basedOn w:val="Nagwek1"/>
    <w:rsid w:val="00CC1EF4"/>
    <w:pPr>
      <w:keepLines w:val="0"/>
      <w:numPr>
        <w:numId w:val="63"/>
      </w:numPr>
      <w:suppressAutoHyphens w:val="0"/>
      <w:overflowPunct/>
      <w:autoSpaceDE/>
      <w:autoSpaceDN/>
      <w:adjustRightInd/>
      <w:spacing w:before="120" w:after="240" w:line="360" w:lineRule="auto"/>
      <w:textAlignment w:val="auto"/>
    </w:pPr>
    <w:rPr>
      <w:rFonts w:ascii="Arial" w:hAnsi="Arial" w:cs="Arial"/>
      <w:bCs/>
      <w:caps w:val="0"/>
      <w:kern w:val="32"/>
      <w:szCs w:val="32"/>
    </w:rPr>
  </w:style>
  <w:style w:type="paragraph" w:customStyle="1" w:styleId="1NAGLOWEK">
    <w:name w:val="1. NAGLOWEK"/>
    <w:basedOn w:val="StylNormalny"/>
    <w:next w:val="StylNormalny"/>
    <w:link w:val="1NAGLOWEKZnak"/>
    <w:qFormat/>
    <w:rsid w:val="00CC1EF4"/>
    <w:pPr>
      <w:tabs>
        <w:tab w:val="clear" w:pos="397"/>
        <w:tab w:val="clear" w:pos="567"/>
        <w:tab w:val="clear" w:pos="794"/>
      </w:tabs>
      <w:spacing w:before="0"/>
      <w:jc w:val="left"/>
    </w:pPr>
    <w:rPr>
      <w:rFonts w:cs="Times New Roman"/>
      <w:b/>
    </w:rPr>
  </w:style>
  <w:style w:type="paragraph" w:customStyle="1" w:styleId="11Naglowek">
    <w:name w:val="1.1 Naglowek"/>
    <w:basedOn w:val="1NAGLOWEK"/>
    <w:link w:val="11NaglowekZnak"/>
    <w:qFormat/>
    <w:rsid w:val="00CC1EF4"/>
  </w:style>
  <w:style w:type="character" w:customStyle="1" w:styleId="1NAGLOWEKZnak">
    <w:name w:val="1. NAGLOWEK Znak"/>
    <w:link w:val="1NAGLOWEK"/>
    <w:rsid w:val="00CC1EF4"/>
    <w:rPr>
      <w:rFonts w:ascii="Arial" w:eastAsia="Calibri" w:hAnsi="Arial" w:cs="Times New Roman"/>
      <w:b/>
      <w:bCs/>
      <w:iCs/>
      <w:sz w:val="20"/>
      <w:szCs w:val="24"/>
      <w:lang w:eastAsia="pl-PL"/>
    </w:rPr>
  </w:style>
  <w:style w:type="character" w:styleId="Wyrnienieintensywne">
    <w:name w:val="Intense Emphasis"/>
    <w:uiPriority w:val="21"/>
    <w:qFormat/>
    <w:rsid w:val="00CC1EF4"/>
    <w:rPr>
      <w:b/>
      <w:bCs/>
      <w:i/>
      <w:iCs/>
      <w:color w:val="4F81BD"/>
    </w:rPr>
  </w:style>
  <w:style w:type="character" w:customStyle="1" w:styleId="11NaglowekZnak">
    <w:name w:val="1.1 Naglowek Znak"/>
    <w:link w:val="11Naglowek"/>
    <w:rsid w:val="00CC1EF4"/>
    <w:rPr>
      <w:rFonts w:ascii="Arial" w:eastAsia="Calibri" w:hAnsi="Arial" w:cs="Times New Roman"/>
      <w:b/>
      <w:bCs/>
      <w:iCs/>
      <w:sz w:val="20"/>
      <w:szCs w:val="24"/>
      <w:lang w:eastAsia="pl-PL"/>
    </w:rPr>
  </w:style>
  <w:style w:type="character" w:styleId="Wyrnieniedelikatne">
    <w:name w:val="Subtle Emphasis"/>
    <w:uiPriority w:val="19"/>
    <w:qFormat/>
    <w:rsid w:val="00CC1EF4"/>
    <w:rPr>
      <w:i/>
      <w:iCs/>
      <w:color w:val="808080"/>
    </w:rPr>
  </w:style>
  <w:style w:type="character" w:customStyle="1" w:styleId="WW8Num56z1">
    <w:name w:val="WW8Num56z1"/>
    <w:rsid w:val="00CC1EF4"/>
    <w:rPr>
      <w:rFonts w:ascii="OpenSymbol" w:hAnsi="OpenSymbol" w:cs="Times New Roman" w:hint="default"/>
    </w:rPr>
  </w:style>
  <w:style w:type="character" w:customStyle="1" w:styleId="WW8Num33z2">
    <w:name w:val="WW8Num33z2"/>
    <w:rsid w:val="00CC1EF4"/>
    <w:rPr>
      <w:rFonts w:ascii="Arial" w:hAnsi="Arial" w:cs="Arial"/>
      <w:i w:val="0"/>
    </w:rPr>
  </w:style>
  <w:style w:type="paragraph" w:customStyle="1" w:styleId="WW-Nagwek">
    <w:name w:val="WW-Nagłówek"/>
    <w:basedOn w:val="Normalny"/>
    <w:rsid w:val="00CC1EF4"/>
    <w:pPr>
      <w:tabs>
        <w:tab w:val="center" w:pos="4252"/>
        <w:tab w:val="right" w:pos="8788"/>
      </w:tabs>
      <w:suppressAutoHyphens/>
      <w:spacing w:after="0" w:line="240" w:lineRule="auto"/>
    </w:pPr>
    <w:rPr>
      <w:rFonts w:ascii="Times New Roman" w:eastAsia="Times New Roman" w:hAnsi="Times New Roman" w:cs="Times New Roman"/>
      <w:sz w:val="20"/>
      <w:szCs w:val="20"/>
      <w:lang w:eastAsia="ar-SA"/>
    </w:rPr>
  </w:style>
  <w:style w:type="paragraph" w:customStyle="1" w:styleId="Tekstpodstawowy32">
    <w:name w:val="Tekst podstawowy 32"/>
    <w:basedOn w:val="Normalny"/>
    <w:rsid w:val="00CC1EF4"/>
    <w:pPr>
      <w:spacing w:after="0" w:line="240" w:lineRule="auto"/>
    </w:pPr>
    <w:rPr>
      <w:rFonts w:ascii="Arial" w:eastAsia="Times New Roman" w:hAnsi="Arial" w:cs="Arial"/>
      <w:color w:val="000000"/>
      <w:sz w:val="20"/>
      <w:szCs w:val="20"/>
      <w:lang w:eastAsia="ar-SA"/>
    </w:rPr>
  </w:style>
  <w:style w:type="paragraph" w:customStyle="1" w:styleId="Tekstpodstawowywcity22">
    <w:name w:val="Tekst podstawowy wcięty 22"/>
    <w:basedOn w:val="Normalny"/>
    <w:rsid w:val="00CC1EF4"/>
    <w:pPr>
      <w:spacing w:after="0" w:line="240" w:lineRule="auto"/>
      <w:ind w:left="-567"/>
    </w:pPr>
    <w:rPr>
      <w:rFonts w:ascii="Arial" w:eastAsia="Times New Roman" w:hAnsi="Arial" w:cs="Arial"/>
      <w:sz w:val="20"/>
      <w:szCs w:val="20"/>
      <w:lang w:eastAsia="ar-SA"/>
    </w:rPr>
  </w:style>
  <w:style w:type="character" w:customStyle="1" w:styleId="c41">
    <w:name w:val="c41"/>
    <w:rsid w:val="00CC1EF4"/>
    <w:rPr>
      <w:rFonts w:ascii="MS Sans Serif" w:hAnsi="MS Sans Serif" w:hint="default"/>
      <w:sz w:val="20"/>
      <w:szCs w:val="20"/>
    </w:rPr>
  </w:style>
  <w:style w:type="paragraph" w:customStyle="1" w:styleId="StylKursywaWyjustowany">
    <w:name w:val="Styl Kursywa Wyjustowany"/>
    <w:basedOn w:val="Normalny"/>
    <w:rsid w:val="00CC1EF4"/>
    <w:pPr>
      <w:tabs>
        <w:tab w:val="left" w:pos="720"/>
      </w:tabs>
      <w:suppressAutoHyphens/>
      <w:spacing w:after="0" w:line="240" w:lineRule="auto"/>
    </w:pPr>
    <w:rPr>
      <w:rFonts w:ascii="Arial" w:eastAsia="Times New Roman" w:hAnsi="Arial" w:cs="Times New Roman"/>
      <w:i/>
      <w:iCs/>
      <w:sz w:val="20"/>
      <w:szCs w:val="20"/>
      <w:lang w:eastAsia="ar-SA"/>
    </w:rPr>
  </w:style>
  <w:style w:type="paragraph" w:customStyle="1" w:styleId="Styl9ptPogrubienieWyjustowany">
    <w:name w:val="Styl 9 pt Pogrubienie Wyjustowany"/>
    <w:basedOn w:val="Normalny"/>
    <w:rsid w:val="00CC1EF4"/>
    <w:pPr>
      <w:suppressAutoHyphens/>
      <w:spacing w:after="0" w:line="240" w:lineRule="auto"/>
      <w:jc w:val="both"/>
    </w:pPr>
    <w:rPr>
      <w:rFonts w:ascii="Arial" w:eastAsia="Times New Roman" w:hAnsi="Arial" w:cs="Times New Roman"/>
      <w:b/>
      <w:bCs/>
      <w:sz w:val="20"/>
      <w:szCs w:val="20"/>
      <w:lang w:eastAsia="ar-SA"/>
    </w:rPr>
  </w:style>
  <w:style w:type="paragraph" w:customStyle="1" w:styleId="tytulst">
    <w:name w:val="tytul st"/>
    <w:basedOn w:val="jedyneczka"/>
    <w:qFormat/>
    <w:rsid w:val="00CC1EF4"/>
  </w:style>
  <w:style w:type="paragraph" w:customStyle="1" w:styleId="msolistparagraphcxspfirst">
    <w:name w:val="msolistparagraphcxspfirst"/>
    <w:basedOn w:val="Normalny"/>
    <w:rsid w:val="00CC1EF4"/>
    <w:pPr>
      <w:spacing w:before="120" w:after="0" w:line="240" w:lineRule="auto"/>
      <w:ind w:left="720"/>
      <w:jc w:val="both"/>
    </w:pPr>
    <w:rPr>
      <w:rFonts w:ascii="Times New Roman" w:eastAsia="Times New Roman" w:hAnsi="Times New Roman" w:cs="Times New Roman"/>
      <w:sz w:val="24"/>
      <w:szCs w:val="24"/>
      <w:lang w:eastAsia="pl-PL"/>
    </w:rPr>
  </w:style>
  <w:style w:type="paragraph" w:customStyle="1" w:styleId="msolistparagraphcxspmiddle">
    <w:name w:val="msolistparagraphcxspmiddle"/>
    <w:basedOn w:val="Normalny"/>
    <w:rsid w:val="00CC1EF4"/>
    <w:pPr>
      <w:spacing w:after="0" w:line="240" w:lineRule="auto"/>
      <w:ind w:left="720"/>
      <w:jc w:val="both"/>
    </w:pPr>
    <w:rPr>
      <w:rFonts w:ascii="Times New Roman" w:eastAsia="Times New Roman" w:hAnsi="Times New Roman" w:cs="Times New Roman"/>
      <w:sz w:val="24"/>
      <w:szCs w:val="24"/>
      <w:lang w:eastAsia="pl-PL"/>
    </w:rPr>
  </w:style>
  <w:style w:type="paragraph" w:customStyle="1" w:styleId="msolistparagraphcxsplast">
    <w:name w:val="msolistparagraphcxsplast"/>
    <w:basedOn w:val="Normalny"/>
    <w:rsid w:val="00CC1EF4"/>
    <w:pPr>
      <w:spacing w:after="120" w:line="240" w:lineRule="auto"/>
      <w:ind w:left="720"/>
      <w:jc w:val="both"/>
    </w:pPr>
    <w:rPr>
      <w:rFonts w:ascii="Times New Roman" w:eastAsia="Times New Roman" w:hAnsi="Times New Roman" w:cs="Times New Roman"/>
      <w:sz w:val="24"/>
      <w:szCs w:val="24"/>
      <w:lang w:eastAsia="pl-PL"/>
    </w:rPr>
  </w:style>
  <w:style w:type="paragraph" w:styleId="Mapadokumentu">
    <w:name w:val="Document Map"/>
    <w:basedOn w:val="Normalny"/>
    <w:link w:val="MapadokumentuZnak"/>
    <w:uiPriority w:val="99"/>
    <w:semiHidden/>
    <w:unhideWhenUsed/>
    <w:rsid w:val="00CC1EF4"/>
    <w:pPr>
      <w:spacing w:after="0" w:line="240" w:lineRule="auto"/>
      <w:jc w:val="both"/>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CC1EF4"/>
    <w:rPr>
      <w:rFonts w:ascii="Tahoma" w:hAnsi="Tahoma" w:cs="Tahoma"/>
      <w:sz w:val="16"/>
      <w:szCs w:val="16"/>
    </w:rPr>
  </w:style>
  <w:style w:type="numbering" w:customStyle="1" w:styleId="Bezlisty21">
    <w:name w:val="Bez listy21"/>
    <w:next w:val="Bezlisty"/>
    <w:uiPriority w:val="99"/>
    <w:semiHidden/>
    <w:unhideWhenUsed/>
    <w:rsid w:val="00CC1EF4"/>
  </w:style>
  <w:style w:type="numbering" w:customStyle="1" w:styleId="Bezlisty111">
    <w:name w:val="Bez listy111"/>
    <w:next w:val="Bezlisty"/>
    <w:semiHidden/>
    <w:rsid w:val="00CC1EF4"/>
  </w:style>
  <w:style w:type="numbering" w:customStyle="1" w:styleId="Bezlisty211">
    <w:name w:val="Bez listy211"/>
    <w:next w:val="Bezlisty"/>
    <w:semiHidden/>
    <w:unhideWhenUsed/>
    <w:rsid w:val="00CC1EF4"/>
  </w:style>
  <w:style w:type="numbering" w:customStyle="1" w:styleId="Bezlisty31">
    <w:name w:val="Bez listy31"/>
    <w:next w:val="Bezlisty"/>
    <w:semiHidden/>
    <w:rsid w:val="00CC1EF4"/>
  </w:style>
  <w:style w:type="numbering" w:customStyle="1" w:styleId="Bezlisty4">
    <w:name w:val="Bez listy4"/>
    <w:next w:val="Bezlisty"/>
    <w:uiPriority w:val="99"/>
    <w:semiHidden/>
    <w:rsid w:val="00CC1EF4"/>
  </w:style>
  <w:style w:type="paragraph" w:customStyle="1" w:styleId="Znak7">
    <w:name w:val="Znak7"/>
    <w:basedOn w:val="Normalny"/>
    <w:rsid w:val="00CC1EF4"/>
    <w:pPr>
      <w:spacing w:line="240" w:lineRule="exact"/>
    </w:pPr>
    <w:rPr>
      <w:rFonts w:ascii="Tahoma" w:eastAsia="Times New Roman" w:hAnsi="Tahoma" w:cs="Times New Roman"/>
      <w:sz w:val="20"/>
      <w:szCs w:val="20"/>
      <w:lang w:val="en-US"/>
    </w:rPr>
  </w:style>
  <w:style w:type="paragraph" w:customStyle="1" w:styleId="ZnakZnakZnakZnakZnakZnakZnakZnak">
    <w:name w:val="Znak Znak Znak Znak Znak Znak Znak Znak"/>
    <w:basedOn w:val="Normalny"/>
    <w:rsid w:val="00CC1EF4"/>
    <w:pPr>
      <w:spacing w:after="0" w:line="240" w:lineRule="auto"/>
    </w:pPr>
    <w:rPr>
      <w:rFonts w:ascii="Times New Roman" w:eastAsia="Times New Roman" w:hAnsi="Times New Roman" w:cs="Times New Roman"/>
      <w:sz w:val="24"/>
      <w:szCs w:val="24"/>
      <w:lang w:eastAsia="pl-PL"/>
    </w:rPr>
  </w:style>
  <w:style w:type="paragraph" w:customStyle="1" w:styleId="Podpunkt0">
    <w:name w:val="Podpunkt"/>
    <w:basedOn w:val="Normalny"/>
    <w:rsid w:val="00CC1EF4"/>
    <w:pPr>
      <w:spacing w:before="60" w:after="0" w:line="240" w:lineRule="auto"/>
      <w:jc w:val="both"/>
    </w:pPr>
    <w:rPr>
      <w:rFonts w:ascii="Times New Roman" w:eastAsia="Times New Roman" w:hAnsi="Times New Roman" w:cs="Times New Roman"/>
      <w:sz w:val="24"/>
      <w:szCs w:val="24"/>
      <w:lang w:eastAsia="pl-PL"/>
    </w:rPr>
  </w:style>
  <w:style w:type="paragraph" w:customStyle="1" w:styleId="bodybez">
    <w:name w:val="body bez"/>
    <w:rsid w:val="00CC1E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60" w:after="0" w:line="240" w:lineRule="atLeast"/>
      <w:jc w:val="both"/>
    </w:pPr>
    <w:rPr>
      <w:rFonts w:ascii="Univers-PL" w:eastAsia="Times New Roman" w:hAnsi="Univers-PL" w:cs="Times New Roman"/>
      <w:sz w:val="19"/>
      <w:szCs w:val="20"/>
      <w:lang w:eastAsia="pl-PL"/>
    </w:rPr>
  </w:style>
  <w:style w:type="paragraph" w:customStyle="1" w:styleId="myslnik">
    <w:name w:val="myslnik"/>
    <w:rsid w:val="00CC1E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tLeast"/>
      <w:jc w:val="both"/>
    </w:pPr>
    <w:rPr>
      <w:rFonts w:ascii="Univers-PL" w:eastAsia="Times New Roman" w:hAnsi="Univers-PL" w:cs="Times New Roman"/>
      <w:sz w:val="19"/>
      <w:szCs w:val="20"/>
      <w:lang w:eastAsia="pl-PL"/>
    </w:rPr>
  </w:style>
  <w:style w:type="paragraph" w:customStyle="1" w:styleId="WW-Tekstpodstawowywcity2">
    <w:name w:val="WW-Tekst podstawowy wcięty 2"/>
    <w:basedOn w:val="Normalny"/>
    <w:rsid w:val="00CC1EF4"/>
    <w:pPr>
      <w:suppressAutoHyphens/>
      <w:spacing w:after="0" w:line="240" w:lineRule="auto"/>
      <w:ind w:left="2124" w:hanging="2124"/>
      <w:jc w:val="both"/>
    </w:pPr>
    <w:rPr>
      <w:rFonts w:ascii="Times New Roman" w:eastAsia="Times New Roman" w:hAnsi="Times New Roman" w:cs="Times New Roman"/>
      <w:noProof/>
      <w:sz w:val="24"/>
      <w:szCs w:val="24"/>
      <w:lang w:eastAsia="pl-PL"/>
    </w:rPr>
  </w:style>
  <w:style w:type="table" w:customStyle="1" w:styleId="Tabela-Siatka111">
    <w:name w:val="Tabela - Siatka111"/>
    <w:basedOn w:val="Standardowy"/>
    <w:next w:val="Tabela-Siatka"/>
    <w:uiPriority w:val="59"/>
    <w:rsid w:val="00CC1EF4"/>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semiHidden/>
    <w:unhideWhenUsed/>
    <w:rsid w:val="00CC1EF4"/>
  </w:style>
  <w:style w:type="paragraph" w:customStyle="1" w:styleId="ZnakZnakZnakZnak">
    <w:name w:val="Znak Znak Znak Znak"/>
    <w:basedOn w:val="Normalny"/>
    <w:rsid w:val="00CC1EF4"/>
    <w:pPr>
      <w:spacing w:after="0" w:line="240" w:lineRule="auto"/>
    </w:pPr>
    <w:rPr>
      <w:rFonts w:ascii="Times New Roman" w:eastAsia="Times New Roman" w:hAnsi="Times New Roman" w:cs="Times New Roman"/>
      <w:sz w:val="24"/>
      <w:szCs w:val="24"/>
      <w:lang w:eastAsia="pl-PL"/>
    </w:rPr>
  </w:style>
  <w:style w:type="numbering" w:customStyle="1" w:styleId="Bezlisty5">
    <w:name w:val="Bez listy5"/>
    <w:next w:val="Bezlisty"/>
    <w:uiPriority w:val="99"/>
    <w:semiHidden/>
    <w:rsid w:val="00CC1EF4"/>
  </w:style>
  <w:style w:type="table" w:customStyle="1" w:styleId="Tabela-Siatka21">
    <w:name w:val="Tabela - Siatka21"/>
    <w:basedOn w:val="Standardowy"/>
    <w:next w:val="Tabela-Siatka"/>
    <w:uiPriority w:val="59"/>
    <w:rsid w:val="00CC1EF4"/>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semiHidden/>
    <w:unhideWhenUsed/>
    <w:rsid w:val="00CC1EF4"/>
  </w:style>
  <w:style w:type="numbering" w:customStyle="1" w:styleId="Bezlisty6">
    <w:name w:val="Bez listy6"/>
    <w:next w:val="Bezlisty"/>
    <w:semiHidden/>
    <w:rsid w:val="00CC1EF4"/>
  </w:style>
  <w:style w:type="numbering" w:customStyle="1" w:styleId="Bezlisty7">
    <w:name w:val="Bez listy7"/>
    <w:next w:val="Bezlisty"/>
    <w:uiPriority w:val="99"/>
    <w:semiHidden/>
    <w:unhideWhenUsed/>
    <w:rsid w:val="00CC1EF4"/>
  </w:style>
  <w:style w:type="numbering" w:customStyle="1" w:styleId="Bezlisty8">
    <w:name w:val="Bez listy8"/>
    <w:next w:val="Bezlisty"/>
    <w:uiPriority w:val="99"/>
    <w:semiHidden/>
    <w:unhideWhenUsed/>
    <w:rsid w:val="00CC1EF4"/>
  </w:style>
  <w:style w:type="table" w:customStyle="1" w:styleId="Tabela-Siatka12">
    <w:name w:val="Tabela - Siatka12"/>
    <w:uiPriority w:val="59"/>
    <w:rsid w:val="00CC1EF4"/>
    <w:pPr>
      <w:tabs>
        <w:tab w:val="left" w:pos="397"/>
        <w:tab w:val="left" w:pos="567"/>
        <w:tab w:val="left" w:pos="737"/>
      </w:tabs>
      <w:spacing w:before="120" w:after="0" w:line="240" w:lineRule="auto"/>
      <w:jc w:val="both"/>
    </w:pPr>
    <w:rPr>
      <w:rFonts w:ascii="Times New Roman" w:eastAsia="Calibri"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Punktowane2">
    <w:name w:val="Styl Punktowane2"/>
    <w:rsid w:val="00CC1EF4"/>
    <w:pPr>
      <w:numPr>
        <w:numId w:val="140"/>
      </w:numPr>
    </w:pPr>
  </w:style>
  <w:style w:type="numbering" w:customStyle="1" w:styleId="Punktowane211">
    <w:name w:val="Punktowane211"/>
    <w:rsid w:val="00CC1EF4"/>
    <w:pPr>
      <w:numPr>
        <w:numId w:val="16"/>
      </w:numPr>
    </w:pPr>
  </w:style>
  <w:style w:type="numbering" w:customStyle="1" w:styleId="Punktowane22">
    <w:name w:val="Punktowane22"/>
    <w:rsid w:val="00CC1EF4"/>
    <w:pPr>
      <w:numPr>
        <w:numId w:val="20"/>
      </w:numPr>
    </w:pPr>
  </w:style>
  <w:style w:type="numbering" w:customStyle="1" w:styleId="StylPunktowane11">
    <w:name w:val="Styl Punktowane11"/>
    <w:rsid w:val="00CC1EF4"/>
    <w:pPr>
      <w:numPr>
        <w:numId w:val="15"/>
      </w:numPr>
    </w:pPr>
  </w:style>
  <w:style w:type="numbering" w:customStyle="1" w:styleId="Bezlisty13">
    <w:name w:val="Bez listy13"/>
    <w:next w:val="Bezlisty"/>
    <w:uiPriority w:val="99"/>
    <w:semiHidden/>
    <w:unhideWhenUsed/>
    <w:rsid w:val="00CC1EF4"/>
  </w:style>
  <w:style w:type="numbering" w:customStyle="1" w:styleId="Bezlisty22">
    <w:name w:val="Bez listy22"/>
    <w:next w:val="Bezlisty"/>
    <w:uiPriority w:val="99"/>
    <w:semiHidden/>
    <w:unhideWhenUsed/>
    <w:rsid w:val="00CC1EF4"/>
  </w:style>
  <w:style w:type="numbering" w:customStyle="1" w:styleId="Bezlisty112">
    <w:name w:val="Bez listy112"/>
    <w:next w:val="Bezlisty"/>
    <w:semiHidden/>
    <w:rsid w:val="00CC1EF4"/>
  </w:style>
  <w:style w:type="numbering" w:customStyle="1" w:styleId="Bezlisty212">
    <w:name w:val="Bez listy212"/>
    <w:next w:val="Bezlisty"/>
    <w:semiHidden/>
    <w:unhideWhenUsed/>
    <w:rsid w:val="00CC1EF4"/>
  </w:style>
  <w:style w:type="numbering" w:customStyle="1" w:styleId="Bezlisty32">
    <w:name w:val="Bez listy32"/>
    <w:next w:val="Bezlisty"/>
    <w:semiHidden/>
    <w:rsid w:val="00CC1EF4"/>
  </w:style>
  <w:style w:type="numbering" w:customStyle="1" w:styleId="Bezlisty41">
    <w:name w:val="Bez listy41"/>
    <w:next w:val="Bezlisty"/>
    <w:uiPriority w:val="99"/>
    <w:semiHidden/>
    <w:rsid w:val="00CC1EF4"/>
  </w:style>
  <w:style w:type="table" w:customStyle="1" w:styleId="Tabela-Siatka112">
    <w:name w:val="Tabela - Siatka112"/>
    <w:basedOn w:val="Standardowy"/>
    <w:next w:val="Tabela-Siatka"/>
    <w:uiPriority w:val="59"/>
    <w:rsid w:val="00CC1EF4"/>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semiHidden/>
    <w:unhideWhenUsed/>
    <w:rsid w:val="00CC1EF4"/>
  </w:style>
  <w:style w:type="numbering" w:customStyle="1" w:styleId="Bezlisty51">
    <w:name w:val="Bez listy51"/>
    <w:next w:val="Bezlisty"/>
    <w:uiPriority w:val="99"/>
    <w:semiHidden/>
    <w:rsid w:val="00CC1EF4"/>
  </w:style>
  <w:style w:type="numbering" w:customStyle="1" w:styleId="Bezlisty121">
    <w:name w:val="Bez listy121"/>
    <w:next w:val="Bezlisty"/>
    <w:semiHidden/>
    <w:unhideWhenUsed/>
    <w:rsid w:val="00CC1EF4"/>
  </w:style>
  <w:style w:type="numbering" w:customStyle="1" w:styleId="Bezlisty61">
    <w:name w:val="Bez listy61"/>
    <w:next w:val="Bezlisty"/>
    <w:semiHidden/>
    <w:rsid w:val="00CC1EF4"/>
  </w:style>
  <w:style w:type="numbering" w:customStyle="1" w:styleId="Bezlisty71">
    <w:name w:val="Bez listy71"/>
    <w:next w:val="Bezlisty"/>
    <w:uiPriority w:val="99"/>
    <w:semiHidden/>
    <w:unhideWhenUsed/>
    <w:rsid w:val="00CC1EF4"/>
  </w:style>
  <w:style w:type="numbering" w:customStyle="1" w:styleId="Bezlisty9">
    <w:name w:val="Bez listy9"/>
    <w:next w:val="Bezlisty"/>
    <w:semiHidden/>
    <w:rsid w:val="00E95D02"/>
  </w:style>
  <w:style w:type="paragraph" w:customStyle="1" w:styleId="msonormal0">
    <w:name w:val="msonormal"/>
    <w:basedOn w:val="Normalny"/>
    <w:rsid w:val="004853E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0E4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image" Target="media/image16.wmf"/><Relationship Id="rId39" Type="http://schemas.openxmlformats.org/officeDocument/2006/relationships/image" Target="media/image27.png"/><Relationship Id="rId21" Type="http://schemas.openxmlformats.org/officeDocument/2006/relationships/image" Target="media/image12.png"/><Relationship Id="rId34" Type="http://schemas.openxmlformats.org/officeDocument/2006/relationships/image" Target="media/image22.png"/><Relationship Id="rId42" Type="http://schemas.openxmlformats.org/officeDocument/2006/relationships/image" Target="media/image29.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5.wmf"/><Relationship Id="rId32" Type="http://schemas.openxmlformats.org/officeDocument/2006/relationships/image" Target="media/image20.wmf"/><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image" Target="media/image17.wmf"/><Relationship Id="rId36" Type="http://schemas.openxmlformats.org/officeDocument/2006/relationships/image" Target="media/image24.png"/><Relationship Id="rId10" Type="http://schemas.openxmlformats.org/officeDocument/2006/relationships/image" Target="media/image3.wmf"/><Relationship Id="rId19" Type="http://schemas.openxmlformats.org/officeDocument/2006/relationships/image" Target="media/image11.wmf"/><Relationship Id="rId31" Type="http://schemas.openxmlformats.org/officeDocument/2006/relationships/image" Target="media/image19.wmf"/><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3.wmf"/><Relationship Id="rId27" Type="http://schemas.openxmlformats.org/officeDocument/2006/relationships/oleObject" Target="embeddings/oleObject4.bin"/><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0.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oleObject" Target="embeddings/oleObject3.bin"/><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yperlink" Target="file:///C:\Users\abanaszek\Desktop\SST\SST%202020%20Wszystkie\www.ralcolor.co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0FCF1-401F-4162-ABC6-AE1434BB5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83778</Words>
  <Characters>502670</Characters>
  <Application>Microsoft Office Word</Application>
  <DocSecurity>0</DocSecurity>
  <Lines>4188</Lines>
  <Paragraphs>1170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abanaszek</dc:creator>
  <cp:keywords/>
  <dc:description/>
  <cp:lastModifiedBy>Artur Banaszek</cp:lastModifiedBy>
  <cp:revision>5</cp:revision>
  <cp:lastPrinted>2026-04-28T05:39:00Z</cp:lastPrinted>
  <dcterms:created xsi:type="dcterms:W3CDTF">2025-04-01T12:31:00Z</dcterms:created>
  <dcterms:modified xsi:type="dcterms:W3CDTF">2026-04-28T05:41:00Z</dcterms:modified>
</cp:coreProperties>
</file>