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23871" w14:textId="77777777" w:rsidR="00940767" w:rsidRDefault="00940767" w:rsidP="00940767">
      <w:pPr>
        <w:jc w:val="center"/>
        <w:rPr>
          <w:rFonts w:ascii="Aptos" w:hAnsi="Aptos" w:cstheme="minorHAnsi"/>
          <w:b/>
          <w:color w:val="000000" w:themeColor="text1"/>
          <w:sz w:val="20"/>
          <w:szCs w:val="20"/>
        </w:rPr>
      </w:pPr>
      <w:r w:rsidRPr="00A67619">
        <w:rPr>
          <w:rFonts w:ascii="Aptos" w:hAnsi="Aptos" w:cstheme="minorHAnsi"/>
          <w:b/>
          <w:color w:val="000000" w:themeColor="text1"/>
          <w:sz w:val="20"/>
          <w:szCs w:val="20"/>
        </w:rPr>
        <w:t>ZESTAWIENIE WARUNKÓW I PARAMETRÓW WYMAGANYCH</w:t>
      </w:r>
    </w:p>
    <w:p w14:paraId="557BB994" w14:textId="4D9A91FD" w:rsidR="00363E77" w:rsidRPr="006D7EBF" w:rsidRDefault="006D7EBF" w:rsidP="006D7EBF">
      <w:pPr>
        <w:jc w:val="left"/>
        <w:rPr>
          <w:rFonts w:ascii="Aptos" w:hAnsi="Aptos" w:cstheme="minorHAnsi"/>
          <w:b/>
          <w:color w:val="000000" w:themeColor="text1"/>
          <w:sz w:val="20"/>
          <w:szCs w:val="20"/>
        </w:rPr>
      </w:pPr>
      <w:r>
        <w:rPr>
          <w:rFonts w:ascii="Aptos" w:hAnsi="Aptos" w:cstheme="minorHAnsi"/>
          <w:b/>
          <w:color w:val="000000" w:themeColor="text1"/>
          <w:sz w:val="20"/>
          <w:szCs w:val="20"/>
        </w:rPr>
        <w:br/>
      </w:r>
      <w:r w:rsidRPr="006D7EBF">
        <w:rPr>
          <w:rFonts w:ascii="Aptos" w:hAnsi="Aptos" w:cstheme="minorHAnsi"/>
          <w:b/>
          <w:color w:val="000000" w:themeColor="text1"/>
          <w:sz w:val="20"/>
          <w:szCs w:val="20"/>
        </w:rPr>
        <w:t>Przedmiot zamówienia:</w:t>
      </w:r>
      <w:r>
        <w:rPr>
          <w:rFonts w:ascii="Aptos" w:hAnsi="Aptos" w:cstheme="minorHAnsi"/>
          <w:b/>
          <w:color w:val="000000" w:themeColor="text1"/>
          <w:sz w:val="20"/>
          <w:szCs w:val="20"/>
        </w:rPr>
        <w:t xml:space="preserve"> S</w:t>
      </w:r>
      <w:r w:rsidRPr="006D7EBF">
        <w:rPr>
          <w:rFonts w:ascii="Aptos" w:hAnsi="Aptos" w:cstheme="minorHAnsi"/>
          <w:b/>
          <w:color w:val="000000" w:themeColor="text1"/>
          <w:sz w:val="20"/>
          <w:szCs w:val="20"/>
        </w:rPr>
        <w:t xml:space="preserve">ystemu integracji sprzętu wraz z wagą (system do </w:t>
      </w:r>
      <w:proofErr w:type="spellStart"/>
      <w:r w:rsidRPr="006D7EBF">
        <w:rPr>
          <w:rFonts w:ascii="Aptos" w:hAnsi="Aptos" w:cstheme="minorHAnsi"/>
          <w:b/>
          <w:color w:val="000000" w:themeColor="text1"/>
          <w:sz w:val="20"/>
          <w:szCs w:val="20"/>
        </w:rPr>
        <w:t>cytostatyków</w:t>
      </w:r>
      <w:proofErr w:type="spellEnd"/>
      <w:r w:rsidRPr="006D7EBF">
        <w:rPr>
          <w:rFonts w:ascii="Aptos" w:hAnsi="Aptos" w:cstheme="minorHAnsi"/>
          <w:b/>
          <w:color w:val="000000" w:themeColor="text1"/>
          <w:sz w:val="20"/>
          <w:szCs w:val="20"/>
        </w:rPr>
        <w:t>)</w:t>
      </w:r>
      <w:r>
        <w:rPr>
          <w:rFonts w:ascii="Aptos" w:hAnsi="Aptos" w:cstheme="minorHAnsi"/>
          <w:b/>
          <w:color w:val="000000" w:themeColor="text1"/>
          <w:sz w:val="20"/>
          <w:szCs w:val="20"/>
        </w:rPr>
        <w:br/>
      </w: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7381"/>
        <w:gridCol w:w="3543"/>
        <w:gridCol w:w="3402"/>
      </w:tblGrid>
      <w:tr w:rsidR="00363E77" w:rsidRPr="00363E77" w14:paraId="34EBA7DE" w14:textId="77777777" w:rsidTr="00704910">
        <w:trPr>
          <w:trHeight w:val="685"/>
        </w:trPr>
        <w:tc>
          <w:tcPr>
            <w:tcW w:w="700" w:type="dxa"/>
            <w:shd w:val="clear" w:color="000000" w:fill="8EAADB"/>
            <w:vAlign w:val="center"/>
            <w:hideMark/>
          </w:tcPr>
          <w:p w14:paraId="068B34D1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7381" w:type="dxa"/>
            <w:shd w:val="clear" w:color="000000" w:fill="8EAADB"/>
            <w:vAlign w:val="center"/>
            <w:hideMark/>
          </w:tcPr>
          <w:p w14:paraId="2575E56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  <w:t>OPIS WYMAGANIA</w:t>
            </w:r>
          </w:p>
        </w:tc>
        <w:tc>
          <w:tcPr>
            <w:tcW w:w="3543" w:type="dxa"/>
            <w:shd w:val="clear" w:color="000000" w:fill="8EAADB"/>
            <w:vAlign w:val="center"/>
            <w:hideMark/>
          </w:tcPr>
          <w:p w14:paraId="36EF8CF2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  <w:t xml:space="preserve">PARAMETR WYMAGANY/ OCENIANY </w:t>
            </w:r>
          </w:p>
        </w:tc>
        <w:tc>
          <w:tcPr>
            <w:tcW w:w="3402" w:type="dxa"/>
            <w:shd w:val="clear" w:color="000000" w:fill="8EAADB"/>
            <w:vAlign w:val="center"/>
            <w:hideMark/>
          </w:tcPr>
          <w:p w14:paraId="1EFEED8B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color w:val="auto"/>
                <w:sz w:val="20"/>
                <w:szCs w:val="20"/>
              </w:rPr>
              <w:t xml:space="preserve">PARAMETR OFEROWANY (OPISAĆ) </w:t>
            </w:r>
          </w:p>
        </w:tc>
      </w:tr>
      <w:tr w:rsidR="00363E77" w:rsidRPr="00363E77" w14:paraId="0CB4E2F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4F93B63B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70C2D351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7D31BB1D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77E44EED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3E77" w:rsidRPr="00363E77" w14:paraId="3367C2CF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1274FEB9" w14:textId="154B9F18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D5CA785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Oprogramowanie służące do planowania terapii pacjenta w części lekarskiej (zleceniowej).</w:t>
            </w:r>
          </w:p>
        </w:tc>
        <w:tc>
          <w:tcPr>
            <w:tcW w:w="3543" w:type="dxa"/>
            <w:vAlign w:val="center"/>
            <w:hideMark/>
          </w:tcPr>
          <w:p w14:paraId="56936884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01D6991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5480E3F9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2EA93EAA" w14:textId="11230708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DD5D3D4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Oprogramowanie służące do produkcji (przygotowywania) leków cytostatycznych metodą grawimetryczną i wolumetryczną w części produkcyjnej (aptecznej).</w:t>
            </w:r>
          </w:p>
        </w:tc>
        <w:tc>
          <w:tcPr>
            <w:tcW w:w="3543" w:type="dxa"/>
            <w:vAlign w:val="center"/>
            <w:hideMark/>
          </w:tcPr>
          <w:p w14:paraId="7F2C3E35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F5B816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78A8011A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6FB6BC31" w14:textId="07D170F0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505EA3D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Instalacja oprogramowania na serwerze wskazanym przez Zamawiającego (zgodnego z wymaganiami oferowanego oprogramowania).</w:t>
            </w:r>
          </w:p>
        </w:tc>
        <w:tc>
          <w:tcPr>
            <w:tcW w:w="3543" w:type="dxa"/>
            <w:vAlign w:val="center"/>
            <w:hideMark/>
          </w:tcPr>
          <w:p w14:paraId="59C0CC5E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46D1AB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183E0288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603F3BFA" w14:textId="08E64F0E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74ECD7A2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musi być chroniony przed nieautoryzowanym dostępem poprzez uwierzytelnianie min.  login i hasło.</w:t>
            </w:r>
          </w:p>
        </w:tc>
        <w:tc>
          <w:tcPr>
            <w:tcW w:w="3543" w:type="dxa"/>
            <w:vAlign w:val="center"/>
            <w:hideMark/>
          </w:tcPr>
          <w:p w14:paraId="3D195EA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1522ABB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3BAFA553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1DF3D088" w14:textId="0673717B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D93C2EE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Zarządzanie uprawnieniami oraz użytkownikami systemu sprawowane jest przez Administratora po stronie Szpitala.</w:t>
            </w:r>
          </w:p>
        </w:tc>
        <w:tc>
          <w:tcPr>
            <w:tcW w:w="3543" w:type="dxa"/>
            <w:vAlign w:val="center"/>
            <w:hideMark/>
          </w:tcPr>
          <w:p w14:paraId="18A9EFEB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A65BA7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051A1B7E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5C66342C" w14:textId="15D5214D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57EC5FB6" w14:textId="3D8FDFEE" w:rsidR="00363E77" w:rsidRPr="00363E77" w:rsidRDefault="00363E77" w:rsidP="00230D3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Oprogramowanie do obsługi cytostatyków zarejestrowane jako wyrób medyczny w częśc</w:t>
            </w:r>
            <w:r w:rsidR="00230D38">
              <w:rPr>
                <w:rFonts w:ascii="Aptos" w:eastAsia="Times New Roman" w:hAnsi="Aptos" w:cs="Times New Roman"/>
                <w:sz w:val="20"/>
                <w:szCs w:val="20"/>
              </w:rPr>
              <w:t>i zleceniowej, tzw. Lekarskiej.</w:t>
            </w:r>
          </w:p>
        </w:tc>
        <w:tc>
          <w:tcPr>
            <w:tcW w:w="3543" w:type="dxa"/>
            <w:vAlign w:val="center"/>
            <w:hideMark/>
          </w:tcPr>
          <w:p w14:paraId="2220C041" w14:textId="3768E412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OPCJONALNY: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TAK - </w:t>
            </w:r>
            <w:r w:rsidR="00A76885">
              <w:rPr>
                <w:rFonts w:ascii="Aptos" w:eastAsia="Times New Roman" w:hAnsi="Aptos" w:cs="Times New Roman"/>
                <w:sz w:val="20"/>
                <w:szCs w:val="20"/>
              </w:rPr>
              <w:t>1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0 PKT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NIE - 0 PKT</w:t>
            </w:r>
          </w:p>
        </w:tc>
        <w:tc>
          <w:tcPr>
            <w:tcW w:w="3402" w:type="dxa"/>
            <w:vAlign w:val="center"/>
            <w:hideMark/>
          </w:tcPr>
          <w:p w14:paraId="5D7C501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5F969BEA" w14:textId="77777777" w:rsidTr="00704910">
        <w:trPr>
          <w:trHeight w:val="1080"/>
        </w:trPr>
        <w:tc>
          <w:tcPr>
            <w:tcW w:w="700" w:type="dxa"/>
            <w:vAlign w:val="center"/>
          </w:tcPr>
          <w:p w14:paraId="761FF374" w14:textId="29BC534B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42CBAC31" w14:textId="734F458A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System współprac</w:t>
            </w:r>
            <w:r w:rsidR="007E489C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uje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 z serwerem Active Directory przez protokół LDAP. Możliwa autoryzacja do systemu w oparciu o dane z Active Directory bez potrzeby podawania loginu i hasła przy uruchamianiu aplikacji (automatyczna autoryzacja w oparciu o zalogowanego użytkownika Windows uwierzytelnianego przez Active Directory).</w:t>
            </w:r>
          </w:p>
        </w:tc>
        <w:tc>
          <w:tcPr>
            <w:tcW w:w="3543" w:type="dxa"/>
            <w:vAlign w:val="center"/>
            <w:hideMark/>
          </w:tcPr>
          <w:p w14:paraId="1A99A1CE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 xml:space="preserve">OPCJONALNY: </w:t>
            </w:r>
            <w:r w:rsidRPr="00363E77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br/>
              <w:t>TAK - 5 PKT</w:t>
            </w:r>
            <w:r w:rsidRPr="00363E77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br/>
              <w:t>NIE - 0 PKT</w:t>
            </w:r>
          </w:p>
        </w:tc>
        <w:tc>
          <w:tcPr>
            <w:tcW w:w="3402" w:type="dxa"/>
            <w:vAlign w:val="center"/>
            <w:hideMark/>
          </w:tcPr>
          <w:p w14:paraId="12E112B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FF0000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363E77" w:rsidRPr="00363E77" w14:paraId="35C56510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03E18483" w14:textId="38D439E4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7DA54AA3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System jest wyposażony w mechanizm nadawania uprawnień dostępu do wyznaczonych części systemu, funkcji indywidualnie określony dla poszczególnych grup pracowników oraz w mechanizm kontroli praw dostępu poprzez zdefiniowanych użytkowników. </w:t>
            </w:r>
          </w:p>
        </w:tc>
        <w:tc>
          <w:tcPr>
            <w:tcW w:w="3543" w:type="dxa"/>
            <w:vAlign w:val="center"/>
            <w:hideMark/>
          </w:tcPr>
          <w:p w14:paraId="492D4022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802280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594389E5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70C2E137" w14:textId="40BDAAE8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7F46E2F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Administrator musi mieć możliwość tworzenia grup użytkowników (ról) o zdefiniowanym zestawie uprawnień, np. Lekarz, Farmaceuta, itp. System musi pozwalać na zdefiniowanie nielimitowanej liczby użytkowników z indywidualnym loginem i hasłem.</w:t>
            </w:r>
          </w:p>
        </w:tc>
        <w:tc>
          <w:tcPr>
            <w:tcW w:w="3543" w:type="dxa"/>
            <w:vAlign w:val="center"/>
            <w:hideMark/>
          </w:tcPr>
          <w:p w14:paraId="5D7E9584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C3ADD2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1FD43497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0F0DF6C7" w14:textId="47526045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5C0E8F1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Administrator może konfigurować parametry pracy aplikacji tworzących system.</w:t>
            </w:r>
          </w:p>
        </w:tc>
        <w:tc>
          <w:tcPr>
            <w:tcW w:w="3543" w:type="dxa"/>
            <w:vAlign w:val="center"/>
            <w:hideMark/>
          </w:tcPr>
          <w:p w14:paraId="74B5255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4655E01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18DBB12F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2AF251BC" w14:textId="3E4416AD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D365AB6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jest w pełni obsługiwany w języku polskim. System obsługuje polskie znaki diakrytyczne, które są dostępne w każdym miejscu i dla każdej funkcji w systemie – łącznie z wyszukiwaniem, sortowaniem, drukowaniem i wyświetlaniem na ekranie.</w:t>
            </w:r>
          </w:p>
        </w:tc>
        <w:tc>
          <w:tcPr>
            <w:tcW w:w="3543" w:type="dxa"/>
            <w:vAlign w:val="center"/>
            <w:hideMark/>
          </w:tcPr>
          <w:p w14:paraId="1942C18D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3107F20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0C4D1359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3F2920FB" w14:textId="5526BBFE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7E30CE9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System pozwala na wykonywanie kopii zapasowych struktur danych w trakcie jego pracy przy użyciu dostarczanych mechanizmów.</w:t>
            </w:r>
          </w:p>
        </w:tc>
        <w:tc>
          <w:tcPr>
            <w:tcW w:w="3543" w:type="dxa"/>
            <w:vAlign w:val="center"/>
            <w:hideMark/>
          </w:tcPr>
          <w:p w14:paraId="4C73044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3793758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0802F7DD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03EBF1DC" w14:textId="4A06F49C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0DAA451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Administrator posiada możliwość zdalnego uruchamiania (na życzenie) procedur archiwizacji danych lub zaimplementowania realizacji tej operacji automatycznie.</w:t>
            </w:r>
          </w:p>
        </w:tc>
        <w:tc>
          <w:tcPr>
            <w:tcW w:w="3543" w:type="dxa"/>
            <w:vAlign w:val="center"/>
            <w:hideMark/>
          </w:tcPr>
          <w:p w14:paraId="58283CD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AB40A7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1EBE6A4C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74EB9154" w14:textId="07E2EFC0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0C333EA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Podłączenie i uruchomienie kompatybilnych urządzeń niezbędnych do obsługi systemu wraz niezbędnymi pracami konfiguracyjnymi dla prawidłowego działania systemu wewnątrz lóż cytostatycznych. </w:t>
            </w:r>
          </w:p>
        </w:tc>
        <w:tc>
          <w:tcPr>
            <w:tcW w:w="3543" w:type="dxa"/>
            <w:vAlign w:val="center"/>
            <w:hideMark/>
          </w:tcPr>
          <w:p w14:paraId="24F64463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6AA4FA7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00C63DD1" w14:textId="77777777" w:rsidTr="00704910">
        <w:trPr>
          <w:trHeight w:val="2970"/>
        </w:trPr>
        <w:tc>
          <w:tcPr>
            <w:tcW w:w="700" w:type="dxa"/>
            <w:vAlign w:val="center"/>
          </w:tcPr>
          <w:p w14:paraId="0A00BB08" w14:textId="28143B85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5913D814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gromadzi, przetwarza i przechowuje dane pacjentów, min.: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a) imię i nazwisko,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b) płeć,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c) data urodzenia,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d) adres zamieszkania składający się z: ulicy, numeru domu i mieszkania, kodu pocztowego,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e) nazwa miejsca zamieszkania oraz kraj,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e) PESEL,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f) numer telefonu,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g) email,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h) uwagi/ informacje dodatkowe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i) jednoznaczny identyfikator pacjenta, tożsamy z ID szpitalnego systemu informatycznego HIS</w:t>
            </w:r>
          </w:p>
        </w:tc>
        <w:tc>
          <w:tcPr>
            <w:tcW w:w="3543" w:type="dxa"/>
            <w:vAlign w:val="center"/>
            <w:hideMark/>
          </w:tcPr>
          <w:p w14:paraId="69555D9E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AF554E3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11CC00CB" w14:textId="77777777" w:rsidTr="00704910">
        <w:trPr>
          <w:trHeight w:val="1350"/>
        </w:trPr>
        <w:tc>
          <w:tcPr>
            <w:tcW w:w="700" w:type="dxa"/>
            <w:vAlign w:val="center"/>
          </w:tcPr>
          <w:p w14:paraId="503E3AFD" w14:textId="2B3C1B95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7E69E15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gromadzi, przetwarza i przechowuje informacje o pobytach pacjenta, min.: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a) data i czas przyjęcia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b) miejsce pobytu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c) data i czas wypisu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d) jednoznaczny identyfikator pobytu</w:t>
            </w:r>
          </w:p>
        </w:tc>
        <w:tc>
          <w:tcPr>
            <w:tcW w:w="3543" w:type="dxa"/>
            <w:vAlign w:val="center"/>
            <w:hideMark/>
          </w:tcPr>
          <w:p w14:paraId="3EF78FD7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3A560A0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5D7E0E40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5A473972" w14:textId="3BFAFACC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7973B21D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gromadzi, przetwarza i przechowuje informacje o informacje o diagnozach i wynikach badań.</w:t>
            </w:r>
          </w:p>
        </w:tc>
        <w:tc>
          <w:tcPr>
            <w:tcW w:w="3543" w:type="dxa"/>
            <w:vAlign w:val="center"/>
            <w:hideMark/>
          </w:tcPr>
          <w:p w14:paraId="6684EB5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44606C2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722BBA0E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47F59BEB" w14:textId="26742B85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346B6B13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Postawione diagnozy w postaci nazwy oraz kodu ICD-10.</w:t>
            </w:r>
          </w:p>
        </w:tc>
        <w:tc>
          <w:tcPr>
            <w:tcW w:w="3543" w:type="dxa"/>
            <w:vAlign w:val="center"/>
            <w:hideMark/>
          </w:tcPr>
          <w:p w14:paraId="17F7968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056EF6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4823FF12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128D914B" w14:textId="51B644C3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5C0B946E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Choroby współistniejące w postaci nazwy oraz kodu ICD-10.</w:t>
            </w:r>
          </w:p>
        </w:tc>
        <w:tc>
          <w:tcPr>
            <w:tcW w:w="3543" w:type="dxa"/>
            <w:vAlign w:val="center"/>
            <w:hideMark/>
          </w:tcPr>
          <w:p w14:paraId="434A23EA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E50ADB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0DBEBED8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27FD2FFB" w14:textId="5878D690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37266CE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Data postawienia diagnozy.</w:t>
            </w:r>
          </w:p>
        </w:tc>
        <w:tc>
          <w:tcPr>
            <w:tcW w:w="3543" w:type="dxa"/>
            <w:vAlign w:val="center"/>
            <w:hideMark/>
          </w:tcPr>
          <w:p w14:paraId="582BAC28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E78721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52A972D7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69AC250E" w14:textId="2ECC3778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0C1679F5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Grupowanie wyników badań według typu (grupy morfologia, biochemia).</w:t>
            </w:r>
          </w:p>
        </w:tc>
        <w:tc>
          <w:tcPr>
            <w:tcW w:w="3543" w:type="dxa"/>
            <w:vAlign w:val="center"/>
            <w:hideMark/>
          </w:tcPr>
          <w:p w14:paraId="555166BF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2EDF96D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57847D09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49A794AC" w14:textId="6B78B24F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3CFF59E9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Data wykonania badania.</w:t>
            </w:r>
          </w:p>
        </w:tc>
        <w:tc>
          <w:tcPr>
            <w:tcW w:w="3543" w:type="dxa"/>
            <w:vAlign w:val="center"/>
            <w:hideMark/>
          </w:tcPr>
          <w:p w14:paraId="2B2907CD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01D1A3D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7AB91EB9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10BDAB2C" w14:textId="105D77FD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575C75D9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Informacja o przedawnieniu badania.</w:t>
            </w:r>
          </w:p>
        </w:tc>
        <w:tc>
          <w:tcPr>
            <w:tcW w:w="3543" w:type="dxa"/>
            <w:vAlign w:val="center"/>
            <w:hideMark/>
          </w:tcPr>
          <w:p w14:paraId="1121EEE2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DD620E7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207DC9DA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2ADC931F" w14:textId="6CD0DEFA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6B04E619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Automatyczne wyliczanie wartości na podstawie innych pomiarów i badań (np. powierzchnia ciała, klirens kreatyniny). Wzory kalkulacji możliwe do wprowadzania i edycji przez użytkownika. Możliwość definiowania dowolnej ilości wartości kalkulowanych.</w:t>
            </w:r>
          </w:p>
        </w:tc>
        <w:tc>
          <w:tcPr>
            <w:tcW w:w="3543" w:type="dxa"/>
            <w:vAlign w:val="center"/>
            <w:hideMark/>
          </w:tcPr>
          <w:p w14:paraId="35FC451E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29F46970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363E77" w:rsidRPr="00363E77" w14:paraId="7978EB3B" w14:textId="77777777" w:rsidTr="00704910">
        <w:trPr>
          <w:trHeight w:val="2430"/>
        </w:trPr>
        <w:tc>
          <w:tcPr>
            <w:tcW w:w="700" w:type="dxa"/>
            <w:vAlign w:val="center"/>
          </w:tcPr>
          <w:p w14:paraId="14B573B5" w14:textId="24071442" w:rsidR="00363E77" w:rsidRPr="00850262" w:rsidRDefault="00363E77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1024B37C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System umożliwia dopisywanie lub/oraz zaciąganie ze szpitalnego systemu informatycznego (w ramach integracji) wyników badań i pomiarów w zakresie co najmniej: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• masa ciała, wzrost – powierzchnia ciała (BSA), kalkuluje się automatycznie po wprowadzeniu wagi i wzrostu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• morfologia krwi obwodowej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• poziom kreatyniny,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• klirens kreatyniny GFR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W obrębie wyników badań minimalny zakres danych: data wykonania badania, nazwa badania, opis badania.</w:t>
            </w:r>
          </w:p>
        </w:tc>
        <w:tc>
          <w:tcPr>
            <w:tcW w:w="3543" w:type="dxa"/>
            <w:vAlign w:val="center"/>
            <w:hideMark/>
          </w:tcPr>
          <w:p w14:paraId="6B064F85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6C259959" w14:textId="77777777" w:rsidR="00363E77" w:rsidRPr="00363E77" w:rsidRDefault="00363E77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1A7761" w:rsidRPr="00363E77" w14:paraId="4E718D93" w14:textId="77777777" w:rsidTr="00704910">
        <w:trPr>
          <w:trHeight w:val="2430"/>
        </w:trPr>
        <w:tc>
          <w:tcPr>
            <w:tcW w:w="700" w:type="dxa"/>
            <w:vAlign w:val="center"/>
          </w:tcPr>
          <w:p w14:paraId="19466D90" w14:textId="77777777" w:rsidR="001A7761" w:rsidRPr="00850262" w:rsidRDefault="001A7761" w:rsidP="0085026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</w:tcPr>
          <w:p w14:paraId="56771BAD" w14:textId="77777777" w:rsidR="001A7761" w:rsidRPr="001A7761" w:rsidRDefault="001A7761" w:rsidP="001A7761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1A7761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Realizacja zamówienia zgodne z zasadą DNSH („nie czyń poważnej szkody"; ang. „Do No Significant Harm") która jest zasadą dotyczącą niewspierania ani nieprowadzenia działalności gospodarczej, która powoduje znaczące szkody (poważne szkody, posiada znaczący negatywny wpływ) dla któregokolwiek z celów środowiskowych takich jak: </w:t>
            </w:r>
          </w:p>
          <w:p w14:paraId="326DA041" w14:textId="3AB6BD81" w:rsidR="001A7761" w:rsidRPr="001A7761" w:rsidRDefault="001A7761" w:rsidP="001A7761">
            <w:pPr>
              <w:numPr>
                <w:ilvl w:val="0"/>
                <w:numId w:val="29"/>
              </w:numPr>
              <w:spacing w:after="0" w:line="240" w:lineRule="auto"/>
              <w:ind w:right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1A7761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łagodzenie zmian klimatu, </w:t>
            </w:r>
          </w:p>
          <w:p w14:paraId="3E0CA39B" w14:textId="77777777" w:rsidR="001A7761" w:rsidRDefault="001A7761" w:rsidP="001A7761">
            <w:pPr>
              <w:numPr>
                <w:ilvl w:val="0"/>
                <w:numId w:val="29"/>
              </w:numPr>
              <w:spacing w:after="0" w:line="240" w:lineRule="auto"/>
              <w:ind w:right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1A7761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adaptacja do zmian klimatu, </w:t>
            </w:r>
          </w:p>
          <w:p w14:paraId="3DE5F1CC" w14:textId="381CA5AD" w:rsidR="001A7761" w:rsidRPr="001A7761" w:rsidRDefault="001A7761" w:rsidP="001A7761">
            <w:pPr>
              <w:numPr>
                <w:ilvl w:val="0"/>
                <w:numId w:val="29"/>
              </w:numPr>
              <w:spacing w:after="0" w:line="240" w:lineRule="auto"/>
              <w:ind w:right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1A7761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zrównoważone wykorzystanie i ochrona zasobów wodnych i morskich</w:t>
            </w:r>
          </w:p>
        </w:tc>
        <w:tc>
          <w:tcPr>
            <w:tcW w:w="3543" w:type="dxa"/>
            <w:vAlign w:val="center"/>
          </w:tcPr>
          <w:p w14:paraId="3979F9B3" w14:textId="63CA41B7" w:rsidR="001A7761" w:rsidRPr="00363E77" w:rsidRDefault="001A7761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76D12A9" w14:textId="77777777" w:rsidR="001A7761" w:rsidRPr="00363E77" w:rsidRDefault="001A7761" w:rsidP="00363E77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0C7B30FB" w14:textId="77777777" w:rsidTr="00704910">
        <w:trPr>
          <w:trHeight w:val="2430"/>
        </w:trPr>
        <w:tc>
          <w:tcPr>
            <w:tcW w:w="700" w:type="dxa"/>
            <w:vAlign w:val="center"/>
          </w:tcPr>
          <w:p w14:paraId="77F33A63" w14:textId="77777777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</w:tcPr>
          <w:p w14:paraId="4913D6B5" w14:textId="133BCEA2" w:rsidR="00840BD8" w:rsidRPr="001A7761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musi być dostarczony z klawiaturą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.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br/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Klawiatura fabrycznie nowa, </w:t>
            </w:r>
            <w:proofErr w:type="spellStart"/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nierekondycjonowana</w:t>
            </w:r>
            <w:proofErr w:type="spellEnd"/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, nieużywana,  </w:t>
            </w:r>
            <w:proofErr w:type="spellStart"/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niepowystawowa</w:t>
            </w:r>
            <w:proofErr w:type="spellEnd"/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, niedemonstracyjna.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br/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t>Parametry techniczne</w:t>
            </w:r>
            <w:r w:rsidR="00AC455B">
              <w:rPr>
                <w:rFonts w:ascii="Aptos" w:eastAsia="Times New Roman" w:hAnsi="Aptos" w:cs="Times New Roman"/>
                <w:sz w:val="20"/>
                <w:szCs w:val="20"/>
              </w:rPr>
              <w:t xml:space="preserve"> klawiatury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t>: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a) Zmywalna, klawiatura medyczna / laboratoryjna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b) Umożliwia łatwe i bezpieczne czyszczenie oraz dezynfekcję popularnymi środkami dezynfekującymi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c) Wykonana z wysokiej jakości silikonu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d) Zgodność z normą EN 60601-1-2 Edition 4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e) Komunikacja: USB 2.0, kabel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f) Układ: 109 klawiszy z podświetleniem, wbudowany </w:t>
            </w:r>
            <w:proofErr w:type="spellStart"/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t>touchpad</w:t>
            </w:r>
            <w:proofErr w:type="spellEnd"/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g) Poziom ochrony: IP68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h) Temperatura pracy: -0 °C to +55 °C</w:t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i) CE, </w:t>
            </w:r>
            <w:proofErr w:type="spellStart"/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t>RohS</w:t>
            </w:r>
            <w:proofErr w:type="spellEnd"/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t>, REACH, FCC</w:t>
            </w:r>
            <w:r w:rsidR="00AC455B">
              <w:rPr>
                <w:rFonts w:ascii="Aptos" w:eastAsia="Times New Roman" w:hAnsi="Aptos" w:cs="Times New Roman"/>
                <w:sz w:val="20"/>
                <w:szCs w:val="20"/>
              </w:rPr>
              <w:br/>
            </w:r>
            <w:r w:rsidR="00AC455B">
              <w:rPr>
                <w:rFonts w:ascii="Aptos" w:eastAsia="Times New Roman" w:hAnsi="Aptos" w:cs="Times New Roman"/>
                <w:sz w:val="20"/>
                <w:szCs w:val="20"/>
              </w:rPr>
              <w:br/>
            </w:r>
            <w:r w:rsidR="00AC455B" w:rsidRPr="00363E77">
              <w:rPr>
                <w:rFonts w:ascii="Aptos" w:eastAsia="Times New Roman" w:hAnsi="Aptos" w:cs="Times New Roman"/>
                <w:sz w:val="20"/>
                <w:szCs w:val="20"/>
              </w:rPr>
              <w:t>Instalacja sprzętu i konfiguracja oprogramowania do użytku wewnątrz lóż cytostatycznych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br/>
            </w:r>
          </w:p>
        </w:tc>
        <w:tc>
          <w:tcPr>
            <w:tcW w:w="3543" w:type="dxa"/>
            <w:vAlign w:val="center"/>
          </w:tcPr>
          <w:p w14:paraId="1920C994" w14:textId="489F6779" w:rsidR="00840BD8" w:rsidRDefault="00AC455B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19E1F4DB" w14:textId="11A7EE37" w:rsidR="00840BD8" w:rsidRPr="00AC455B" w:rsidRDefault="00AC455B" w:rsidP="00AC455B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AC455B">
              <w:rPr>
                <w:rFonts w:ascii="Aptos" w:eastAsia="Times New Roman" w:hAnsi="Aptos" w:cs="Times New Roman"/>
                <w:sz w:val="20"/>
                <w:szCs w:val="20"/>
              </w:rPr>
              <w:t xml:space="preserve">Producent: </w:t>
            </w:r>
            <w:r w:rsidRPr="00AC455B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Model: </w:t>
            </w:r>
            <w:r w:rsidRPr="00AC455B">
              <w:rPr>
                <w:rFonts w:ascii="Aptos" w:eastAsia="Times New Roman" w:hAnsi="Aptos" w:cs="Times New Roman"/>
                <w:sz w:val="20"/>
                <w:szCs w:val="20"/>
              </w:rPr>
              <w:br/>
              <w:t>Rok  produkcji:</w:t>
            </w:r>
          </w:p>
        </w:tc>
      </w:tr>
      <w:tr w:rsidR="00840BD8" w:rsidRPr="00363E77" w14:paraId="67B8BAC8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2EE5390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2AC9D8D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Tworzenie planu terapii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1C8FE63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5780152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5E951F25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34E27248" w14:textId="7351CF10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6E47160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definiowania własnych schematów terapii i planów terapii zgodnie z uprawnieniami nadanymi przez administratora w systemie.</w:t>
            </w:r>
          </w:p>
        </w:tc>
        <w:tc>
          <w:tcPr>
            <w:tcW w:w="3543" w:type="dxa"/>
            <w:vAlign w:val="center"/>
            <w:hideMark/>
          </w:tcPr>
          <w:p w14:paraId="3824537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4A30F7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5198652" w14:textId="77777777" w:rsidTr="00704910">
        <w:trPr>
          <w:trHeight w:val="300"/>
        </w:trPr>
        <w:tc>
          <w:tcPr>
            <w:tcW w:w="700" w:type="dxa"/>
            <w:vAlign w:val="center"/>
          </w:tcPr>
          <w:p w14:paraId="19D8C342" w14:textId="248183E3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BC7754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daje możliwość porównania wybranych cykli w schemacie terapii.</w:t>
            </w:r>
          </w:p>
        </w:tc>
        <w:tc>
          <w:tcPr>
            <w:tcW w:w="3543" w:type="dxa"/>
            <w:vAlign w:val="center"/>
            <w:hideMark/>
          </w:tcPr>
          <w:p w14:paraId="1DEABE0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1898E0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702CAFB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5F42B5FA" w14:textId="17AD64AC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1D4C2E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wykorzystanie i modyfikację zdefiniowanych planów terapii zgodnie z uprawnieniami w systemie. Ze względu na rytm podawania, ilość dawek w cyklu, wielkość pojedynczej dawki w cyklu, odstępy między dawkami w cyklu.</w:t>
            </w:r>
          </w:p>
        </w:tc>
        <w:tc>
          <w:tcPr>
            <w:tcW w:w="3543" w:type="dxa"/>
            <w:vAlign w:val="center"/>
            <w:hideMark/>
          </w:tcPr>
          <w:p w14:paraId="0EAF5FA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8F480E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F513B9A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2131D2BB" w14:textId="71FBDFB7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0F6E17B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 systemie można umieszczać uwagi do planu terapii i schematów terapii zgodnie z uprawnieniami w systemie.</w:t>
            </w:r>
          </w:p>
        </w:tc>
        <w:tc>
          <w:tcPr>
            <w:tcW w:w="3543" w:type="dxa"/>
            <w:vAlign w:val="center"/>
            <w:hideMark/>
          </w:tcPr>
          <w:p w14:paraId="0D90A1C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09AD7B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B1C8779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7A68536B" w14:textId="66C26963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0F551853" w14:textId="7FFB7DA5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Określenie specyficznych dla planu ograniczeń dawek maksymalnych i skumulowanych substancji czynnych jest możliwe w systemie. </w:t>
            </w:r>
          </w:p>
        </w:tc>
        <w:tc>
          <w:tcPr>
            <w:tcW w:w="3543" w:type="dxa"/>
            <w:vAlign w:val="center"/>
            <w:hideMark/>
          </w:tcPr>
          <w:p w14:paraId="4E92E3B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436F33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BCCFBE1" w14:textId="77777777" w:rsidTr="00704910">
        <w:trPr>
          <w:trHeight w:val="540"/>
        </w:trPr>
        <w:tc>
          <w:tcPr>
            <w:tcW w:w="700" w:type="dxa"/>
            <w:vAlign w:val="center"/>
          </w:tcPr>
          <w:p w14:paraId="108623B9" w14:textId="4B51E92F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05151FF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posiada filtr diagnoz i miejsc pobytów pacjenta (ograniczenie liczby schematów podczas tworzenia planu).</w:t>
            </w:r>
          </w:p>
        </w:tc>
        <w:tc>
          <w:tcPr>
            <w:tcW w:w="3543" w:type="dxa"/>
            <w:vAlign w:val="center"/>
            <w:hideMark/>
          </w:tcPr>
          <w:p w14:paraId="167708B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F9615B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DB1FA88" w14:textId="77777777" w:rsidTr="00704910">
        <w:trPr>
          <w:trHeight w:val="810"/>
        </w:trPr>
        <w:tc>
          <w:tcPr>
            <w:tcW w:w="700" w:type="dxa"/>
            <w:vAlign w:val="center"/>
          </w:tcPr>
          <w:p w14:paraId="31E7C945" w14:textId="206B9155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2421308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daje możliwość określenia specyficznych dla planu zasad bezpieczeństwa podania/produkcji w formie uwagi np. informacja o: długości wlewu, użyciu dedykowanych drenów, stężeniu granicznym w gotowym preparacie itp.</w:t>
            </w:r>
          </w:p>
        </w:tc>
        <w:tc>
          <w:tcPr>
            <w:tcW w:w="3543" w:type="dxa"/>
            <w:vAlign w:val="center"/>
            <w:hideMark/>
          </w:tcPr>
          <w:p w14:paraId="284EE04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4FE5FE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7F0C9E3" w14:textId="77777777" w:rsidTr="00704910">
        <w:trPr>
          <w:trHeight w:val="1890"/>
        </w:trPr>
        <w:tc>
          <w:tcPr>
            <w:tcW w:w="700" w:type="dxa"/>
            <w:vAlign w:val="center"/>
          </w:tcPr>
          <w:p w14:paraId="0FE5168A" w14:textId="59B33AE0" w:rsidR="00840BD8" w:rsidRPr="00850262" w:rsidRDefault="00840BD8" w:rsidP="00840BD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right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  <w:tc>
          <w:tcPr>
            <w:tcW w:w="7381" w:type="dxa"/>
            <w:vAlign w:val="center"/>
            <w:hideMark/>
          </w:tcPr>
          <w:p w14:paraId="629E6B8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Utworzony w systemie indywidualny plan terapii pacjenta może być dowolnie modyfikowany przez użytkownika (różne grupy zawodowe) posiadającego odpowiednie uprawnienia zgodnie z autoryzacją, przy czym zachowywana jest pełna informacja o wprowadzonych zmianach tj.: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- data i czas dokonanej modyfikacji,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- identyfikator użytkownika, który dokonał modyfikacji,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- opis modyfikacji, umożliwiający w jednoznaczny sposób określenie stanu przed i po dokonaniu zmiany.</w:t>
            </w:r>
          </w:p>
        </w:tc>
        <w:tc>
          <w:tcPr>
            <w:tcW w:w="3543" w:type="dxa"/>
            <w:vAlign w:val="center"/>
            <w:hideMark/>
          </w:tcPr>
          <w:p w14:paraId="728FC0C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0FE38EF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73F3F63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5B7DE4B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07BC968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Elementy tworzące plan terapii w systemie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68E8770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392B8FF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5FB6CEF1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306FA37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36</w:t>
            </w:r>
          </w:p>
        </w:tc>
        <w:tc>
          <w:tcPr>
            <w:tcW w:w="7381" w:type="dxa"/>
            <w:vAlign w:val="center"/>
            <w:hideMark/>
          </w:tcPr>
          <w:p w14:paraId="45DDDDCC" w14:textId="6F29F7F8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 ramach tworzenia planu terap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i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 system umożliwia definicję cykli wraz z okresami przerw pomiędzy nimi.</w:t>
            </w:r>
          </w:p>
        </w:tc>
        <w:tc>
          <w:tcPr>
            <w:tcW w:w="3543" w:type="dxa"/>
            <w:vAlign w:val="center"/>
            <w:hideMark/>
          </w:tcPr>
          <w:p w14:paraId="6B92BA5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70396A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0E987A49" w14:textId="77777777" w:rsidTr="00704910">
        <w:trPr>
          <w:trHeight w:val="3510"/>
        </w:trPr>
        <w:tc>
          <w:tcPr>
            <w:tcW w:w="700" w:type="dxa"/>
            <w:vAlign w:val="center"/>
            <w:hideMark/>
          </w:tcPr>
          <w:p w14:paraId="032DEAC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37</w:t>
            </w:r>
          </w:p>
        </w:tc>
        <w:tc>
          <w:tcPr>
            <w:tcW w:w="7381" w:type="dxa"/>
            <w:vAlign w:val="center"/>
            <w:hideMark/>
          </w:tcPr>
          <w:p w14:paraId="1394144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zawiera definicje podań leków wymagających przygotowania obejmują: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datę i czas podania,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czas-okres, kolejność i sposób podania,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zależności (przedziały) czasowe pomiędzy poszczególnymi lekami,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priorytet (rutynowy – pilny),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dawkę w formie absolutnej (ilości odpowiednich jednostek) lub relatywnej względem bazowego parametru (np. masy ciała, powierzchni ciała, AUC),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rodzaj i objętość płynu infuzyjnego (np. NaCl 0,9%, glukoza 5%); do późniejszego wykorzystania w planie terapii, możliwe są kombinacje roztworów (minimum dwa),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formy leku po przygotowaniu (np. worek, strzykawka, pompa, itp.),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drogę podania (iv, sc, ith, po itp.),wskazówki do produkcji leku (np. przygotowanie w jak najmniejszej objętości płynu),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• informacje do wydruku na etykiecie leku (np. chronić od światła, nie wstrząsać).</w:t>
            </w:r>
          </w:p>
        </w:tc>
        <w:tc>
          <w:tcPr>
            <w:tcW w:w="3543" w:type="dxa"/>
            <w:vAlign w:val="center"/>
            <w:hideMark/>
          </w:tcPr>
          <w:p w14:paraId="32DBC9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34CF450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22E8849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0A97FA5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38</w:t>
            </w:r>
          </w:p>
        </w:tc>
        <w:tc>
          <w:tcPr>
            <w:tcW w:w="7381" w:type="dxa"/>
            <w:vAlign w:val="center"/>
            <w:hideMark/>
          </w:tcPr>
          <w:p w14:paraId="036BC1D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zawiera definicje podań leków gotowych (wydawanych pacjentowi).</w:t>
            </w:r>
          </w:p>
        </w:tc>
        <w:tc>
          <w:tcPr>
            <w:tcW w:w="3543" w:type="dxa"/>
            <w:vAlign w:val="center"/>
            <w:hideMark/>
          </w:tcPr>
          <w:p w14:paraId="57F6F2B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37CB6D5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0C622DD7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1E2F1EA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39</w:t>
            </w:r>
          </w:p>
        </w:tc>
        <w:tc>
          <w:tcPr>
            <w:tcW w:w="7381" w:type="dxa"/>
            <w:vAlign w:val="center"/>
            <w:hideMark/>
          </w:tcPr>
          <w:p w14:paraId="10B7C7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wpisanie komentarza do planu terapii.</w:t>
            </w:r>
          </w:p>
        </w:tc>
        <w:tc>
          <w:tcPr>
            <w:tcW w:w="3543" w:type="dxa"/>
            <w:vAlign w:val="center"/>
            <w:hideMark/>
          </w:tcPr>
          <w:p w14:paraId="755E39D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3ADEB21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DA17D36" w14:textId="77777777" w:rsidTr="00704910">
        <w:trPr>
          <w:trHeight w:val="1620"/>
        </w:trPr>
        <w:tc>
          <w:tcPr>
            <w:tcW w:w="700" w:type="dxa"/>
            <w:vAlign w:val="center"/>
            <w:hideMark/>
          </w:tcPr>
          <w:p w14:paraId="2D8547A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40</w:t>
            </w:r>
          </w:p>
        </w:tc>
        <w:tc>
          <w:tcPr>
            <w:tcW w:w="7381" w:type="dxa"/>
            <w:vAlign w:val="center"/>
            <w:hideMark/>
          </w:tcPr>
          <w:p w14:paraId="6D1AB47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pozwala na umieszczeniu na zleceniu lekarskim (recepcie) w formie znacznika informacji o sposobie finansowania terapii z uwzględnieniem grup typu: programy terapeutyczne, chemioterapia, badania kliniczne, procedura przeszczepowa, katalog świadczeń odrębnych, dary, bezpłatne próbki lekarskie, ratunkowy dostęp do terapii lekowej i inne. Wpis dokonywany jest przez lekarza. Możliwość zmiany przez farmaceutę. Możliwość dodania znacznika do każdego leku osobno (tj. do każdej pozycji schematu osobno).</w:t>
            </w:r>
          </w:p>
        </w:tc>
        <w:tc>
          <w:tcPr>
            <w:tcW w:w="3543" w:type="dxa"/>
            <w:vAlign w:val="center"/>
            <w:hideMark/>
          </w:tcPr>
          <w:p w14:paraId="348B5C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6163D2F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C70692D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474D69E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lastRenderedPageBreak/>
              <w:t>D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7FE431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Kontrola planu terapii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704D293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5B32F1B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52B984E0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0F7FBFD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41</w:t>
            </w:r>
          </w:p>
        </w:tc>
        <w:tc>
          <w:tcPr>
            <w:tcW w:w="7381" w:type="dxa"/>
            <w:vAlign w:val="center"/>
            <w:hideMark/>
          </w:tcPr>
          <w:p w14:paraId="32EE479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Widok planu terapii w systemie pokazuje postęp terapii w formie hierarchicznej struktury informacji tworzących plan.</w:t>
            </w:r>
          </w:p>
        </w:tc>
        <w:tc>
          <w:tcPr>
            <w:tcW w:w="3543" w:type="dxa"/>
            <w:vAlign w:val="center"/>
            <w:hideMark/>
          </w:tcPr>
          <w:p w14:paraId="7A3D01B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17864A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C556CA8" w14:textId="77777777" w:rsidTr="00704910">
        <w:trPr>
          <w:trHeight w:val="810"/>
        </w:trPr>
        <w:tc>
          <w:tcPr>
            <w:tcW w:w="700" w:type="dxa"/>
            <w:vAlign w:val="center"/>
            <w:hideMark/>
          </w:tcPr>
          <w:p w14:paraId="322B600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42</w:t>
            </w:r>
          </w:p>
        </w:tc>
        <w:tc>
          <w:tcPr>
            <w:tcW w:w="7381" w:type="dxa"/>
            <w:vAlign w:val="center"/>
            <w:hideMark/>
          </w:tcPr>
          <w:p w14:paraId="4510313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Dawkowanie użytych leków w systemie w jednostkach masy (np. mg) i międzynarodowych (IU) w zależności od konfiguracji danych preparatu, uzupełnionych zgodnie z charakterystyką produktu leczniczego.</w:t>
            </w:r>
          </w:p>
        </w:tc>
        <w:tc>
          <w:tcPr>
            <w:tcW w:w="3543" w:type="dxa"/>
            <w:vAlign w:val="center"/>
            <w:hideMark/>
          </w:tcPr>
          <w:p w14:paraId="193D76D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60581E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975FDDB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74365EE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43</w:t>
            </w:r>
          </w:p>
        </w:tc>
        <w:tc>
          <w:tcPr>
            <w:tcW w:w="7381" w:type="dxa"/>
            <w:vAlign w:val="center"/>
            <w:hideMark/>
          </w:tcPr>
          <w:p w14:paraId="64E3466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kodowanie leku w bazie danych według nazwy międzynarodowej.</w:t>
            </w:r>
          </w:p>
        </w:tc>
        <w:tc>
          <w:tcPr>
            <w:tcW w:w="3543" w:type="dxa"/>
            <w:vAlign w:val="center"/>
            <w:hideMark/>
          </w:tcPr>
          <w:p w14:paraId="7E10440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10E378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8AFB017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2E98880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44</w:t>
            </w:r>
          </w:p>
        </w:tc>
        <w:tc>
          <w:tcPr>
            <w:tcW w:w="7381" w:type="dxa"/>
            <w:vAlign w:val="center"/>
            <w:hideMark/>
          </w:tcPr>
          <w:p w14:paraId="2CA7941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przypisania w planie terapii nazwy handlowej do nazwy międzynarodowej.</w:t>
            </w:r>
          </w:p>
        </w:tc>
        <w:tc>
          <w:tcPr>
            <w:tcW w:w="3543" w:type="dxa"/>
            <w:vAlign w:val="center"/>
            <w:hideMark/>
          </w:tcPr>
          <w:p w14:paraId="33E81F0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AFA202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A343EC6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2703200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3DF04C7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Schematy terapii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46B2333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3D64AC5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59421656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2159227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45</w:t>
            </w:r>
          </w:p>
        </w:tc>
        <w:tc>
          <w:tcPr>
            <w:tcW w:w="7381" w:type="dxa"/>
            <w:vAlign w:val="center"/>
            <w:hideMark/>
          </w:tcPr>
          <w:p w14:paraId="738C4F0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Użytkownik ma możliwość definiowania schematów terapii jako zapisu używanych protokołów chemioterapii. </w:t>
            </w:r>
          </w:p>
        </w:tc>
        <w:tc>
          <w:tcPr>
            <w:tcW w:w="3543" w:type="dxa"/>
            <w:vAlign w:val="center"/>
            <w:hideMark/>
          </w:tcPr>
          <w:p w14:paraId="68C1906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4CE4B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8F40FEA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575FB70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46</w:t>
            </w:r>
          </w:p>
        </w:tc>
        <w:tc>
          <w:tcPr>
            <w:tcW w:w="7381" w:type="dxa"/>
            <w:vAlign w:val="center"/>
            <w:hideMark/>
          </w:tcPr>
          <w:p w14:paraId="0DFDAD4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Użytkownik ma możliwość definiowania wzorcowego cyklu terapii, gdzie jednokrotne określenie elementów cyklu pozwala na ich kopiowanie do cykli powtórzeniowych.</w:t>
            </w:r>
          </w:p>
        </w:tc>
        <w:tc>
          <w:tcPr>
            <w:tcW w:w="3543" w:type="dxa"/>
            <w:vAlign w:val="center"/>
            <w:hideMark/>
          </w:tcPr>
          <w:p w14:paraId="57ED9B4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16A600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540C400" w14:textId="77777777" w:rsidTr="00704910">
        <w:trPr>
          <w:trHeight w:val="1080"/>
        </w:trPr>
        <w:tc>
          <w:tcPr>
            <w:tcW w:w="700" w:type="dxa"/>
            <w:vAlign w:val="center"/>
            <w:hideMark/>
          </w:tcPr>
          <w:p w14:paraId="4613768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47</w:t>
            </w:r>
          </w:p>
        </w:tc>
        <w:tc>
          <w:tcPr>
            <w:tcW w:w="7381" w:type="dxa"/>
            <w:vAlign w:val="center"/>
            <w:hideMark/>
          </w:tcPr>
          <w:p w14:paraId="73B5D4F4" w14:textId="7B5CC075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Przy tworzeniu schematu terapii użytkownik może określić: jego nazwę; grupę diagnoz skojarzonych; dat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ę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 początku (od dnia „0” lub dnia „1”) jednostki organizacyjnej, na których używany jest schemat; specyficzne dla danego schematu ograniczenia dawek (maksymalnej i/lub skumulowanej) dla wybranych substancji czynnych oraz ewentualnych  uwag.</w:t>
            </w:r>
          </w:p>
        </w:tc>
        <w:tc>
          <w:tcPr>
            <w:tcW w:w="3543" w:type="dxa"/>
            <w:vAlign w:val="center"/>
            <w:hideMark/>
          </w:tcPr>
          <w:p w14:paraId="21B7874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8CDABB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D02485A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40AC02E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48</w:t>
            </w:r>
          </w:p>
        </w:tc>
        <w:tc>
          <w:tcPr>
            <w:tcW w:w="7381" w:type="dxa"/>
            <w:vAlign w:val="center"/>
            <w:hideMark/>
          </w:tcPr>
          <w:p w14:paraId="21F815A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Użytkownik może przeglądać plany terapii pacjenta anulowane lub zakończone w przeszłości.</w:t>
            </w:r>
          </w:p>
        </w:tc>
        <w:tc>
          <w:tcPr>
            <w:tcW w:w="3543" w:type="dxa"/>
            <w:vAlign w:val="center"/>
            <w:hideMark/>
          </w:tcPr>
          <w:p w14:paraId="4563C1A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F08BB3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F7B213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4B9E80B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1ABC7BB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Monitorowanie bezpieczeństwa terapii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4BE20A4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39B0D22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1D2C9F5C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41B74A2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49</w:t>
            </w:r>
          </w:p>
        </w:tc>
        <w:tc>
          <w:tcPr>
            <w:tcW w:w="7381" w:type="dxa"/>
            <w:vAlign w:val="center"/>
            <w:hideMark/>
          </w:tcPr>
          <w:p w14:paraId="2FA3781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wpisanie i zapamiętanie informacji z wynikami badań pacjenta.</w:t>
            </w:r>
          </w:p>
        </w:tc>
        <w:tc>
          <w:tcPr>
            <w:tcW w:w="3543" w:type="dxa"/>
            <w:vAlign w:val="center"/>
            <w:hideMark/>
          </w:tcPr>
          <w:p w14:paraId="2D436C6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EA2F8B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D2A59B5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53EA513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50</w:t>
            </w:r>
          </w:p>
        </w:tc>
        <w:tc>
          <w:tcPr>
            <w:tcW w:w="7381" w:type="dxa"/>
            <w:vAlign w:val="center"/>
            <w:hideMark/>
          </w:tcPr>
          <w:p w14:paraId="5F3A2E5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monitorowanie dawek (śledzenie przekroczenia dawek maksymalnych i skumulowanych w czasie rzeczywistym).</w:t>
            </w:r>
          </w:p>
        </w:tc>
        <w:tc>
          <w:tcPr>
            <w:tcW w:w="3543" w:type="dxa"/>
            <w:vAlign w:val="center"/>
            <w:hideMark/>
          </w:tcPr>
          <w:p w14:paraId="5611133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81A89E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A2799CC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3CC0645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51</w:t>
            </w:r>
          </w:p>
        </w:tc>
        <w:tc>
          <w:tcPr>
            <w:tcW w:w="7381" w:type="dxa"/>
            <w:vAlign w:val="center"/>
            <w:hideMark/>
          </w:tcPr>
          <w:p w14:paraId="3BD5896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monitoruje dawki poprzez ostrzeżenia wg reguł modyfikacji dawki.</w:t>
            </w:r>
          </w:p>
        </w:tc>
        <w:tc>
          <w:tcPr>
            <w:tcW w:w="3543" w:type="dxa"/>
            <w:vAlign w:val="center"/>
            <w:hideMark/>
          </w:tcPr>
          <w:p w14:paraId="0A046E8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7105F5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03496C3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5C44229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52</w:t>
            </w:r>
          </w:p>
        </w:tc>
        <w:tc>
          <w:tcPr>
            <w:tcW w:w="7381" w:type="dxa"/>
            <w:vAlign w:val="center"/>
            <w:hideMark/>
          </w:tcPr>
          <w:p w14:paraId="3CEFE1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Monitorowanie dawkowania leków (program śledzi zdefiniowane zasady modyfikacji dawek leków w czasie rzeczywistym, w zależności od wyników badań pacjenta i ich okresu ważności)</w:t>
            </w:r>
          </w:p>
        </w:tc>
        <w:tc>
          <w:tcPr>
            <w:tcW w:w="3543" w:type="dxa"/>
            <w:vAlign w:val="center"/>
            <w:hideMark/>
          </w:tcPr>
          <w:p w14:paraId="59B96B9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3960C36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C1894BB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0C88A2F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53</w:t>
            </w:r>
          </w:p>
        </w:tc>
        <w:tc>
          <w:tcPr>
            <w:tcW w:w="7381" w:type="dxa"/>
            <w:vAlign w:val="center"/>
            <w:hideMark/>
          </w:tcPr>
          <w:p w14:paraId="70E0955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zapewnia monitorowanie zakresu stężenia substancji czynnej w gotowym preparacie na podstawie charakterystyki produktu leczniczego.</w:t>
            </w:r>
          </w:p>
        </w:tc>
        <w:tc>
          <w:tcPr>
            <w:tcW w:w="3543" w:type="dxa"/>
            <w:vAlign w:val="center"/>
            <w:hideMark/>
          </w:tcPr>
          <w:p w14:paraId="72CD88C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206708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BADF070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360EBD0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7381" w:type="dxa"/>
            <w:vAlign w:val="center"/>
            <w:hideMark/>
          </w:tcPr>
          <w:p w14:paraId="6E76690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monitorowanie trwałości substancji na każdym etapie procesu (od zlecenia do podania), w tym trwałości pozostałości.</w:t>
            </w:r>
          </w:p>
        </w:tc>
        <w:tc>
          <w:tcPr>
            <w:tcW w:w="3543" w:type="dxa"/>
            <w:vAlign w:val="center"/>
            <w:hideMark/>
          </w:tcPr>
          <w:p w14:paraId="4FA7B67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010B2F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CD40B66" w14:textId="77777777" w:rsidTr="00704910">
        <w:trPr>
          <w:trHeight w:val="1080"/>
        </w:trPr>
        <w:tc>
          <w:tcPr>
            <w:tcW w:w="700" w:type="dxa"/>
            <w:vAlign w:val="center"/>
            <w:hideMark/>
          </w:tcPr>
          <w:p w14:paraId="6AEDE2B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55</w:t>
            </w:r>
          </w:p>
        </w:tc>
        <w:tc>
          <w:tcPr>
            <w:tcW w:w="7381" w:type="dxa"/>
            <w:vAlign w:val="center"/>
            <w:hideMark/>
          </w:tcPr>
          <w:p w14:paraId="431F3AC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monitoruje ekspozycję na promieniowanie świetlne -  drukuje informacje na etykietach o konieczności zastosowania zestawów do przetoczeń zapewniających ochronę przed światłem (np. bursztynowych) oraz dodatkowych opakowań zabezpieczających przed nadmierną ekspozycją na promieniowanie świetlne.</w:t>
            </w:r>
          </w:p>
        </w:tc>
        <w:tc>
          <w:tcPr>
            <w:tcW w:w="3543" w:type="dxa"/>
            <w:vAlign w:val="center"/>
            <w:hideMark/>
          </w:tcPr>
          <w:p w14:paraId="201EDC6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AFA3BC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F259305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7DC6142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56</w:t>
            </w:r>
          </w:p>
        </w:tc>
        <w:tc>
          <w:tcPr>
            <w:tcW w:w="7381" w:type="dxa"/>
            <w:vAlign w:val="center"/>
            <w:hideMark/>
          </w:tcPr>
          <w:p w14:paraId="330117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monitoruje trwałości resztek leków (śledzi w czasie rzeczywistym trwałość resztek po produkcji leków).</w:t>
            </w:r>
          </w:p>
        </w:tc>
        <w:tc>
          <w:tcPr>
            <w:tcW w:w="3543" w:type="dxa"/>
            <w:vAlign w:val="center"/>
            <w:hideMark/>
          </w:tcPr>
          <w:p w14:paraId="4BF088C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5BB57D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2845B6A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3F85FE5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57</w:t>
            </w:r>
          </w:p>
        </w:tc>
        <w:tc>
          <w:tcPr>
            <w:tcW w:w="7381" w:type="dxa"/>
            <w:vAlign w:val="center"/>
            <w:hideMark/>
          </w:tcPr>
          <w:p w14:paraId="127AE2B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monitoruje  w czasie rzeczywistym trwałości leków w magazynie.</w:t>
            </w:r>
          </w:p>
        </w:tc>
        <w:tc>
          <w:tcPr>
            <w:tcW w:w="3543" w:type="dxa"/>
            <w:vAlign w:val="center"/>
            <w:hideMark/>
          </w:tcPr>
          <w:p w14:paraId="0F58462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888C89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88AA3F8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6AB3D66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58</w:t>
            </w:r>
          </w:p>
        </w:tc>
        <w:tc>
          <w:tcPr>
            <w:tcW w:w="7381" w:type="dxa"/>
            <w:vAlign w:val="center"/>
            <w:hideMark/>
          </w:tcPr>
          <w:p w14:paraId="103653D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śledzi w czasie rzeczywistym wszelkie zmiany statusów leków oraz umożliwia wycofanie zlecenia przed rozpoczęciem produkcji.</w:t>
            </w:r>
          </w:p>
        </w:tc>
        <w:tc>
          <w:tcPr>
            <w:tcW w:w="3543" w:type="dxa"/>
            <w:vAlign w:val="center"/>
            <w:hideMark/>
          </w:tcPr>
          <w:p w14:paraId="0F3C229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1071A5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44AAD7E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59C1408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59</w:t>
            </w:r>
          </w:p>
        </w:tc>
        <w:tc>
          <w:tcPr>
            <w:tcW w:w="7381" w:type="dxa"/>
            <w:vAlign w:val="center"/>
            <w:hideMark/>
          </w:tcPr>
          <w:p w14:paraId="65D64AC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śledzi i umożliwia wydruk całości przebiegu produkcji leku w trybie grawimetrycznym z dokładnością do każdego ważenia opatrzonych właściwym znacznikiem czasu i użytkownika.</w:t>
            </w:r>
          </w:p>
        </w:tc>
        <w:tc>
          <w:tcPr>
            <w:tcW w:w="3543" w:type="dxa"/>
            <w:vAlign w:val="center"/>
            <w:hideMark/>
          </w:tcPr>
          <w:p w14:paraId="69004B5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B56997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05FEB08" w14:textId="77777777" w:rsidTr="00704910">
        <w:trPr>
          <w:trHeight w:val="810"/>
        </w:trPr>
        <w:tc>
          <w:tcPr>
            <w:tcW w:w="700" w:type="dxa"/>
            <w:vAlign w:val="center"/>
            <w:hideMark/>
          </w:tcPr>
          <w:p w14:paraId="4FEEA24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60</w:t>
            </w:r>
          </w:p>
        </w:tc>
        <w:tc>
          <w:tcPr>
            <w:tcW w:w="7381" w:type="dxa"/>
            <w:vAlign w:val="center"/>
            <w:hideMark/>
          </w:tcPr>
          <w:p w14:paraId="10D3452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śledzi poprawność osiągnięcia wymaganej dawki końcowej w obrębie zadanej tolerancji w trakcie produkcji grawimetrycznej – informacja o osiągnięciu dawki zleconej musi się pojawiać na końcu produkcji danego preparatu.</w:t>
            </w:r>
          </w:p>
        </w:tc>
        <w:tc>
          <w:tcPr>
            <w:tcW w:w="3543" w:type="dxa"/>
            <w:vAlign w:val="center"/>
            <w:hideMark/>
          </w:tcPr>
          <w:p w14:paraId="14116D3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B98CF9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03D533B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6AC8676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61</w:t>
            </w:r>
          </w:p>
        </w:tc>
        <w:tc>
          <w:tcPr>
            <w:tcW w:w="7381" w:type="dxa"/>
            <w:vAlign w:val="center"/>
            <w:hideMark/>
          </w:tcPr>
          <w:p w14:paraId="2533979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identyfikację pacjentów przy użyciu systemu kodów kreskowych lub kodów 2D.</w:t>
            </w:r>
          </w:p>
        </w:tc>
        <w:tc>
          <w:tcPr>
            <w:tcW w:w="3543" w:type="dxa"/>
            <w:vAlign w:val="center"/>
            <w:hideMark/>
          </w:tcPr>
          <w:p w14:paraId="474A2B2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367629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99D055E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3BAED04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62</w:t>
            </w:r>
          </w:p>
        </w:tc>
        <w:tc>
          <w:tcPr>
            <w:tcW w:w="7381" w:type="dxa"/>
            <w:vAlign w:val="center"/>
            <w:hideMark/>
          </w:tcPr>
          <w:p w14:paraId="3C7834F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System umożliwia identyfikację  leków przy użyciu kodów kreskowych lub kodów 2D. </w:t>
            </w:r>
          </w:p>
        </w:tc>
        <w:tc>
          <w:tcPr>
            <w:tcW w:w="3543" w:type="dxa"/>
            <w:vAlign w:val="center"/>
            <w:hideMark/>
          </w:tcPr>
          <w:p w14:paraId="6A93C7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25A9F4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B8B07FD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07E39ED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63</w:t>
            </w:r>
          </w:p>
        </w:tc>
        <w:tc>
          <w:tcPr>
            <w:tcW w:w="7381" w:type="dxa"/>
            <w:vAlign w:val="center"/>
            <w:hideMark/>
          </w:tcPr>
          <w:p w14:paraId="4250B68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System umożliwia identyfikację  resztek przy użyciu kodów kreskowych lub kodów 2D. </w:t>
            </w:r>
          </w:p>
        </w:tc>
        <w:tc>
          <w:tcPr>
            <w:tcW w:w="3543" w:type="dxa"/>
            <w:vAlign w:val="center"/>
            <w:hideMark/>
          </w:tcPr>
          <w:p w14:paraId="2D783E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8FDCC1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7A566CB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5FBE3DF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64</w:t>
            </w:r>
          </w:p>
        </w:tc>
        <w:tc>
          <w:tcPr>
            <w:tcW w:w="7381" w:type="dxa"/>
            <w:vAlign w:val="center"/>
            <w:hideMark/>
          </w:tcPr>
          <w:p w14:paraId="205C0A6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identyfikację  nieotwartych fiolek w określonym zakresie ich wagi (Pozwala na dodatkową kontrolę wykorzystywanych fiolek leków).</w:t>
            </w:r>
          </w:p>
        </w:tc>
        <w:tc>
          <w:tcPr>
            <w:tcW w:w="3543" w:type="dxa"/>
            <w:vAlign w:val="center"/>
            <w:hideMark/>
          </w:tcPr>
          <w:p w14:paraId="06077A1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7E497E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EB9DDE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2F6551B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5CFC966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Przygotowanie do produkcji leków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612294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06A3387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29B43D2F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7B83F63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65</w:t>
            </w:r>
          </w:p>
        </w:tc>
        <w:tc>
          <w:tcPr>
            <w:tcW w:w="7381" w:type="dxa"/>
            <w:vAlign w:val="center"/>
            <w:hideMark/>
          </w:tcPr>
          <w:p w14:paraId="10894E0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stworzenie bazy leków i płynów infuzyjnych według nazw międzynarodowych.</w:t>
            </w:r>
          </w:p>
        </w:tc>
        <w:tc>
          <w:tcPr>
            <w:tcW w:w="3543" w:type="dxa"/>
            <w:noWrap/>
            <w:vAlign w:val="center"/>
            <w:hideMark/>
          </w:tcPr>
          <w:p w14:paraId="7E836FA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35E74D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F7764F5" w14:textId="77777777" w:rsidTr="00704910">
        <w:trPr>
          <w:trHeight w:val="1080"/>
        </w:trPr>
        <w:tc>
          <w:tcPr>
            <w:tcW w:w="700" w:type="dxa"/>
            <w:vAlign w:val="center"/>
            <w:hideMark/>
          </w:tcPr>
          <w:p w14:paraId="029C03F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66</w:t>
            </w:r>
          </w:p>
        </w:tc>
        <w:tc>
          <w:tcPr>
            <w:tcW w:w="7381" w:type="dxa"/>
            <w:vAlign w:val="center"/>
            <w:hideMark/>
          </w:tcPr>
          <w:p w14:paraId="36504C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przygotowanie produkcji leków zorientowanej na pacjenta, tzn. grupuje wszystkie elementy, tj. ampułki preparatów handlowych, pozostałości tego preparatu, rozpuszczalniki, płyny infuzyjne (roztwory nośne), strzykawki, itp. w celu przygotowania leku lub kilku leków zaordynowanych konkretnemu pacjentowi w jednym cyklu przygotowania.</w:t>
            </w:r>
          </w:p>
        </w:tc>
        <w:tc>
          <w:tcPr>
            <w:tcW w:w="3543" w:type="dxa"/>
            <w:noWrap/>
            <w:vAlign w:val="center"/>
            <w:hideMark/>
          </w:tcPr>
          <w:p w14:paraId="41A2382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750BD3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7D903DD" w14:textId="77777777" w:rsidTr="00704910">
        <w:trPr>
          <w:trHeight w:val="1350"/>
        </w:trPr>
        <w:tc>
          <w:tcPr>
            <w:tcW w:w="700" w:type="dxa"/>
            <w:vAlign w:val="center"/>
            <w:hideMark/>
          </w:tcPr>
          <w:p w14:paraId="6268E88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7381" w:type="dxa"/>
            <w:vAlign w:val="center"/>
            <w:hideMark/>
          </w:tcPr>
          <w:p w14:paraId="6DACDDC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przygotowanie produkcji leków zorientowanej na produkt, tzn. zgrupować wszystkie elementy, tj. ampułki preparatów handlowych, pozostałości tego preparatu, rozpuszczalniki, płyny infuzyjne (roztwory nośne), strzykawki, itp. w celu przygotowania leku lub kilku leków wytworzonych na bazie tego samego preparatu handlowego zaordynowanych jednemu lub kilku pacjentom).</w:t>
            </w:r>
          </w:p>
        </w:tc>
        <w:tc>
          <w:tcPr>
            <w:tcW w:w="3543" w:type="dxa"/>
            <w:noWrap/>
            <w:vAlign w:val="center"/>
            <w:hideMark/>
          </w:tcPr>
          <w:p w14:paraId="1BC5F71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4A5CDE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65B9F5BF" w14:textId="77777777" w:rsidTr="00704910">
        <w:trPr>
          <w:trHeight w:val="810"/>
        </w:trPr>
        <w:tc>
          <w:tcPr>
            <w:tcW w:w="700" w:type="dxa"/>
            <w:vAlign w:val="center"/>
            <w:hideMark/>
          </w:tcPr>
          <w:p w14:paraId="1B76132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68</w:t>
            </w:r>
          </w:p>
        </w:tc>
        <w:tc>
          <w:tcPr>
            <w:tcW w:w="7381" w:type="dxa"/>
            <w:vAlign w:val="center"/>
            <w:hideMark/>
          </w:tcPr>
          <w:p w14:paraId="1BCA495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podpowiada listę elementów  (fiolek leków, worków infuzyjnych) potrzebnych do produkcji w oparciu o optymalizację zużycia oraz zasadę minimalizacji kosztów (np. poprzez dobór wg najkrótszego terminu ważności).</w:t>
            </w:r>
          </w:p>
        </w:tc>
        <w:tc>
          <w:tcPr>
            <w:tcW w:w="3543" w:type="dxa"/>
            <w:noWrap/>
            <w:vAlign w:val="center"/>
            <w:hideMark/>
          </w:tcPr>
          <w:p w14:paraId="3A6B631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4C5722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5E7BD8F9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2A15929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69</w:t>
            </w:r>
          </w:p>
        </w:tc>
        <w:tc>
          <w:tcPr>
            <w:tcW w:w="7381" w:type="dxa"/>
            <w:vAlign w:val="center"/>
            <w:hideMark/>
          </w:tcPr>
          <w:p w14:paraId="18A50AB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śledzi i prezentuje w czasie rzeczywistym status /etap produkcji cytostatyków.</w:t>
            </w:r>
          </w:p>
        </w:tc>
        <w:tc>
          <w:tcPr>
            <w:tcW w:w="3543" w:type="dxa"/>
            <w:noWrap/>
            <w:vAlign w:val="center"/>
            <w:hideMark/>
          </w:tcPr>
          <w:p w14:paraId="0E98C4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5C5C0A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57360981" w14:textId="77777777" w:rsidTr="00704910">
        <w:trPr>
          <w:trHeight w:val="810"/>
        </w:trPr>
        <w:tc>
          <w:tcPr>
            <w:tcW w:w="700" w:type="dxa"/>
            <w:vAlign w:val="center"/>
            <w:hideMark/>
          </w:tcPr>
          <w:p w14:paraId="503FA54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70</w:t>
            </w:r>
          </w:p>
        </w:tc>
        <w:tc>
          <w:tcPr>
            <w:tcW w:w="7381" w:type="dxa"/>
            <w:vAlign w:val="center"/>
            <w:hideMark/>
          </w:tcPr>
          <w:p w14:paraId="34B50A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Przed rozpoczęciem produkcji system farmaceucie możliwość decyzji o zmianie płynu infuzyjnego w celu prawidłowego wykonania preparatu (w oparciu o charakterystykę produktu leczniczego i zalecenia producentów płynów infuzyjnych).</w:t>
            </w:r>
          </w:p>
        </w:tc>
        <w:tc>
          <w:tcPr>
            <w:tcW w:w="3543" w:type="dxa"/>
            <w:noWrap/>
            <w:vAlign w:val="center"/>
            <w:hideMark/>
          </w:tcPr>
          <w:p w14:paraId="2051A22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76C74F3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64CA7E2B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4F1779B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52A487B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Przygotowywanie leków – metoda wolumetryczna i grawimetryczna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0CF7607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093C2E5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41B09999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47572B2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71</w:t>
            </w:r>
          </w:p>
        </w:tc>
        <w:tc>
          <w:tcPr>
            <w:tcW w:w="7381" w:type="dxa"/>
            <w:vAlign w:val="center"/>
            <w:hideMark/>
          </w:tcPr>
          <w:p w14:paraId="761FA12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produkcję leków metodą wolumetryczną (objętościową) w oparciu o charakterystykę produktu leczniczego z automatycznym przeliczeniem objętości roztworu leku do pobrania.</w:t>
            </w:r>
          </w:p>
        </w:tc>
        <w:tc>
          <w:tcPr>
            <w:tcW w:w="3543" w:type="dxa"/>
            <w:noWrap/>
            <w:vAlign w:val="center"/>
            <w:hideMark/>
          </w:tcPr>
          <w:p w14:paraId="3677410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806387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6010E25B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2F016C2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72</w:t>
            </w:r>
          </w:p>
        </w:tc>
        <w:tc>
          <w:tcPr>
            <w:tcW w:w="7381" w:type="dxa"/>
            <w:vAlign w:val="center"/>
            <w:hideMark/>
          </w:tcPr>
          <w:p w14:paraId="649F11B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produkcję (przygotowywanie) leków metodą grawimetryczną, w której każdy etap produkcji jest weryfikowany w oparciu o odczyt wagi elektronicznej.</w:t>
            </w:r>
          </w:p>
        </w:tc>
        <w:tc>
          <w:tcPr>
            <w:tcW w:w="3543" w:type="dxa"/>
            <w:noWrap/>
            <w:vAlign w:val="center"/>
            <w:hideMark/>
          </w:tcPr>
          <w:p w14:paraId="4578B6B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306344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40CC98B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02C8B75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73</w:t>
            </w:r>
          </w:p>
        </w:tc>
        <w:tc>
          <w:tcPr>
            <w:tcW w:w="7381" w:type="dxa"/>
            <w:vAlign w:val="center"/>
            <w:hideMark/>
          </w:tcPr>
          <w:p w14:paraId="692E6F3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produkcję leków metodą wolumetryczną w oparciu o charakterystykę produktu leczniczego z automatycznym przeliczeniem objętości roztworu leku do pobrania.</w:t>
            </w:r>
          </w:p>
        </w:tc>
        <w:tc>
          <w:tcPr>
            <w:tcW w:w="3543" w:type="dxa"/>
            <w:noWrap/>
            <w:vAlign w:val="center"/>
            <w:hideMark/>
          </w:tcPr>
          <w:p w14:paraId="356DF01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55A19CE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2B1DC40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699CB6D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74</w:t>
            </w:r>
          </w:p>
        </w:tc>
        <w:tc>
          <w:tcPr>
            <w:tcW w:w="7381" w:type="dxa"/>
            <w:vAlign w:val="center"/>
            <w:hideMark/>
          </w:tcPr>
          <w:p w14:paraId="3C1FD5D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produkcję leków zarówno w formie rozpuszczonej, jak i z substancji suchych zgodnie z charakterystyką produktu leczniczego.</w:t>
            </w:r>
          </w:p>
        </w:tc>
        <w:tc>
          <w:tcPr>
            <w:tcW w:w="3543" w:type="dxa"/>
            <w:noWrap/>
            <w:vAlign w:val="center"/>
            <w:hideMark/>
          </w:tcPr>
          <w:p w14:paraId="2C5B4A4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53CA5C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AA98003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3C5B6C3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75</w:t>
            </w:r>
          </w:p>
        </w:tc>
        <w:tc>
          <w:tcPr>
            <w:tcW w:w="7381" w:type="dxa"/>
            <w:vAlign w:val="center"/>
            <w:hideMark/>
          </w:tcPr>
          <w:p w14:paraId="1A53B2E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Podczas produkcji metodą grawimetryczną każdy etap ważenia powinien być zatwierdzany automatycznie (bez konieczności ręcznej lub innej akceptacji).</w:t>
            </w:r>
          </w:p>
        </w:tc>
        <w:tc>
          <w:tcPr>
            <w:tcW w:w="3543" w:type="dxa"/>
            <w:noWrap/>
            <w:vAlign w:val="center"/>
            <w:hideMark/>
          </w:tcPr>
          <w:p w14:paraId="18032CD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CDC4E0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21ACC904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13A0D26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76</w:t>
            </w:r>
          </w:p>
        </w:tc>
        <w:tc>
          <w:tcPr>
            <w:tcW w:w="7381" w:type="dxa"/>
            <w:vAlign w:val="center"/>
            <w:hideMark/>
          </w:tcPr>
          <w:p w14:paraId="1BB46EB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monitoruje maksymalną pojemność pojemników uniemożliwiając ich fizyczne uszkodzenie wg zaleceń producenta.</w:t>
            </w:r>
          </w:p>
        </w:tc>
        <w:tc>
          <w:tcPr>
            <w:tcW w:w="3543" w:type="dxa"/>
            <w:noWrap/>
            <w:vAlign w:val="center"/>
            <w:hideMark/>
          </w:tcPr>
          <w:p w14:paraId="74075BC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59580B0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2C63B064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7CA869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77</w:t>
            </w:r>
          </w:p>
        </w:tc>
        <w:tc>
          <w:tcPr>
            <w:tcW w:w="7381" w:type="dxa"/>
            <w:vAlign w:val="center"/>
            <w:hideMark/>
          </w:tcPr>
          <w:p w14:paraId="63DFA0A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produkcji tego samego leku z wielu fiolek (z kontrolą łącznej objętości roztworu leku po pobraniu z wielu fiolek).</w:t>
            </w:r>
          </w:p>
        </w:tc>
        <w:tc>
          <w:tcPr>
            <w:tcW w:w="3543" w:type="dxa"/>
            <w:noWrap/>
            <w:vAlign w:val="center"/>
            <w:hideMark/>
          </w:tcPr>
          <w:p w14:paraId="15230E9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7CF3B49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C1B2AFC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0772B45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78</w:t>
            </w:r>
          </w:p>
        </w:tc>
        <w:tc>
          <w:tcPr>
            <w:tcW w:w="7381" w:type="dxa"/>
            <w:vAlign w:val="center"/>
            <w:hideMark/>
          </w:tcPr>
          <w:p w14:paraId="567D101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produkcji preparatów złożonych, za które uważamy dwie lub trzy substancje czynne podawane w tym samym pojemniku (np. worek, infuzor)</w:t>
            </w:r>
          </w:p>
        </w:tc>
        <w:tc>
          <w:tcPr>
            <w:tcW w:w="3543" w:type="dxa"/>
            <w:noWrap/>
            <w:vAlign w:val="center"/>
            <w:hideMark/>
          </w:tcPr>
          <w:p w14:paraId="16DE71A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6EBB222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5E373DD6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594CCB2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7381" w:type="dxa"/>
            <w:vAlign w:val="center"/>
            <w:hideMark/>
          </w:tcPr>
          <w:p w14:paraId="721A8D8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nadania każdemu wykonanemu preparatowi unikalnego kodu kreskowego lub kodu 2D lub innego określonego według jednoznacznego systemu, do umieszczenia na etykiecie i w dokumentacji.</w:t>
            </w:r>
          </w:p>
        </w:tc>
        <w:tc>
          <w:tcPr>
            <w:tcW w:w="3543" w:type="dxa"/>
            <w:noWrap/>
            <w:vAlign w:val="center"/>
            <w:hideMark/>
          </w:tcPr>
          <w:p w14:paraId="7FB55A1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6B4F59D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41841F5" w14:textId="77777777" w:rsidTr="00704910">
        <w:trPr>
          <w:trHeight w:val="1080"/>
        </w:trPr>
        <w:tc>
          <w:tcPr>
            <w:tcW w:w="700" w:type="dxa"/>
            <w:noWrap/>
            <w:vAlign w:val="center"/>
            <w:hideMark/>
          </w:tcPr>
          <w:p w14:paraId="084C30C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80</w:t>
            </w:r>
          </w:p>
        </w:tc>
        <w:tc>
          <w:tcPr>
            <w:tcW w:w="7381" w:type="dxa"/>
            <w:vAlign w:val="center"/>
            <w:hideMark/>
          </w:tcPr>
          <w:p w14:paraId="6DF7392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 każdej chwili produkcji grawimetrycznej (wagowej) jest możliwe przejście do produkcji wolumetrycznej (objętościowej). W przypadku podjęcia takiej decyzji przez użytkownika przygotowującego (produkującego) lek, z zastosowaniem (lub nie - opcja dostępna dla użytkownika) pobrań w trakcie uprzedniej produkcji grawimetrycznej (wagowej).</w:t>
            </w:r>
          </w:p>
        </w:tc>
        <w:tc>
          <w:tcPr>
            <w:tcW w:w="3543" w:type="dxa"/>
            <w:noWrap/>
            <w:vAlign w:val="center"/>
            <w:hideMark/>
          </w:tcPr>
          <w:p w14:paraId="40593DC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3AA2D6D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0E46119A" w14:textId="77777777" w:rsidTr="00704910">
        <w:trPr>
          <w:trHeight w:val="1350"/>
        </w:trPr>
        <w:tc>
          <w:tcPr>
            <w:tcW w:w="700" w:type="dxa"/>
            <w:noWrap/>
            <w:vAlign w:val="center"/>
            <w:hideMark/>
          </w:tcPr>
          <w:p w14:paraId="01A71DA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81</w:t>
            </w:r>
          </w:p>
        </w:tc>
        <w:tc>
          <w:tcPr>
            <w:tcW w:w="7381" w:type="dxa"/>
            <w:vAlign w:val="center"/>
            <w:hideMark/>
          </w:tcPr>
          <w:p w14:paraId="0329A51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wyprodukowania leku dla pacjenta z leku uprzednio wyprodukowanego dla innego pacjenta i nie podanego, a pozostającego w trwałości (produktu zwróconego). Produkcja musi odbywać się metodą grawimetryczną poprzez dodanie (dostrzyknięcie) odpowiedniej ilości substancji czynnej lub usunięcie (odciągnięcie) odpowiedniej ilości substancji z produktu zwróconego.</w:t>
            </w:r>
          </w:p>
        </w:tc>
        <w:tc>
          <w:tcPr>
            <w:tcW w:w="3543" w:type="dxa"/>
            <w:noWrap/>
            <w:vAlign w:val="center"/>
            <w:hideMark/>
          </w:tcPr>
          <w:p w14:paraId="6FAEAB1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AE6408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57B3D03F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311DE7E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82</w:t>
            </w:r>
          </w:p>
        </w:tc>
        <w:tc>
          <w:tcPr>
            <w:tcW w:w="7381" w:type="dxa"/>
            <w:vAlign w:val="center"/>
            <w:hideMark/>
          </w:tcPr>
          <w:p w14:paraId="63569A8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Możliwość przygotowania leków do podania doustnego. Lek może zostać rozpisany w dawce na określoną ilość dni. Program automatycznie kalkuluje dawkę na podstawie parametrów pacjenta (np. powierzchni ciała), następnie kalkuluje odpowiednią ilość tabletek/kapsułek leku. </w:t>
            </w:r>
          </w:p>
        </w:tc>
        <w:tc>
          <w:tcPr>
            <w:tcW w:w="3543" w:type="dxa"/>
            <w:noWrap/>
            <w:vAlign w:val="center"/>
            <w:hideMark/>
          </w:tcPr>
          <w:p w14:paraId="0C721DE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0F30FD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6C206A04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848E79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83</w:t>
            </w:r>
          </w:p>
        </w:tc>
        <w:tc>
          <w:tcPr>
            <w:tcW w:w="7381" w:type="dxa"/>
            <w:vAlign w:val="center"/>
            <w:hideMark/>
          </w:tcPr>
          <w:p w14:paraId="0FEA4D0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przygotowania do wydania leków z terapii wspomagającej.</w:t>
            </w:r>
          </w:p>
        </w:tc>
        <w:tc>
          <w:tcPr>
            <w:tcW w:w="3543" w:type="dxa"/>
            <w:noWrap/>
            <w:vAlign w:val="center"/>
            <w:hideMark/>
          </w:tcPr>
          <w:p w14:paraId="2A98C0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10EB4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55393AD" w14:textId="77777777" w:rsidTr="00704910">
        <w:trPr>
          <w:trHeight w:val="1080"/>
        </w:trPr>
        <w:tc>
          <w:tcPr>
            <w:tcW w:w="700" w:type="dxa"/>
            <w:noWrap/>
            <w:vAlign w:val="center"/>
            <w:hideMark/>
          </w:tcPr>
          <w:p w14:paraId="328FFF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84</w:t>
            </w:r>
          </w:p>
        </w:tc>
        <w:tc>
          <w:tcPr>
            <w:tcW w:w="7381" w:type="dxa"/>
            <w:vAlign w:val="center"/>
            <w:hideMark/>
          </w:tcPr>
          <w:p w14:paraId="593A9F2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szybkiego potwierdzenia wydania z Pracowni gotowych preparatów przy użyciu czytnika kodu kreskowego lub kodu 2D. Farmaceuta decyduje o ostatecznym wydaniu gotowego preparatu na oddział. W systemie pojawia się odpowiednia komenda np. „wydano na oddział”.</w:t>
            </w:r>
          </w:p>
        </w:tc>
        <w:tc>
          <w:tcPr>
            <w:tcW w:w="3543" w:type="dxa"/>
            <w:noWrap/>
            <w:vAlign w:val="center"/>
            <w:hideMark/>
          </w:tcPr>
          <w:p w14:paraId="38F7732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80A7C6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7BA102D" w14:textId="77777777" w:rsidTr="00704910">
        <w:trPr>
          <w:trHeight w:val="1545"/>
        </w:trPr>
        <w:tc>
          <w:tcPr>
            <w:tcW w:w="700" w:type="dxa"/>
            <w:noWrap/>
            <w:vAlign w:val="center"/>
            <w:hideMark/>
          </w:tcPr>
          <w:p w14:paraId="42550AE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85</w:t>
            </w:r>
          </w:p>
        </w:tc>
        <w:tc>
          <w:tcPr>
            <w:tcW w:w="7381" w:type="dxa"/>
            <w:vAlign w:val="center"/>
            <w:hideMark/>
          </w:tcPr>
          <w:p w14:paraId="5390C69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zapewnia zarządzanie przyporządkowaniem produkcji do poszczególnych komór (stanowisk produkcyjnych). Dla każdej komory istnieje możliwość ustawienia następujących parametrów: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a) Dostępność komory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b) Ograniczenia substancji czynnej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c) Preferowane substancje czynne</w:t>
            </w:r>
          </w:p>
        </w:tc>
        <w:tc>
          <w:tcPr>
            <w:tcW w:w="3543" w:type="dxa"/>
            <w:noWrap/>
            <w:vAlign w:val="center"/>
            <w:hideMark/>
          </w:tcPr>
          <w:p w14:paraId="74206EC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B4741F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1038707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580B3C5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86</w:t>
            </w:r>
          </w:p>
        </w:tc>
        <w:tc>
          <w:tcPr>
            <w:tcW w:w="7381" w:type="dxa"/>
            <w:vAlign w:val="center"/>
            <w:hideMark/>
          </w:tcPr>
          <w:p w14:paraId="421736C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 miejscu odbioru preparatu możliwość potwierdzenia odbioru poprzez sczytanie kodów kreskowych lub 2D za pomocą czytnika kodów. Potwierdzenie skutkuje zmianą statusu preparatu w systemie.</w:t>
            </w:r>
          </w:p>
        </w:tc>
        <w:tc>
          <w:tcPr>
            <w:tcW w:w="3543" w:type="dxa"/>
            <w:noWrap/>
            <w:vAlign w:val="center"/>
            <w:hideMark/>
          </w:tcPr>
          <w:p w14:paraId="0F9CD08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DF87DE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E5671F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4F5FC52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281C1A9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Raportowanie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5934615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4986AA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7D6E2108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656031E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7381" w:type="dxa"/>
            <w:vAlign w:val="center"/>
            <w:hideMark/>
          </w:tcPr>
          <w:p w14:paraId="36685FB0" w14:textId="0F3F5AE9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System umożliwia  wykonanie raportów zapewniających całość informacji dotyczących zlecenia oraz produkcji leków. </w:t>
            </w:r>
          </w:p>
        </w:tc>
        <w:tc>
          <w:tcPr>
            <w:tcW w:w="3543" w:type="dxa"/>
            <w:noWrap/>
            <w:vAlign w:val="center"/>
            <w:hideMark/>
          </w:tcPr>
          <w:p w14:paraId="5D2BAFD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7004A65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0A0246FB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04F6306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88</w:t>
            </w:r>
          </w:p>
        </w:tc>
        <w:tc>
          <w:tcPr>
            <w:tcW w:w="7381" w:type="dxa"/>
            <w:vAlign w:val="center"/>
            <w:hideMark/>
          </w:tcPr>
          <w:p w14:paraId="73ABF36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pozwala na wygenerowania dziennych raportów produkcji zawierających informacje o zużyciu do produkcji leków i płynów infuzyjnych oraz powstałych resztek. Na podstawie tych danych farmaceuta może zdecydować o rodzaju i ilości resztek do utylizacji.</w:t>
            </w:r>
          </w:p>
        </w:tc>
        <w:tc>
          <w:tcPr>
            <w:tcW w:w="3543" w:type="dxa"/>
            <w:noWrap/>
            <w:vAlign w:val="center"/>
            <w:hideMark/>
          </w:tcPr>
          <w:p w14:paraId="26A5864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371DB70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70E0A81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1469C5B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89</w:t>
            </w:r>
          </w:p>
        </w:tc>
        <w:tc>
          <w:tcPr>
            <w:tcW w:w="7381" w:type="dxa"/>
            <w:vAlign w:val="center"/>
            <w:hideMark/>
          </w:tcPr>
          <w:p w14:paraId="38D25EE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daje możliwość wygenerowania i wydruku dokumentu zawierającego dane dotyczące wykonanego preparatu dla konkretnego pacjenta.</w:t>
            </w:r>
          </w:p>
        </w:tc>
        <w:tc>
          <w:tcPr>
            <w:tcW w:w="3543" w:type="dxa"/>
            <w:noWrap/>
            <w:vAlign w:val="center"/>
            <w:hideMark/>
          </w:tcPr>
          <w:p w14:paraId="798FE64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20826FF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D312BE8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00B5E46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90</w:t>
            </w:r>
          </w:p>
        </w:tc>
        <w:tc>
          <w:tcPr>
            <w:tcW w:w="7381" w:type="dxa"/>
            <w:vAlign w:val="center"/>
            <w:hideMark/>
          </w:tcPr>
          <w:p w14:paraId="5D08590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wydruk wszystkich pobrań substancji czynnej z opakowań leku o danej serii obejmujący wszystkich pacjentów, dla których zostały one wykonane. Wydruk pozwala stwierdzić, którzy pacjenci otrzymali lek z wycofanej lub wstrzymanej serii.</w:t>
            </w:r>
          </w:p>
        </w:tc>
        <w:tc>
          <w:tcPr>
            <w:tcW w:w="3543" w:type="dxa"/>
            <w:noWrap/>
            <w:vAlign w:val="center"/>
            <w:hideMark/>
          </w:tcPr>
          <w:p w14:paraId="244D177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3C895FE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A5AA5A2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626E614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3F98019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Słowniki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4582F62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4C29CAE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6FFCF287" w14:textId="77777777" w:rsidTr="00704910">
        <w:trPr>
          <w:trHeight w:val="2160"/>
        </w:trPr>
        <w:tc>
          <w:tcPr>
            <w:tcW w:w="700" w:type="dxa"/>
            <w:noWrap/>
            <w:vAlign w:val="center"/>
            <w:hideMark/>
          </w:tcPr>
          <w:p w14:paraId="0291394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91</w:t>
            </w:r>
          </w:p>
        </w:tc>
        <w:tc>
          <w:tcPr>
            <w:tcW w:w="7381" w:type="dxa"/>
            <w:vAlign w:val="center"/>
            <w:hideMark/>
          </w:tcPr>
          <w:p w14:paraId="184E40C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System przechowuje rzadko zmieniające się informacje wykorzystywane wielokrotnie w postaci słowników. System posiada co najmniej: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a.      Słownik pacjentów,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b.     Słownik substancji czynnych,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c.     Słownik nazw handlowych,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d.     Słownik dróg podania,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e.     Słownik pojemników,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f.     Słownik Jednostek Organizacyjnych,</w:t>
            </w:r>
          </w:p>
        </w:tc>
        <w:tc>
          <w:tcPr>
            <w:tcW w:w="3543" w:type="dxa"/>
            <w:noWrap/>
            <w:vAlign w:val="center"/>
            <w:hideMark/>
          </w:tcPr>
          <w:p w14:paraId="0D1763F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noWrap/>
            <w:vAlign w:val="center"/>
            <w:hideMark/>
          </w:tcPr>
          <w:p w14:paraId="5563C80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2FFDC0BE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55F1244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1F09556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Etykiety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441DAD8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4195EEF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418055DA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4D7FD4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92</w:t>
            </w:r>
          </w:p>
        </w:tc>
        <w:tc>
          <w:tcPr>
            <w:tcW w:w="7381" w:type="dxa"/>
            <w:vAlign w:val="center"/>
            <w:hideMark/>
          </w:tcPr>
          <w:p w14:paraId="5D1C9F34" w14:textId="61E5A1B3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umożliwia generowanie i wydrukowanie etykiety na gotowy preparat.</w:t>
            </w:r>
          </w:p>
        </w:tc>
        <w:tc>
          <w:tcPr>
            <w:tcW w:w="3543" w:type="dxa"/>
            <w:noWrap/>
            <w:vAlign w:val="center"/>
            <w:hideMark/>
          </w:tcPr>
          <w:p w14:paraId="2E1464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5F6F078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08122390" w14:textId="77777777" w:rsidTr="00704910">
        <w:trPr>
          <w:trHeight w:val="3780"/>
        </w:trPr>
        <w:tc>
          <w:tcPr>
            <w:tcW w:w="700" w:type="dxa"/>
            <w:vAlign w:val="center"/>
            <w:hideMark/>
          </w:tcPr>
          <w:p w14:paraId="736A728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7381" w:type="dxa"/>
            <w:vAlign w:val="center"/>
            <w:hideMark/>
          </w:tcPr>
          <w:p w14:paraId="55B94358" w14:textId="602B3C9D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Etykieta powinna zawierać co najmniej: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a)       nazwę apteki, w której wykonano preparat,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b)      nazwę jednostki hospitalizującej pacjenta,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c)       imię i nazwisko pacjenta,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d)      PESEL,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e)      nazwę leku (międzynarodową, handlową),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f)        dawkę zleconą, wyprodukowaną lub obie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g)       drogę i czas podania,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h)      datę i godzinę wykonania,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i)        trwałość gotowego preparatu (data i godzina),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j)        warunki przechowywania gotowego preparatu,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k)       całkowitą objętość gotowego preparatu,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l)        rodzaj płynu infuzyjnego,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m)     uwagi.</w:t>
            </w:r>
          </w:p>
        </w:tc>
        <w:tc>
          <w:tcPr>
            <w:tcW w:w="3543" w:type="dxa"/>
            <w:vAlign w:val="center"/>
            <w:hideMark/>
          </w:tcPr>
          <w:p w14:paraId="3F5962C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632E738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F3C8F63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3AEAFCE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94</w:t>
            </w:r>
          </w:p>
        </w:tc>
        <w:tc>
          <w:tcPr>
            <w:tcW w:w="7381" w:type="dxa"/>
            <w:vAlign w:val="center"/>
            <w:hideMark/>
          </w:tcPr>
          <w:p w14:paraId="63F5804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ma możliwość wydrukowania określonej przez Zamawiającego ilości etykiet do jednego preparatu. W sytuacji awaryjnej (np. zacięcie drukarki) możliwość wydrukowania dodatkowej etykiety</w:t>
            </w:r>
          </w:p>
        </w:tc>
        <w:tc>
          <w:tcPr>
            <w:tcW w:w="3543" w:type="dxa"/>
            <w:noWrap/>
            <w:vAlign w:val="center"/>
            <w:hideMark/>
          </w:tcPr>
          <w:p w14:paraId="5C47643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39DC307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DDBB56B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6155A55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95</w:t>
            </w:r>
          </w:p>
        </w:tc>
        <w:tc>
          <w:tcPr>
            <w:tcW w:w="7381" w:type="dxa"/>
            <w:vAlign w:val="center"/>
            <w:hideMark/>
          </w:tcPr>
          <w:p w14:paraId="2DB5461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Automatyczny wydruk etykiet dla pozostałości po zakończeniu procesu przygotowania.</w:t>
            </w:r>
          </w:p>
        </w:tc>
        <w:tc>
          <w:tcPr>
            <w:tcW w:w="3543" w:type="dxa"/>
            <w:noWrap/>
            <w:vAlign w:val="center"/>
            <w:hideMark/>
          </w:tcPr>
          <w:p w14:paraId="1E4F86E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6BF7008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057DCE3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70CBD89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96</w:t>
            </w:r>
          </w:p>
        </w:tc>
        <w:tc>
          <w:tcPr>
            <w:tcW w:w="7381" w:type="dxa"/>
            <w:vAlign w:val="center"/>
            <w:hideMark/>
          </w:tcPr>
          <w:p w14:paraId="5741B38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ręcznego dodrukowania etykiet dla leku.</w:t>
            </w:r>
          </w:p>
        </w:tc>
        <w:tc>
          <w:tcPr>
            <w:tcW w:w="3543" w:type="dxa"/>
            <w:noWrap/>
            <w:vAlign w:val="center"/>
            <w:hideMark/>
          </w:tcPr>
          <w:p w14:paraId="0E925B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FCE171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9A9CEE7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05C1D80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97</w:t>
            </w:r>
          </w:p>
        </w:tc>
        <w:tc>
          <w:tcPr>
            <w:tcW w:w="7381" w:type="dxa"/>
            <w:vAlign w:val="center"/>
            <w:hideMark/>
          </w:tcPr>
          <w:p w14:paraId="7888EC5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edycji szablonów etykiet na lek oraz definiowania i edycji przez użytkownika szablonów dodatkowych etykiet.</w:t>
            </w:r>
          </w:p>
        </w:tc>
        <w:tc>
          <w:tcPr>
            <w:tcW w:w="3543" w:type="dxa"/>
            <w:noWrap/>
            <w:vAlign w:val="center"/>
            <w:hideMark/>
          </w:tcPr>
          <w:p w14:paraId="37DFAC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ADA743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9D877B4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12735B1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98</w:t>
            </w:r>
          </w:p>
        </w:tc>
        <w:tc>
          <w:tcPr>
            <w:tcW w:w="7381" w:type="dxa"/>
            <w:vAlign w:val="center"/>
            <w:hideMark/>
          </w:tcPr>
          <w:p w14:paraId="6E7A862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Możliwość umieszczenia na etykiecie unikalnego dla danego preparatu kodu kreskowego lub kodu 2D. </w:t>
            </w:r>
          </w:p>
        </w:tc>
        <w:tc>
          <w:tcPr>
            <w:tcW w:w="3543" w:type="dxa"/>
            <w:noWrap/>
            <w:vAlign w:val="center"/>
            <w:hideMark/>
          </w:tcPr>
          <w:p w14:paraId="6D7874B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123148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C0D88A4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007538B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2C0D95E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Licencja, gwarancja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203D8FF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74C81D0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404FA02E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6E3FD29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99</w:t>
            </w:r>
          </w:p>
        </w:tc>
        <w:tc>
          <w:tcPr>
            <w:tcW w:w="7381" w:type="dxa"/>
            <w:vAlign w:val="center"/>
            <w:hideMark/>
          </w:tcPr>
          <w:p w14:paraId="217E007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Licencja bez limitu liczby użytkowników, na nieograniczoną liczbę instalacji.</w:t>
            </w:r>
          </w:p>
        </w:tc>
        <w:tc>
          <w:tcPr>
            <w:tcW w:w="3543" w:type="dxa"/>
            <w:vAlign w:val="center"/>
            <w:hideMark/>
          </w:tcPr>
          <w:p w14:paraId="79E4650A" w14:textId="3134241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FF0000"/>
                <w:sz w:val="20"/>
                <w:szCs w:val="20"/>
              </w:rPr>
            </w:pPr>
            <w:r w:rsidRPr="00A26876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A0516F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FF0000"/>
                <w:sz w:val="20"/>
                <w:szCs w:val="20"/>
              </w:rPr>
            </w:pPr>
          </w:p>
        </w:tc>
      </w:tr>
      <w:tr w:rsidR="00840BD8" w:rsidRPr="00363E77" w14:paraId="226756D7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0578AEC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100</w:t>
            </w:r>
          </w:p>
        </w:tc>
        <w:tc>
          <w:tcPr>
            <w:tcW w:w="7381" w:type="dxa"/>
            <w:vAlign w:val="center"/>
            <w:hideMark/>
          </w:tcPr>
          <w:p w14:paraId="01D6B49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Licencja  niewyłączna bez limitu liczby pacjentów, rekordów, użytkowników,  umożliwiająca równoczesną pracę zarówno w części zleceniowej (lekarskiej) jak i produkcyjnej (farmaceutycznej).</w:t>
            </w:r>
          </w:p>
        </w:tc>
        <w:tc>
          <w:tcPr>
            <w:tcW w:w="3543" w:type="dxa"/>
            <w:noWrap/>
            <w:vAlign w:val="center"/>
            <w:hideMark/>
          </w:tcPr>
          <w:p w14:paraId="24DB78C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2B41A7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AB139F7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717B3E4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101</w:t>
            </w:r>
          </w:p>
        </w:tc>
        <w:tc>
          <w:tcPr>
            <w:tcW w:w="7381" w:type="dxa"/>
            <w:vAlign w:val="center"/>
            <w:hideMark/>
          </w:tcPr>
          <w:p w14:paraId="201067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Licencja niewyłączna, bezterminowa.</w:t>
            </w:r>
          </w:p>
        </w:tc>
        <w:tc>
          <w:tcPr>
            <w:tcW w:w="3543" w:type="dxa"/>
            <w:noWrap/>
            <w:vAlign w:val="center"/>
            <w:hideMark/>
          </w:tcPr>
          <w:p w14:paraId="30505DD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62CAB3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D30E77E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0C09A2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7381" w:type="dxa"/>
            <w:vAlign w:val="center"/>
            <w:hideMark/>
          </w:tcPr>
          <w:p w14:paraId="68AD012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Gwarancja 60 miesięcy, od dnia podpisania Protokołu Odbioru Końcowego podpisanego bez zastrzeżeń przez Zamawiającego.</w:t>
            </w:r>
          </w:p>
        </w:tc>
        <w:tc>
          <w:tcPr>
            <w:tcW w:w="3543" w:type="dxa"/>
            <w:noWrap/>
            <w:vAlign w:val="center"/>
            <w:hideMark/>
          </w:tcPr>
          <w:p w14:paraId="5012863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71B3E3A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2C058B03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782D893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103</w:t>
            </w:r>
          </w:p>
        </w:tc>
        <w:tc>
          <w:tcPr>
            <w:tcW w:w="7381" w:type="dxa"/>
            <w:vAlign w:val="center"/>
            <w:hideMark/>
          </w:tcPr>
          <w:p w14:paraId="05F6D96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Bieg gwarancji ulega automatycznemu wydłużeniu o łączny czas przestoju krytycznego liczony od zgłoszenia do przywrócenia pełnej funkcjonalności potwierdzonej protokołem przez Zamawiającego.</w:t>
            </w:r>
          </w:p>
        </w:tc>
        <w:tc>
          <w:tcPr>
            <w:tcW w:w="3543" w:type="dxa"/>
            <w:noWrap/>
            <w:vAlign w:val="center"/>
            <w:hideMark/>
          </w:tcPr>
          <w:p w14:paraId="69FF222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7BCE14E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F03FE31" w14:textId="77777777" w:rsidTr="00704910">
        <w:trPr>
          <w:trHeight w:val="2970"/>
        </w:trPr>
        <w:tc>
          <w:tcPr>
            <w:tcW w:w="700" w:type="dxa"/>
            <w:noWrap/>
            <w:vAlign w:val="center"/>
            <w:hideMark/>
          </w:tcPr>
          <w:p w14:paraId="6BB2AD8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104</w:t>
            </w:r>
          </w:p>
        </w:tc>
        <w:tc>
          <w:tcPr>
            <w:tcW w:w="7381" w:type="dxa"/>
            <w:vAlign w:val="center"/>
            <w:hideMark/>
          </w:tcPr>
          <w:p w14:paraId="40B72FA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Wykonawca zapewni w okresie gwarancji: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regularne aktualizacje,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poprawki bezpieczeństwa,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modernizacje funkcjonalności zaoferowanego oprogramowania min. w zakresie dostosowania do obowiązujących aktów prawnych — nie później niż w dniu wejścia w życie danego aktu,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naprawę nieprawidłowości w działaniu systemu a także naprawę zgłaszanych przez Zamawiającego błędów,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utrzymanie integracji z systemami/peryferiami wskazanymi przez Zamawiającego,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wsparcie zdalne i on-line,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- dojazdy serwisowe,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- aktualizacje i poprawki bezpieczeństwa bez dodatkowych opłat.</w:t>
            </w:r>
          </w:p>
        </w:tc>
        <w:tc>
          <w:tcPr>
            <w:tcW w:w="3543" w:type="dxa"/>
            <w:noWrap/>
            <w:vAlign w:val="center"/>
            <w:hideMark/>
          </w:tcPr>
          <w:p w14:paraId="4EAB712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221FF4E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2A4EED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173B6C5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5DB793C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Wdrożenie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66AD1B2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19F7633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11978F82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4C6CB0F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105</w:t>
            </w:r>
          </w:p>
        </w:tc>
        <w:tc>
          <w:tcPr>
            <w:tcW w:w="7381" w:type="dxa"/>
            <w:vAlign w:val="center"/>
            <w:hideMark/>
          </w:tcPr>
          <w:p w14:paraId="00CD9FF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Wykonawca deklaruje gotowość do instalacji, konfiguracji i uruchomienia systemu przy współpracy z Działem Informatyki Zamawiającego.</w:t>
            </w:r>
          </w:p>
        </w:tc>
        <w:tc>
          <w:tcPr>
            <w:tcW w:w="3543" w:type="dxa"/>
            <w:noWrap/>
            <w:vAlign w:val="center"/>
            <w:hideMark/>
          </w:tcPr>
          <w:p w14:paraId="6B7D9A7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C9BD71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17A3BDA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7E69354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106</w:t>
            </w:r>
          </w:p>
        </w:tc>
        <w:tc>
          <w:tcPr>
            <w:tcW w:w="7381" w:type="dxa"/>
            <w:vAlign w:val="center"/>
            <w:hideMark/>
          </w:tcPr>
          <w:p w14:paraId="252D064F" w14:textId="38BFD12A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Wdrożenie w  Aptece Szpitalnej (produkcja leków cytostatycznych) oraz we wszystkich jednostkach zlecających indywidualne leki onkologiczne.</w:t>
            </w:r>
          </w:p>
        </w:tc>
        <w:tc>
          <w:tcPr>
            <w:tcW w:w="3543" w:type="dxa"/>
            <w:noWrap/>
            <w:vAlign w:val="center"/>
            <w:hideMark/>
          </w:tcPr>
          <w:p w14:paraId="4B57DCB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4BC28E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B59CE92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0956DF6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107</w:t>
            </w:r>
          </w:p>
        </w:tc>
        <w:tc>
          <w:tcPr>
            <w:tcW w:w="7381" w:type="dxa"/>
            <w:vAlign w:val="center"/>
            <w:hideMark/>
          </w:tcPr>
          <w:p w14:paraId="64C6528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Podłączenie i uruchomienie kompatybilnych urządzeń niezbędnych do obsługi programu – w zakresie konfiguracji i wymiany danych). W tym wszelkie niezbędne konfiguracje dla prawidłowego działania systemu wewnątrz lóż cytostatycznych. </w:t>
            </w:r>
          </w:p>
        </w:tc>
        <w:tc>
          <w:tcPr>
            <w:tcW w:w="3543" w:type="dxa"/>
            <w:noWrap/>
            <w:vAlign w:val="center"/>
            <w:hideMark/>
          </w:tcPr>
          <w:p w14:paraId="27580D0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77F7E00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60D13E46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F569E1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108</w:t>
            </w:r>
          </w:p>
        </w:tc>
        <w:tc>
          <w:tcPr>
            <w:tcW w:w="7381" w:type="dxa"/>
            <w:vAlign w:val="center"/>
            <w:hideMark/>
          </w:tcPr>
          <w:p w14:paraId="78FAC2B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Wdrożenie zakończone wykonaniem testu prawidłowości funkcjonowania systemu.</w:t>
            </w:r>
          </w:p>
        </w:tc>
        <w:tc>
          <w:tcPr>
            <w:tcW w:w="3543" w:type="dxa"/>
            <w:noWrap/>
            <w:vAlign w:val="center"/>
            <w:hideMark/>
          </w:tcPr>
          <w:p w14:paraId="470D172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5C3E65B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276A452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564EFBF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109</w:t>
            </w:r>
          </w:p>
        </w:tc>
        <w:tc>
          <w:tcPr>
            <w:tcW w:w="7381" w:type="dxa"/>
            <w:vAlign w:val="center"/>
            <w:hideMark/>
          </w:tcPr>
          <w:p w14:paraId="2F25FCB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Wykonawca zobowiązuje się dostarczyć harmonogram realizacji etapów/zadań objętych przedmiotem zamówienia do 10 dni od podpisania umowy. </w:t>
            </w:r>
          </w:p>
        </w:tc>
        <w:tc>
          <w:tcPr>
            <w:tcW w:w="3543" w:type="dxa"/>
            <w:noWrap/>
            <w:vAlign w:val="center"/>
            <w:hideMark/>
          </w:tcPr>
          <w:p w14:paraId="5F5CD03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6ACE91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66BDD249" w14:textId="77777777" w:rsidTr="00704910">
        <w:trPr>
          <w:trHeight w:val="4860"/>
        </w:trPr>
        <w:tc>
          <w:tcPr>
            <w:tcW w:w="700" w:type="dxa"/>
            <w:noWrap/>
            <w:vAlign w:val="center"/>
            <w:hideMark/>
          </w:tcPr>
          <w:p w14:paraId="0C8AA18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7381" w:type="dxa"/>
            <w:vAlign w:val="center"/>
            <w:hideMark/>
          </w:tcPr>
          <w:p w14:paraId="3D63735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Szkolenia: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a) stanowiskowe w formie stacjonarnej w siedzibie Szpitala – 5 dni roboczych (podział czasu do ustalenia bezpośrednio z użytkownikiem: szkolenia farmaceutów, personelu jednostek zlecających oraz administratora lokalnego)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b) bezpośrednie wsparcie podczas konfiguracji w Aptece – 5 dni roboczych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c) dodatkowe wsparcie online – 16 godzin roboczych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d) szkolenia  powinny obejmować pełen zakres procesów właściwych dla danego miejsca (Apteka, Oddział)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e) szkolenia prowadzone będą w języku polskim, w całości z wykorzystaniem oprogramowania zainstalowanego w Szpitalu.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 xml:space="preserve">f) w okresie trwania wdrożenia Wykonawca zapewni pełne wsparcie zdalne. Wsparcie merytoryczne dotyczące konfiguracji oraz obsługi Systemu świadczone na bieżąco w godzinach 8:00 – 16:00 w dni robocze.  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g) W okresie trwania wdrożenia Wykonawca zapewni udzielenie odpowiedzi na zapytania mailowe w terminie do 8 godzin roboczych.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h) Szkolenia przeprowadzone zostaną w uzgodnionym terminie w przeciągu 5 dni roboczych od dnia wysłania zgłoszenia przez Szpital.</w:t>
            </w: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br/>
              <w:t>Przeprowadzenie szkoleń potwierdzać będą każdorazowo protokoły</w:t>
            </w:r>
          </w:p>
        </w:tc>
        <w:tc>
          <w:tcPr>
            <w:tcW w:w="3543" w:type="dxa"/>
            <w:noWrap/>
            <w:vAlign w:val="center"/>
            <w:hideMark/>
          </w:tcPr>
          <w:p w14:paraId="2B4B918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D1B2DE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E46D5EA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1B3917A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784D596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Bezpieczeństwo i poufność danych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4A6BA84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1F244A6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22E3CAAC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0E8947F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111</w:t>
            </w:r>
          </w:p>
        </w:tc>
        <w:tc>
          <w:tcPr>
            <w:tcW w:w="7381" w:type="dxa"/>
            <w:vAlign w:val="center"/>
            <w:hideMark/>
          </w:tcPr>
          <w:p w14:paraId="439A1C3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Technologia zastosowana do produkcji systemu zapewnia dużą odporność struktur danych (baz danych) na uszkodzenia oraz szybkie odtworzenie ich zawartości i właściwego stanu, jak również łatwość wykonania ich kopii bieżących.  </w:t>
            </w:r>
          </w:p>
        </w:tc>
        <w:tc>
          <w:tcPr>
            <w:tcW w:w="3543" w:type="dxa"/>
            <w:noWrap/>
            <w:vAlign w:val="center"/>
            <w:hideMark/>
          </w:tcPr>
          <w:p w14:paraId="0A39CCF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6677F44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99EACE9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17E2F1C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112</w:t>
            </w:r>
          </w:p>
        </w:tc>
        <w:tc>
          <w:tcPr>
            <w:tcW w:w="7381" w:type="dxa"/>
            <w:vAlign w:val="center"/>
            <w:hideMark/>
          </w:tcPr>
          <w:p w14:paraId="7861B86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Przetwarzanie danych odbywa się zgodnie z RODO oraz przepisami krajowymi dotyczącymi dokumentacji medycznej; strony zawrą umowę powierzenia z art. 28 RODO.</w:t>
            </w:r>
          </w:p>
        </w:tc>
        <w:tc>
          <w:tcPr>
            <w:tcW w:w="3543" w:type="dxa"/>
            <w:noWrap/>
            <w:vAlign w:val="center"/>
            <w:hideMark/>
          </w:tcPr>
          <w:p w14:paraId="57EC3D3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CF4E26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02B58A58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575C4D8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113</w:t>
            </w:r>
          </w:p>
        </w:tc>
        <w:tc>
          <w:tcPr>
            <w:tcW w:w="7381" w:type="dxa"/>
            <w:vAlign w:val="center"/>
            <w:hideMark/>
          </w:tcPr>
          <w:p w14:paraId="0B16D04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jest zabezpieczony na poziomie Użytkownika (aplikacja).</w:t>
            </w:r>
          </w:p>
        </w:tc>
        <w:tc>
          <w:tcPr>
            <w:tcW w:w="3543" w:type="dxa"/>
            <w:noWrap/>
            <w:vAlign w:val="center"/>
            <w:hideMark/>
          </w:tcPr>
          <w:p w14:paraId="0541931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3FB44B3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03306CFE" w14:textId="77777777" w:rsidTr="00704910">
        <w:trPr>
          <w:trHeight w:val="1080"/>
        </w:trPr>
        <w:tc>
          <w:tcPr>
            <w:tcW w:w="700" w:type="dxa"/>
            <w:noWrap/>
            <w:vAlign w:val="center"/>
            <w:hideMark/>
          </w:tcPr>
          <w:p w14:paraId="098908E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114</w:t>
            </w:r>
          </w:p>
        </w:tc>
        <w:tc>
          <w:tcPr>
            <w:tcW w:w="7381" w:type="dxa"/>
            <w:vAlign w:val="center"/>
            <w:hideMark/>
          </w:tcPr>
          <w:p w14:paraId="6926F22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System monitoruje (loguje) najważniejsze i istotne zdarzenia związane z jego eksploatacją (wprowadzanie danych, ich modyfikacja itp.), przechowując archiwum tych zdarzeń ze wskazaniem użytkownika inicjującego bądź obsługującego zdarzenie. Dane te są nieusuwalne, a retencja tych danych jest zgodna z przepisami dot. dokumentacji medycznej. </w:t>
            </w:r>
          </w:p>
        </w:tc>
        <w:tc>
          <w:tcPr>
            <w:tcW w:w="3543" w:type="dxa"/>
            <w:noWrap/>
            <w:vAlign w:val="center"/>
            <w:hideMark/>
          </w:tcPr>
          <w:p w14:paraId="16241B5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0239EC7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5851AC5A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73D1F9C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59675BC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Warunki serwisu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6D384DB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240B15D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4FBD5747" w14:textId="77777777" w:rsidTr="00704910">
        <w:trPr>
          <w:trHeight w:val="1890"/>
        </w:trPr>
        <w:tc>
          <w:tcPr>
            <w:tcW w:w="700" w:type="dxa"/>
            <w:noWrap/>
            <w:vAlign w:val="center"/>
            <w:hideMark/>
          </w:tcPr>
          <w:p w14:paraId="504DCAF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lastRenderedPageBreak/>
              <w:t>115</w:t>
            </w:r>
          </w:p>
        </w:tc>
        <w:tc>
          <w:tcPr>
            <w:tcW w:w="7381" w:type="dxa"/>
            <w:vAlign w:val="center"/>
            <w:hideMark/>
          </w:tcPr>
          <w:p w14:paraId="5370508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Zdalna diagnostyka przez chronione łącze z możliwością rejestracji i odczytu online rejestrów błędów, oraz monitorowaniem systemu (uwaga – całość ewentualnych prac i wyposażenia sprzętowego, które będzie służyło tej funkcjonalności po stronie Wykonawcy). Zdalny dostęp do Oprogramowania jest możliwy wyłącznie za zgodą Szpitala, pod warunkiem zapewnienia właściwego bezpieczeństwa danych i pod nadzorem pracownika Działu IT.  Po zakończeniu prac wymagających zdalnego połączenia, Wykonawca każdorazowo sporządza notatkę zawierającą min. cel dostępu, opis prac, określenie realizacji celu.</w:t>
            </w:r>
          </w:p>
        </w:tc>
        <w:tc>
          <w:tcPr>
            <w:tcW w:w="3543" w:type="dxa"/>
            <w:noWrap/>
            <w:vAlign w:val="center"/>
            <w:hideMark/>
          </w:tcPr>
          <w:p w14:paraId="16CD387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59FCBBC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670ACD8D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DCA144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116</w:t>
            </w:r>
          </w:p>
        </w:tc>
        <w:tc>
          <w:tcPr>
            <w:tcW w:w="7381" w:type="dxa"/>
            <w:vAlign w:val="center"/>
            <w:hideMark/>
          </w:tcPr>
          <w:p w14:paraId="3C79180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Czas reakcji (dotyczy także reakcji zdalnej) – „przyjęcie zgłoszenia” =&lt; 1 godz.</w:t>
            </w:r>
          </w:p>
        </w:tc>
        <w:tc>
          <w:tcPr>
            <w:tcW w:w="3543" w:type="dxa"/>
            <w:noWrap/>
            <w:vAlign w:val="center"/>
            <w:hideMark/>
          </w:tcPr>
          <w:p w14:paraId="0C9B806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49A1B0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03163835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47C9269" w14:textId="3895B779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11</w:t>
            </w:r>
            <w:r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7381" w:type="dxa"/>
            <w:vAlign w:val="center"/>
            <w:hideMark/>
          </w:tcPr>
          <w:p w14:paraId="5A09871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Możliwość zgłoszeń 24h/dobę, 365 dni/rok.</w:t>
            </w:r>
          </w:p>
        </w:tc>
        <w:tc>
          <w:tcPr>
            <w:tcW w:w="3543" w:type="dxa"/>
            <w:noWrap/>
            <w:vAlign w:val="center"/>
            <w:hideMark/>
          </w:tcPr>
          <w:p w14:paraId="3A91032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6832E20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67DF8835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067700EE" w14:textId="0E841435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11</w:t>
            </w:r>
            <w:r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381" w:type="dxa"/>
            <w:vAlign w:val="center"/>
            <w:hideMark/>
          </w:tcPr>
          <w:p w14:paraId="1E6B5C5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Możliwość dokonywania zgłoszeń telefonicznie  -  w dni robocze, w godzinach 8:00 – 16:00</w:t>
            </w:r>
          </w:p>
        </w:tc>
        <w:tc>
          <w:tcPr>
            <w:tcW w:w="3543" w:type="dxa"/>
            <w:noWrap/>
            <w:vAlign w:val="center"/>
            <w:hideMark/>
          </w:tcPr>
          <w:p w14:paraId="17C34B9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3A36EAE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3CC1EC17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05795663" w14:textId="2A65B511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7381" w:type="dxa"/>
            <w:vAlign w:val="center"/>
            <w:hideMark/>
          </w:tcPr>
          <w:p w14:paraId="1AF3D47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Możliwość dokonywania zgłoszeń online lub pocztą elektroniczną na wskazany adres e-mailowy 24h/7 dni</w:t>
            </w:r>
          </w:p>
        </w:tc>
        <w:tc>
          <w:tcPr>
            <w:tcW w:w="3543" w:type="dxa"/>
            <w:noWrap/>
            <w:vAlign w:val="center"/>
            <w:hideMark/>
          </w:tcPr>
          <w:p w14:paraId="172B353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6FA58A9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0FDE3DD6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768AFB4E" w14:textId="20F59C4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12</w:t>
            </w:r>
            <w:r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7381" w:type="dxa"/>
            <w:vAlign w:val="center"/>
            <w:hideMark/>
          </w:tcPr>
          <w:p w14:paraId="4CD7CE1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Usunięcie awarii o charakterze błędu krytycznego Oprogramowania (uniemożliwiająca obsługę procesów) do 8 h roboczych od zgłoszenia przez Zamawiającego</w:t>
            </w:r>
          </w:p>
        </w:tc>
        <w:tc>
          <w:tcPr>
            <w:tcW w:w="3543" w:type="dxa"/>
            <w:noWrap/>
            <w:vAlign w:val="center"/>
            <w:hideMark/>
          </w:tcPr>
          <w:p w14:paraId="0E09C11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2741517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3CF6FD2A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5BF6EFCA" w14:textId="0664B2DE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12</w:t>
            </w:r>
            <w:r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381" w:type="dxa"/>
            <w:vAlign w:val="center"/>
            <w:hideMark/>
          </w:tcPr>
          <w:p w14:paraId="2B5A094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 xml:space="preserve">Usunięcie awarii o charakterze błędu zwykłego Oprogramowania (błąd niekrytyczny) do Oprogramowania do 5 dni roboczych od zgłoszenia </w:t>
            </w:r>
          </w:p>
        </w:tc>
        <w:tc>
          <w:tcPr>
            <w:tcW w:w="3543" w:type="dxa"/>
            <w:noWrap/>
            <w:vAlign w:val="center"/>
            <w:hideMark/>
          </w:tcPr>
          <w:p w14:paraId="38239E8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98636F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color w:val="auto"/>
                <w:sz w:val="20"/>
                <w:szCs w:val="20"/>
              </w:rPr>
            </w:pPr>
          </w:p>
        </w:tc>
      </w:tr>
      <w:tr w:rsidR="00840BD8" w:rsidRPr="00363E77" w14:paraId="0291AC02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6A5B1B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44498EF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Środowisko testowe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54FE2F6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366CAF6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703202CA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298074F0" w14:textId="7667EA4E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12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2</w:t>
            </w:r>
          </w:p>
        </w:tc>
        <w:tc>
          <w:tcPr>
            <w:tcW w:w="7381" w:type="dxa"/>
            <w:vAlign w:val="center"/>
            <w:hideMark/>
          </w:tcPr>
          <w:p w14:paraId="4012D51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Wykonawca zobowiązany jest do instalacji oprogramowania w środowisku testowym na przygotowanej infrastrukturze przez Zamawiającego, zgodnie z wymaganiami systemowymi oprogramowania.</w:t>
            </w:r>
          </w:p>
        </w:tc>
        <w:tc>
          <w:tcPr>
            <w:tcW w:w="3543" w:type="dxa"/>
            <w:noWrap/>
            <w:vAlign w:val="center"/>
            <w:hideMark/>
          </w:tcPr>
          <w:p w14:paraId="2D866D5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91C5D3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3A59BF58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49A1F578" w14:textId="614D5891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12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3</w:t>
            </w:r>
          </w:p>
        </w:tc>
        <w:tc>
          <w:tcPr>
            <w:tcW w:w="7381" w:type="dxa"/>
            <w:vAlign w:val="center"/>
            <w:hideMark/>
          </w:tcPr>
          <w:p w14:paraId="6552E09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Obowiązkiem Wykonawcy jest konfiguracja zainstalowanego środowiska testowego systemu, dotyczącego oprogramowania do cytostatyków.</w:t>
            </w:r>
          </w:p>
        </w:tc>
        <w:tc>
          <w:tcPr>
            <w:tcW w:w="3543" w:type="dxa"/>
            <w:noWrap/>
            <w:vAlign w:val="center"/>
            <w:hideMark/>
          </w:tcPr>
          <w:p w14:paraId="3780206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9681E2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B025CBC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200E7281" w14:textId="432BF52A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12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4</w:t>
            </w:r>
          </w:p>
        </w:tc>
        <w:tc>
          <w:tcPr>
            <w:tcW w:w="7381" w:type="dxa"/>
            <w:vAlign w:val="center"/>
            <w:hideMark/>
          </w:tcPr>
          <w:p w14:paraId="654B890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Wszelkie prace związane z instalacją, konfiguracją i utrzymaniem środowiska (w tym aktualizacjami, wgrywaniem poprawek oraz diagnozą i usuwaniem błędów) stanowią obowiązek Wykonawcy.</w:t>
            </w:r>
          </w:p>
        </w:tc>
        <w:tc>
          <w:tcPr>
            <w:tcW w:w="3543" w:type="dxa"/>
            <w:noWrap/>
            <w:vAlign w:val="center"/>
            <w:hideMark/>
          </w:tcPr>
          <w:p w14:paraId="1DD53E1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18BBE30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70C2B249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24AC9188" w14:textId="450F9CF1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12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5</w:t>
            </w:r>
          </w:p>
        </w:tc>
        <w:tc>
          <w:tcPr>
            <w:tcW w:w="7381" w:type="dxa"/>
            <w:vAlign w:val="center"/>
            <w:hideMark/>
          </w:tcPr>
          <w:p w14:paraId="0B57E45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Wykonawca zobowiązany jest do utrzymywania środowiska testowego min. do czasu produkcyjnego uruchomienia systemu w zakresie oprogramowania do cytostatyków.</w:t>
            </w:r>
          </w:p>
        </w:tc>
        <w:tc>
          <w:tcPr>
            <w:tcW w:w="3543" w:type="dxa"/>
            <w:noWrap/>
            <w:vAlign w:val="center"/>
            <w:hideMark/>
          </w:tcPr>
          <w:p w14:paraId="45E0114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003E70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19E408A8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783E83F1" w14:textId="7F9A9190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26</w:t>
            </w:r>
          </w:p>
        </w:tc>
        <w:tc>
          <w:tcPr>
            <w:tcW w:w="7381" w:type="dxa"/>
            <w:vAlign w:val="center"/>
            <w:hideMark/>
          </w:tcPr>
          <w:p w14:paraId="1158A44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Obowiązkiem Wykonawcy jest nadzorowanie w środowisku testowym, w obecności Zamawiającego testów polegających na sprawdzeniu wszystkich funkcjonalności określonych w specyfikacji. Prawidłowe testy zostaną potwierdzone pisemnymi protokołami.</w:t>
            </w:r>
          </w:p>
        </w:tc>
        <w:tc>
          <w:tcPr>
            <w:tcW w:w="3543" w:type="dxa"/>
            <w:noWrap/>
            <w:vAlign w:val="center"/>
            <w:hideMark/>
          </w:tcPr>
          <w:p w14:paraId="10A2BE5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noWrap/>
            <w:vAlign w:val="center"/>
            <w:hideMark/>
          </w:tcPr>
          <w:p w14:paraId="4E6BD555" w14:textId="54095EE8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</w:p>
        </w:tc>
      </w:tr>
      <w:tr w:rsidR="00840BD8" w:rsidRPr="00363E77" w14:paraId="40AA7B34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5C2CC24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3C265FA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Integracje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272FA00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691AB54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17DF00A4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67455C1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R1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6AEBF01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Integracja z robotem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7867AD7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3C760D0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409CB74B" w14:textId="77777777" w:rsidTr="00704910">
        <w:trPr>
          <w:trHeight w:val="2160"/>
        </w:trPr>
        <w:tc>
          <w:tcPr>
            <w:tcW w:w="700" w:type="dxa"/>
            <w:noWrap/>
            <w:vAlign w:val="center"/>
            <w:hideMark/>
          </w:tcPr>
          <w:p w14:paraId="61285C68" w14:textId="1384E1B3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27</w:t>
            </w:r>
          </w:p>
        </w:tc>
        <w:tc>
          <w:tcPr>
            <w:tcW w:w="7381" w:type="dxa"/>
            <w:vAlign w:val="center"/>
            <w:hideMark/>
          </w:tcPr>
          <w:p w14:paraId="646DF0E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Interfejs do przesyłania zleceń do robota produkcyjnego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System umożliwia rozbudowę o licencję, która przesyła zlecenia do robota produkcyjnego, tzw. cytorobota – integracja min 3. z: Loccioni Apoteca, Fresenius Pharma, Kiro Grifols.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Możliwość przesyłania zleceń na leki do systemu robota za pomocą interfejsu HL7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Możliwość odbierania wyników przygotowania z systemu robota poprzez interfejs HL7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Przesyłanie i przetwarzanie wiadomości potwierdzających, zgłaszających niepowodzenia i anulacje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Możliwość przesyłania komentarzy etykiet do robota</w:t>
            </w:r>
          </w:p>
        </w:tc>
        <w:tc>
          <w:tcPr>
            <w:tcW w:w="3543" w:type="dxa"/>
            <w:vAlign w:val="center"/>
            <w:hideMark/>
          </w:tcPr>
          <w:p w14:paraId="68BF8FB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OPCJONALNY: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TAK - 5 PKT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NIE - 0 PKT</w:t>
            </w:r>
          </w:p>
        </w:tc>
        <w:tc>
          <w:tcPr>
            <w:tcW w:w="3402" w:type="dxa"/>
            <w:vAlign w:val="center"/>
            <w:hideMark/>
          </w:tcPr>
          <w:p w14:paraId="17F8D8A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AC8D9D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5730814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R2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7ADD44A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Integracja Systemem HIS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159ED6A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099D18B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7312DF48" w14:textId="77777777" w:rsidTr="00704910">
        <w:trPr>
          <w:trHeight w:val="3240"/>
        </w:trPr>
        <w:tc>
          <w:tcPr>
            <w:tcW w:w="700" w:type="dxa"/>
            <w:noWrap/>
            <w:vAlign w:val="center"/>
            <w:hideMark/>
          </w:tcPr>
          <w:p w14:paraId="365B3A38" w14:textId="405586B0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28</w:t>
            </w:r>
          </w:p>
        </w:tc>
        <w:tc>
          <w:tcPr>
            <w:tcW w:w="7381" w:type="dxa"/>
            <w:vAlign w:val="center"/>
            <w:hideMark/>
          </w:tcPr>
          <w:p w14:paraId="49CDF978" w14:textId="7E9D7B80" w:rsidR="00840BD8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>
              <w:rPr>
                <w:rFonts w:ascii="Aptos" w:eastAsia="Times New Roman" w:hAnsi="Aptos" w:cs="Times New Roman"/>
                <w:sz w:val="20"/>
                <w:szCs w:val="20"/>
              </w:rPr>
              <w:t>Licencje i interfejsy do i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ntegracj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i z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 Systemem HIS Zamawiającego, tj. CliniNET CompuGroup Medical Polska w zakresie przesyłania z HIS do systemu służącego do planowania terapii i przygotowywania indywidualnych leków onkologicznych co najmniej danych: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a.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identyfikator pobytu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b.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data i czas przyjęcia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c.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data i czas wypisu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d.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identyfikator jednostki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e.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identyfikator pacjenta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f.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 xml:space="preserve">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dane osobowe pacjenta (imię, nazwisko, pesel)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g.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rozpoznanie – w postaci kodu ICD10 oraz nazwy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>i.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 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 parametry: waga, wzrost pacjenta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br/>
              <w:t xml:space="preserve">j.         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 xml:space="preserve">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 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 xml:space="preserve"> </w:t>
            </w: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wyników badań </w:t>
            </w:r>
          </w:p>
          <w:p w14:paraId="64D55A12" w14:textId="6F5C446C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>
              <w:rPr>
                <w:rFonts w:ascii="Aptos" w:eastAsia="Times New Roman" w:hAnsi="Aptos" w:cs="Times New Roman"/>
                <w:sz w:val="20"/>
                <w:szCs w:val="20"/>
              </w:rPr>
              <w:t>- i wykonanie niezbędnych prac wdrożeniowych, programistycznych, parametryzacyjnych do integracji z HIS wykonanej na zlecenie Zamawiającego na podstawie odrębnej umowy w terminie do dnia 30.06.2026 r.</w:t>
            </w:r>
          </w:p>
        </w:tc>
        <w:tc>
          <w:tcPr>
            <w:tcW w:w="3543" w:type="dxa"/>
            <w:vAlign w:val="center"/>
            <w:hideMark/>
          </w:tcPr>
          <w:p w14:paraId="67ED5BA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17E2CE5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863A77F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360CBAC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R3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2166343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Integracja z wagą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68EF011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3409D60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5EFC5AB2" w14:textId="77777777" w:rsidTr="00704910">
        <w:trPr>
          <w:trHeight w:val="810"/>
        </w:trPr>
        <w:tc>
          <w:tcPr>
            <w:tcW w:w="700" w:type="dxa"/>
            <w:noWrap/>
            <w:vAlign w:val="center"/>
            <w:hideMark/>
          </w:tcPr>
          <w:p w14:paraId="221DA9C0" w14:textId="6909CCBA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29</w:t>
            </w:r>
          </w:p>
        </w:tc>
        <w:tc>
          <w:tcPr>
            <w:tcW w:w="7381" w:type="dxa"/>
            <w:vAlign w:val="center"/>
            <w:hideMark/>
          </w:tcPr>
          <w:p w14:paraId="6705F2E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System integruję się z wagą elektroniczną,  umożliwiając produkcję (przygotowywanie) leków metodą grawimetryczną, w której każdy etap produkcji jest weryfikowany w oparciu o odczyt wagi.</w:t>
            </w:r>
          </w:p>
        </w:tc>
        <w:tc>
          <w:tcPr>
            <w:tcW w:w="3543" w:type="dxa"/>
            <w:vAlign w:val="center"/>
            <w:hideMark/>
          </w:tcPr>
          <w:p w14:paraId="6A44850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1B1043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88E371A" w14:textId="77777777" w:rsidTr="00704910">
        <w:trPr>
          <w:trHeight w:val="300"/>
        </w:trPr>
        <w:tc>
          <w:tcPr>
            <w:tcW w:w="700" w:type="dxa"/>
            <w:shd w:val="clear" w:color="000000" w:fill="D9E2F3"/>
            <w:vAlign w:val="center"/>
            <w:hideMark/>
          </w:tcPr>
          <w:p w14:paraId="123043E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7381" w:type="dxa"/>
            <w:shd w:val="clear" w:color="000000" w:fill="D9E2F3"/>
            <w:vAlign w:val="center"/>
            <w:hideMark/>
          </w:tcPr>
          <w:p w14:paraId="60A96AE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Wyposażenie sprzętowe wymagane przy dostawie systemu:</w:t>
            </w:r>
          </w:p>
        </w:tc>
        <w:tc>
          <w:tcPr>
            <w:tcW w:w="3543" w:type="dxa"/>
            <w:shd w:val="clear" w:color="000000" w:fill="D9E2F3"/>
            <w:vAlign w:val="center"/>
            <w:hideMark/>
          </w:tcPr>
          <w:p w14:paraId="5E76068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000000" w:fill="D9E2F3"/>
            <w:vAlign w:val="center"/>
            <w:hideMark/>
          </w:tcPr>
          <w:p w14:paraId="70E5BCF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40BD8" w:rsidRPr="00363E77" w14:paraId="09A3C34D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42E4BA4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S1</w:t>
            </w:r>
          </w:p>
        </w:tc>
        <w:tc>
          <w:tcPr>
            <w:tcW w:w="7381" w:type="dxa"/>
            <w:vAlign w:val="center"/>
            <w:hideMark/>
          </w:tcPr>
          <w:p w14:paraId="5BCB543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waga precyzyjna</w:t>
            </w:r>
          </w:p>
        </w:tc>
        <w:tc>
          <w:tcPr>
            <w:tcW w:w="3543" w:type="dxa"/>
            <w:vAlign w:val="center"/>
            <w:hideMark/>
          </w:tcPr>
          <w:p w14:paraId="2269B53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C58E70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711B4D2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339EFDC7" w14:textId="258C67A1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S</w:t>
            </w:r>
            <w:r>
              <w:rPr>
                <w:rFonts w:ascii="Aptos" w:eastAsia="Times New Roman" w:hAnsi="Aptos" w:cs="Times New Roman"/>
                <w:sz w:val="20"/>
                <w:szCs w:val="20"/>
              </w:rPr>
              <w:t>2</w:t>
            </w:r>
          </w:p>
        </w:tc>
        <w:tc>
          <w:tcPr>
            <w:tcW w:w="7381" w:type="dxa"/>
            <w:vAlign w:val="center"/>
            <w:hideMark/>
          </w:tcPr>
          <w:p w14:paraId="757A9AE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drukarka termotransferowa</w:t>
            </w:r>
          </w:p>
        </w:tc>
        <w:tc>
          <w:tcPr>
            <w:tcW w:w="3543" w:type="dxa"/>
            <w:vAlign w:val="center"/>
            <w:hideMark/>
          </w:tcPr>
          <w:p w14:paraId="7B95611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2CB9983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C35604D" w14:textId="77777777" w:rsidTr="00704910">
        <w:trPr>
          <w:trHeight w:val="810"/>
        </w:trPr>
        <w:tc>
          <w:tcPr>
            <w:tcW w:w="700" w:type="dxa"/>
            <w:shd w:val="clear" w:color="000000" w:fill="F7C7AC"/>
            <w:noWrap/>
            <w:vAlign w:val="center"/>
            <w:hideMark/>
          </w:tcPr>
          <w:p w14:paraId="2D52CEA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S1</w:t>
            </w:r>
          </w:p>
        </w:tc>
        <w:tc>
          <w:tcPr>
            <w:tcW w:w="7381" w:type="dxa"/>
            <w:shd w:val="clear" w:color="000000" w:fill="F7C7AC"/>
            <w:vAlign w:val="center"/>
            <w:hideMark/>
          </w:tcPr>
          <w:p w14:paraId="5CCDD75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Waga precyzyjna</w:t>
            </w:r>
          </w:p>
        </w:tc>
        <w:tc>
          <w:tcPr>
            <w:tcW w:w="3543" w:type="dxa"/>
            <w:shd w:val="clear" w:color="000000" w:fill="F7C7AC"/>
            <w:vAlign w:val="center"/>
            <w:hideMark/>
          </w:tcPr>
          <w:p w14:paraId="5FCC2C0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TAK, PODAĆ:</w:t>
            </w:r>
          </w:p>
        </w:tc>
        <w:tc>
          <w:tcPr>
            <w:tcW w:w="3402" w:type="dxa"/>
            <w:shd w:val="clear" w:color="000000" w:fill="F7C7AC"/>
            <w:vAlign w:val="center"/>
            <w:hideMark/>
          </w:tcPr>
          <w:p w14:paraId="36C2048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 xml:space="preserve">Producent: </w:t>
            </w: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br/>
              <w:t xml:space="preserve">Model: </w:t>
            </w: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br/>
              <w:t>Rok  produkcji:</w:t>
            </w:r>
          </w:p>
        </w:tc>
      </w:tr>
      <w:tr w:rsidR="00840BD8" w:rsidRPr="00363E77" w14:paraId="7E94EA1E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6BC43F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</w:t>
            </w:r>
          </w:p>
        </w:tc>
        <w:tc>
          <w:tcPr>
            <w:tcW w:w="7381" w:type="dxa"/>
            <w:vAlign w:val="center"/>
            <w:hideMark/>
          </w:tcPr>
          <w:p w14:paraId="6F8813F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Fabrycznie nowa waga laboratoryjna, elektroniczna, legalizowana</w:t>
            </w:r>
          </w:p>
        </w:tc>
        <w:tc>
          <w:tcPr>
            <w:tcW w:w="3543" w:type="dxa"/>
            <w:vAlign w:val="center"/>
            <w:hideMark/>
          </w:tcPr>
          <w:p w14:paraId="52732EF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27DDAF2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0C579A8D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31E66C4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2</w:t>
            </w:r>
          </w:p>
        </w:tc>
        <w:tc>
          <w:tcPr>
            <w:tcW w:w="7381" w:type="dxa"/>
            <w:vAlign w:val="center"/>
            <w:hideMark/>
          </w:tcPr>
          <w:p w14:paraId="6FD4782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Waga zalecana do pracowni cytostatycznych; możliwość pracy w komorach laminarnych pod wyciągiem</w:t>
            </w:r>
          </w:p>
        </w:tc>
        <w:tc>
          <w:tcPr>
            <w:tcW w:w="3543" w:type="dxa"/>
            <w:vAlign w:val="center"/>
            <w:hideMark/>
          </w:tcPr>
          <w:p w14:paraId="4511FE8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E5F62A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99DA801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17D0C17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3</w:t>
            </w:r>
          </w:p>
        </w:tc>
        <w:tc>
          <w:tcPr>
            <w:tcW w:w="7381" w:type="dxa"/>
            <w:vAlign w:val="center"/>
            <w:hideMark/>
          </w:tcPr>
          <w:p w14:paraId="3E9A5BC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Waga współpracująca z dostarczanym systemem do integracji sprzętu tj.  oprogramowanie służące do planowania terapii i przygotowywania indywidualnych leków onkologicznych</w:t>
            </w:r>
          </w:p>
        </w:tc>
        <w:tc>
          <w:tcPr>
            <w:tcW w:w="3543" w:type="dxa"/>
            <w:vAlign w:val="center"/>
            <w:hideMark/>
          </w:tcPr>
          <w:p w14:paraId="42BEC21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2B2806E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02722B0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7043114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</w:t>
            </w:r>
          </w:p>
        </w:tc>
        <w:tc>
          <w:tcPr>
            <w:tcW w:w="7381" w:type="dxa"/>
            <w:vAlign w:val="center"/>
            <w:hideMark/>
          </w:tcPr>
          <w:p w14:paraId="57FA54E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Waga precyzyjna o zakresie ważenia nie mniejszym niż 4000 g</w:t>
            </w:r>
          </w:p>
        </w:tc>
        <w:tc>
          <w:tcPr>
            <w:tcW w:w="3543" w:type="dxa"/>
            <w:vAlign w:val="center"/>
            <w:hideMark/>
          </w:tcPr>
          <w:p w14:paraId="39986E8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27D5CD0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EED4855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086AAD0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</w:t>
            </w:r>
          </w:p>
        </w:tc>
        <w:tc>
          <w:tcPr>
            <w:tcW w:w="7381" w:type="dxa"/>
            <w:vAlign w:val="center"/>
            <w:hideMark/>
          </w:tcPr>
          <w:p w14:paraId="7F7CBF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Dokładność nie mniejsza niż 10 mg</w:t>
            </w:r>
          </w:p>
        </w:tc>
        <w:tc>
          <w:tcPr>
            <w:tcW w:w="3543" w:type="dxa"/>
            <w:vAlign w:val="center"/>
            <w:hideMark/>
          </w:tcPr>
          <w:p w14:paraId="6FC6E44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3C302AF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029B9447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0FFCAF5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</w:t>
            </w:r>
          </w:p>
        </w:tc>
        <w:tc>
          <w:tcPr>
            <w:tcW w:w="7381" w:type="dxa"/>
            <w:vAlign w:val="center"/>
            <w:hideMark/>
          </w:tcPr>
          <w:p w14:paraId="6BE0250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Powtarzalność typowa: 4 mg</w:t>
            </w:r>
          </w:p>
        </w:tc>
        <w:tc>
          <w:tcPr>
            <w:tcW w:w="3543" w:type="dxa"/>
            <w:vAlign w:val="center"/>
            <w:hideMark/>
          </w:tcPr>
          <w:p w14:paraId="10F957C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8A87BA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91AF37E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59411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</w:t>
            </w:r>
          </w:p>
        </w:tc>
        <w:tc>
          <w:tcPr>
            <w:tcW w:w="7381" w:type="dxa"/>
            <w:vAlign w:val="center"/>
            <w:hideMark/>
          </w:tcPr>
          <w:p w14:paraId="3C71488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Czas stabilizacji, nie dłuższy niż 1,2 s</w:t>
            </w:r>
          </w:p>
        </w:tc>
        <w:tc>
          <w:tcPr>
            <w:tcW w:w="3543" w:type="dxa"/>
            <w:vAlign w:val="center"/>
            <w:hideMark/>
          </w:tcPr>
          <w:p w14:paraId="60F9384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53F069E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28626F5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9FC144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</w:t>
            </w:r>
          </w:p>
        </w:tc>
        <w:tc>
          <w:tcPr>
            <w:tcW w:w="7381" w:type="dxa"/>
            <w:vAlign w:val="center"/>
            <w:hideMark/>
          </w:tcPr>
          <w:p w14:paraId="46A3743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Adiustacja: wewnętrzna/proFACT Advanced</w:t>
            </w:r>
          </w:p>
        </w:tc>
        <w:tc>
          <w:tcPr>
            <w:tcW w:w="3543" w:type="dxa"/>
            <w:vAlign w:val="center"/>
            <w:hideMark/>
          </w:tcPr>
          <w:p w14:paraId="07AD215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7E4E08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5D85388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F915A4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</w:t>
            </w:r>
          </w:p>
        </w:tc>
        <w:tc>
          <w:tcPr>
            <w:tcW w:w="7381" w:type="dxa"/>
            <w:vAlign w:val="center"/>
            <w:hideMark/>
          </w:tcPr>
          <w:p w14:paraId="7640FE0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Złącza: Ethernet (LAN), RS232 (wbudowane/opcja), USB, opcjonalnie: Bluetooth</w:t>
            </w:r>
          </w:p>
        </w:tc>
        <w:tc>
          <w:tcPr>
            <w:tcW w:w="3543" w:type="dxa"/>
            <w:vAlign w:val="center"/>
            <w:hideMark/>
          </w:tcPr>
          <w:p w14:paraId="365E412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8F5B97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A523987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70971A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</w:t>
            </w:r>
          </w:p>
        </w:tc>
        <w:tc>
          <w:tcPr>
            <w:tcW w:w="7381" w:type="dxa"/>
            <w:vAlign w:val="center"/>
            <w:hideMark/>
          </w:tcPr>
          <w:p w14:paraId="005B01E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Wyświetlacz min. 7” kolorowy ekran dotykowy </w:t>
            </w:r>
          </w:p>
        </w:tc>
        <w:tc>
          <w:tcPr>
            <w:tcW w:w="3543" w:type="dxa"/>
            <w:vAlign w:val="center"/>
            <w:hideMark/>
          </w:tcPr>
          <w:p w14:paraId="3E6568D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372E89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68E6D69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F75EB3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11</w:t>
            </w:r>
          </w:p>
        </w:tc>
        <w:tc>
          <w:tcPr>
            <w:tcW w:w="7381" w:type="dxa"/>
            <w:vAlign w:val="center"/>
            <w:hideMark/>
          </w:tcPr>
          <w:p w14:paraId="29CDDB3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Zarządzanie prawami użytkowników: nieograniczona liczba użytkowników, prawa użytkownika</w:t>
            </w:r>
          </w:p>
        </w:tc>
        <w:tc>
          <w:tcPr>
            <w:tcW w:w="3543" w:type="dxa"/>
            <w:vAlign w:val="center"/>
            <w:hideMark/>
          </w:tcPr>
          <w:p w14:paraId="595FFAA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220273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7CB6774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1108209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12</w:t>
            </w:r>
          </w:p>
        </w:tc>
        <w:tc>
          <w:tcPr>
            <w:tcW w:w="7381" w:type="dxa"/>
            <w:vAlign w:val="center"/>
            <w:hideMark/>
          </w:tcPr>
          <w:p w14:paraId="7FD7640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Minimalna naważka (USP, 0,1%, typowa): 8,2g</w:t>
            </w:r>
          </w:p>
        </w:tc>
        <w:tc>
          <w:tcPr>
            <w:tcW w:w="3543" w:type="dxa"/>
            <w:vAlign w:val="center"/>
            <w:hideMark/>
          </w:tcPr>
          <w:p w14:paraId="052611B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2082DFA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F124A99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14CC02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13</w:t>
            </w:r>
          </w:p>
        </w:tc>
        <w:tc>
          <w:tcPr>
            <w:tcW w:w="7381" w:type="dxa"/>
            <w:vAlign w:val="center"/>
            <w:hideMark/>
          </w:tcPr>
          <w:p w14:paraId="6874916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Liniowość: +/- 20 mg</w:t>
            </w:r>
          </w:p>
        </w:tc>
        <w:tc>
          <w:tcPr>
            <w:tcW w:w="3543" w:type="dxa"/>
            <w:vAlign w:val="center"/>
            <w:hideMark/>
          </w:tcPr>
          <w:p w14:paraId="5AFAF23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682ADAA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03644F9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0BC4AFF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14</w:t>
            </w:r>
          </w:p>
        </w:tc>
        <w:tc>
          <w:tcPr>
            <w:tcW w:w="7381" w:type="dxa"/>
            <w:vAlign w:val="center"/>
            <w:hideMark/>
          </w:tcPr>
          <w:p w14:paraId="139E7AA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Wymiary szalki: 205 mm x 170 mm +/- 5mm (SxG)</w:t>
            </w:r>
          </w:p>
        </w:tc>
        <w:tc>
          <w:tcPr>
            <w:tcW w:w="3543" w:type="dxa"/>
            <w:vAlign w:val="center"/>
            <w:hideMark/>
          </w:tcPr>
          <w:p w14:paraId="41D44B2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8542C5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613ABC5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5D00DAD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15</w:t>
            </w:r>
          </w:p>
        </w:tc>
        <w:tc>
          <w:tcPr>
            <w:tcW w:w="7381" w:type="dxa"/>
            <w:vAlign w:val="center"/>
            <w:hideMark/>
          </w:tcPr>
          <w:p w14:paraId="04D8A13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Wymiary: 105 mm x 215 x 415 mm +/- 5mm (WxSxG)</w:t>
            </w:r>
          </w:p>
        </w:tc>
        <w:tc>
          <w:tcPr>
            <w:tcW w:w="3543" w:type="dxa"/>
            <w:vAlign w:val="center"/>
            <w:hideMark/>
          </w:tcPr>
          <w:p w14:paraId="05AE2B9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5CA89C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A93ABCF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7BB18BA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16</w:t>
            </w:r>
          </w:p>
        </w:tc>
        <w:tc>
          <w:tcPr>
            <w:tcW w:w="7381" w:type="dxa"/>
            <w:vAlign w:val="center"/>
            <w:hideMark/>
          </w:tcPr>
          <w:p w14:paraId="6547F68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Opcje zgodności, min.: historia dziennika (podstawowe metadane), historia dziennika (zgodność z normą 21 CFR, część 11), integralność danych, ochrona hasłem</w:t>
            </w:r>
          </w:p>
        </w:tc>
        <w:tc>
          <w:tcPr>
            <w:tcW w:w="3543" w:type="dxa"/>
            <w:vAlign w:val="center"/>
            <w:hideMark/>
          </w:tcPr>
          <w:p w14:paraId="14CACB4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2E4476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156DA86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1E32EDE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7381" w:type="dxa"/>
            <w:vAlign w:val="center"/>
            <w:hideMark/>
          </w:tcPr>
          <w:p w14:paraId="22DE931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Opcje dokumentacji: automatyczna dokumentacja (zgodność z normą CFR, część 11), dokumentacja automatyczna, drukowanie, podstawowa dokumentacja elektroniczna</w:t>
            </w:r>
          </w:p>
        </w:tc>
        <w:tc>
          <w:tcPr>
            <w:tcW w:w="3543" w:type="dxa"/>
            <w:vAlign w:val="center"/>
            <w:hideMark/>
          </w:tcPr>
          <w:p w14:paraId="4FBE763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8CAA63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57BE58C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C0A4B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18</w:t>
            </w:r>
          </w:p>
        </w:tc>
        <w:tc>
          <w:tcPr>
            <w:tcW w:w="7381" w:type="dxa"/>
            <w:vAlign w:val="center"/>
            <w:hideMark/>
          </w:tcPr>
          <w:p w14:paraId="21FA961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Wyposażenie wymagane przy dostawie wagi, min.: szalka krzyżowa, szalka płaska</w:t>
            </w:r>
          </w:p>
        </w:tc>
        <w:tc>
          <w:tcPr>
            <w:tcW w:w="3543" w:type="dxa"/>
            <w:vAlign w:val="center"/>
            <w:hideMark/>
          </w:tcPr>
          <w:p w14:paraId="255CBFA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230641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504FF359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3D2211F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19</w:t>
            </w:r>
          </w:p>
        </w:tc>
        <w:tc>
          <w:tcPr>
            <w:tcW w:w="7381" w:type="dxa"/>
            <w:vAlign w:val="center"/>
            <w:hideMark/>
          </w:tcPr>
          <w:p w14:paraId="5F18E07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Gwarancja 60 miesięcy, w tym: wszystkie przeglądy niezbędne do  utrzymania gwarancji producenta</w:t>
            </w:r>
          </w:p>
        </w:tc>
        <w:tc>
          <w:tcPr>
            <w:tcW w:w="3543" w:type="dxa"/>
            <w:vAlign w:val="center"/>
            <w:hideMark/>
          </w:tcPr>
          <w:p w14:paraId="5869037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FB7915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3DD6320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26378C6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20</w:t>
            </w:r>
          </w:p>
        </w:tc>
        <w:tc>
          <w:tcPr>
            <w:tcW w:w="7381" w:type="dxa"/>
            <w:vAlign w:val="center"/>
            <w:hideMark/>
          </w:tcPr>
          <w:p w14:paraId="3C11200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Uruchomienie, wzorcowanie, szkolenie personelu w ramach dostawy</w:t>
            </w:r>
          </w:p>
        </w:tc>
        <w:tc>
          <w:tcPr>
            <w:tcW w:w="3543" w:type="dxa"/>
            <w:vAlign w:val="center"/>
            <w:hideMark/>
          </w:tcPr>
          <w:p w14:paraId="7807A97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8FD98D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E3AF29B" w14:textId="77777777" w:rsidTr="00704910">
        <w:trPr>
          <w:trHeight w:val="540"/>
        </w:trPr>
        <w:tc>
          <w:tcPr>
            <w:tcW w:w="700" w:type="dxa"/>
            <w:noWrap/>
            <w:vAlign w:val="center"/>
            <w:hideMark/>
          </w:tcPr>
          <w:p w14:paraId="2F306F2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21</w:t>
            </w:r>
          </w:p>
        </w:tc>
        <w:tc>
          <w:tcPr>
            <w:tcW w:w="7381" w:type="dxa"/>
            <w:vAlign w:val="center"/>
            <w:hideMark/>
          </w:tcPr>
          <w:p w14:paraId="7024412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Instalacja, serwis oraz czynności związane z wagami świadczone przez autoryzowany serwis producenta</w:t>
            </w:r>
          </w:p>
        </w:tc>
        <w:tc>
          <w:tcPr>
            <w:tcW w:w="3543" w:type="dxa"/>
            <w:vAlign w:val="center"/>
            <w:hideMark/>
          </w:tcPr>
          <w:p w14:paraId="39E4017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7B18B73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793A262C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67A14E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22</w:t>
            </w:r>
          </w:p>
        </w:tc>
        <w:tc>
          <w:tcPr>
            <w:tcW w:w="7381" w:type="dxa"/>
            <w:vAlign w:val="center"/>
            <w:hideMark/>
          </w:tcPr>
          <w:p w14:paraId="0481A23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Certyfikat CE, deklaracja zgodności </w:t>
            </w:r>
          </w:p>
        </w:tc>
        <w:tc>
          <w:tcPr>
            <w:tcW w:w="3543" w:type="dxa"/>
            <w:vAlign w:val="center"/>
            <w:hideMark/>
          </w:tcPr>
          <w:p w14:paraId="7C39C55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4F5489E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2A7DF676" w14:textId="77777777" w:rsidTr="00704910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46D750F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23</w:t>
            </w:r>
          </w:p>
        </w:tc>
        <w:tc>
          <w:tcPr>
            <w:tcW w:w="7381" w:type="dxa"/>
            <w:vAlign w:val="center"/>
            <w:hideMark/>
          </w:tcPr>
          <w:p w14:paraId="4D4A95B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Instrukcja w języku polskim w wersji papierowej oraz elektronicznej</w:t>
            </w:r>
          </w:p>
        </w:tc>
        <w:tc>
          <w:tcPr>
            <w:tcW w:w="3543" w:type="dxa"/>
            <w:vAlign w:val="center"/>
            <w:hideMark/>
          </w:tcPr>
          <w:p w14:paraId="415E2981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546B112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67F2621" w14:textId="77777777" w:rsidTr="00704910">
        <w:trPr>
          <w:trHeight w:val="810"/>
        </w:trPr>
        <w:tc>
          <w:tcPr>
            <w:tcW w:w="700" w:type="dxa"/>
            <w:shd w:val="clear" w:color="000000" w:fill="F7C7AC"/>
            <w:noWrap/>
            <w:vAlign w:val="center"/>
            <w:hideMark/>
          </w:tcPr>
          <w:p w14:paraId="5083B993" w14:textId="6C90CB5D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81" w:type="dxa"/>
            <w:shd w:val="clear" w:color="000000" w:fill="F7C7AC"/>
            <w:vAlign w:val="center"/>
            <w:hideMark/>
          </w:tcPr>
          <w:p w14:paraId="68730E9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Drukarka termotransferowa</w:t>
            </w:r>
          </w:p>
        </w:tc>
        <w:tc>
          <w:tcPr>
            <w:tcW w:w="3543" w:type="dxa"/>
            <w:shd w:val="clear" w:color="000000" w:fill="F7C7AC"/>
            <w:vAlign w:val="center"/>
            <w:hideMark/>
          </w:tcPr>
          <w:p w14:paraId="2103E76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shd w:val="clear" w:color="000000" w:fill="F7C7AC"/>
            <w:vAlign w:val="center"/>
            <w:hideMark/>
          </w:tcPr>
          <w:p w14:paraId="2DD098B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t xml:space="preserve">Producent: </w:t>
            </w: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br/>
              <w:t xml:space="preserve">Model: </w:t>
            </w:r>
            <w:r w:rsidRPr="00363E77">
              <w:rPr>
                <w:rFonts w:ascii="Aptos" w:eastAsia="Times New Roman" w:hAnsi="Aptos" w:cs="Times New Roman"/>
                <w:b/>
                <w:bCs/>
                <w:sz w:val="20"/>
                <w:szCs w:val="20"/>
              </w:rPr>
              <w:br/>
              <w:t>Rok  produkcji:</w:t>
            </w:r>
          </w:p>
        </w:tc>
      </w:tr>
      <w:tr w:rsidR="00840BD8" w:rsidRPr="00363E77" w14:paraId="41BA820A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46E699A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</w:t>
            </w:r>
          </w:p>
        </w:tc>
        <w:tc>
          <w:tcPr>
            <w:tcW w:w="7381" w:type="dxa"/>
            <w:vAlign w:val="center"/>
            <w:hideMark/>
          </w:tcPr>
          <w:p w14:paraId="17A26BF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Drukarka powinna być kompatybilna z szerokim zakresem materiałów do etykietowania, w tym papierami i folią samoprzylepną odporną na działanie chemikaliów i rozpuszczalników.</w:t>
            </w:r>
          </w:p>
        </w:tc>
        <w:tc>
          <w:tcPr>
            <w:tcW w:w="3543" w:type="dxa"/>
            <w:vAlign w:val="center"/>
            <w:hideMark/>
          </w:tcPr>
          <w:p w14:paraId="4D14048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13FF3C5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F71B83E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2B1B887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2</w:t>
            </w:r>
          </w:p>
        </w:tc>
        <w:tc>
          <w:tcPr>
            <w:tcW w:w="7381" w:type="dxa"/>
            <w:vAlign w:val="center"/>
            <w:hideMark/>
          </w:tcPr>
          <w:p w14:paraId="5A4ECDA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Drukarka fabrycznie nowa, nierekondycjonowana, nieużywana,  niepowystawowa, niedemonstracyjna.</w:t>
            </w:r>
          </w:p>
        </w:tc>
        <w:tc>
          <w:tcPr>
            <w:tcW w:w="3543" w:type="dxa"/>
            <w:vAlign w:val="center"/>
            <w:hideMark/>
          </w:tcPr>
          <w:p w14:paraId="1C33DDF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CD6972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4E1C4DF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68B5ECC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3</w:t>
            </w:r>
          </w:p>
        </w:tc>
        <w:tc>
          <w:tcPr>
            <w:tcW w:w="7381" w:type="dxa"/>
            <w:vAlign w:val="center"/>
            <w:hideMark/>
          </w:tcPr>
          <w:p w14:paraId="2649685C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Rozdzielczość druku: co najmniej 300 dpi lub wyższa.</w:t>
            </w:r>
          </w:p>
        </w:tc>
        <w:tc>
          <w:tcPr>
            <w:tcW w:w="3543" w:type="dxa"/>
            <w:vAlign w:val="center"/>
            <w:hideMark/>
          </w:tcPr>
          <w:p w14:paraId="693551A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3D89A73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0CFAA334" w14:textId="77777777" w:rsidTr="00704910">
        <w:trPr>
          <w:trHeight w:val="540"/>
        </w:trPr>
        <w:tc>
          <w:tcPr>
            <w:tcW w:w="700" w:type="dxa"/>
            <w:vAlign w:val="center"/>
            <w:hideMark/>
          </w:tcPr>
          <w:p w14:paraId="444A869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4</w:t>
            </w:r>
          </w:p>
        </w:tc>
        <w:tc>
          <w:tcPr>
            <w:tcW w:w="7381" w:type="dxa"/>
            <w:vAlign w:val="center"/>
            <w:hideMark/>
          </w:tcPr>
          <w:p w14:paraId="7A191D3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Możliwość zadrukowania etykiet o różnych rozmiarach – od bardzo małych etykiet do fiolek po większe etykiety na worki infuzyjne.</w:t>
            </w:r>
          </w:p>
        </w:tc>
        <w:tc>
          <w:tcPr>
            <w:tcW w:w="3543" w:type="dxa"/>
            <w:vAlign w:val="center"/>
            <w:hideMark/>
          </w:tcPr>
          <w:p w14:paraId="3082140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09473CF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F39F245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0653C2B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5</w:t>
            </w:r>
          </w:p>
        </w:tc>
        <w:tc>
          <w:tcPr>
            <w:tcW w:w="7381" w:type="dxa"/>
            <w:vAlign w:val="center"/>
            <w:hideMark/>
          </w:tcPr>
          <w:p w14:paraId="566151C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Rodzaj druku: termotransferowy</w:t>
            </w:r>
          </w:p>
        </w:tc>
        <w:tc>
          <w:tcPr>
            <w:tcW w:w="3543" w:type="dxa"/>
            <w:vAlign w:val="center"/>
            <w:hideMark/>
          </w:tcPr>
          <w:p w14:paraId="6E8BFA3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  <w:hideMark/>
          </w:tcPr>
          <w:p w14:paraId="0B0AFA8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7D86603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2D102A1E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6</w:t>
            </w:r>
          </w:p>
        </w:tc>
        <w:tc>
          <w:tcPr>
            <w:tcW w:w="7381" w:type="dxa"/>
            <w:vAlign w:val="center"/>
            <w:hideMark/>
          </w:tcPr>
          <w:p w14:paraId="602C8DB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Interfejsy, co najmniej: USB, ETHERNET</w:t>
            </w:r>
          </w:p>
        </w:tc>
        <w:tc>
          <w:tcPr>
            <w:tcW w:w="3543" w:type="dxa"/>
            <w:vAlign w:val="center"/>
            <w:hideMark/>
          </w:tcPr>
          <w:p w14:paraId="2844ECD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773E9B4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97A0B35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03CE4BF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7</w:t>
            </w:r>
          </w:p>
        </w:tc>
        <w:tc>
          <w:tcPr>
            <w:tcW w:w="7381" w:type="dxa"/>
            <w:vAlign w:val="center"/>
            <w:hideMark/>
          </w:tcPr>
          <w:p w14:paraId="1C44480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Prędkość drukowania min. 150 mm/s</w:t>
            </w:r>
          </w:p>
        </w:tc>
        <w:tc>
          <w:tcPr>
            <w:tcW w:w="3543" w:type="dxa"/>
            <w:vAlign w:val="center"/>
            <w:hideMark/>
          </w:tcPr>
          <w:p w14:paraId="028AED9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26CA49B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7C571F6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1A0CBD0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8</w:t>
            </w:r>
          </w:p>
        </w:tc>
        <w:tc>
          <w:tcPr>
            <w:tcW w:w="7381" w:type="dxa"/>
            <w:vAlign w:val="center"/>
            <w:hideMark/>
          </w:tcPr>
          <w:p w14:paraId="75BDA2E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Minimalna szerokość etykiety min. 14.5 mm</w:t>
            </w:r>
          </w:p>
        </w:tc>
        <w:tc>
          <w:tcPr>
            <w:tcW w:w="3543" w:type="dxa"/>
            <w:vAlign w:val="center"/>
            <w:hideMark/>
          </w:tcPr>
          <w:p w14:paraId="071EF8B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4A396AD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331307D4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0CB19D6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9</w:t>
            </w:r>
          </w:p>
        </w:tc>
        <w:tc>
          <w:tcPr>
            <w:tcW w:w="7381" w:type="dxa"/>
            <w:vAlign w:val="center"/>
            <w:hideMark/>
          </w:tcPr>
          <w:p w14:paraId="14EFF9E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Maksymalna szerokość etykiety min. 115 mm</w:t>
            </w:r>
          </w:p>
        </w:tc>
        <w:tc>
          <w:tcPr>
            <w:tcW w:w="3543" w:type="dxa"/>
            <w:vAlign w:val="center"/>
            <w:hideMark/>
          </w:tcPr>
          <w:p w14:paraId="5553781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7E342F9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48559388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7C20249B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10</w:t>
            </w:r>
          </w:p>
        </w:tc>
        <w:tc>
          <w:tcPr>
            <w:tcW w:w="7381" w:type="dxa"/>
            <w:vAlign w:val="center"/>
            <w:hideMark/>
          </w:tcPr>
          <w:p w14:paraId="7829514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Minimalna długość etykiety  min. 6,3 mm                                                                       </w:t>
            </w:r>
          </w:p>
        </w:tc>
        <w:tc>
          <w:tcPr>
            <w:tcW w:w="3543" w:type="dxa"/>
            <w:vAlign w:val="center"/>
            <w:hideMark/>
          </w:tcPr>
          <w:p w14:paraId="6420247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402436C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0350A3A4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1609A732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11</w:t>
            </w:r>
          </w:p>
        </w:tc>
        <w:tc>
          <w:tcPr>
            <w:tcW w:w="7381" w:type="dxa"/>
            <w:vAlign w:val="center"/>
            <w:hideMark/>
          </w:tcPr>
          <w:p w14:paraId="0B5FD407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Maksymalna długość etykiety min. 991 mm   </w:t>
            </w:r>
          </w:p>
        </w:tc>
        <w:tc>
          <w:tcPr>
            <w:tcW w:w="3543" w:type="dxa"/>
            <w:vAlign w:val="center"/>
            <w:hideMark/>
          </w:tcPr>
          <w:p w14:paraId="7655C01F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52B84C3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6052F0F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47A26CE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12</w:t>
            </w:r>
          </w:p>
        </w:tc>
        <w:tc>
          <w:tcPr>
            <w:tcW w:w="7381" w:type="dxa"/>
            <w:vAlign w:val="center"/>
            <w:hideMark/>
          </w:tcPr>
          <w:p w14:paraId="3D386E6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 xml:space="preserve">Grubość etykiety 0,06 mm do 0,19 mm </w:t>
            </w:r>
          </w:p>
        </w:tc>
        <w:tc>
          <w:tcPr>
            <w:tcW w:w="3543" w:type="dxa"/>
            <w:vAlign w:val="center"/>
            <w:hideMark/>
          </w:tcPr>
          <w:p w14:paraId="38EF39E8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4C8D5BBD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14DD11EE" w14:textId="77777777" w:rsidTr="00704910">
        <w:trPr>
          <w:trHeight w:val="300"/>
        </w:trPr>
        <w:tc>
          <w:tcPr>
            <w:tcW w:w="700" w:type="dxa"/>
            <w:vAlign w:val="center"/>
            <w:hideMark/>
          </w:tcPr>
          <w:p w14:paraId="6FEB44A3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13</w:t>
            </w:r>
          </w:p>
        </w:tc>
        <w:tc>
          <w:tcPr>
            <w:tcW w:w="7381" w:type="dxa"/>
            <w:vAlign w:val="center"/>
            <w:hideMark/>
          </w:tcPr>
          <w:p w14:paraId="2FB51A86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Pamięć 256MB RAM/512MB FLASH</w:t>
            </w:r>
          </w:p>
        </w:tc>
        <w:tc>
          <w:tcPr>
            <w:tcW w:w="3543" w:type="dxa"/>
            <w:vAlign w:val="center"/>
            <w:hideMark/>
          </w:tcPr>
          <w:p w14:paraId="51C76384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69419AD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  <w:tr w:rsidR="00840BD8" w:rsidRPr="00363E77" w14:paraId="621DD02F" w14:textId="77777777" w:rsidTr="00704910">
        <w:trPr>
          <w:trHeight w:val="1080"/>
        </w:trPr>
        <w:tc>
          <w:tcPr>
            <w:tcW w:w="700" w:type="dxa"/>
            <w:vAlign w:val="center"/>
            <w:hideMark/>
          </w:tcPr>
          <w:p w14:paraId="00058E50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7381" w:type="dxa"/>
            <w:vAlign w:val="center"/>
            <w:hideMark/>
          </w:tcPr>
          <w:p w14:paraId="70314509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left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Obsługiwane kody: Code 11, Code 39, Code 93, Code 128, ISBT-128, UPC-A, UPC-E, EAN-8, EAN-13, UPC i EAN z rozszerzeniami 2- lub 5-cyfrowymi, Plessey, Postnet, standardowy 2 z 5, przemysłowy 2 z 5, przeplatany 2 z 5, Logmars, MSI, Codabar, Planet Code; Codablock, PDF417, Code 49, DataMatrix, MaxiCode, QR Code, MicroPDF, Aztec</w:t>
            </w:r>
          </w:p>
        </w:tc>
        <w:tc>
          <w:tcPr>
            <w:tcW w:w="3543" w:type="dxa"/>
            <w:vAlign w:val="center"/>
            <w:hideMark/>
          </w:tcPr>
          <w:p w14:paraId="2D327065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  <w:hideMark/>
          </w:tcPr>
          <w:p w14:paraId="030E995A" w14:textId="77777777" w:rsidR="00840BD8" w:rsidRPr="00363E77" w:rsidRDefault="00840BD8" w:rsidP="00840BD8">
            <w:pPr>
              <w:spacing w:after="0" w:line="240" w:lineRule="auto"/>
              <w:ind w:left="0" w:right="0" w:firstLine="0"/>
              <w:jc w:val="center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63E77">
              <w:rPr>
                <w:rFonts w:ascii="Aptos" w:eastAsia="Times New Roman" w:hAnsi="Aptos" w:cs="Times New Roman"/>
                <w:sz w:val="20"/>
                <w:szCs w:val="20"/>
              </w:rPr>
              <w:t> </w:t>
            </w:r>
          </w:p>
        </w:tc>
      </w:tr>
    </w:tbl>
    <w:p w14:paraId="4A5C31FB" w14:textId="78DD1BAD" w:rsidR="00363E77" w:rsidRDefault="00363E77">
      <w:pPr>
        <w:spacing w:after="160" w:line="259" w:lineRule="auto"/>
        <w:ind w:left="0" w:right="0" w:firstLine="0"/>
        <w:jc w:val="left"/>
        <w:rPr>
          <w:rFonts w:ascii="Aptos" w:hAnsi="Aptos" w:cs="Times New Roman"/>
          <w:color w:val="000000" w:themeColor="text1"/>
          <w:sz w:val="20"/>
          <w:szCs w:val="20"/>
        </w:rPr>
      </w:pPr>
    </w:p>
    <w:p w14:paraId="628140CF" w14:textId="4B573154" w:rsidR="00940767" w:rsidRPr="0002596D" w:rsidRDefault="00940767" w:rsidP="0002596D">
      <w:pPr>
        <w:ind w:left="0" w:firstLine="0"/>
        <w:outlineLvl w:val="0"/>
        <w:rPr>
          <w:rFonts w:ascii="Aptos" w:hAnsi="Aptos"/>
          <w:b/>
          <w:color w:val="000000" w:themeColor="text1"/>
          <w:sz w:val="20"/>
        </w:rPr>
      </w:pPr>
    </w:p>
    <w:p w14:paraId="13A02722" w14:textId="6B0C37F5" w:rsidR="00940767" w:rsidRPr="00A67619" w:rsidRDefault="00940767" w:rsidP="00940767">
      <w:pPr>
        <w:outlineLvl w:val="0"/>
        <w:rPr>
          <w:rFonts w:ascii="Aptos" w:hAnsi="Aptos"/>
          <w:b/>
          <w:color w:val="000000" w:themeColor="text1"/>
          <w:sz w:val="20"/>
        </w:rPr>
      </w:pPr>
      <w:r w:rsidRPr="00A67619">
        <w:rPr>
          <w:rFonts w:ascii="Aptos" w:hAnsi="Aptos"/>
          <w:b/>
          <w:color w:val="000000" w:themeColor="text1"/>
          <w:sz w:val="20"/>
        </w:rPr>
        <w:t>Uwaga</w:t>
      </w:r>
      <w:r w:rsidR="0002596D">
        <w:rPr>
          <w:rFonts w:ascii="Aptos" w:hAnsi="Aptos"/>
          <w:b/>
          <w:color w:val="000000" w:themeColor="text1"/>
          <w:sz w:val="20"/>
        </w:rPr>
        <w:t>:</w:t>
      </w:r>
      <w:r w:rsidRPr="00A67619">
        <w:rPr>
          <w:rFonts w:ascii="Aptos" w:hAnsi="Aptos"/>
          <w:b/>
          <w:color w:val="000000" w:themeColor="text1"/>
          <w:sz w:val="20"/>
        </w:rPr>
        <w:t xml:space="preserve"> </w:t>
      </w:r>
    </w:p>
    <w:p w14:paraId="55A1F9EA" w14:textId="65E9B785" w:rsidR="00940767" w:rsidRPr="00A67619" w:rsidRDefault="00940767" w:rsidP="00940767">
      <w:pPr>
        <w:rPr>
          <w:rFonts w:ascii="Aptos" w:hAnsi="Aptos"/>
          <w:b/>
          <w:color w:val="000000" w:themeColor="text1"/>
          <w:sz w:val="20"/>
        </w:rPr>
      </w:pPr>
      <w:r w:rsidRPr="00A67619">
        <w:rPr>
          <w:rFonts w:ascii="Aptos" w:hAnsi="Aptos"/>
          <w:b/>
          <w:color w:val="000000" w:themeColor="text1"/>
          <w:sz w:val="20"/>
        </w:rPr>
        <w:t>Jeśli w rubryce „PARAMETR WYMAGANY/OCENIANY” wymagana jest odpowiedź „TAK” – jest to parametr wymagany, Wykonawca jest zobowiązany do potwierdzenia go w rubryce „PARAMETR OFEROWANY ” wraz z opisem.</w:t>
      </w:r>
      <w:r w:rsidR="00363E77">
        <w:rPr>
          <w:rFonts w:ascii="Aptos" w:hAnsi="Aptos"/>
          <w:b/>
          <w:color w:val="000000" w:themeColor="text1"/>
          <w:sz w:val="20"/>
        </w:rPr>
        <w:t xml:space="preserve"> </w:t>
      </w:r>
      <w:r w:rsidRPr="00A67619">
        <w:rPr>
          <w:rFonts w:ascii="Aptos" w:hAnsi="Aptos"/>
          <w:b/>
          <w:color w:val="000000" w:themeColor="text1"/>
          <w:sz w:val="20"/>
        </w:rPr>
        <w:t xml:space="preserve">Nie spełnienie któregokolwiek z tych parametrów spowoduje odrzucenie oferty </w:t>
      </w:r>
    </w:p>
    <w:p w14:paraId="41FD7CB2" w14:textId="77777777" w:rsidR="00940767" w:rsidRPr="00A67619" w:rsidRDefault="00940767" w:rsidP="00940767">
      <w:pPr>
        <w:rPr>
          <w:rFonts w:ascii="Aptos" w:hAnsi="Aptos"/>
          <w:b/>
          <w:color w:val="000000" w:themeColor="text1"/>
          <w:sz w:val="20"/>
        </w:rPr>
      </w:pPr>
    </w:p>
    <w:p w14:paraId="34A59EB8" w14:textId="2110196F" w:rsidR="00940767" w:rsidRPr="00A67619" w:rsidRDefault="00940767" w:rsidP="00940767">
      <w:pPr>
        <w:rPr>
          <w:rFonts w:ascii="Aptos" w:hAnsi="Aptos"/>
          <w:b/>
          <w:color w:val="000000" w:themeColor="text1"/>
          <w:sz w:val="20"/>
        </w:rPr>
      </w:pPr>
      <w:r w:rsidRPr="00A67619">
        <w:rPr>
          <w:rFonts w:ascii="Aptos" w:hAnsi="Aptos"/>
          <w:b/>
          <w:color w:val="000000" w:themeColor="text1"/>
          <w:sz w:val="20"/>
        </w:rPr>
        <w:t>Jeśli w rubryce „PARAMETR WYMAGANY/OCENIANY” jest MOŻLIWOŚĆ WYBORU odpowiedź „TA</w:t>
      </w:r>
      <w:r w:rsidR="0002596D">
        <w:rPr>
          <w:rFonts w:ascii="Aptos" w:hAnsi="Aptos"/>
          <w:b/>
          <w:color w:val="000000" w:themeColor="text1"/>
          <w:sz w:val="20"/>
        </w:rPr>
        <w:t>K</w:t>
      </w:r>
      <w:r w:rsidRPr="00A67619">
        <w:rPr>
          <w:rFonts w:ascii="Aptos" w:hAnsi="Aptos"/>
          <w:b/>
          <w:color w:val="000000" w:themeColor="text1"/>
          <w:sz w:val="20"/>
        </w:rPr>
        <w:t xml:space="preserve"> / NIE” – jest to parametr podlegający ocenie, Wykonawca jest zobowiązany do podania jednej z opcji w rubryce „PARAMETR OFEROWANY</w:t>
      </w:r>
      <w:r w:rsidR="0002596D">
        <w:rPr>
          <w:rFonts w:ascii="Aptos" w:hAnsi="Aptos"/>
          <w:b/>
          <w:color w:val="000000" w:themeColor="text1"/>
          <w:sz w:val="20"/>
        </w:rPr>
        <w:t>”</w:t>
      </w:r>
      <w:r w:rsidRPr="00A67619">
        <w:rPr>
          <w:rFonts w:ascii="Aptos" w:hAnsi="Aptos"/>
          <w:b/>
          <w:color w:val="000000" w:themeColor="text1"/>
          <w:sz w:val="20"/>
        </w:rPr>
        <w:t xml:space="preserve"> wraz z opisem</w:t>
      </w:r>
    </w:p>
    <w:p w14:paraId="50C6BB74" w14:textId="77777777" w:rsidR="00940767" w:rsidRPr="00A67619" w:rsidRDefault="00940767" w:rsidP="00940767">
      <w:pPr>
        <w:rPr>
          <w:rFonts w:ascii="Aptos" w:hAnsi="Aptos"/>
          <w:b/>
          <w:color w:val="000000" w:themeColor="text1"/>
          <w:sz w:val="20"/>
        </w:rPr>
      </w:pPr>
    </w:p>
    <w:p w14:paraId="73123D56" w14:textId="77777777" w:rsidR="00940767" w:rsidRPr="00A67619" w:rsidRDefault="00940767" w:rsidP="00940767">
      <w:pPr>
        <w:outlineLvl w:val="0"/>
        <w:rPr>
          <w:rFonts w:ascii="Aptos" w:hAnsi="Aptos"/>
          <w:b/>
          <w:color w:val="000000" w:themeColor="text1"/>
          <w:sz w:val="20"/>
        </w:rPr>
      </w:pPr>
      <w:r w:rsidRPr="00A67619">
        <w:rPr>
          <w:rFonts w:ascii="Aptos" w:hAnsi="Aptos"/>
          <w:b/>
          <w:color w:val="000000" w:themeColor="text1"/>
          <w:sz w:val="20"/>
        </w:rPr>
        <w:t xml:space="preserve">Niewypełnienie tabeli rozumiane będzie jako niespełnienie parametrów </w:t>
      </w:r>
    </w:p>
    <w:p w14:paraId="1DC7F12C" w14:textId="77777777" w:rsidR="00940767" w:rsidRPr="00A67619" w:rsidRDefault="00940767" w:rsidP="00940767">
      <w:pPr>
        <w:rPr>
          <w:rFonts w:ascii="Aptos" w:hAnsi="Aptos"/>
          <w:color w:val="000000" w:themeColor="text1"/>
          <w:sz w:val="20"/>
        </w:rPr>
      </w:pPr>
    </w:p>
    <w:p w14:paraId="1A7BF23D" w14:textId="77777777" w:rsidR="00940767" w:rsidRPr="00A67619" w:rsidRDefault="00940767" w:rsidP="00940767">
      <w:pPr>
        <w:rPr>
          <w:rFonts w:ascii="Aptos" w:hAnsi="Aptos"/>
          <w:color w:val="000000" w:themeColor="text1"/>
          <w:sz w:val="20"/>
        </w:rPr>
      </w:pPr>
    </w:p>
    <w:p w14:paraId="2008CC0E" w14:textId="67459B08" w:rsidR="00940767" w:rsidRPr="00A67619" w:rsidRDefault="00940767" w:rsidP="00363E77">
      <w:pPr>
        <w:ind w:left="10620" w:firstLine="0"/>
        <w:rPr>
          <w:rFonts w:ascii="Aptos" w:hAnsi="Aptos"/>
          <w:color w:val="000000" w:themeColor="text1"/>
          <w:sz w:val="20"/>
        </w:rPr>
      </w:pPr>
      <w:r w:rsidRPr="00A67619">
        <w:rPr>
          <w:rFonts w:ascii="Aptos" w:hAnsi="Aptos"/>
          <w:color w:val="000000" w:themeColor="text1"/>
          <w:sz w:val="20"/>
        </w:rPr>
        <w:t>.......................................................</w:t>
      </w:r>
      <w:r w:rsidR="00363E77">
        <w:rPr>
          <w:rFonts w:ascii="Aptos" w:hAnsi="Aptos"/>
          <w:color w:val="000000" w:themeColor="text1"/>
          <w:sz w:val="20"/>
        </w:rPr>
        <w:br/>
      </w:r>
      <w:r w:rsidRPr="00A67619">
        <w:rPr>
          <w:rFonts w:ascii="Aptos" w:hAnsi="Aptos"/>
          <w:color w:val="000000" w:themeColor="text1"/>
          <w:sz w:val="20"/>
        </w:rPr>
        <w:t>(Podpis Wykonawcy)</w:t>
      </w:r>
    </w:p>
    <w:p w14:paraId="0C88E9EA" w14:textId="77777777" w:rsidR="00940767" w:rsidRPr="00A67619" w:rsidRDefault="00940767" w:rsidP="00940767">
      <w:pPr>
        <w:rPr>
          <w:rFonts w:ascii="Aptos" w:hAnsi="Aptos"/>
          <w:color w:val="000000" w:themeColor="text1"/>
          <w:sz w:val="20"/>
        </w:rPr>
      </w:pPr>
    </w:p>
    <w:p w14:paraId="7B826BA7" w14:textId="77777777" w:rsidR="00940767" w:rsidRPr="00A67619" w:rsidRDefault="00940767" w:rsidP="00940767">
      <w:pPr>
        <w:rPr>
          <w:rFonts w:ascii="Aptos" w:hAnsi="Aptos"/>
          <w:color w:val="000000" w:themeColor="text1"/>
        </w:rPr>
      </w:pPr>
    </w:p>
    <w:p w14:paraId="13D4CA1B" w14:textId="4BFE9AD9" w:rsidR="006F65F8" w:rsidRPr="000A4479" w:rsidRDefault="006F65F8" w:rsidP="000A4479">
      <w:pPr>
        <w:spacing w:after="0" w:line="276" w:lineRule="auto"/>
        <w:ind w:left="447" w:right="44"/>
      </w:pPr>
    </w:p>
    <w:sectPr w:rsidR="006F65F8" w:rsidRPr="000A4479" w:rsidSect="00C06615">
      <w:headerReference w:type="default" r:id="rId8"/>
      <w:footerReference w:type="default" r:id="rId9"/>
      <w:pgSz w:w="16838" w:h="11906" w:orient="landscape"/>
      <w:pgMar w:top="1702" w:right="851" w:bottom="1276" w:left="1151" w:header="142" w:footer="5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DD2E" w14:textId="77777777" w:rsidR="00FC18FC" w:rsidRDefault="00FC18FC" w:rsidP="000D61FF">
      <w:pPr>
        <w:spacing w:after="0" w:line="240" w:lineRule="auto"/>
      </w:pPr>
      <w:r>
        <w:separator/>
      </w:r>
    </w:p>
  </w:endnote>
  <w:endnote w:type="continuationSeparator" w:id="0">
    <w:p w14:paraId="5BBBC039" w14:textId="77777777" w:rsidR="00FC18FC" w:rsidRDefault="00FC18FC" w:rsidP="000D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137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7DDF68" w14:textId="3B40EE27" w:rsidR="00A76885" w:rsidRDefault="00A768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0D3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0D38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5CE219" w14:textId="77777777" w:rsidR="00A76885" w:rsidRDefault="00A76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0C586" w14:textId="77777777" w:rsidR="00FC18FC" w:rsidRDefault="00FC18FC" w:rsidP="000D61FF">
      <w:pPr>
        <w:spacing w:after="0" w:line="240" w:lineRule="auto"/>
      </w:pPr>
      <w:r>
        <w:separator/>
      </w:r>
    </w:p>
  </w:footnote>
  <w:footnote w:type="continuationSeparator" w:id="0">
    <w:p w14:paraId="69139124" w14:textId="77777777" w:rsidR="00FC18FC" w:rsidRDefault="00FC18FC" w:rsidP="000D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129" w14:textId="21A8F6F7" w:rsidR="00A76885" w:rsidRPr="000D61FF" w:rsidRDefault="00A76885" w:rsidP="00912BAE">
    <w:pPr>
      <w:pStyle w:val="Nagwek"/>
      <w:jc w:val="center"/>
      <w:rPr>
        <w:rFonts w:ascii="Times New Roman" w:hAnsi="Times New Roman" w:cs="Times New Roman"/>
      </w:rPr>
    </w:pPr>
    <w:r w:rsidRPr="00A8205B">
      <w:rPr>
        <w:noProof/>
      </w:rPr>
      <w:drawing>
        <wp:inline distT="0" distB="0" distL="0" distR="0" wp14:anchorId="73A3C22F" wp14:editId="66E85A61">
          <wp:extent cx="8875643" cy="880229"/>
          <wp:effectExtent l="0" t="0" r="1905" b="0"/>
          <wp:docPr id="561303920" name="Obraz 5613039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4602" cy="911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D8436E0"/>
    <w:multiLevelType w:val="hybridMultilevel"/>
    <w:tmpl w:val="E662B946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A346E"/>
    <w:multiLevelType w:val="hybridMultilevel"/>
    <w:tmpl w:val="EE5830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11F7C"/>
    <w:multiLevelType w:val="hybridMultilevel"/>
    <w:tmpl w:val="17DA5EEA"/>
    <w:lvl w:ilvl="0" w:tplc="BC56E76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3492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B6B0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D83A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7676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7622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328C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FEF5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48D5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6024BE"/>
    <w:multiLevelType w:val="hybridMultilevel"/>
    <w:tmpl w:val="55D2BED4"/>
    <w:lvl w:ilvl="0" w:tplc="D632BFF4">
      <w:start w:val="1"/>
      <w:numFmt w:val="decimal"/>
      <w:lvlText w:val="%1."/>
      <w:lvlJc w:val="left"/>
      <w:pPr>
        <w:ind w:left="42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DA643C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58B9D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6B20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C93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564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70250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8A89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2B3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651E40"/>
    <w:multiLevelType w:val="hybridMultilevel"/>
    <w:tmpl w:val="A7EEF3E8"/>
    <w:lvl w:ilvl="0" w:tplc="88D6000C">
      <w:start w:val="1"/>
      <w:numFmt w:val="decimal"/>
      <w:lvlText w:val="%1."/>
      <w:lvlJc w:val="left"/>
      <w:pPr>
        <w:ind w:left="50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A23656">
      <w:start w:val="1"/>
      <w:numFmt w:val="lowerLetter"/>
      <w:lvlText w:val="%2)"/>
      <w:lvlJc w:val="left"/>
      <w:pPr>
        <w:ind w:left="149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726628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5EAB66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48EF4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5069C6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484ABC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DE1AE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0E590C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794F9B"/>
    <w:multiLevelType w:val="hybridMultilevel"/>
    <w:tmpl w:val="CFE2B7A6"/>
    <w:lvl w:ilvl="0" w:tplc="12A46D00">
      <w:start w:val="1"/>
      <w:numFmt w:val="decimal"/>
      <w:lvlText w:val="%1."/>
      <w:lvlJc w:val="left"/>
      <w:pPr>
        <w:ind w:left="7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02A0F8">
      <w:start w:val="1"/>
      <w:numFmt w:val="lowerLetter"/>
      <w:lvlText w:val="%2"/>
      <w:lvlJc w:val="left"/>
      <w:pPr>
        <w:ind w:left="1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78DAE2">
      <w:start w:val="1"/>
      <w:numFmt w:val="lowerRoman"/>
      <w:lvlText w:val="%3"/>
      <w:lvlJc w:val="left"/>
      <w:pPr>
        <w:ind w:left="2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4CD4">
      <w:start w:val="1"/>
      <w:numFmt w:val="decimal"/>
      <w:lvlText w:val="%4"/>
      <w:lvlJc w:val="left"/>
      <w:pPr>
        <w:ind w:left="2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B69EAA">
      <w:start w:val="1"/>
      <w:numFmt w:val="lowerLetter"/>
      <w:lvlText w:val="%5"/>
      <w:lvlJc w:val="left"/>
      <w:pPr>
        <w:ind w:left="3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6886BE">
      <w:start w:val="1"/>
      <w:numFmt w:val="lowerRoman"/>
      <w:lvlText w:val="%6"/>
      <w:lvlJc w:val="left"/>
      <w:pPr>
        <w:ind w:left="4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EA28D6">
      <w:start w:val="1"/>
      <w:numFmt w:val="decimal"/>
      <w:lvlText w:val="%7"/>
      <w:lvlJc w:val="left"/>
      <w:pPr>
        <w:ind w:left="4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A20CF4">
      <w:start w:val="1"/>
      <w:numFmt w:val="lowerLetter"/>
      <w:lvlText w:val="%8"/>
      <w:lvlJc w:val="left"/>
      <w:pPr>
        <w:ind w:left="5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34BC90">
      <w:start w:val="1"/>
      <w:numFmt w:val="lowerRoman"/>
      <w:lvlText w:val="%9"/>
      <w:lvlJc w:val="left"/>
      <w:pPr>
        <w:ind w:left="6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0951DC"/>
    <w:multiLevelType w:val="hybridMultilevel"/>
    <w:tmpl w:val="7382B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4019A"/>
    <w:multiLevelType w:val="hybridMultilevel"/>
    <w:tmpl w:val="2638BC5E"/>
    <w:lvl w:ilvl="0" w:tplc="F35800D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1836AA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3411D8">
      <w:start w:val="1"/>
      <w:numFmt w:val="decimal"/>
      <w:lvlRestart w:val="0"/>
      <w:lvlText w:val="%3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1AD0EC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C88922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48EC0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C4427E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AAC5D6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28D1E2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5A6705"/>
    <w:multiLevelType w:val="hybridMultilevel"/>
    <w:tmpl w:val="73040542"/>
    <w:lvl w:ilvl="0" w:tplc="CDB4EC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A64F96"/>
    <w:multiLevelType w:val="hybridMultilevel"/>
    <w:tmpl w:val="4F5E392E"/>
    <w:lvl w:ilvl="0" w:tplc="1A0ED926">
      <w:start w:val="1"/>
      <w:numFmt w:val="decimal"/>
      <w:lvlText w:val="%1)"/>
      <w:lvlJc w:val="left"/>
      <w:pPr>
        <w:ind w:left="797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A2E71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D6E14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1C7C9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E0A17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D4F02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8AA80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2EF9C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AA37E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191C9A"/>
    <w:multiLevelType w:val="hybridMultilevel"/>
    <w:tmpl w:val="7DEC6AF8"/>
    <w:lvl w:ilvl="0" w:tplc="0F1C1D1C">
      <w:start w:val="1"/>
      <w:numFmt w:val="decimal"/>
      <w:lvlText w:val="%1."/>
      <w:lvlJc w:val="left"/>
      <w:pPr>
        <w:ind w:left="4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1621A6">
      <w:start w:val="1"/>
      <w:numFmt w:val="lowerLetter"/>
      <w:lvlText w:val="%2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074E0">
      <w:start w:val="1"/>
      <w:numFmt w:val="lowerRoman"/>
      <w:lvlText w:val="%3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8EB3E">
      <w:start w:val="1"/>
      <w:numFmt w:val="decimal"/>
      <w:lvlText w:val="%4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3CBC8E">
      <w:start w:val="1"/>
      <w:numFmt w:val="lowerLetter"/>
      <w:lvlText w:val="%5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4C57AE">
      <w:start w:val="1"/>
      <w:numFmt w:val="lowerRoman"/>
      <w:lvlText w:val="%6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96A1A2">
      <w:start w:val="1"/>
      <w:numFmt w:val="decimal"/>
      <w:lvlText w:val="%7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14B756">
      <w:start w:val="1"/>
      <w:numFmt w:val="lowerLetter"/>
      <w:lvlText w:val="%8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4EFDE">
      <w:start w:val="1"/>
      <w:numFmt w:val="lowerRoman"/>
      <w:lvlText w:val="%9"/>
      <w:lvlJc w:val="left"/>
      <w:pPr>
        <w:ind w:left="6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2B440B"/>
    <w:multiLevelType w:val="hybridMultilevel"/>
    <w:tmpl w:val="85A8E1D8"/>
    <w:lvl w:ilvl="0" w:tplc="CC16027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C29DB"/>
    <w:multiLevelType w:val="hybridMultilevel"/>
    <w:tmpl w:val="AB88EA04"/>
    <w:lvl w:ilvl="0" w:tplc="7D1ACB3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785302"/>
    <w:multiLevelType w:val="hybridMultilevel"/>
    <w:tmpl w:val="C33665B4"/>
    <w:lvl w:ilvl="0" w:tplc="18560CFE">
      <w:start w:val="1"/>
      <w:numFmt w:val="decimal"/>
      <w:lvlText w:val="%1."/>
      <w:lvlJc w:val="left"/>
      <w:pPr>
        <w:ind w:left="48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A8D5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D4C5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025A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8220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8AAA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3A5E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0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4AF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47E70D9"/>
    <w:multiLevelType w:val="hybridMultilevel"/>
    <w:tmpl w:val="4E4E6D5A"/>
    <w:lvl w:ilvl="0" w:tplc="73B6A3D6">
      <w:numFmt w:val="bullet"/>
      <w:pStyle w:val="Lista-poziom4"/>
      <w:lvlText w:val="-"/>
      <w:lvlJc w:val="left"/>
      <w:pPr>
        <w:tabs>
          <w:tab w:val="num" w:pos="340"/>
        </w:tabs>
        <w:ind w:left="340" w:hanging="227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7" w15:restartNumberingAfterBreak="0">
    <w:nsid w:val="376C6685"/>
    <w:multiLevelType w:val="hybridMultilevel"/>
    <w:tmpl w:val="CE226EC6"/>
    <w:lvl w:ilvl="0" w:tplc="0F42D806">
      <w:start w:val="1"/>
      <w:numFmt w:val="decimal"/>
      <w:lvlText w:val="%1."/>
      <w:lvlJc w:val="left"/>
      <w:pPr>
        <w:ind w:left="42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2E805C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4A9F22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0C6D8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F6AE7C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DC42B2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D6D84E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902C96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5C381E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AE06668"/>
    <w:multiLevelType w:val="hybridMultilevel"/>
    <w:tmpl w:val="C14C1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359C"/>
    <w:multiLevelType w:val="hybridMultilevel"/>
    <w:tmpl w:val="13725F02"/>
    <w:lvl w:ilvl="0" w:tplc="268E9ECA">
      <w:start w:val="1"/>
      <w:numFmt w:val="decimal"/>
      <w:lvlText w:val="%1."/>
      <w:lvlJc w:val="left"/>
      <w:pPr>
        <w:ind w:left="48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7CD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D0FB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2CFE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96D4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36A8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866B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8E50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CE26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B256FB"/>
    <w:multiLevelType w:val="hybridMultilevel"/>
    <w:tmpl w:val="1752F750"/>
    <w:lvl w:ilvl="0" w:tplc="D4602796">
      <w:start w:val="1"/>
      <w:numFmt w:val="decimal"/>
      <w:lvlText w:val="%1."/>
      <w:lvlJc w:val="left"/>
      <w:pPr>
        <w:ind w:left="42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EE8D0">
      <w:start w:val="1"/>
      <w:numFmt w:val="decimal"/>
      <w:lvlText w:val="%2)"/>
      <w:lvlJc w:val="left"/>
      <w:pPr>
        <w:ind w:left="69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562C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06CE9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16131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80A44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E0B3E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F2FD7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0575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0C3A5C"/>
    <w:multiLevelType w:val="hybridMultilevel"/>
    <w:tmpl w:val="5CDCD514"/>
    <w:lvl w:ilvl="0" w:tplc="F91897B0">
      <w:start w:val="1"/>
      <w:numFmt w:val="decimal"/>
      <w:lvlText w:val="%1."/>
      <w:lvlJc w:val="left"/>
      <w:pPr>
        <w:ind w:left="1142"/>
      </w:pPr>
      <w:rPr>
        <w:rFonts w:ascii="Arial" w:eastAsia="Arial" w:hAnsi="Arial" w:cs="Arial" w:hint="default"/>
        <w:b w:val="0"/>
        <w:i w:val="0"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18D684">
      <w:start w:val="1"/>
      <w:numFmt w:val="lowerLetter"/>
      <w:lvlText w:val="%2"/>
      <w:lvlJc w:val="left"/>
      <w:pPr>
        <w:ind w:left="11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129120">
      <w:start w:val="1"/>
      <w:numFmt w:val="lowerRoman"/>
      <w:lvlText w:val="%3"/>
      <w:lvlJc w:val="left"/>
      <w:pPr>
        <w:ind w:left="18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629482">
      <w:start w:val="1"/>
      <w:numFmt w:val="decimal"/>
      <w:lvlText w:val="%4"/>
      <w:lvlJc w:val="left"/>
      <w:pPr>
        <w:ind w:left="25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9E5298">
      <w:start w:val="1"/>
      <w:numFmt w:val="lowerLetter"/>
      <w:lvlText w:val="%5"/>
      <w:lvlJc w:val="left"/>
      <w:pPr>
        <w:ind w:left="32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66AFB8">
      <w:start w:val="1"/>
      <w:numFmt w:val="lowerRoman"/>
      <w:lvlText w:val="%6"/>
      <w:lvlJc w:val="left"/>
      <w:pPr>
        <w:ind w:left="40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303E02">
      <w:start w:val="1"/>
      <w:numFmt w:val="decimal"/>
      <w:lvlText w:val="%7"/>
      <w:lvlJc w:val="left"/>
      <w:pPr>
        <w:ind w:left="47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52EFB4">
      <w:start w:val="1"/>
      <w:numFmt w:val="lowerLetter"/>
      <w:lvlText w:val="%8"/>
      <w:lvlJc w:val="left"/>
      <w:pPr>
        <w:ind w:left="54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BEEF50">
      <w:start w:val="1"/>
      <w:numFmt w:val="lowerRoman"/>
      <w:lvlText w:val="%9"/>
      <w:lvlJc w:val="left"/>
      <w:pPr>
        <w:ind w:left="61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BE10D0C"/>
    <w:multiLevelType w:val="hybridMultilevel"/>
    <w:tmpl w:val="49443892"/>
    <w:lvl w:ilvl="0" w:tplc="8454E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C44A6"/>
    <w:multiLevelType w:val="hybridMultilevel"/>
    <w:tmpl w:val="3EACA4AA"/>
    <w:lvl w:ilvl="0" w:tplc="95AAFF58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8420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58A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88D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2AFA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1648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30D6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72A3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F8B3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595998"/>
    <w:multiLevelType w:val="multilevel"/>
    <w:tmpl w:val="3D3A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48043EB"/>
    <w:multiLevelType w:val="hybridMultilevel"/>
    <w:tmpl w:val="B3E4B64E"/>
    <w:lvl w:ilvl="0" w:tplc="454A81F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1621A6">
      <w:start w:val="1"/>
      <w:numFmt w:val="lowerLetter"/>
      <w:lvlText w:val="%2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074E0">
      <w:start w:val="1"/>
      <w:numFmt w:val="lowerRoman"/>
      <w:lvlText w:val="%3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8EB3E">
      <w:start w:val="1"/>
      <w:numFmt w:val="decimal"/>
      <w:lvlText w:val="%4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3CBC8E">
      <w:start w:val="1"/>
      <w:numFmt w:val="lowerLetter"/>
      <w:lvlText w:val="%5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4C57AE">
      <w:start w:val="1"/>
      <w:numFmt w:val="lowerRoman"/>
      <w:lvlText w:val="%6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96A1A2">
      <w:start w:val="1"/>
      <w:numFmt w:val="decimal"/>
      <w:lvlText w:val="%7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14B756">
      <w:start w:val="1"/>
      <w:numFmt w:val="lowerLetter"/>
      <w:lvlText w:val="%8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4EFDE">
      <w:start w:val="1"/>
      <w:numFmt w:val="lowerRoman"/>
      <w:lvlText w:val="%9"/>
      <w:lvlJc w:val="left"/>
      <w:pPr>
        <w:ind w:left="6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75022C5"/>
    <w:multiLevelType w:val="hybridMultilevel"/>
    <w:tmpl w:val="EE5830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E0E30"/>
    <w:multiLevelType w:val="hybridMultilevel"/>
    <w:tmpl w:val="18362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507C2"/>
    <w:multiLevelType w:val="hybridMultilevel"/>
    <w:tmpl w:val="E662B946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781740"/>
    <w:multiLevelType w:val="hybridMultilevel"/>
    <w:tmpl w:val="E2624C6A"/>
    <w:lvl w:ilvl="0" w:tplc="B06EE4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3571138">
    <w:abstractNumId w:val="25"/>
  </w:num>
  <w:num w:numId="2" w16cid:durableId="466817594">
    <w:abstractNumId w:val="23"/>
  </w:num>
  <w:num w:numId="3" w16cid:durableId="1663508585">
    <w:abstractNumId w:val="21"/>
  </w:num>
  <w:num w:numId="4" w16cid:durableId="1163664759">
    <w:abstractNumId w:val="7"/>
  </w:num>
  <w:num w:numId="5" w16cid:durableId="259342361">
    <w:abstractNumId w:val="11"/>
  </w:num>
  <w:num w:numId="6" w16cid:durableId="118840331">
    <w:abstractNumId w:val="5"/>
  </w:num>
  <w:num w:numId="7" w16cid:durableId="865941832">
    <w:abstractNumId w:val="9"/>
  </w:num>
  <w:num w:numId="8" w16cid:durableId="494614870">
    <w:abstractNumId w:val="17"/>
  </w:num>
  <w:num w:numId="9" w16cid:durableId="1965963481">
    <w:abstractNumId w:val="6"/>
  </w:num>
  <w:num w:numId="10" w16cid:durableId="108858548">
    <w:abstractNumId w:val="19"/>
  </w:num>
  <w:num w:numId="11" w16cid:durableId="606620696">
    <w:abstractNumId w:val="15"/>
  </w:num>
  <w:num w:numId="12" w16cid:durableId="1464885870">
    <w:abstractNumId w:val="4"/>
  </w:num>
  <w:num w:numId="13" w16cid:durableId="1584753593">
    <w:abstractNumId w:val="20"/>
  </w:num>
  <w:num w:numId="14" w16cid:durableId="984699319">
    <w:abstractNumId w:val="1"/>
  </w:num>
  <w:num w:numId="15" w16cid:durableId="727384544">
    <w:abstractNumId w:val="24"/>
  </w:num>
  <w:num w:numId="16" w16cid:durableId="1614439578">
    <w:abstractNumId w:val="2"/>
  </w:num>
  <w:num w:numId="17" w16cid:durableId="1512791594">
    <w:abstractNumId w:val="0"/>
  </w:num>
  <w:num w:numId="18" w16cid:durableId="1737435667">
    <w:abstractNumId w:val="3"/>
  </w:num>
  <w:num w:numId="19" w16cid:durableId="553079012">
    <w:abstractNumId w:val="28"/>
  </w:num>
  <w:num w:numId="20" w16cid:durableId="1775704036">
    <w:abstractNumId w:val="12"/>
  </w:num>
  <w:num w:numId="21" w16cid:durableId="1818035880">
    <w:abstractNumId w:val="13"/>
  </w:num>
  <w:num w:numId="22" w16cid:durableId="1816338430">
    <w:abstractNumId w:val="18"/>
  </w:num>
  <w:num w:numId="23" w16cid:durableId="88971">
    <w:abstractNumId w:val="27"/>
  </w:num>
  <w:num w:numId="24" w16cid:durableId="398132975">
    <w:abstractNumId w:val="26"/>
  </w:num>
  <w:num w:numId="25" w16cid:durableId="1813400852">
    <w:abstractNumId w:val="16"/>
  </w:num>
  <w:num w:numId="26" w16cid:durableId="347677460">
    <w:abstractNumId w:val="14"/>
  </w:num>
  <w:num w:numId="27" w16cid:durableId="1125855722">
    <w:abstractNumId w:val="8"/>
  </w:num>
  <w:num w:numId="28" w16cid:durableId="270549850">
    <w:abstractNumId w:val="22"/>
  </w:num>
  <w:num w:numId="29" w16cid:durableId="1355034999">
    <w:abstractNumId w:val="10"/>
  </w:num>
  <w:num w:numId="30" w16cid:durableId="170370161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5F8"/>
    <w:rsid w:val="0002596D"/>
    <w:rsid w:val="00057AC3"/>
    <w:rsid w:val="000950ED"/>
    <w:rsid w:val="00097D23"/>
    <w:rsid w:val="000A4479"/>
    <w:rsid w:val="000D61FF"/>
    <w:rsid w:val="000E0262"/>
    <w:rsid w:val="000F7898"/>
    <w:rsid w:val="00101864"/>
    <w:rsid w:val="00126D3C"/>
    <w:rsid w:val="0015399C"/>
    <w:rsid w:val="00155E8A"/>
    <w:rsid w:val="00173799"/>
    <w:rsid w:val="00185674"/>
    <w:rsid w:val="001A7761"/>
    <w:rsid w:val="001C3E01"/>
    <w:rsid w:val="00205CE4"/>
    <w:rsid w:val="00207EE3"/>
    <w:rsid w:val="002217E6"/>
    <w:rsid w:val="00230D38"/>
    <w:rsid w:val="00262444"/>
    <w:rsid w:val="00280D12"/>
    <w:rsid w:val="0029358A"/>
    <w:rsid w:val="002A100C"/>
    <w:rsid w:val="003035E3"/>
    <w:rsid w:val="003036FF"/>
    <w:rsid w:val="0031126F"/>
    <w:rsid w:val="00331DA0"/>
    <w:rsid w:val="00351E21"/>
    <w:rsid w:val="0035334D"/>
    <w:rsid w:val="00363E77"/>
    <w:rsid w:val="003B09F4"/>
    <w:rsid w:val="003B5FE0"/>
    <w:rsid w:val="003D62CF"/>
    <w:rsid w:val="003E1074"/>
    <w:rsid w:val="003F79AD"/>
    <w:rsid w:val="0042795C"/>
    <w:rsid w:val="0045231D"/>
    <w:rsid w:val="00476EEA"/>
    <w:rsid w:val="005310E4"/>
    <w:rsid w:val="00553829"/>
    <w:rsid w:val="00562598"/>
    <w:rsid w:val="005756B3"/>
    <w:rsid w:val="005A7D4C"/>
    <w:rsid w:val="005D2FD9"/>
    <w:rsid w:val="006075CA"/>
    <w:rsid w:val="006130BF"/>
    <w:rsid w:val="00692945"/>
    <w:rsid w:val="0069341A"/>
    <w:rsid w:val="006B2EA8"/>
    <w:rsid w:val="006C208E"/>
    <w:rsid w:val="006C7059"/>
    <w:rsid w:val="006D4FBE"/>
    <w:rsid w:val="006D7EBF"/>
    <w:rsid w:val="006F65F8"/>
    <w:rsid w:val="00704910"/>
    <w:rsid w:val="00713137"/>
    <w:rsid w:val="00734841"/>
    <w:rsid w:val="00736F23"/>
    <w:rsid w:val="007372F3"/>
    <w:rsid w:val="0079524D"/>
    <w:rsid w:val="007B305D"/>
    <w:rsid w:val="007E489C"/>
    <w:rsid w:val="00823369"/>
    <w:rsid w:val="00840BD8"/>
    <w:rsid w:val="008449C0"/>
    <w:rsid w:val="00850262"/>
    <w:rsid w:val="00855DA9"/>
    <w:rsid w:val="00864E98"/>
    <w:rsid w:val="008A0D28"/>
    <w:rsid w:val="008C658D"/>
    <w:rsid w:val="008E7D45"/>
    <w:rsid w:val="008F2602"/>
    <w:rsid w:val="0090783F"/>
    <w:rsid w:val="00912BAE"/>
    <w:rsid w:val="00934E4D"/>
    <w:rsid w:val="00940767"/>
    <w:rsid w:val="0099226D"/>
    <w:rsid w:val="009934C0"/>
    <w:rsid w:val="009C64CB"/>
    <w:rsid w:val="009F285A"/>
    <w:rsid w:val="00A04699"/>
    <w:rsid w:val="00A05A6D"/>
    <w:rsid w:val="00A26876"/>
    <w:rsid w:val="00A41067"/>
    <w:rsid w:val="00A73C1A"/>
    <w:rsid w:val="00A76885"/>
    <w:rsid w:val="00A77A1A"/>
    <w:rsid w:val="00A83895"/>
    <w:rsid w:val="00A9679C"/>
    <w:rsid w:val="00AC40F1"/>
    <w:rsid w:val="00AC455B"/>
    <w:rsid w:val="00AE0653"/>
    <w:rsid w:val="00AE1EE6"/>
    <w:rsid w:val="00AE2604"/>
    <w:rsid w:val="00AE513B"/>
    <w:rsid w:val="00AE776D"/>
    <w:rsid w:val="00AF2CC3"/>
    <w:rsid w:val="00AF7053"/>
    <w:rsid w:val="00B16345"/>
    <w:rsid w:val="00B17D9D"/>
    <w:rsid w:val="00B26C19"/>
    <w:rsid w:val="00B531D3"/>
    <w:rsid w:val="00B85D46"/>
    <w:rsid w:val="00B91DC0"/>
    <w:rsid w:val="00BB24F2"/>
    <w:rsid w:val="00BE11B5"/>
    <w:rsid w:val="00BE7749"/>
    <w:rsid w:val="00BF0FAD"/>
    <w:rsid w:val="00BF72BB"/>
    <w:rsid w:val="00C06615"/>
    <w:rsid w:val="00C11056"/>
    <w:rsid w:val="00C52770"/>
    <w:rsid w:val="00C53C8C"/>
    <w:rsid w:val="00C6348E"/>
    <w:rsid w:val="00C81CFD"/>
    <w:rsid w:val="00C855AF"/>
    <w:rsid w:val="00C85DD7"/>
    <w:rsid w:val="00CB410D"/>
    <w:rsid w:val="00CE6D02"/>
    <w:rsid w:val="00D471A1"/>
    <w:rsid w:val="00D76A72"/>
    <w:rsid w:val="00D901CE"/>
    <w:rsid w:val="00DB159E"/>
    <w:rsid w:val="00DC27DF"/>
    <w:rsid w:val="00DC70F2"/>
    <w:rsid w:val="00DF223C"/>
    <w:rsid w:val="00E05FD0"/>
    <w:rsid w:val="00E32E49"/>
    <w:rsid w:val="00E33AF5"/>
    <w:rsid w:val="00E5240C"/>
    <w:rsid w:val="00E829F3"/>
    <w:rsid w:val="00EB27A6"/>
    <w:rsid w:val="00EC5B98"/>
    <w:rsid w:val="00EF151E"/>
    <w:rsid w:val="00EF7444"/>
    <w:rsid w:val="00F075E7"/>
    <w:rsid w:val="00F25709"/>
    <w:rsid w:val="00F32CF3"/>
    <w:rsid w:val="00F3654F"/>
    <w:rsid w:val="00F40593"/>
    <w:rsid w:val="00F6703C"/>
    <w:rsid w:val="00F867E7"/>
    <w:rsid w:val="00FA39D5"/>
    <w:rsid w:val="00FC14CE"/>
    <w:rsid w:val="00FC18FC"/>
    <w:rsid w:val="00FD6B33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0EFD2"/>
  <w15:docId w15:val="{352B7014-C028-4D63-A925-C49F5CAC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89" w:lineRule="auto"/>
      <w:ind w:left="10" w:right="58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nhideWhenUsed/>
    <w:qFormat/>
    <w:pPr>
      <w:keepNext/>
      <w:keepLines/>
      <w:spacing w:after="28"/>
      <w:ind w:left="26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2">
    <w:name w:val="heading 2"/>
    <w:basedOn w:val="Normalny"/>
    <w:next w:val="Normalny"/>
    <w:link w:val="Nagwek2Znak"/>
    <w:unhideWhenUsed/>
    <w:qFormat/>
    <w:rsid w:val="009407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0767"/>
    <w:pPr>
      <w:keepNext/>
      <w:keepLines/>
      <w:spacing w:before="160" w:after="80" w:line="240" w:lineRule="auto"/>
      <w:ind w:left="0" w:right="0" w:firstLine="0"/>
      <w:jc w:val="left"/>
      <w:outlineLvl w:val="2"/>
    </w:pPr>
    <w:rPr>
      <w:rFonts w:ascii="Times New Roman" w:eastAsiaTheme="majorEastAsia" w:hAnsi="Times New Roman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0767"/>
    <w:pPr>
      <w:keepNext/>
      <w:keepLines/>
      <w:spacing w:before="80" w:after="40" w:line="240" w:lineRule="auto"/>
      <w:ind w:left="0" w:right="0" w:firstLine="0"/>
      <w:jc w:val="left"/>
      <w:outlineLvl w:val="3"/>
    </w:pPr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0767"/>
    <w:pPr>
      <w:keepNext/>
      <w:keepLines/>
      <w:spacing w:before="80" w:after="40" w:line="240" w:lineRule="auto"/>
      <w:ind w:left="0" w:right="0" w:firstLine="0"/>
      <w:jc w:val="left"/>
      <w:outlineLvl w:val="4"/>
    </w:pPr>
    <w:rPr>
      <w:rFonts w:ascii="Times New Roman" w:eastAsiaTheme="majorEastAsia" w:hAnsi="Times New Roman" w:cstheme="majorBidi"/>
      <w:color w:val="2E74B5" w:themeColor="accent1" w:themeShade="BF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0767"/>
    <w:pPr>
      <w:keepNext/>
      <w:keepLines/>
      <w:spacing w:before="40" w:after="0" w:line="240" w:lineRule="auto"/>
      <w:ind w:left="0" w:right="0" w:firstLine="0"/>
      <w:jc w:val="left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0767"/>
    <w:pPr>
      <w:keepNext/>
      <w:keepLines/>
      <w:spacing w:before="40" w:after="0" w:line="240" w:lineRule="auto"/>
      <w:ind w:left="0" w:right="0" w:firstLine="0"/>
      <w:jc w:val="left"/>
      <w:outlineLvl w:val="6"/>
    </w:pPr>
    <w:rPr>
      <w:rFonts w:ascii="Times New Roman" w:eastAsiaTheme="majorEastAsia" w:hAnsi="Times New Roman" w:cstheme="majorBidi"/>
      <w:color w:val="595959" w:themeColor="text1" w:themeTint="A6"/>
      <w:sz w:val="24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0767"/>
    <w:pPr>
      <w:keepNext/>
      <w:keepLines/>
      <w:spacing w:after="0" w:line="240" w:lineRule="auto"/>
      <w:ind w:left="0" w:right="0" w:firstLine="0"/>
      <w:jc w:val="left"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0767"/>
    <w:pPr>
      <w:keepNext/>
      <w:keepLines/>
      <w:spacing w:after="0" w:line="240" w:lineRule="auto"/>
      <w:ind w:left="0" w:right="0" w:firstLine="0"/>
      <w:jc w:val="left"/>
      <w:outlineLvl w:val="8"/>
    </w:pPr>
    <w:rPr>
      <w:rFonts w:ascii="Times New Roman" w:eastAsiaTheme="majorEastAsia" w:hAnsi="Times New Roman" w:cstheme="majorBidi"/>
      <w:color w:val="272727" w:themeColor="text1" w:themeTint="D8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173799"/>
    <w:pPr>
      <w:ind w:left="720"/>
      <w:contextualSpacing/>
    </w:pPr>
  </w:style>
  <w:style w:type="paragraph" w:customStyle="1" w:styleId="Default">
    <w:name w:val="Default"/>
    <w:rsid w:val="008E7D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8E7D45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AE513B"/>
    <w:pPr>
      <w:suppressAutoHyphens/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E5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85A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6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61FF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D6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61FF"/>
    <w:rPr>
      <w:rFonts w:ascii="Arial" w:eastAsia="Arial" w:hAnsi="Arial" w:cs="Arial"/>
      <w:color w:val="000000"/>
    </w:rPr>
  </w:style>
  <w:style w:type="paragraph" w:styleId="NormalnyWeb">
    <w:name w:val="Normal (Web)"/>
    <w:basedOn w:val="Normalny"/>
    <w:rsid w:val="00DB159E"/>
    <w:pPr>
      <w:suppressAutoHyphens/>
      <w:spacing w:before="280" w:after="119" w:line="240" w:lineRule="auto"/>
      <w:ind w:left="0" w:right="0" w:firstLine="0"/>
      <w:jc w:val="left"/>
    </w:pPr>
    <w:rPr>
      <w:rFonts w:ascii="Liberation Serif" w:eastAsia="SimSun" w:hAnsi="Liberation Serif"/>
      <w:color w:val="auto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6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6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6EEA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6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6EEA"/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07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0767"/>
    <w:rPr>
      <w:rFonts w:ascii="Times New Roman" w:eastAsiaTheme="majorEastAsia" w:hAnsi="Times New Roman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0767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0767"/>
    <w:rPr>
      <w:rFonts w:ascii="Times New Roman" w:eastAsiaTheme="majorEastAsia" w:hAnsi="Times New Roman" w:cstheme="majorBidi"/>
      <w:color w:val="2E74B5" w:themeColor="accent1" w:themeShade="BF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0767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0767"/>
    <w:rPr>
      <w:rFonts w:ascii="Times New Roman" w:eastAsiaTheme="majorEastAsia" w:hAnsi="Times New Roman" w:cstheme="majorBidi"/>
      <w:color w:val="595959" w:themeColor="text1" w:themeTint="A6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0767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0767"/>
    <w:rPr>
      <w:rFonts w:ascii="Times New Roman" w:eastAsiaTheme="majorEastAsia" w:hAnsi="Times New Roman" w:cstheme="majorBidi"/>
      <w:color w:val="272727" w:themeColor="text1" w:themeTint="D8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0767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0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0767"/>
    <w:pPr>
      <w:numPr>
        <w:ilvl w:val="1"/>
      </w:numPr>
      <w:spacing w:after="160" w:line="240" w:lineRule="auto"/>
      <w:ind w:left="10" w:right="0" w:hanging="10"/>
      <w:jc w:val="left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0767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0767"/>
    <w:pPr>
      <w:spacing w:before="160" w:after="160" w:line="240" w:lineRule="auto"/>
      <w:ind w:left="0" w:right="0" w:firstLine="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940767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0"/>
    </w:rPr>
  </w:style>
  <w:style w:type="character" w:styleId="Wyrnienieintensywne">
    <w:name w:val="Intense Emphasis"/>
    <w:basedOn w:val="Domylnaczcionkaakapitu"/>
    <w:uiPriority w:val="21"/>
    <w:qFormat/>
    <w:rsid w:val="0094076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076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 w:firstLine="0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0767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0"/>
    </w:rPr>
  </w:style>
  <w:style w:type="character" w:styleId="Odwoanieintensywne">
    <w:name w:val="Intense Reference"/>
    <w:basedOn w:val="Domylnaczcionkaakapitu"/>
    <w:uiPriority w:val="32"/>
    <w:qFormat/>
    <w:rsid w:val="00940767"/>
    <w:rPr>
      <w:b/>
      <w:bCs/>
      <w:smallCaps/>
      <w:color w:val="2E74B5" w:themeColor="accent1" w:themeShade="BF"/>
      <w:spacing w:val="5"/>
    </w:rPr>
  </w:style>
  <w:style w:type="paragraph" w:customStyle="1" w:styleId="Lista-poziom4">
    <w:name w:val="Lista - poziom 4"/>
    <w:basedOn w:val="Normalny"/>
    <w:rsid w:val="00940767"/>
    <w:pPr>
      <w:numPr>
        <w:numId w:val="25"/>
      </w:numPr>
      <w:spacing w:after="0" w:line="240" w:lineRule="auto"/>
      <w:ind w:right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styleId="Numerstrony">
    <w:name w:val="page number"/>
    <w:basedOn w:val="Domylnaczcionkaakapitu"/>
    <w:rsid w:val="00940767"/>
  </w:style>
  <w:style w:type="paragraph" w:customStyle="1" w:styleId="hatextformat">
    <w:name w:val="hatextformat"/>
    <w:basedOn w:val="Normalny"/>
    <w:rsid w:val="0094076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9407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363E77"/>
    <w:rPr>
      <w:color w:val="96607D"/>
      <w:u w:val="single"/>
    </w:rPr>
  </w:style>
  <w:style w:type="paragraph" w:customStyle="1" w:styleId="msonormal0">
    <w:name w:val="msonormal"/>
    <w:basedOn w:val="Normalny"/>
    <w:rsid w:val="00363E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5">
    <w:name w:val="xl65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sz w:val="20"/>
      <w:szCs w:val="20"/>
    </w:rPr>
  </w:style>
  <w:style w:type="paragraph" w:customStyle="1" w:styleId="xl66">
    <w:name w:val="xl66"/>
    <w:basedOn w:val="Normalny"/>
    <w:rsid w:val="00363E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67">
    <w:name w:val="xl67"/>
    <w:basedOn w:val="Normalny"/>
    <w:rsid w:val="00363E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69">
    <w:name w:val="xl69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70">
    <w:name w:val="xl70"/>
    <w:basedOn w:val="Normalny"/>
    <w:rsid w:val="00363E77"/>
    <w:pPr>
      <w:pBdr>
        <w:bottom w:val="single" w:sz="4" w:space="0" w:color="auto"/>
        <w:right w:val="single" w:sz="4" w:space="0" w:color="auto"/>
      </w:pBdr>
      <w:shd w:val="clear" w:color="000000" w:fill="8EAADB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71">
    <w:name w:val="xl71"/>
    <w:basedOn w:val="Normalny"/>
    <w:rsid w:val="00363E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ADB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72">
    <w:name w:val="xl72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b/>
      <w:bCs/>
      <w:sz w:val="20"/>
      <w:szCs w:val="20"/>
    </w:rPr>
  </w:style>
  <w:style w:type="paragraph" w:customStyle="1" w:styleId="xl73">
    <w:name w:val="xl73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74">
    <w:name w:val="xl74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75">
    <w:name w:val="xl75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color w:val="FF0000"/>
      <w:sz w:val="20"/>
      <w:szCs w:val="20"/>
    </w:rPr>
  </w:style>
  <w:style w:type="paragraph" w:customStyle="1" w:styleId="xl76">
    <w:name w:val="xl76"/>
    <w:basedOn w:val="Normalny"/>
    <w:rsid w:val="00363E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77">
    <w:name w:val="xl77"/>
    <w:basedOn w:val="Normalny"/>
    <w:rsid w:val="00363E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78">
    <w:name w:val="xl78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79">
    <w:name w:val="xl79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80">
    <w:name w:val="xl80"/>
    <w:basedOn w:val="Normalny"/>
    <w:rsid w:val="00363E77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81">
    <w:name w:val="xl81"/>
    <w:basedOn w:val="Normalny"/>
    <w:rsid w:val="00363E77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FF0000"/>
      <w:sz w:val="20"/>
      <w:szCs w:val="20"/>
    </w:rPr>
  </w:style>
  <w:style w:type="paragraph" w:customStyle="1" w:styleId="xl82">
    <w:name w:val="xl82"/>
    <w:basedOn w:val="Normalny"/>
    <w:rsid w:val="00363E77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3">
    <w:name w:val="xl83"/>
    <w:basedOn w:val="Normalny"/>
    <w:rsid w:val="00363E77"/>
    <w:pP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4">
    <w:name w:val="xl84"/>
    <w:basedOn w:val="Normalny"/>
    <w:rsid w:val="00363E77"/>
    <w:pPr>
      <w:shd w:val="clear" w:color="000000" w:fill="F7C7AC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85">
    <w:name w:val="xl85"/>
    <w:basedOn w:val="Normalny"/>
    <w:rsid w:val="00363E77"/>
    <w:pPr>
      <w:pBdr>
        <w:bottom w:val="single" w:sz="4" w:space="0" w:color="auto"/>
      </w:pBdr>
      <w:shd w:val="clear" w:color="000000" w:fill="8EAADB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86">
    <w:name w:val="xl86"/>
    <w:basedOn w:val="Normalny"/>
    <w:rsid w:val="00363E77"/>
    <w:pPr>
      <w:pBdr>
        <w:top w:val="single" w:sz="4" w:space="0" w:color="auto"/>
        <w:bottom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363E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88">
    <w:name w:val="xl88"/>
    <w:basedOn w:val="Normalny"/>
    <w:rsid w:val="00363E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FF0000"/>
      <w:sz w:val="20"/>
      <w:szCs w:val="20"/>
    </w:rPr>
  </w:style>
  <w:style w:type="paragraph" w:customStyle="1" w:styleId="xl89">
    <w:name w:val="xl89"/>
    <w:basedOn w:val="Normalny"/>
    <w:rsid w:val="00363E77"/>
    <w:pPr>
      <w:pBdr>
        <w:top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90">
    <w:name w:val="xl90"/>
    <w:basedOn w:val="Normalny"/>
    <w:rsid w:val="00363E77"/>
    <w:pPr>
      <w:pBdr>
        <w:top w:val="single" w:sz="4" w:space="0" w:color="auto"/>
        <w:bottom w:val="single" w:sz="4" w:space="0" w:color="auto"/>
      </w:pBdr>
      <w:shd w:val="clear" w:color="000000" w:fill="D9E2F3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91">
    <w:name w:val="xl91"/>
    <w:basedOn w:val="Normalny"/>
    <w:rsid w:val="00363E77"/>
    <w:pPr>
      <w:pBdr>
        <w:top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92">
    <w:name w:val="xl92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ADB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93">
    <w:name w:val="xl93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FF0000"/>
      <w:sz w:val="20"/>
      <w:szCs w:val="20"/>
    </w:rPr>
  </w:style>
  <w:style w:type="paragraph" w:customStyle="1" w:styleId="xl94">
    <w:name w:val="xl94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95">
    <w:name w:val="xl95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96">
    <w:name w:val="xl96"/>
    <w:basedOn w:val="Normalny"/>
    <w:rsid w:val="00363E77"/>
    <w:pPr>
      <w:pBdr>
        <w:top w:val="single" w:sz="4" w:space="0" w:color="auto"/>
        <w:bottom w:val="single" w:sz="4" w:space="0" w:color="auto"/>
      </w:pBdr>
      <w:shd w:val="clear" w:color="000000" w:fill="F7C7AC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Aptos" w:eastAsia="Times New Roman" w:hAnsi="Aptos" w:cs="Times New Roman"/>
      <w:b/>
      <w:bCs/>
      <w:color w:val="auto"/>
      <w:sz w:val="20"/>
      <w:szCs w:val="20"/>
    </w:rPr>
  </w:style>
  <w:style w:type="paragraph" w:customStyle="1" w:styleId="xl97">
    <w:name w:val="xl97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98">
    <w:name w:val="xl98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99">
    <w:name w:val="xl99"/>
    <w:basedOn w:val="Normalny"/>
    <w:rsid w:val="00363E77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  <w:style w:type="paragraph" w:customStyle="1" w:styleId="xl100">
    <w:name w:val="xl100"/>
    <w:basedOn w:val="Normalny"/>
    <w:rsid w:val="00363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Aptos" w:eastAsia="Times New Roman" w:hAnsi="Apto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F073-406C-476C-B128-BE8B7D547B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c14d9e5-93cd-47e1-9cd8-fd00404a29a8}" enabled="1" method="Standard" siteId="{c98df534-5e36-459a-ac3f-8c2e449863b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4553</Words>
  <Characters>27322</Characters>
  <Application>Microsoft Office Word</Application>
  <DocSecurity>4</DocSecurity>
  <Lines>227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 RZP   33/</vt:lpstr>
      <vt:lpstr>UMOWA NR RZP   33/</vt:lpstr>
    </vt:vector>
  </TitlesOfParts>
  <Company>Szpital Wojewódzki nr 2 w Rzeszowie</Company>
  <LinksUpToDate>false</LinksUpToDate>
  <CharactersWithSpaces>31812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RZP   33/</dc:title>
  <dc:subject/>
  <dc:creator>Damian Dorosz</dc:creator>
  <cp:keywords/>
  <cp:lastModifiedBy>Office 365-Licencja1</cp:lastModifiedBy>
  <cp:revision>2</cp:revision>
  <cp:lastPrinted>2026-04-01T13:34:00Z</cp:lastPrinted>
  <dcterms:created xsi:type="dcterms:W3CDTF">2026-04-16T12:36:00Z</dcterms:created>
  <dcterms:modified xsi:type="dcterms:W3CDTF">2026-04-16T12:36:00Z</dcterms:modified>
</cp:coreProperties>
</file>