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24AEC" w14:textId="77777777" w:rsidR="00C53462" w:rsidRDefault="00C53462" w:rsidP="00C53462">
      <w:pPr>
        <w:spacing w:before="0" w:after="0"/>
        <w:jc w:val="center"/>
        <w:rPr>
          <w:rFonts w:asciiTheme="minorHAnsi" w:hAnsiTheme="minorHAnsi" w:cstheme="minorHAnsi"/>
        </w:rPr>
      </w:pPr>
    </w:p>
    <w:p w14:paraId="07968268" w14:textId="735686E7" w:rsidR="003609A7" w:rsidRPr="00C53462" w:rsidRDefault="00A13DE6" w:rsidP="00C53462">
      <w:pPr>
        <w:spacing w:before="0" w:after="0"/>
        <w:jc w:val="center"/>
        <w:rPr>
          <w:rFonts w:asciiTheme="minorHAnsi" w:hAnsiTheme="minorHAnsi" w:cstheme="minorHAnsi"/>
        </w:rPr>
      </w:pPr>
      <w:r w:rsidRPr="00A13DE6">
        <w:rPr>
          <w:rFonts w:asciiTheme="minorHAnsi" w:hAnsiTheme="minorHAnsi" w:cstheme="minorHAnsi"/>
          <w:b/>
          <w:bCs/>
        </w:rPr>
        <w:t>Parametry techniczne</w:t>
      </w:r>
    </w:p>
    <w:tbl>
      <w:tblPr>
        <w:tblW w:w="140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5428"/>
        <w:gridCol w:w="6519"/>
      </w:tblGrid>
      <w:tr w:rsidR="003609A7" w:rsidRPr="008B5FB5" w14:paraId="47CD35D3" w14:textId="77777777" w:rsidTr="00366E79">
        <w:tc>
          <w:tcPr>
            <w:tcW w:w="14034" w:type="dxa"/>
            <w:gridSpan w:val="3"/>
            <w:shd w:val="clear" w:color="auto" w:fill="F2F2F2"/>
          </w:tcPr>
          <w:p w14:paraId="774C5E5E" w14:textId="77777777" w:rsidR="003609A7" w:rsidRPr="008B5FB5" w:rsidRDefault="003609A7" w:rsidP="00727A35">
            <w:pPr>
              <w:spacing w:before="120" w:after="120" w:line="240" w:lineRule="auto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Zakup serwera do wirtualizacji – 1 szt. </w:t>
            </w:r>
          </w:p>
        </w:tc>
      </w:tr>
      <w:tr w:rsidR="003609A7" w:rsidRPr="008B5FB5" w14:paraId="4E5D59C4" w14:textId="77777777" w:rsidTr="00366E79">
        <w:tc>
          <w:tcPr>
            <w:tcW w:w="14034" w:type="dxa"/>
            <w:gridSpan w:val="3"/>
            <w:shd w:val="clear" w:color="auto" w:fill="FFFFFF"/>
          </w:tcPr>
          <w:p w14:paraId="2696A9C2" w14:textId="77777777" w:rsidR="003609A7" w:rsidRPr="008B5FB5" w:rsidRDefault="003609A7" w:rsidP="00727A35">
            <w:pPr>
              <w:spacing w:after="5" w:line="240" w:lineRule="auto"/>
              <w:ind w:left="508" w:firstLine="556"/>
              <w:jc w:val="center"/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………………………………………………………………………………………………….</w:t>
            </w:r>
          </w:p>
          <w:p w14:paraId="7CFB439A" w14:textId="77777777" w:rsidR="003609A7" w:rsidRPr="008B5FB5" w:rsidRDefault="003609A7" w:rsidP="00727A35">
            <w:pPr>
              <w:spacing w:before="0" w:after="120" w:line="240" w:lineRule="auto"/>
              <w:ind w:left="508" w:firstLine="556"/>
              <w:jc w:val="center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(nazwa producenta, nazwa i model urządzenia)</w:t>
            </w:r>
          </w:p>
        </w:tc>
      </w:tr>
      <w:tr w:rsidR="003609A7" w:rsidRPr="008B5FB5" w14:paraId="6325BE57" w14:textId="77777777" w:rsidTr="00366E79">
        <w:trPr>
          <w:trHeight w:val="283"/>
        </w:trPr>
        <w:tc>
          <w:tcPr>
            <w:tcW w:w="7513" w:type="dxa"/>
            <w:gridSpan w:val="2"/>
            <w:vAlign w:val="center"/>
          </w:tcPr>
          <w:p w14:paraId="6E49808D" w14:textId="77777777" w:rsidR="003609A7" w:rsidRPr="008B5FB5" w:rsidRDefault="003609A7" w:rsidP="00727A35">
            <w:pPr>
              <w:spacing w:before="0" w:after="5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OPIS MINIMALNYCH WYMAGANYCH PARAMETRÓW</w:t>
            </w:r>
          </w:p>
        </w:tc>
        <w:tc>
          <w:tcPr>
            <w:tcW w:w="6521" w:type="dxa"/>
            <w:vAlign w:val="center"/>
          </w:tcPr>
          <w:p w14:paraId="14D5A4F3" w14:textId="117EA22C" w:rsidR="003609A7" w:rsidRPr="008B5FB5" w:rsidRDefault="003609A7" w:rsidP="00727A35">
            <w:pPr>
              <w:spacing w:before="0" w:after="5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PARAMETRY OFEROWANEGO URZĄDZENIA</w:t>
            </w:r>
          </w:p>
        </w:tc>
      </w:tr>
      <w:tr w:rsidR="00195DA4" w:rsidRPr="008B5FB5" w14:paraId="70BD098B" w14:textId="09D2F97A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65B71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Obudowa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BF77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</w:t>
            </w:r>
            <w:proofErr w:type="spellStart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Rack</w:t>
            </w:r>
            <w:proofErr w:type="spellEnd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 wysokości max 1U z możliwością instalacji min. 8 dysków 2.5” </w:t>
            </w:r>
          </w:p>
          <w:p w14:paraId="339401A9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9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Obudowa</w:t>
            </w:r>
            <w:r w:rsidRPr="00195DA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 możliwością wyposażenia </w:t>
            </w: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 panel LCD umieszczony na froncie obudowy, umożliwiający wyświetlenie informacji o stanie procesora, pamięci, dysków, </w:t>
            </w:r>
            <w:proofErr w:type="spellStart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BIOS’u</w:t>
            </w:r>
            <w:proofErr w:type="spellEnd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, zasilaniu oraz temperaturze.</w:t>
            </w:r>
          </w:p>
          <w:p w14:paraId="50108A88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9" w:lineRule="auto"/>
              <w:ind w:left="720"/>
              <w:contextualSpacing/>
              <w:rPr>
                <w:rFonts w:asciiTheme="minorHAnsi" w:hAnsiTheme="minorHAnsi" w:cstheme="minorHAnsi"/>
                <w:sz w:val="20"/>
              </w:rPr>
            </w:pPr>
            <w:r w:rsidRPr="00195DA4">
              <w:rPr>
                <w:rFonts w:asciiTheme="minorHAnsi" w:hAnsiTheme="minorHAnsi" w:cstheme="minorHAnsi"/>
                <w:sz w:val="20"/>
              </w:rPr>
              <w:t xml:space="preserve">Obudowa wyposażona w komplet wysuwanych szyn umożliwiających montaż w szafie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</w:rPr>
              <w:t>rack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</w:rPr>
              <w:t xml:space="preserve"> i wysuwanie serwera do celów serwisowych wraz z organizatorem do kabli.</w:t>
            </w:r>
          </w:p>
          <w:p w14:paraId="259F70F4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Obudowa z możliwością wyposażenia w </w:t>
            </w:r>
            <w:r w:rsidRPr="00195DA4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kartę umożliwiającą dostęp bezpośredni poprzez urządzenia mobilne.</w:t>
            </w:r>
          </w:p>
        </w:tc>
        <w:tc>
          <w:tcPr>
            <w:tcW w:w="6519" w:type="dxa"/>
          </w:tcPr>
          <w:p w14:paraId="7DB969E6" w14:textId="77777777" w:rsidR="00195DA4" w:rsidRPr="008B5FB5" w:rsidRDefault="00195DA4" w:rsidP="00084A79">
            <w:p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95DA4" w:rsidRPr="008B5FB5" w14:paraId="0F91EFB7" w14:textId="4D209FAE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40F96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Płyta główna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6AB28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Płyta główna z możliwością zainstalowania do dwóch procesorów. </w:t>
            </w:r>
          </w:p>
          <w:p w14:paraId="74910A2D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Obsługa procesorów 32 rdzeniowych.</w:t>
            </w: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7B4048B8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Płyta główna musi być zaprojektowana przez producenta serwera i oznaczona jego znakiem firmowym.</w:t>
            </w: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C32BC18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Na płycie głównej powinno znajdować się minimum 16 slotów przeznaczonych do instalacji pamięci.</w:t>
            </w:r>
          </w:p>
          <w:p w14:paraId="7166CB4B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Płyta główna powinna obsługiwać do 1TB pamięci RAM.</w:t>
            </w:r>
          </w:p>
        </w:tc>
        <w:tc>
          <w:tcPr>
            <w:tcW w:w="6519" w:type="dxa"/>
          </w:tcPr>
          <w:p w14:paraId="779AAB40" w14:textId="77777777" w:rsidR="00195DA4" w:rsidRPr="008B5FB5" w:rsidRDefault="00195DA4" w:rsidP="00084A79">
            <w:p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95DA4" w:rsidRPr="008B5FB5" w14:paraId="65A32944" w14:textId="03A8BCAD" w:rsidTr="00366E79">
        <w:tblPrEx>
          <w:tblCellMar>
            <w:left w:w="70" w:type="dxa"/>
            <w:right w:w="70" w:type="dxa"/>
          </w:tblCellMar>
        </w:tblPrEx>
        <w:trPr>
          <w:trHeight w:val="746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5EF82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Chipset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38A0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Cs/>
                <w:sz w:val="20"/>
                <w:szCs w:val="20"/>
              </w:rPr>
              <w:t>Dedykowany przez producenta procesora do pracy w serwerach dwuprocesorowych.</w:t>
            </w:r>
          </w:p>
        </w:tc>
        <w:tc>
          <w:tcPr>
            <w:tcW w:w="6519" w:type="dxa"/>
          </w:tcPr>
          <w:p w14:paraId="7B5AE73A" w14:textId="77777777" w:rsidR="00195DA4" w:rsidRPr="008B5FB5" w:rsidRDefault="00195DA4" w:rsidP="00084A79">
            <w:p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195DA4" w:rsidRPr="008B5FB5" w14:paraId="268FC820" w14:textId="6965869E" w:rsidTr="00366E79">
        <w:tblPrEx>
          <w:tblCellMar>
            <w:left w:w="70" w:type="dxa"/>
            <w:right w:w="70" w:type="dxa"/>
          </w:tblCellMar>
        </w:tblPrEx>
        <w:trPr>
          <w:trHeight w:val="710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F90F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Procesor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88BF" w14:textId="77777777" w:rsidR="00195DA4" w:rsidRPr="00195DA4" w:rsidRDefault="00195DA4" w:rsidP="00195DA4">
            <w:pPr>
              <w:numPr>
                <w:ilvl w:val="0"/>
                <w:numId w:val="9"/>
              </w:numPr>
              <w:spacing w:before="0" w:after="0" w:line="252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Zainstalowany jeden procesor 16-rdzeniowy, min. 2.8GHz (częstotliwość bazowa), klasy x86, dedykowany do pracy z zaoferowanym serwerem, umożliwiający osiągnięcie wyniku min. 335 w teście SPECrate2017_int_base, dostępnym na stronie www.spec.org dla konfiguracji dwuprocesorowej.</w:t>
            </w:r>
          </w:p>
        </w:tc>
        <w:tc>
          <w:tcPr>
            <w:tcW w:w="6519" w:type="dxa"/>
          </w:tcPr>
          <w:p w14:paraId="76EA40A0" w14:textId="77777777" w:rsidR="00195DA4" w:rsidRPr="008B5FB5" w:rsidRDefault="00195DA4" w:rsidP="00084A79">
            <w:pPr>
              <w:spacing w:before="0" w:after="0" w:line="252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08E2FDF6" w14:textId="13BE232D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4B10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RAM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A40B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Minimum 512GB DDR5 RDIMM 5600MT/s w kościach 64GB,</w:t>
            </w:r>
          </w:p>
        </w:tc>
        <w:tc>
          <w:tcPr>
            <w:tcW w:w="6519" w:type="dxa"/>
          </w:tcPr>
          <w:p w14:paraId="0058424E" w14:textId="77777777" w:rsidR="00195DA4" w:rsidRPr="008B5FB5" w:rsidRDefault="00195DA4" w:rsidP="00084A79">
            <w:p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08725393" w14:textId="54F44C5A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702E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Gniazda PCI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55D3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minimum jeden slot </w:t>
            </w:r>
            <w:proofErr w:type="spellStart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PCIe</w:t>
            </w:r>
            <w:proofErr w:type="spellEnd"/>
          </w:p>
        </w:tc>
        <w:tc>
          <w:tcPr>
            <w:tcW w:w="6519" w:type="dxa"/>
          </w:tcPr>
          <w:p w14:paraId="3B22045F" w14:textId="77777777" w:rsidR="00195DA4" w:rsidRPr="008B5FB5" w:rsidRDefault="00195DA4" w:rsidP="00084A79">
            <w:p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95DA4" w:rsidRPr="008B5FB5" w14:paraId="2306B10C" w14:textId="230E730D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F2AA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Kontroler RAID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2972" w14:textId="77777777" w:rsidR="00195DA4" w:rsidRPr="00195DA4" w:rsidRDefault="00195DA4" w:rsidP="00195DA4">
            <w:pPr>
              <w:numPr>
                <w:ilvl w:val="0"/>
                <w:numId w:val="9"/>
              </w:numPr>
              <w:spacing w:before="0" w:after="0" w:line="252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Sprzętowy kontroler dyskowy z podtrzymywaniem bateryjnym, posiadający</w:t>
            </w:r>
          </w:p>
          <w:p w14:paraId="7CA0AB0A" w14:textId="77777777" w:rsidR="00195DA4" w:rsidRPr="00195DA4" w:rsidRDefault="00195DA4" w:rsidP="00195DA4">
            <w:pPr>
              <w:numPr>
                <w:ilvl w:val="1"/>
                <w:numId w:val="5"/>
              </w:numPr>
              <w:spacing w:before="0" w:after="0" w:line="252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konfiguracji poziomów RAID: 0, 1, 5, 6, 10, 50, 60.</w:t>
            </w:r>
          </w:p>
          <w:p w14:paraId="3ACE9A6A" w14:textId="77777777" w:rsidR="00195DA4" w:rsidRPr="00195DA4" w:rsidRDefault="00195DA4" w:rsidP="00195DA4">
            <w:pPr>
              <w:spacing w:after="0"/>
              <w:ind w:left="72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19" w:type="dxa"/>
          </w:tcPr>
          <w:p w14:paraId="7C607896" w14:textId="77777777" w:rsidR="00195DA4" w:rsidRPr="008B5FB5" w:rsidRDefault="00195DA4" w:rsidP="00084A79">
            <w:pPr>
              <w:spacing w:before="0" w:after="0" w:line="252" w:lineRule="auto"/>
              <w:ind w:left="720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95DA4" w:rsidRPr="008B5FB5" w14:paraId="7A742207" w14:textId="1BFEFB8B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D959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Dyski twarde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09D2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Zainstalowane </w:t>
            </w:r>
          </w:p>
          <w:p w14:paraId="139A72A4" w14:textId="77777777" w:rsidR="00195DA4" w:rsidRPr="00195DA4" w:rsidRDefault="00195DA4" w:rsidP="00195DA4">
            <w:pPr>
              <w:numPr>
                <w:ilvl w:val="1"/>
                <w:numId w:val="4"/>
              </w:numPr>
              <w:spacing w:before="0" w:after="160" w:line="252" w:lineRule="auto"/>
              <w:ind w:left="144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2x dysk SSD SATA o pojemności min. 960GB, 6Gb, 2,5“ Hot-Plug.</w:t>
            </w:r>
          </w:p>
          <w:p w14:paraId="272CBDA5" w14:textId="77777777" w:rsidR="00195DA4" w:rsidRPr="00195DA4" w:rsidRDefault="00195DA4" w:rsidP="00195DA4">
            <w:pPr>
              <w:numPr>
                <w:ilvl w:val="0"/>
                <w:numId w:val="4"/>
              </w:num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Możliwość zainstalowania dwóch dysków M.2 </w:t>
            </w:r>
            <w:proofErr w:type="spellStart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NVMe</w:t>
            </w:r>
            <w:proofErr w:type="spellEnd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SSD o pojemności min. 960GB</w:t>
            </w:r>
          </w:p>
        </w:tc>
        <w:tc>
          <w:tcPr>
            <w:tcW w:w="6519" w:type="dxa"/>
          </w:tcPr>
          <w:p w14:paraId="2004D073" w14:textId="77777777" w:rsidR="00195DA4" w:rsidRPr="008B5FB5" w:rsidRDefault="00195DA4" w:rsidP="00084A79">
            <w:p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69285801" w14:textId="73BD9428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647F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Interfejsy sieciowe/FC/SAS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4303" w14:textId="77777777" w:rsidR="00195DA4" w:rsidRPr="00195DA4" w:rsidRDefault="00195DA4" w:rsidP="00195DA4">
            <w:pPr>
              <w:numPr>
                <w:ilvl w:val="0"/>
                <w:numId w:val="6"/>
              </w:numPr>
              <w:spacing w:before="0" w:after="0" w:line="252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Wbudowane min. </w:t>
            </w: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 interfejsy sieciowe 1Gb Ethernet w standardzie </w:t>
            </w:r>
            <w:proofErr w:type="spellStart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BaseT</w:t>
            </w:r>
            <w:proofErr w:type="spellEnd"/>
          </w:p>
          <w:p w14:paraId="695DB2FD" w14:textId="77777777" w:rsidR="00195DA4" w:rsidRPr="00195DA4" w:rsidRDefault="00195DA4" w:rsidP="00195DA4">
            <w:pPr>
              <w:numPr>
                <w:ilvl w:val="0"/>
                <w:numId w:val="6"/>
              </w:numPr>
              <w:spacing w:before="0" w:after="0" w:line="252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 interfejsy sieciowe 25Gb Ethernet w standardzie SFP28 (porty nie mogą być osiągnięte poprzez karty w slotach </w:t>
            </w:r>
            <w:proofErr w:type="spellStart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PCIe</w:t>
            </w:r>
            <w:proofErr w:type="spellEnd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)</w:t>
            </w:r>
          </w:p>
          <w:p w14:paraId="4AA87923" w14:textId="77777777" w:rsidR="00195DA4" w:rsidRPr="00195DA4" w:rsidRDefault="00195DA4" w:rsidP="00195DA4">
            <w:pPr>
              <w:numPr>
                <w:ilvl w:val="0"/>
                <w:numId w:val="6"/>
              </w:numPr>
              <w:spacing w:before="0" w:after="0" w:line="252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 interfejsy sieciowe 25Gb Ethernet w standardzie SFP28 </w:t>
            </w:r>
          </w:p>
          <w:p w14:paraId="3C3C1CC4" w14:textId="77777777" w:rsidR="00195DA4" w:rsidRPr="00195DA4" w:rsidRDefault="00195DA4" w:rsidP="00195DA4">
            <w:pPr>
              <w:numPr>
                <w:ilvl w:val="0"/>
                <w:numId w:val="6"/>
              </w:numPr>
              <w:spacing w:before="0" w:after="0" w:line="252" w:lineRule="auto"/>
              <w:contextualSpacing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 zestawie z serwerem muszą znajdować się 2 kable DAC 10GbE SFP+/SFP+ min. 3m, dostarczone przez producenta serwera</w:t>
            </w:r>
          </w:p>
        </w:tc>
        <w:tc>
          <w:tcPr>
            <w:tcW w:w="6519" w:type="dxa"/>
          </w:tcPr>
          <w:p w14:paraId="4AE9AE34" w14:textId="77777777" w:rsidR="00195DA4" w:rsidRPr="008B5FB5" w:rsidRDefault="00195DA4" w:rsidP="00084A79">
            <w:pPr>
              <w:spacing w:before="0" w:after="0" w:line="252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011A498A" w14:textId="01CCDB7C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FF2C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Elementy montażowe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0889" w14:textId="77777777" w:rsidR="00195DA4" w:rsidRPr="00195DA4" w:rsidRDefault="00195DA4" w:rsidP="00195DA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 w:line="240" w:lineRule="auto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Komplet wysuwanych szyn umożliwiających montaż w szafie </w:t>
            </w:r>
            <w:proofErr w:type="spellStart"/>
            <w:r w:rsidRPr="00195DA4">
              <w:rPr>
                <w:rFonts w:asciiTheme="minorHAnsi" w:eastAsiaTheme="minorHAnsi" w:hAnsiTheme="minorHAnsi" w:cstheme="minorHAnsi"/>
                <w:sz w:val="20"/>
                <w:szCs w:val="20"/>
              </w:rPr>
              <w:t>rack</w:t>
            </w:r>
            <w:proofErr w:type="spellEnd"/>
            <w:r w:rsidRPr="00195DA4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i wysuwanie serwera do celów serwisowych</w:t>
            </w:r>
          </w:p>
        </w:tc>
        <w:tc>
          <w:tcPr>
            <w:tcW w:w="6519" w:type="dxa"/>
          </w:tcPr>
          <w:p w14:paraId="2B0CC850" w14:textId="77777777" w:rsidR="00195DA4" w:rsidRPr="008B5FB5" w:rsidRDefault="00195DA4" w:rsidP="00084A79">
            <w:pPr>
              <w:autoSpaceDE w:val="0"/>
              <w:autoSpaceDN w:val="0"/>
              <w:adjustRightInd w:val="0"/>
              <w:spacing w:before="0" w:after="0" w:line="240" w:lineRule="auto"/>
              <w:ind w:left="720"/>
              <w:jc w:val="both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2EC6275A" w14:textId="246D7B9C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D779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Wbudowane porty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1A78" w14:textId="77777777" w:rsidR="00195DA4" w:rsidRPr="00195DA4" w:rsidRDefault="00195DA4" w:rsidP="00195DA4">
            <w:pPr>
              <w:numPr>
                <w:ilvl w:val="0"/>
                <w:numId w:val="5"/>
              </w:numPr>
              <w:spacing w:before="0" w:after="160"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4 porty USB w tym min: </w:t>
            </w:r>
          </w:p>
          <w:p w14:paraId="5D7A46E8" w14:textId="77777777" w:rsidR="00195DA4" w:rsidRPr="00195DA4" w:rsidRDefault="00195DA4" w:rsidP="00195DA4">
            <w:pPr>
              <w:numPr>
                <w:ilvl w:val="1"/>
                <w:numId w:val="5"/>
              </w:numPr>
              <w:spacing w:before="0" w:after="160"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 port USB 3.0 z tyłu obudowy, </w:t>
            </w:r>
          </w:p>
          <w:p w14:paraId="36FF1FE7" w14:textId="77777777" w:rsidR="00195DA4" w:rsidRPr="00195DA4" w:rsidRDefault="00195DA4" w:rsidP="00195DA4">
            <w:pPr>
              <w:numPr>
                <w:ilvl w:val="1"/>
                <w:numId w:val="5"/>
              </w:numPr>
              <w:spacing w:before="0" w:after="160"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 port micro USB z przodu obudowy</w:t>
            </w:r>
          </w:p>
          <w:p w14:paraId="7477B0CA" w14:textId="77777777" w:rsidR="00195DA4" w:rsidRPr="00195DA4" w:rsidRDefault="00195DA4" w:rsidP="00195DA4">
            <w:pPr>
              <w:numPr>
                <w:ilvl w:val="0"/>
                <w:numId w:val="5"/>
              </w:numPr>
              <w:spacing w:before="0" w:after="160" w:line="240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 port VGA z czego jeden z przodu obudowy </w:t>
            </w:r>
          </w:p>
        </w:tc>
        <w:tc>
          <w:tcPr>
            <w:tcW w:w="6519" w:type="dxa"/>
          </w:tcPr>
          <w:p w14:paraId="172BD249" w14:textId="77777777" w:rsidR="00195DA4" w:rsidRPr="008B5FB5" w:rsidRDefault="00195DA4" w:rsidP="00084A79">
            <w:pPr>
              <w:spacing w:before="0" w:after="160" w:line="240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95DA4" w:rsidRPr="008B5FB5" w14:paraId="482E5AE6" w14:textId="072F005B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65D1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Video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A64A" w14:textId="77777777" w:rsidR="00195DA4" w:rsidRPr="00195DA4" w:rsidRDefault="00195DA4" w:rsidP="00195DA4">
            <w:pPr>
              <w:numPr>
                <w:ilvl w:val="0"/>
                <w:numId w:val="5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Zintegrowana karta graficzna umożliwiająca wyświetlenie rozdzielczości min. 1920x1200</w:t>
            </w:r>
          </w:p>
        </w:tc>
        <w:tc>
          <w:tcPr>
            <w:tcW w:w="6519" w:type="dxa"/>
          </w:tcPr>
          <w:p w14:paraId="312D61A0" w14:textId="77777777" w:rsidR="00195DA4" w:rsidRPr="008B5FB5" w:rsidRDefault="00195DA4" w:rsidP="00084A79">
            <w:p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95DA4" w:rsidRPr="008B5FB5" w14:paraId="5516C5E3" w14:textId="3507044D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F742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Zasilacze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6051" w14:textId="77777777" w:rsidR="00195DA4" w:rsidRPr="00195DA4" w:rsidRDefault="00195DA4" w:rsidP="00195DA4">
            <w:pPr>
              <w:numPr>
                <w:ilvl w:val="0"/>
                <w:numId w:val="5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Redundantne, Hot-Plug min. 700W klasy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Titanium</w:t>
            </w:r>
            <w:proofErr w:type="spellEnd"/>
          </w:p>
        </w:tc>
        <w:tc>
          <w:tcPr>
            <w:tcW w:w="6519" w:type="dxa"/>
          </w:tcPr>
          <w:p w14:paraId="693CDB42" w14:textId="77777777" w:rsidR="00195DA4" w:rsidRPr="008B5FB5" w:rsidRDefault="00195DA4" w:rsidP="00084A79">
            <w:p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5FCEF9A2" w14:textId="5EB45249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73B9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System operacyjny/dodatkowe oprogramowanie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6D62" w14:textId="77777777" w:rsidR="00195DA4" w:rsidRPr="00195DA4" w:rsidRDefault="00195DA4" w:rsidP="00195DA4">
            <w:pPr>
              <w:numPr>
                <w:ilvl w:val="0"/>
                <w:numId w:val="5"/>
              </w:numPr>
              <w:spacing w:before="0" w:after="160"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Fabrycznie zainstalowany Windows Server 2025 Standard z możliwością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downgrade’u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do wersji 2022 lub równoważny.</w:t>
            </w:r>
          </w:p>
          <w:p w14:paraId="6686EEAA" w14:textId="77777777" w:rsidR="00195DA4" w:rsidRPr="00195DA4" w:rsidRDefault="00195DA4" w:rsidP="00195DA4">
            <w:pPr>
              <w:numPr>
                <w:ilvl w:val="0"/>
                <w:numId w:val="5"/>
              </w:numPr>
              <w:spacing w:before="0" w:after="160"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Dołączony przez producenta serwera nośnik umożliwiający instalację wersji 2022 Standard oraz 2025 Standard</w:t>
            </w:r>
          </w:p>
          <w:p w14:paraId="617ED416" w14:textId="77777777" w:rsidR="00195DA4" w:rsidRPr="00195DA4" w:rsidRDefault="00195DA4" w:rsidP="00195DA4">
            <w:pPr>
              <w:numPr>
                <w:ilvl w:val="0"/>
                <w:numId w:val="5"/>
              </w:numPr>
              <w:spacing w:before="0" w:after="160"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Licencja pokrywająca wszystkie fizyczne rdzenie w serwerze</w:t>
            </w:r>
          </w:p>
          <w:p w14:paraId="599B3226" w14:textId="77777777" w:rsidR="00195DA4" w:rsidRPr="00195DA4" w:rsidRDefault="00195DA4" w:rsidP="00195DA4">
            <w:pPr>
              <w:numPr>
                <w:ilvl w:val="0"/>
                <w:numId w:val="5"/>
              </w:numPr>
              <w:spacing w:before="0" w:after="160" w:line="240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Licencja Microsoft Windows Server 2025 - Licencja na użytkownika (User CAL) – 220 szt.</w:t>
            </w:r>
          </w:p>
          <w:p w14:paraId="31DFB3B2" w14:textId="77777777" w:rsidR="00195DA4" w:rsidRPr="00195DA4" w:rsidRDefault="00195DA4" w:rsidP="00195DA4">
            <w:pPr>
              <w:spacing w:before="0" w:after="1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DFD8FF9" w14:textId="77777777" w:rsidR="00195DA4" w:rsidRPr="00195DA4" w:rsidRDefault="00195DA4" w:rsidP="00195DA4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Równoważny system operacyjny musi posiadać następujące, wbudowane cechy: </w:t>
            </w:r>
          </w:p>
          <w:p w14:paraId="33893B45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wykorzystania, co najmniej 320 logicznych procesorów oraz co najmniej 4 TB pamięci RAM w środowisku fizycznym, </w:t>
            </w:r>
          </w:p>
          <w:p w14:paraId="32B38AA0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wykorzystywania 64 procesorów wirtualnych oraz 1TB pamięci RAM i dysku o pojemności min. 64TB przez każdy wirtualny serwerowy system operacyjny, </w:t>
            </w:r>
          </w:p>
          <w:p w14:paraId="2CD9FDAF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budowania klastrów składających się z 64 węzłów, z możliwością uruchamiania do 8000 maszyn wirtualnych, </w:t>
            </w:r>
          </w:p>
          <w:p w14:paraId="41E5E915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migracji maszyn wirtualnych bez zatrzymywania ich pracy między fizycznymi serwerami z uruchomionym mechanizmem wirtualizacji (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hypervisor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) przez sieć Ethernet, bez konieczności stosowania dodatkowych mechanizmów współdzielenia pamięci, </w:t>
            </w:r>
          </w:p>
          <w:p w14:paraId="2C2BA18C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wsparcie (na umożliwiającym to sprzęcie) dodawania i wymiany pamięci RAM bez przerywania pracy, </w:t>
            </w:r>
          </w:p>
          <w:p w14:paraId="20E14650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wsparcie (na umożliwiającym to sprzęcie) dodawania i wymiany procesorów bez przerywania pracy, </w:t>
            </w:r>
          </w:p>
          <w:p w14:paraId="7D53255A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automatyczna weryfikacja cyfrowych sygnatur sterowników w celu sprawdzenia, czy sterownik przeszedł testy jakości przeprowadzone przez producenta systemu operacyjnego, możliwość dynamicznego obniżania poboru energii przez rdzenie procesorów niewykorzystywane w bieżącej pracy (mechanizm ten musi uwzględniać specyfikę procesorów wyposażonych w mechanizmy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Hyper-Threading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), </w:t>
            </w:r>
          </w:p>
          <w:p w14:paraId="79CCFA08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wbudowane wsparcie instalacji i pracy na wolumenach, które: </w:t>
            </w:r>
          </w:p>
          <w:p w14:paraId="47A10D5A" w14:textId="77777777" w:rsidR="00195DA4" w:rsidRPr="00195DA4" w:rsidRDefault="00195DA4" w:rsidP="00195DA4">
            <w:pPr>
              <w:widowControl w:val="0"/>
              <w:numPr>
                <w:ilvl w:val="0"/>
                <w:numId w:val="10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pozwalają na zmianę rozmiaru w czasie pracy systemu, </w:t>
            </w:r>
          </w:p>
          <w:p w14:paraId="088A06B2" w14:textId="77777777" w:rsidR="00195DA4" w:rsidRPr="00195DA4" w:rsidRDefault="00195DA4" w:rsidP="00195DA4">
            <w:pPr>
              <w:widowControl w:val="0"/>
              <w:numPr>
                <w:ilvl w:val="0"/>
                <w:numId w:val="10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umożliwiają tworzenie w czasie pracy systemu migawek, </w:t>
            </w:r>
            <w:r w:rsidRPr="00195DA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dających użytkownikom końcowym (lokalnym i sieciowym) prosty wgląd w poprzednie wersje plików i folderów, </w:t>
            </w:r>
          </w:p>
          <w:p w14:paraId="322F9BB4" w14:textId="77777777" w:rsidR="00195DA4" w:rsidRPr="00195DA4" w:rsidRDefault="00195DA4" w:rsidP="00195DA4">
            <w:pPr>
              <w:widowControl w:val="0"/>
              <w:numPr>
                <w:ilvl w:val="0"/>
                <w:numId w:val="10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umożliwiają kompresję "w locie" dla wybranych plików i/lub folderów, </w:t>
            </w:r>
          </w:p>
          <w:p w14:paraId="67751557" w14:textId="77777777" w:rsidR="00195DA4" w:rsidRPr="00195DA4" w:rsidRDefault="00195DA4" w:rsidP="00195DA4">
            <w:pPr>
              <w:widowControl w:val="0"/>
              <w:numPr>
                <w:ilvl w:val="0"/>
                <w:numId w:val="10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umożliwiają zdefiniowanie list kontroli dostępu (ACL), </w:t>
            </w:r>
          </w:p>
          <w:p w14:paraId="11C0995A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wbudowany mechanizm klasyfikowania i indeksowania plików (dokumentów) w oparciu o ich zawartość, </w:t>
            </w:r>
          </w:p>
          <w:p w14:paraId="24C7D702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wbudowane szyfrowanie dysków </w:t>
            </w:r>
          </w:p>
          <w:p w14:paraId="21901BE1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uruchamiania aplikacji internetowych wykorzystujących technologię ASP.NET, </w:t>
            </w:r>
          </w:p>
          <w:p w14:paraId="308A4A66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dystrybucji ruchu sieciowego HTTP pomiędzy kilka serwerów, </w:t>
            </w:r>
          </w:p>
          <w:p w14:paraId="445505B8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wbudowana zapora internetowa (firewall) z obsługą definiowanych reguł dla ochrony połączeń internetowych i intranetowych, </w:t>
            </w:r>
          </w:p>
          <w:p w14:paraId="0CC93572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graficzny interfejs użytkownika, </w:t>
            </w:r>
          </w:p>
          <w:p w14:paraId="1E140279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zlokalizowane w języku polskim, co najmniej następujące elementy: menu, przeglądarka internetowa, pomoc, komunikaty systemowe, </w:t>
            </w:r>
          </w:p>
          <w:p w14:paraId="00AFAE4F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Plug&amp;Play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), </w:t>
            </w:r>
          </w:p>
          <w:p w14:paraId="6EBEB1B6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zdalnej konfiguracji, administrowania oraz aktualizowania systemu, </w:t>
            </w:r>
          </w:p>
          <w:p w14:paraId="24B488FC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dostępność bezpłatnych narzędzi producenta systemu umożliwiających badanie i wdrażanie zdefiniowanego zestawu polityk bezpieczeństwa, </w:t>
            </w:r>
          </w:p>
          <w:p w14:paraId="3CF7DFEC" w14:textId="77777777" w:rsidR="00195DA4" w:rsidRPr="00195DA4" w:rsidRDefault="00195DA4" w:rsidP="00195DA4">
            <w:pPr>
              <w:widowControl w:val="0"/>
              <w:numPr>
                <w:ilvl w:val="0"/>
                <w:numId w:val="11"/>
              </w:numPr>
              <w:suppressAutoHyphens/>
              <w:spacing w:before="0" w:after="0" w:line="240" w:lineRule="auto"/>
              <w:ind w:left="357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implementacji następujących funkcjonalności bez potrzeby instalowania dodatkowych produktów (oprogramowania) innych producentów wymagających dodatkowych licencji: </w:t>
            </w:r>
          </w:p>
          <w:p w14:paraId="0C56394E" w14:textId="77777777" w:rsidR="00195DA4" w:rsidRPr="00195DA4" w:rsidRDefault="00195DA4" w:rsidP="00195DA4">
            <w:pPr>
              <w:widowControl w:val="0"/>
              <w:numPr>
                <w:ilvl w:val="0"/>
                <w:numId w:val="12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podstawowe usługi sieciowe: DHCP oraz DNS wspierający DNSSEC, </w:t>
            </w:r>
          </w:p>
          <w:p w14:paraId="62E10D45" w14:textId="77777777" w:rsidR="00195DA4" w:rsidRPr="00195DA4" w:rsidRDefault="00195DA4" w:rsidP="00195DA4">
            <w:pPr>
              <w:widowControl w:val="0"/>
              <w:numPr>
                <w:ilvl w:val="0"/>
                <w:numId w:val="12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usługi katalogowe oparte o LDAP i pozwalające na </w:t>
            </w:r>
            <w:r w:rsidRPr="00195DA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 </w:t>
            </w:r>
          </w:p>
          <w:p w14:paraId="6EC70926" w14:textId="77777777" w:rsidR="00195DA4" w:rsidRPr="00195DA4" w:rsidRDefault="00195DA4" w:rsidP="00195DA4">
            <w:pPr>
              <w:widowControl w:val="0"/>
              <w:numPr>
                <w:ilvl w:val="0"/>
                <w:numId w:val="14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podłączenie SSO do domeny w trybie offline – bez dostępnego połączenia sieciowego z domeną, </w:t>
            </w:r>
          </w:p>
          <w:p w14:paraId="64B6E506" w14:textId="77777777" w:rsidR="00195DA4" w:rsidRPr="00195DA4" w:rsidRDefault="00195DA4" w:rsidP="00195DA4">
            <w:pPr>
              <w:widowControl w:val="0"/>
              <w:numPr>
                <w:ilvl w:val="0"/>
                <w:numId w:val="14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ustanawianie praw dostępu do zasobów domeny na bazie sposobu logowania użytkownika – na przykład typu certyfikatu użytego do logowania, </w:t>
            </w:r>
          </w:p>
          <w:p w14:paraId="577CF883" w14:textId="77777777" w:rsidR="00195DA4" w:rsidRPr="00195DA4" w:rsidRDefault="00195DA4" w:rsidP="00195DA4">
            <w:pPr>
              <w:widowControl w:val="0"/>
              <w:numPr>
                <w:ilvl w:val="0"/>
                <w:numId w:val="14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odzyskiwanie przypadkowo skasowanych obiektów usługi katalogowej z mechanizmu kosza, </w:t>
            </w:r>
          </w:p>
          <w:p w14:paraId="7056918E" w14:textId="77777777" w:rsidR="00195DA4" w:rsidRPr="00195DA4" w:rsidRDefault="00195DA4" w:rsidP="00195DA4">
            <w:pPr>
              <w:widowControl w:val="0"/>
              <w:numPr>
                <w:ilvl w:val="0"/>
                <w:numId w:val="13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zdalna dystrybucja oprogramowania na stacje robocze, </w:t>
            </w:r>
          </w:p>
          <w:p w14:paraId="441AD7DE" w14:textId="77777777" w:rsidR="00195DA4" w:rsidRPr="00195DA4" w:rsidRDefault="00195DA4" w:rsidP="00195DA4">
            <w:pPr>
              <w:widowControl w:val="0"/>
              <w:numPr>
                <w:ilvl w:val="0"/>
                <w:numId w:val="13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praca zdalna na serwerze z wykorzystaniem terminala (cienkiego klienta) lub odpowiednio skonfigurowanej stacji roboczej, </w:t>
            </w:r>
          </w:p>
          <w:p w14:paraId="54D82D0C" w14:textId="77777777" w:rsidR="00195DA4" w:rsidRPr="00195DA4" w:rsidRDefault="00195DA4" w:rsidP="00195DA4">
            <w:pPr>
              <w:widowControl w:val="0"/>
              <w:numPr>
                <w:ilvl w:val="0"/>
                <w:numId w:val="13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centrum Certyfikatów (CA), obsługa klucza publicznego i prywatnego) umożliwiające: </w:t>
            </w:r>
          </w:p>
          <w:p w14:paraId="0445178E" w14:textId="77777777" w:rsidR="00195DA4" w:rsidRPr="00195DA4" w:rsidRDefault="00195DA4" w:rsidP="00195DA4">
            <w:pPr>
              <w:widowControl w:val="0"/>
              <w:numPr>
                <w:ilvl w:val="0"/>
                <w:numId w:val="15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dystrybucję certyfikatów poprzez http, </w:t>
            </w:r>
          </w:p>
          <w:p w14:paraId="69A54F2B" w14:textId="77777777" w:rsidR="00195DA4" w:rsidRPr="00195DA4" w:rsidRDefault="00195DA4" w:rsidP="00195DA4">
            <w:pPr>
              <w:widowControl w:val="0"/>
              <w:numPr>
                <w:ilvl w:val="0"/>
                <w:numId w:val="15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konsolidację CA dla wielu lasów domeny, </w:t>
            </w:r>
          </w:p>
          <w:p w14:paraId="05DB0163" w14:textId="77777777" w:rsidR="00195DA4" w:rsidRPr="00195DA4" w:rsidRDefault="00195DA4" w:rsidP="00195DA4">
            <w:pPr>
              <w:widowControl w:val="0"/>
              <w:numPr>
                <w:ilvl w:val="0"/>
                <w:numId w:val="15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automatyczne rejestrowania certyfikatów pomiędzy różnymi lasami domen, </w:t>
            </w:r>
          </w:p>
          <w:p w14:paraId="3DD0E17F" w14:textId="77777777" w:rsidR="00195DA4" w:rsidRPr="00195DA4" w:rsidRDefault="00195DA4" w:rsidP="00195DA4">
            <w:pPr>
              <w:widowControl w:val="0"/>
              <w:numPr>
                <w:ilvl w:val="0"/>
                <w:numId w:val="16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szyfrowanie plików i folderów, </w:t>
            </w:r>
          </w:p>
          <w:p w14:paraId="11679743" w14:textId="77777777" w:rsidR="00195DA4" w:rsidRPr="00195DA4" w:rsidRDefault="00195DA4" w:rsidP="00195DA4">
            <w:pPr>
              <w:widowControl w:val="0"/>
              <w:numPr>
                <w:ilvl w:val="0"/>
                <w:numId w:val="16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szyfrowanie połączeń sieciowych pomiędzy serwerami oraz serwerami i stacjami roboczymi (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IPSec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), </w:t>
            </w:r>
          </w:p>
          <w:p w14:paraId="4E229BD0" w14:textId="77777777" w:rsidR="00195DA4" w:rsidRPr="00195DA4" w:rsidRDefault="00195DA4" w:rsidP="00195DA4">
            <w:pPr>
              <w:widowControl w:val="0"/>
              <w:numPr>
                <w:ilvl w:val="0"/>
                <w:numId w:val="16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tworzenia systemów wysokiej dostępności (klastry typu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fail-over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) oraz rozłożenia obciążenia serwerów, </w:t>
            </w:r>
          </w:p>
          <w:p w14:paraId="20C0566D" w14:textId="77777777" w:rsidR="00195DA4" w:rsidRPr="00195DA4" w:rsidRDefault="00195DA4" w:rsidP="00195DA4">
            <w:pPr>
              <w:widowControl w:val="0"/>
              <w:numPr>
                <w:ilvl w:val="0"/>
                <w:numId w:val="16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serwis udostępniania stron WWW, </w:t>
            </w:r>
          </w:p>
          <w:p w14:paraId="0DC0619A" w14:textId="77777777" w:rsidR="00195DA4" w:rsidRPr="00195DA4" w:rsidRDefault="00195DA4" w:rsidP="00195DA4">
            <w:pPr>
              <w:widowControl w:val="0"/>
              <w:numPr>
                <w:ilvl w:val="0"/>
                <w:numId w:val="16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wsparcie dla protokołu IP w wersji 6 (IPv6), </w:t>
            </w:r>
          </w:p>
          <w:p w14:paraId="286D07CB" w14:textId="77777777" w:rsidR="00195DA4" w:rsidRPr="00195DA4" w:rsidRDefault="00195DA4" w:rsidP="00195DA4">
            <w:pPr>
              <w:widowControl w:val="0"/>
              <w:numPr>
                <w:ilvl w:val="0"/>
                <w:numId w:val="16"/>
              </w:numPr>
              <w:suppressAutoHyphens/>
              <w:spacing w:before="0"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wbudowane mechanizmy wirtualizacji (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Hypervisor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) pozwalające na uruchamianie min. 1000 aktywnych środowisk wirtualnych systemów operacyjnych. Wirtualne maszyny w trakcie pracy i bez zauważalnego </w:t>
            </w:r>
            <w:r w:rsidRPr="00195DA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zmniejszenia ich dostępności mogą być przenoszone pomiędzy serwerami klastra typu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failover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z jednoczesnym zachowaniem pozostałej funkcjonalności. Mechanizmy wirtualizacji mają zapewnić wsparcie dla: </w:t>
            </w:r>
          </w:p>
          <w:p w14:paraId="79D0CF15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dynamicznego podłączania zasobów dyskowych typu hot-plug do maszyn wirtualnych, </w:t>
            </w:r>
          </w:p>
          <w:p w14:paraId="5AA55EC0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obsługi ramek typu jumbo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frames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dla maszyn wirtualnych, </w:t>
            </w:r>
          </w:p>
          <w:p w14:paraId="1530CAFD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obsługi 4-KB sektorów dysków, </w:t>
            </w:r>
          </w:p>
          <w:p w14:paraId="0BE7FA38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nielimitowanej liczby jednocześnie przenoszonych maszyn wirtualnych pomiędzy węzłami klastra, </w:t>
            </w:r>
          </w:p>
          <w:p w14:paraId="5D76F38F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możliwości kierowania ruchu sieciowego z wielu sieci VLAN bezpośrednio do pojedynczej karty sieciowej maszyny wirtualnej (tzw.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trunk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model), </w:t>
            </w:r>
          </w:p>
          <w:p w14:paraId="376A9E26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automatycznej aktualizacji w oparciu o poprawki publikowane przez producenta wraz z dostępnością bezpłatnego rozwiązania producenta SSO umożliwiającego lokalną dystrybucję poprawek zatwierdzonych przez administratora, bez połączenia z siecią Internet, </w:t>
            </w:r>
          </w:p>
          <w:p w14:paraId="1041F28C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wsparcie dostępu do zasobu dyskowego SSO poprzez wiele ścieżek (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Multipath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), </w:t>
            </w:r>
          </w:p>
          <w:p w14:paraId="4D029710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możliwość instalacji poprawek poprzez wgranie ich do obrazu instalacyjnego, </w:t>
            </w:r>
          </w:p>
          <w:p w14:paraId="776A0F1C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mechanizmy zdalnej administracji oraz mechanizmy (również działające zdalnie) administracji przez skrypty, </w:t>
            </w:r>
          </w:p>
          <w:p w14:paraId="3AD29E42" w14:textId="77777777" w:rsidR="00195DA4" w:rsidRPr="00195DA4" w:rsidRDefault="00195DA4" w:rsidP="00195DA4">
            <w:pPr>
              <w:widowControl w:val="0"/>
              <w:numPr>
                <w:ilvl w:val="1"/>
                <w:numId w:val="17"/>
              </w:numPr>
              <w:suppressAutoHyphens/>
              <w:spacing w:before="0" w:after="0" w:line="240" w:lineRule="auto"/>
              <w:ind w:left="1071" w:hanging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zarządzania przez wbudowane mechanizmy zgodne ze standardami WBEM oraz WS-Management organizacji DMTF</w:t>
            </w:r>
          </w:p>
          <w:p w14:paraId="3D0E11D5" w14:textId="77777777" w:rsidR="00195DA4" w:rsidRPr="00195DA4" w:rsidRDefault="00195DA4" w:rsidP="00195DA4">
            <w:pPr>
              <w:spacing w:before="0" w:after="16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19" w:type="dxa"/>
          </w:tcPr>
          <w:p w14:paraId="46C59628" w14:textId="77777777" w:rsidR="00195DA4" w:rsidRPr="008B5FB5" w:rsidRDefault="00195DA4" w:rsidP="00084A79">
            <w:pPr>
              <w:spacing w:before="0" w:after="160" w:line="240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2B57BD3A" w14:textId="251E5BFE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B337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Bezpieczeństwo</w:t>
            </w:r>
            <w:r w:rsidRPr="00195DA4">
              <w:rPr>
                <w:rFonts w:asciiTheme="minorHAnsi" w:hAnsiTheme="minorHAnsi"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0605" w14:textId="77777777" w:rsidR="00195DA4" w:rsidRPr="00195DA4" w:rsidRDefault="00195DA4" w:rsidP="00195DA4">
            <w:pPr>
              <w:numPr>
                <w:ilvl w:val="0"/>
                <w:numId w:val="2"/>
              </w:numPr>
              <w:spacing w:before="0" w:after="0" w:line="240" w:lineRule="auto"/>
              <w:contextualSpacing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Zatrzask górnej pokrywy oraz blokada na ramce </w:t>
            </w:r>
            <w:proofErr w:type="spellStart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panela</w:t>
            </w:r>
            <w:proofErr w:type="spellEnd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zamykana na klucz służąca do ochrony nieautoryzowanego dostępu do dysków twardych. </w:t>
            </w:r>
          </w:p>
          <w:p w14:paraId="6D1EBAC4" w14:textId="77777777" w:rsidR="00195DA4" w:rsidRPr="00195DA4" w:rsidRDefault="00195DA4" w:rsidP="00195DA4">
            <w:pPr>
              <w:numPr>
                <w:ilvl w:val="0"/>
                <w:numId w:val="2"/>
              </w:numPr>
              <w:spacing w:before="0" w:after="0" w:line="240" w:lineRule="auto"/>
              <w:contextualSpacing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Możliwość wyłączenia w BIOS funkcji przycisku zasilania. </w:t>
            </w:r>
          </w:p>
          <w:p w14:paraId="4EEFDFF2" w14:textId="77777777" w:rsidR="00195DA4" w:rsidRPr="00195DA4" w:rsidRDefault="00195DA4" w:rsidP="00195DA4">
            <w:pPr>
              <w:numPr>
                <w:ilvl w:val="0"/>
                <w:numId w:val="2"/>
              </w:numPr>
              <w:spacing w:before="0" w:after="0" w:line="240" w:lineRule="auto"/>
              <w:contextualSpacing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BIOS ma możliwość przejścia do bezpiecznego trybu rozruchowego z możliwością zarządzania blokadą zasilania, panelem sterowania oraz zmianą hasła </w:t>
            </w:r>
          </w:p>
          <w:p w14:paraId="636F32BC" w14:textId="77777777" w:rsidR="00195DA4" w:rsidRPr="00195DA4" w:rsidRDefault="00195DA4" w:rsidP="00195DA4">
            <w:pPr>
              <w:numPr>
                <w:ilvl w:val="0"/>
                <w:numId w:val="2"/>
              </w:numPr>
              <w:spacing w:before="0" w:after="0" w:line="240" w:lineRule="auto"/>
              <w:contextualSpacing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Wbudowany czujnik otwarcia obudowy współpracujący z BIOS i kartą zarządzającą. </w:t>
            </w:r>
          </w:p>
          <w:p w14:paraId="3BFA3EBF" w14:textId="77777777" w:rsidR="00195DA4" w:rsidRPr="00195DA4" w:rsidRDefault="00195DA4" w:rsidP="00195DA4">
            <w:pPr>
              <w:numPr>
                <w:ilvl w:val="0"/>
                <w:numId w:val="2"/>
              </w:numPr>
              <w:spacing w:before="0" w:after="0" w:line="240" w:lineRule="auto"/>
              <w:contextualSpacing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Moduł TPM 2.0 </w:t>
            </w:r>
          </w:p>
          <w:p w14:paraId="0A46072C" w14:textId="77777777" w:rsidR="00195DA4" w:rsidRPr="00195DA4" w:rsidRDefault="00195DA4" w:rsidP="00195DA4">
            <w:pPr>
              <w:numPr>
                <w:ilvl w:val="0"/>
                <w:numId w:val="2"/>
              </w:numPr>
              <w:spacing w:before="0" w:after="0" w:line="240" w:lineRule="auto"/>
              <w:contextualSpacing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dynamicznego włączania i wyłączania portów USB na obudowie – bez potrzeby restartu serwera</w:t>
            </w:r>
          </w:p>
          <w:p w14:paraId="3B8DD809" w14:textId="77777777" w:rsidR="00195DA4" w:rsidRPr="00195DA4" w:rsidRDefault="00195DA4" w:rsidP="00195DA4">
            <w:pPr>
              <w:numPr>
                <w:ilvl w:val="0"/>
                <w:numId w:val="2"/>
              </w:numPr>
              <w:spacing w:before="0" w:after="0" w:line="240" w:lineRule="auto"/>
              <w:contextualSpacing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Możliwość wymazania danych ze znajdujących się dysków wewnątrz serwera – niezależne od zainstalowanego systemu operacyjnego, uruchamiane z poziomu zarządzania serwerem</w:t>
            </w:r>
          </w:p>
          <w:p w14:paraId="4BA59BD3" w14:textId="77777777" w:rsidR="00195DA4" w:rsidRPr="00195DA4" w:rsidRDefault="00195DA4" w:rsidP="00195DA4">
            <w:pPr>
              <w:numPr>
                <w:ilvl w:val="0"/>
                <w:numId w:val="2"/>
              </w:numPr>
              <w:spacing w:before="0" w:after="0" w:line="240" w:lineRule="auto"/>
              <w:contextualSpacing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Cs/>
                <w:sz w:val="20"/>
                <w:szCs w:val="20"/>
              </w:rPr>
              <w:t>Serwer musi być wyposażony w rozwiązanie zapewniające ochronę oprogramowania układowego przed manipulacją złośliwego oprogramowania. Ochrona taka musi być zgodna z zaleceniami NIST SP 800-147B i NIST SP 800-155. Jednocześnie Zamawiający wymaga, aby dostarczony serwer posiadał zaimplementowane sprzętowo mechanizmy kryptograficzne poświadczające integralność oprogramowania BIOS (Root of Trust).</w:t>
            </w:r>
          </w:p>
        </w:tc>
        <w:tc>
          <w:tcPr>
            <w:tcW w:w="6519" w:type="dxa"/>
          </w:tcPr>
          <w:p w14:paraId="18BBE27D" w14:textId="77777777" w:rsidR="00195DA4" w:rsidRPr="008B5FB5" w:rsidRDefault="00195DA4" w:rsidP="00084A79">
            <w:pPr>
              <w:spacing w:before="0" w:after="0" w:line="240" w:lineRule="auto"/>
              <w:ind w:left="720"/>
              <w:contextualSpacing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195DA4" w:rsidRPr="008B5FB5" w14:paraId="025177AE" w14:textId="7AEC8643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3029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Karta Zarządzania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89C8" w14:textId="77777777" w:rsidR="00195DA4" w:rsidRPr="00195DA4" w:rsidRDefault="00195DA4" w:rsidP="00195DA4">
            <w:pPr>
              <w:numPr>
                <w:ilvl w:val="0"/>
                <w:numId w:val="7"/>
              </w:numPr>
              <w:spacing w:before="0" w:after="0" w:line="252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Niezależna od zainstalowanego na serwerze systemu operacyjnego posiadająca dedykowany port Gigabit Ethernet RJ-45 i umożliwiająca:</w:t>
            </w:r>
          </w:p>
          <w:p w14:paraId="53C1A548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zdalny dostęp do graficznego interfejsu Web karty zarządzającej;</w:t>
            </w:r>
          </w:p>
          <w:p w14:paraId="46EE9D16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zdalne monitorowanie i informowanie o statusie serwera (m.in. prędkości obrotowej wentylatorów, konfiguracji serwera);</w:t>
            </w:r>
          </w:p>
          <w:p w14:paraId="4B0D3E57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szyfrowane połączenie (TLS) oraz autentykacje i autoryzację użytkownika;</w:t>
            </w:r>
          </w:p>
          <w:p w14:paraId="561D7847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podmontowania zdalnych wirtualnych napędów;</w:t>
            </w:r>
          </w:p>
          <w:p w14:paraId="439C327B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wirtualną konsolę z dostępem do myszy, klawiatury;</w:t>
            </w:r>
          </w:p>
          <w:p w14:paraId="5A4967BB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wsparcie dla IPv6;</w:t>
            </w:r>
          </w:p>
          <w:p w14:paraId="4D1D62F9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wsparcie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dla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WSMAN (Web Service for Management); SNMP; IPMI2.0, SSH, Redfish;</w:t>
            </w:r>
          </w:p>
          <w:p w14:paraId="7B6AD5D3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zdalnego monitorowania w czasie rzeczywistym poboru prądu przez serwer;</w:t>
            </w:r>
          </w:p>
          <w:p w14:paraId="4C9A0B05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zdalnego ustawienia limitu poboru prądu przez konkretny serwer;</w:t>
            </w:r>
          </w:p>
          <w:p w14:paraId="4CA592F6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integracja z Active Directory;</w:t>
            </w:r>
          </w:p>
          <w:p w14:paraId="0703C089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obsługi przez dwóch administratorów jednocześnie;</w:t>
            </w:r>
          </w:p>
          <w:p w14:paraId="35FE0117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wsparcie dla automatycznej rejestracji DNS;</w:t>
            </w:r>
          </w:p>
          <w:p w14:paraId="6C7CA778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wysyłanie do administratora maila z powiadomieniem o awarii lub zmianie konfiguracji sprzętowej.</w:t>
            </w:r>
          </w:p>
          <w:p w14:paraId="053197D0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bezpośredniego zarządzania poprzez dedykowany port USB na przednim panelu serwera</w:t>
            </w:r>
          </w:p>
          <w:p w14:paraId="5A99CBB8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zarządzania do 100 serwerów bezpośrednio z konsoli karty zarządzającej pojedynczego serwera</w:t>
            </w:r>
          </w:p>
          <w:p w14:paraId="592944C8" w14:textId="77777777" w:rsidR="00195DA4" w:rsidRPr="00195DA4" w:rsidRDefault="00195DA4" w:rsidP="00195DA4">
            <w:pPr>
              <w:spacing w:after="0" w:line="256" w:lineRule="auto"/>
              <w:ind w:left="10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oraz z możliwością rozszerzenia funkcjonalności o:</w:t>
            </w:r>
          </w:p>
          <w:p w14:paraId="1F409EED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Wirtualny schowek ułatwiający korzystanie z konsoli zdalnej</w:t>
            </w:r>
          </w:p>
          <w:p w14:paraId="0D1D9DA7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Przesyłanie danych telemetrycznych w czasie rzeczywistym</w:t>
            </w:r>
          </w:p>
          <w:p w14:paraId="4435C1F2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Dostosowanie zarządzania temperaturą i przepływem powietrza w serwerze</w:t>
            </w:r>
          </w:p>
          <w:p w14:paraId="5D5E362E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Automatyczna rejestracja certyfikatów (ACE)</w:t>
            </w:r>
          </w:p>
        </w:tc>
        <w:tc>
          <w:tcPr>
            <w:tcW w:w="6519" w:type="dxa"/>
          </w:tcPr>
          <w:p w14:paraId="5EE7A2A9" w14:textId="77777777" w:rsidR="00195DA4" w:rsidRPr="008B5FB5" w:rsidRDefault="00195DA4" w:rsidP="00084A79">
            <w:pPr>
              <w:spacing w:before="0" w:after="0" w:line="252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1DF65710" w14:textId="77582401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015" w14:textId="77777777" w:rsidR="00195DA4" w:rsidRPr="00195DA4" w:rsidRDefault="00195DA4" w:rsidP="00195DA4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Oprogramowanie do zarządzania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D00" w14:textId="77777777" w:rsidR="00195DA4" w:rsidRPr="00195DA4" w:rsidRDefault="00195DA4" w:rsidP="00195DA4">
            <w:pPr>
              <w:numPr>
                <w:ilvl w:val="0"/>
                <w:numId w:val="2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zainstalowania oprogramowania producenta do zarządzania, spełniającego poniższe wymagania:</w:t>
            </w:r>
          </w:p>
          <w:p w14:paraId="0032B2C1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Wsparcie dla serwerów, urządzeń sieciowych oraz pamięci masowych</w:t>
            </w:r>
          </w:p>
          <w:p w14:paraId="340040C0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integracja z Active Directory</w:t>
            </w:r>
          </w:p>
          <w:p w14:paraId="08C0C6CB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zarządzania dostarczonymi serwerami bez udziału dedykowanego agenta</w:t>
            </w:r>
          </w:p>
          <w:p w14:paraId="66970EB8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Wsparcie dla protokołów SNMP, IPMI, Linux SSH,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Redfish</w:t>
            </w:r>
            <w:proofErr w:type="spellEnd"/>
          </w:p>
          <w:p w14:paraId="4C1C92CB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uruchamiania procesu wykrywania urządzeń w oparciu o harmonogram</w:t>
            </w:r>
          </w:p>
          <w:p w14:paraId="7F384970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Szczegółowy opis wykrytych systemów oraz ich komponentów</w:t>
            </w:r>
          </w:p>
          <w:p w14:paraId="2D6649C5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eksportu raportu do CSV, HTML, XLS, PDF</w:t>
            </w:r>
          </w:p>
          <w:p w14:paraId="4828DC9D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tworzenia własnych raportów w oparciu o wszystkie informacje zawarte w inwentarzu.</w:t>
            </w:r>
          </w:p>
          <w:p w14:paraId="62A448E7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Grupowanie urządzeń w oparciu o kryteria użytkownika</w:t>
            </w:r>
          </w:p>
          <w:p w14:paraId="538DA5E6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Tworzenie automatycznie grup urządzeń w oparciu o dowolny element konfiguracji serwera np. Nazwa, lokalizacja, system operacyjny, obsadzenie slotów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PCIe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, pozostałego czasu gwarancji</w:t>
            </w:r>
          </w:p>
          <w:p w14:paraId="7C225C8A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uruchamiania narzędzi zarządzających w poszczególnych urządzeniach</w:t>
            </w:r>
          </w:p>
          <w:p w14:paraId="4D45213A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Szybki podgląd stanu środowiska</w:t>
            </w:r>
          </w:p>
          <w:p w14:paraId="70189B17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Podsumowanie stanu dla każdego urządzenia</w:t>
            </w:r>
          </w:p>
          <w:p w14:paraId="7B02A635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Szczegółowy status urządzenia/elementu/komponentu</w:t>
            </w:r>
          </w:p>
          <w:p w14:paraId="2FAF2BFA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Generowanie alertów przy zmianie stanu urządzenia.</w:t>
            </w:r>
          </w:p>
          <w:p w14:paraId="6E36DEDF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Filtry raportów umożliwiające podgląd najważniejszych zdarzeń</w:t>
            </w:r>
          </w:p>
          <w:p w14:paraId="4A111509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Integracja z service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desk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producenta dostarczonej platformy sprzętowej</w:t>
            </w:r>
          </w:p>
          <w:p w14:paraId="0C60D636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przejęcia zdalnego pulpitu</w:t>
            </w:r>
          </w:p>
          <w:p w14:paraId="7A068438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podmontowania wirtualnego napędu</w:t>
            </w:r>
          </w:p>
          <w:p w14:paraId="670B57CB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Kreator umożliwiający dostosowanie akcji dla wybranych alertów</w:t>
            </w:r>
          </w:p>
          <w:p w14:paraId="393405E6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importu plików MIB</w:t>
            </w:r>
          </w:p>
          <w:p w14:paraId="1BD32BC3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Przesyłanie alertów „as-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is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” do innych konsol firm trzecich</w:t>
            </w:r>
          </w:p>
          <w:p w14:paraId="0F429E33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definiowania ról administratorów</w:t>
            </w:r>
          </w:p>
          <w:p w14:paraId="09BBD383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zdalnej aktualizacji oprogramowania wewnętrznego serwerów</w:t>
            </w:r>
          </w:p>
          <w:p w14:paraId="05ADF8EC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Aktualizacja oparta o wybranie źródła bibliotek (lokalna, on-line producenta oferowanego rozwiązania)</w:t>
            </w:r>
          </w:p>
          <w:p w14:paraId="7E332F47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instalacji oprogramowania wewnętrznego bez potrzeby instalacji agenta</w:t>
            </w:r>
          </w:p>
          <w:p w14:paraId="0CA9A3D1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automatycznego generowania i zgłaszania incydentów awarii bezpośrednio do centrum serwisowego producenta serwerów</w:t>
            </w:r>
          </w:p>
          <w:p w14:paraId="62FE477D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Moduł raportujący pozwalający na wygenerowanie następujących informacji: nr seryjne sprzętu, konfiguracja poszczególnych urządzeń, wersje oprogramowania wewnętrznego, obsadzenie slotów PCI i gniazd pamięci, informację o maszynach wirtualnych, aktualne informacje o stanie i poziomie gwarancji, adresy IP kart sieciowych, występujących alertów, MAC adresów kart </w:t>
            </w:r>
            <w:r w:rsidRPr="00195DA4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sieciowych, stanie poszczególnych komponentów serwera.</w:t>
            </w:r>
          </w:p>
          <w:p w14:paraId="500979F3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tworzenia sprzętowej konfiguracji bazowej i na jej podstawie weryfikacji środowiska w celu wykrycia rozbieżności.</w:t>
            </w:r>
          </w:p>
          <w:p w14:paraId="16983C91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Wdrażanie serwerów, rozwiązań modularnych oraz przełączników sieciowych w oparciu o profile</w:t>
            </w:r>
          </w:p>
          <w:p w14:paraId="69583F9E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Możliwość migracji ustawień serwera wraz z wirtualnymi adresami sieciowymi (MAC, WWN, IQN) między urządzeniami.</w:t>
            </w:r>
          </w:p>
          <w:p w14:paraId="798D9265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Tworzenie gotowych paczek informacji umożliwiających zdiagnozowanie awarii urządzenia przez serwis producenta.</w:t>
            </w:r>
          </w:p>
          <w:p w14:paraId="47363283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Zdalne uruchamianie diagnostyki serwera.</w:t>
            </w:r>
          </w:p>
          <w:p w14:paraId="053CB551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Dedykowana aplikacja na urządzenia mobilne integrująca się z wyżej opisanymi oprogramowaniem zarządzającym.</w:t>
            </w:r>
          </w:p>
          <w:p w14:paraId="0504A338" w14:textId="77777777" w:rsidR="00195DA4" w:rsidRPr="00195DA4" w:rsidRDefault="00195DA4" w:rsidP="00195DA4">
            <w:pPr>
              <w:numPr>
                <w:ilvl w:val="1"/>
                <w:numId w:val="3"/>
              </w:numPr>
              <w:spacing w:before="0" w:after="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Oprogramowanie dostarczane jako wirtualny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appliance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dla KVM,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ESXi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i Hyper-V.</w:t>
            </w:r>
          </w:p>
        </w:tc>
        <w:tc>
          <w:tcPr>
            <w:tcW w:w="6519" w:type="dxa"/>
          </w:tcPr>
          <w:p w14:paraId="0B6A28D0" w14:textId="77777777" w:rsidR="00195DA4" w:rsidRPr="008B5FB5" w:rsidRDefault="00195DA4" w:rsidP="00084A79">
            <w:pPr>
              <w:spacing w:before="0" w:after="0" w:line="259" w:lineRule="auto"/>
              <w:ind w:left="720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437CBFAD" w14:textId="02AC5D27" w:rsidTr="00366E79">
        <w:tblPrEx>
          <w:tblCellMar>
            <w:left w:w="70" w:type="dxa"/>
            <w:right w:w="70" w:type="dxa"/>
          </w:tblCellMar>
        </w:tblPrEx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D1BD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Certyfikaty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F9BA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bookmarkStart w:id="0" w:name="_Hlk218505841"/>
            <w:r w:rsidRPr="00195DA4">
              <w:rPr>
                <w:rFonts w:asciiTheme="minorHAnsi" w:hAnsiTheme="minorHAnsi" w:cstheme="minorHAnsi"/>
                <w:sz w:val="20"/>
              </w:rPr>
              <w:t>Serwer musi być wyprodukowany zgodnie z normą ISO-9001:2015, ISO-50001 oraz ISO-14001</w:t>
            </w:r>
          </w:p>
          <w:p w14:paraId="13714C02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195DA4">
              <w:rPr>
                <w:rFonts w:asciiTheme="minorHAnsi" w:hAnsiTheme="minorHAnsi" w:cstheme="minorHAnsi"/>
                <w:sz w:val="20"/>
              </w:rPr>
              <w:t>Serwer musi posiadać deklaracja CE.</w:t>
            </w:r>
          </w:p>
          <w:bookmarkEnd w:id="0"/>
          <w:p w14:paraId="09B0451F" w14:textId="77777777" w:rsidR="006C3818" w:rsidRPr="006C3818" w:rsidRDefault="00195DA4" w:rsidP="006C3818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Oferowane produkty muszą zawierać informacje dotyczące ponownego użycia i recyklingu, nie mogą zawierać farb i powłok na dużych plastikowych częściach, których nie da się poddać recyklingowi lub ponownie użyć. Wszystkie produkty zawierające podzespoły elektroniczne oraz niebezpieczne składniki powinny być bezpiecznie i łatwo identyfikowalne oraz usuwalne. Usunięcie materiałów i komponentów powinno odbywać się zgodnie z wymogami Dyrektywy WEEE 2002/96/EC. Produkty muszą składać się z co </w:t>
            </w: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najmniej w 65% ze składników wielokrotnego użytku/zdatnych do recyklingu. We wszystkich produktach części tworzyw sztucznych większe niż 25-gramowe powinny zawierać nie więcej niż śladowe ilości środków zmniejszających palność sklasyfikowanych w dyrektywie RE 67/548/EEC. Potwierdzeniem spełnienia powyższego wymogu jest </w:t>
            </w:r>
            <w:bookmarkStart w:id="1" w:name="_Hlk218505924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wydruk ze strony internetowej </w:t>
            </w:r>
            <w:hyperlink r:id="rId11" w:history="1">
              <w:r w:rsidRPr="00195DA4">
                <w:rPr>
                  <w:rFonts w:asciiTheme="minorHAnsi" w:hAnsiTheme="minorHAnsi" w:cstheme="minorHAnsi"/>
                  <w:color w:val="0563C1" w:themeColor="hyperlink"/>
                  <w:sz w:val="20"/>
                  <w:szCs w:val="20"/>
                  <w:u w:val="single"/>
                </w:rPr>
                <w:t>www.epeat.net</w:t>
              </w:r>
            </w:hyperlink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potwierdzający spełnienie normy co najmniej </w:t>
            </w:r>
            <w:proofErr w:type="spellStart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Epeat</w:t>
            </w:r>
            <w:proofErr w:type="spellEnd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Silver</w:t>
            </w:r>
            <w:bookmarkEnd w:id="1"/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według normy wprowadzonej w 2019 roku </w:t>
            </w:r>
            <w:r w:rsidRPr="00195D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–</w:t>
            </w:r>
          </w:p>
          <w:p w14:paraId="3B171DC4" w14:textId="77777777" w:rsidR="006C3818" w:rsidRPr="006C3818" w:rsidRDefault="006C3818" w:rsidP="006C3818">
            <w:pPr>
              <w:spacing w:before="0" w:after="160" w:line="259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7CF7A4DD" w14:textId="4A585DE6" w:rsidR="00195DA4" w:rsidRPr="00195DA4" w:rsidRDefault="00195DA4" w:rsidP="006C3818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</w:rPr>
              <w:t xml:space="preserve">Oferowany serwer musi znajdować się na liście Windows Server 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</w:rPr>
              <w:t>Catalog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</w:rPr>
              <w:t xml:space="preserve"> i posiadać status „</w:t>
            </w:r>
            <w:proofErr w:type="spellStart"/>
            <w:r w:rsidRPr="00195DA4">
              <w:rPr>
                <w:rFonts w:asciiTheme="minorHAnsi" w:hAnsiTheme="minorHAnsi" w:cstheme="minorHAnsi"/>
                <w:sz w:val="20"/>
              </w:rPr>
              <w:t>Certified</w:t>
            </w:r>
            <w:proofErr w:type="spellEnd"/>
            <w:r w:rsidRPr="00195DA4">
              <w:rPr>
                <w:rFonts w:asciiTheme="minorHAnsi" w:hAnsiTheme="minorHAnsi" w:cstheme="minorHAnsi"/>
                <w:sz w:val="20"/>
              </w:rPr>
              <w:t xml:space="preserve"> for Windows” dla systemów Microsoft Windows Server 2019, Microsoft Windows Server 2022.</w:t>
            </w:r>
          </w:p>
        </w:tc>
        <w:tc>
          <w:tcPr>
            <w:tcW w:w="6519" w:type="dxa"/>
          </w:tcPr>
          <w:p w14:paraId="297E4D61" w14:textId="77777777" w:rsidR="00195DA4" w:rsidRPr="008B5FB5" w:rsidRDefault="00195DA4" w:rsidP="00D20A77">
            <w:p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  <w:tr w:rsidR="00195DA4" w:rsidRPr="008B5FB5" w14:paraId="3CF2B2E5" w14:textId="6D6B3C28" w:rsidTr="00366E79">
        <w:tblPrEx>
          <w:tblCellMar>
            <w:left w:w="70" w:type="dxa"/>
            <w:right w:w="70" w:type="dxa"/>
          </w:tblCellMar>
        </w:tblPrEx>
        <w:trPr>
          <w:trHeight w:val="980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2066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Dokumentacja użytkownika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A6A5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Zamawiający wymaga dokumentacji w języku polskim lub angi</w:t>
            </w:r>
            <w:r w:rsidRPr="00195DA4">
              <w:rPr>
                <w:rFonts w:asciiTheme="minorHAnsi" w:hAnsiTheme="minorHAnsi" w:cstheme="minorHAnsi"/>
                <w:i/>
                <w:sz w:val="20"/>
                <w:szCs w:val="20"/>
              </w:rPr>
              <w:t>e</w:t>
            </w: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>lskim.</w:t>
            </w:r>
          </w:p>
          <w:p w14:paraId="3ED2ED9F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  <w:tc>
          <w:tcPr>
            <w:tcW w:w="6519" w:type="dxa"/>
          </w:tcPr>
          <w:p w14:paraId="45EFCB09" w14:textId="77777777" w:rsidR="00195DA4" w:rsidRPr="008B5FB5" w:rsidRDefault="00195DA4" w:rsidP="00084A79">
            <w:pPr>
              <w:spacing w:before="0" w:after="160" w:line="259" w:lineRule="auto"/>
              <w:ind w:left="720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95DA4" w:rsidRPr="008B5FB5" w14:paraId="01C1D84E" w14:textId="1B4CDF87" w:rsidTr="00366E79">
        <w:tblPrEx>
          <w:tblCellMar>
            <w:left w:w="70" w:type="dxa"/>
            <w:right w:w="70" w:type="dxa"/>
          </w:tblCellMar>
        </w:tblPrEx>
        <w:trPr>
          <w:trHeight w:val="230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D5A1" w14:textId="77777777" w:rsidR="00195DA4" w:rsidRPr="00195DA4" w:rsidRDefault="00195DA4" w:rsidP="00195DA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b/>
                <w:sz w:val="20"/>
                <w:szCs w:val="20"/>
              </w:rPr>
              <w:t>Warunki gwarancji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648B" w14:textId="0F955CB9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  <w:lang w:eastAsia="zh-CN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wymaga zapewnienia gwarancji Producenta z zakresu wdrażanej technologii na okres minimum </w:t>
            </w:r>
            <w:r w:rsidR="00E12FB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36</w:t>
            </w: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miesięcy. </w:t>
            </w:r>
          </w:p>
          <w:p w14:paraId="379B0748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oczekuje możliwości zgłaszania zdarzeń serwisowych w trybie 24/7/365 następującymi kanałami: telefonicznie i przez Internet. </w:t>
            </w:r>
          </w:p>
          <w:p w14:paraId="51732661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Zamawiający wymaga pojedynczego punktu kontaktu dla całego rozwiązania Producenta, w tym także sprzedanego oprogramowania. </w:t>
            </w:r>
          </w:p>
          <w:p w14:paraId="49942D2E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Zamawiający oczekuje możliwości samodzielnego kwalifikowania poziomu ważności naprawy.</w:t>
            </w:r>
          </w:p>
          <w:p w14:paraId="549624A9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 xml:space="preserve">Certyfikowany Technik Producenta z właściwym zestawem części do naprawy (potwierdzonym na etapie diagnostyki) powinien rozpocząć naprawę w siedzibie zamawiającego najpóźniej w następnym dniu roboczym (NBD) od zakończenia diagnostyki. </w:t>
            </w:r>
          </w:p>
          <w:p w14:paraId="1F095744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Naprawa ma się odbyć w siedzibie zamawiającego, chyba, że zamawiający dla danej naprawy zgodzi się na inną formę.  </w:t>
            </w:r>
          </w:p>
          <w:p w14:paraId="44658672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14:paraId="05E3ACD8" w14:textId="20F08ED5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color w:val="000000"/>
                <w:sz w:val="20"/>
              </w:rPr>
            </w:pPr>
            <w:r w:rsidRPr="00195DA4">
              <w:rPr>
                <w:rFonts w:asciiTheme="minorHAnsi" w:hAnsiTheme="minorHAnsi" w:cstheme="minorHAnsi"/>
                <w:sz w:val="20"/>
              </w:rPr>
              <w:t xml:space="preserve">Zamawiający wymaga </w:t>
            </w:r>
            <w:bookmarkStart w:id="2" w:name="_Hlk218505984"/>
            <w:r w:rsidRPr="00195DA4">
              <w:rPr>
                <w:rFonts w:asciiTheme="minorHAnsi" w:hAnsiTheme="minorHAnsi" w:cstheme="minorHAnsi"/>
                <w:sz w:val="20"/>
              </w:rPr>
              <w:t>od podmiotu realizującego serwis lub producenta sprzętu dołączenia do oferty oświadczenia, że w przypadku wystąpienia awarii dysku twardego w urządzeniu objętym aktywnym wparciem technicznym, uszkodzony dysk twardy pozostaje u Zamawiającego</w:t>
            </w:r>
            <w:bookmarkEnd w:id="2"/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A6A7D64" w14:textId="77777777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Możliwość rozszerzenia gwarancji producenta o usługę diagnostyki sprzętu na miejscu w przypadku awarii. Charakterystyka usługi diagnostyki: </w:t>
            </w:r>
          </w:p>
          <w:p w14:paraId="32590B2B" w14:textId="77777777" w:rsidR="00195DA4" w:rsidRPr="00195DA4" w:rsidRDefault="00195DA4" w:rsidP="00195DA4">
            <w:pPr>
              <w:numPr>
                <w:ilvl w:val="1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Możliwości utworzenia zgłaszania serwisowego w wyniku, którego proces diagnostyki odbędzie się na miejscu w siedzibie zamawiającego.</w:t>
            </w:r>
          </w:p>
          <w:p w14:paraId="1D0E400C" w14:textId="77777777" w:rsidR="00195DA4" w:rsidRPr="00195DA4" w:rsidRDefault="00195DA4" w:rsidP="00195DA4">
            <w:pPr>
              <w:numPr>
                <w:ilvl w:val="1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Po przyjeździe do siedziby Zamawiającego, pracownik serwisu przystąpi do rozwiązywania problemu. Jeśli do rozwiązania problemu będzie konieczna dodatkowa pomoc diagnostyczna lub części, pracownik serwisu </w:t>
            </w: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lastRenderedPageBreak/>
              <w:t>może w imieniu Zamawiającego skontaktować się z producentem w celu uzyskania pomocy.</w:t>
            </w:r>
          </w:p>
          <w:p w14:paraId="46BBD484" w14:textId="77777777" w:rsidR="00195DA4" w:rsidRPr="00195DA4" w:rsidRDefault="00195DA4" w:rsidP="00195DA4">
            <w:pPr>
              <w:numPr>
                <w:ilvl w:val="1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Reakcja na miejscu u Zamawiającego powinna nastąpić w okresie zgodnym z czasem reakcji przypisanym do urządzenia, które posiada wykupioną usługę serwisową. </w:t>
            </w:r>
          </w:p>
          <w:p w14:paraId="2ED4A2B9" w14:textId="77777777" w:rsidR="00195DA4" w:rsidRPr="00195DA4" w:rsidRDefault="00195DA4" w:rsidP="00195DA4">
            <w:pPr>
              <w:numPr>
                <w:ilvl w:val="1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Pracownik serwisu powinien skontaktować się z Zamawiającym przed przyjazdem na miejsce w celu sprawdzenia zgłoszenia, ustalenia harmonogramu i potwierdzenia wszelkich informacji niezbędnych do realizacji wizyty technika na miejscu.</w:t>
            </w:r>
          </w:p>
          <w:p w14:paraId="2E7353B9" w14:textId="77777777" w:rsidR="00195DA4" w:rsidRPr="00195DA4" w:rsidRDefault="00195DA4" w:rsidP="00195DA4">
            <w:pPr>
              <w:numPr>
                <w:ilvl w:val="1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195DA4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Jeśli w trakcie wstępnego procesu rozwiązywania problemu na miejscu awarii zostanie ustalone, że do realizacji usługi jest niezbędna jakaś część, znajdujący się na miejscu pracownik serwisu zamówi nową część i przekaże dodatkowe zgłoszenie do działu obsługi technicznej. Technik pracujący na miejscu powróci do siedziby Klienta w celu wymiany wysłanej części w ciągu </w:t>
            </w:r>
            <w:r w:rsidRPr="00195DA4">
              <w:rPr>
                <w:rFonts w:asciiTheme="minorHAnsi" w:hAnsiTheme="minorHAnsi" w:cstheme="minorHAnsi"/>
                <w:sz w:val="20"/>
              </w:rPr>
              <w:t>czasu reakcji ustalonego zgodnie z umową serwisową zakupionego produktu.</w:t>
            </w:r>
          </w:p>
          <w:p w14:paraId="195FA2BF" w14:textId="47A4561F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195DA4">
              <w:rPr>
                <w:rFonts w:asciiTheme="minorHAnsi" w:hAnsiTheme="minorHAnsi" w:cstheme="minorHAnsi"/>
                <w:sz w:val="20"/>
              </w:rPr>
              <w:t xml:space="preserve">Wymagane dołączenie do oferty </w:t>
            </w:r>
            <w:bookmarkStart w:id="3" w:name="_Hlk218506026"/>
            <w:r w:rsidRPr="00195DA4">
              <w:rPr>
                <w:rFonts w:asciiTheme="minorHAnsi" w:hAnsiTheme="minorHAnsi" w:cstheme="minorHAnsi"/>
                <w:sz w:val="20"/>
              </w:rPr>
              <w:t>oświadczenia Producenta potwierdzające, że Serwis urządzeń będzie realizowany bezpośrednio przez Producenta i/lub we współpracy z Autoryzowanym Partnerem Serwisowym Producenta</w:t>
            </w:r>
            <w:r w:rsidRPr="00195D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4F33841" w14:textId="0688CDD0" w:rsidR="00195DA4" w:rsidRPr="00195DA4" w:rsidRDefault="00195DA4" w:rsidP="00195DA4">
            <w:pPr>
              <w:numPr>
                <w:ilvl w:val="0"/>
                <w:numId w:val="8"/>
              </w:numPr>
              <w:spacing w:before="0" w:after="160" w:line="252" w:lineRule="auto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95DA4">
              <w:rPr>
                <w:rFonts w:asciiTheme="minorHAnsi" w:hAnsiTheme="minorHAnsi" w:cstheme="minorHAnsi"/>
                <w:sz w:val="20"/>
              </w:rPr>
              <w:t xml:space="preserve">Firma serwisująca musi posiadać ISO 9001:2015 oraz ISO-27001 na świadczenie usług serwisowych oraz posiadać autoryzacje producenta urządzeń </w:t>
            </w:r>
            <w:r w:rsidRPr="00195DA4">
              <w:rPr>
                <w:rFonts w:asciiTheme="minorHAnsi" w:hAnsiTheme="minorHAnsi" w:cstheme="minorHAnsi"/>
                <w:b/>
                <w:sz w:val="20"/>
              </w:rPr>
              <w:t xml:space="preserve">– </w:t>
            </w:r>
            <w:bookmarkEnd w:id="3"/>
          </w:p>
        </w:tc>
        <w:tc>
          <w:tcPr>
            <w:tcW w:w="6519" w:type="dxa"/>
          </w:tcPr>
          <w:p w14:paraId="6F280DEA" w14:textId="77777777" w:rsidR="00195DA4" w:rsidRPr="008B5FB5" w:rsidRDefault="00195DA4" w:rsidP="00540089">
            <w:pPr>
              <w:spacing w:before="0" w:after="160" w:line="252" w:lineRule="auto"/>
              <w:ind w:left="720"/>
              <w:contextualSpacing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4DABF4A3" w14:textId="77777777" w:rsidR="00195DA4" w:rsidRPr="008B5FB5" w:rsidRDefault="00195DA4" w:rsidP="003609A7">
      <w:pPr>
        <w:spacing w:before="0" w:after="0"/>
        <w:rPr>
          <w:rFonts w:asciiTheme="minorHAnsi" w:hAnsiTheme="minorHAnsi" w:cstheme="minorHAnsi"/>
        </w:rPr>
      </w:pPr>
    </w:p>
    <w:p w14:paraId="46CCE21E" w14:textId="77777777" w:rsidR="000E3D86" w:rsidRPr="008B5FB5" w:rsidRDefault="000E3D86" w:rsidP="003609A7">
      <w:pPr>
        <w:spacing w:before="0" w:after="0"/>
        <w:rPr>
          <w:rFonts w:asciiTheme="minorHAnsi" w:hAnsiTheme="minorHAnsi" w:cstheme="minorHAnsi"/>
        </w:rPr>
      </w:pPr>
    </w:p>
    <w:p w14:paraId="7DDE3011" w14:textId="77777777" w:rsidR="000E3D86" w:rsidRPr="008B5FB5" w:rsidRDefault="000E3D86" w:rsidP="003609A7">
      <w:pPr>
        <w:spacing w:before="0" w:after="0"/>
        <w:rPr>
          <w:rFonts w:asciiTheme="minorHAnsi" w:hAnsiTheme="minorHAnsi" w:cstheme="minorHAnsi"/>
        </w:rPr>
      </w:pPr>
    </w:p>
    <w:tbl>
      <w:tblPr>
        <w:tblW w:w="140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6521"/>
      </w:tblGrid>
      <w:tr w:rsidR="000E3D86" w:rsidRPr="008B5FB5" w14:paraId="287D4862" w14:textId="77777777" w:rsidTr="00385D2C">
        <w:tc>
          <w:tcPr>
            <w:tcW w:w="14034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488B7110" w14:textId="04D98212" w:rsidR="000E3D86" w:rsidRPr="008B5FB5" w:rsidRDefault="00033BD7" w:rsidP="00727A35">
            <w:pPr>
              <w:spacing w:before="120" w:after="120" w:line="240" w:lineRule="auto"/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  <w:r w:rsidR="000E3D86" w:rsidRPr="008B5F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8B5F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Zakup macierzy dyskowej </w:t>
            </w:r>
            <w:r w:rsidR="000E3D86" w:rsidRPr="008B5FB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1 szt. </w:t>
            </w:r>
          </w:p>
        </w:tc>
      </w:tr>
      <w:tr w:rsidR="000E3D86" w:rsidRPr="008B5FB5" w14:paraId="4A29574E" w14:textId="77777777" w:rsidTr="00385D2C">
        <w:tc>
          <w:tcPr>
            <w:tcW w:w="14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E9BB6" w14:textId="77777777" w:rsidR="000E3D86" w:rsidRPr="008B5FB5" w:rsidRDefault="000E3D86" w:rsidP="00727A35">
            <w:pPr>
              <w:spacing w:after="5" w:line="240" w:lineRule="auto"/>
              <w:ind w:left="508" w:firstLine="556"/>
              <w:jc w:val="center"/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………………………………………………………………………………………………….</w:t>
            </w:r>
          </w:p>
          <w:p w14:paraId="07B8733B" w14:textId="77777777" w:rsidR="000E3D86" w:rsidRPr="008B5FB5" w:rsidRDefault="000E3D86" w:rsidP="00727A35">
            <w:pPr>
              <w:spacing w:before="0" w:after="120" w:line="240" w:lineRule="auto"/>
              <w:ind w:left="508" w:firstLine="556"/>
              <w:jc w:val="center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eastAsia="Calibri" w:hAnsiTheme="minorHAnsi" w:cstheme="minorHAnsi"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(nazwa producenta, nazwa i model urządzenia)</w:t>
            </w:r>
          </w:p>
        </w:tc>
      </w:tr>
      <w:tr w:rsidR="000E3D86" w:rsidRPr="008B5FB5" w14:paraId="6D7B6BBF" w14:textId="77777777" w:rsidTr="00385D2C">
        <w:trPr>
          <w:trHeight w:val="283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2002" w14:textId="77777777" w:rsidR="000E3D86" w:rsidRPr="008B5FB5" w:rsidRDefault="000E3D86" w:rsidP="00727A35">
            <w:pPr>
              <w:spacing w:before="0" w:after="5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OPIS MINIMALNYCH WYMAGANYCH PARAMETRÓW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A9F1" w14:textId="77777777" w:rsidR="000E3D86" w:rsidRPr="008B5FB5" w:rsidRDefault="000E3D86" w:rsidP="00727A35">
            <w:pPr>
              <w:spacing w:before="0" w:after="5" w:line="240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8B5FB5">
              <w:rPr>
                <w:rFonts w:asciiTheme="minorHAnsi" w:eastAsia="Calibri" w:hAnsiTheme="minorHAnsi" w:cstheme="minorHAnsi"/>
                <w:b/>
                <w:color w:val="000000"/>
                <w:kern w:val="2"/>
                <w:sz w:val="22"/>
                <w:szCs w:val="22"/>
                <w:lang w:eastAsia="pl-PL"/>
                <w14:ligatures w14:val="standardContextual"/>
              </w:rPr>
              <w:t>PARAMETRY OFEROWANEGO URZĄDZENIA</w:t>
            </w:r>
          </w:p>
        </w:tc>
      </w:tr>
    </w:tbl>
    <w:tbl>
      <w:tblPr>
        <w:tblW w:w="1403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5670"/>
        <w:gridCol w:w="6521"/>
      </w:tblGrid>
      <w:tr w:rsidR="000E3D86" w:rsidRPr="008B5FB5" w14:paraId="195B2191" w14:textId="371E89C1" w:rsidTr="00385D2C">
        <w:tc>
          <w:tcPr>
            <w:tcW w:w="1843" w:type="dxa"/>
            <w:tcBorders>
              <w:top w:val="single" w:sz="4" w:space="0" w:color="auto"/>
            </w:tcBorders>
          </w:tcPr>
          <w:p w14:paraId="72556B5D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Typ obudowy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14:paraId="5204B330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być przystosowana do montażu w szafie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rack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19”, 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br/>
              <w:t>o wysokość maksymalnie 2U z możliwością instalacji min. 12 dysków 3.5”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14:paraId="29978928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5CD755A6" w14:textId="3575876B" w:rsidTr="000E3D86">
        <w:tc>
          <w:tcPr>
            <w:tcW w:w="1843" w:type="dxa"/>
          </w:tcPr>
          <w:p w14:paraId="58236515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Przestrzeń dyskowa</w:t>
            </w:r>
          </w:p>
        </w:tc>
        <w:tc>
          <w:tcPr>
            <w:tcW w:w="5670" w:type="dxa"/>
          </w:tcPr>
          <w:p w14:paraId="60E9B350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Zainstalowane:</w:t>
            </w:r>
          </w:p>
          <w:p w14:paraId="0090F85B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3x dyski SSD SAS o pojemności min. 1.92TB, 24Gb/s</w:t>
            </w:r>
          </w:p>
          <w:p w14:paraId="54946AF0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6x dyski HDD SAS 12Gbps o pojemności min. 12TB, 7,2 tys.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obr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./min., Hot-Plug</w:t>
            </w:r>
          </w:p>
        </w:tc>
        <w:tc>
          <w:tcPr>
            <w:tcW w:w="6521" w:type="dxa"/>
          </w:tcPr>
          <w:p w14:paraId="78D8DD13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7D88931A" w14:textId="32A60D80" w:rsidTr="000E3D86">
        <w:tc>
          <w:tcPr>
            <w:tcW w:w="1843" w:type="dxa"/>
          </w:tcPr>
          <w:p w14:paraId="4BFDAC27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Możliwość rozbudowy</w:t>
            </w:r>
          </w:p>
        </w:tc>
        <w:tc>
          <w:tcPr>
            <w:tcW w:w="5670" w:type="dxa"/>
          </w:tcPr>
          <w:p w14:paraId="5DC22EC1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Macierz musi umożliwiać rozbudowę (bez wymiany kontrolerów macierzy), do co najmniej 264 dysków twardych.</w:t>
            </w:r>
          </w:p>
        </w:tc>
        <w:tc>
          <w:tcPr>
            <w:tcW w:w="6521" w:type="dxa"/>
          </w:tcPr>
          <w:p w14:paraId="2760BB0C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7FE9F5F6" w14:textId="44F48324" w:rsidTr="000E3D86">
        <w:tc>
          <w:tcPr>
            <w:tcW w:w="1843" w:type="dxa"/>
          </w:tcPr>
          <w:p w14:paraId="7B804959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Obsługa dysków</w:t>
            </w:r>
          </w:p>
        </w:tc>
        <w:tc>
          <w:tcPr>
            <w:tcW w:w="5670" w:type="dxa"/>
          </w:tcPr>
          <w:p w14:paraId="038AD3BF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mieć możliwość obsługiwania dysków SSD, SAS i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Nearline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SAS. Macierz musi umożliwiać mieszanie napędów dyskowych SSD, SAS i NL SAS w obrębie pojedynczej półki dyskowej.</w:t>
            </w:r>
          </w:p>
        </w:tc>
        <w:tc>
          <w:tcPr>
            <w:tcW w:w="6521" w:type="dxa"/>
          </w:tcPr>
          <w:p w14:paraId="7357D65D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3D8BA589" w14:textId="0BC7A945" w:rsidTr="000E3D86">
        <w:tc>
          <w:tcPr>
            <w:tcW w:w="1843" w:type="dxa"/>
          </w:tcPr>
          <w:p w14:paraId="4D8DEBAE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Sposób zabezpieczenia danych</w:t>
            </w:r>
          </w:p>
        </w:tc>
        <w:tc>
          <w:tcPr>
            <w:tcW w:w="5670" w:type="dxa"/>
          </w:tcPr>
          <w:p w14:paraId="5897623A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obsługiwać mechanizmy RAID zgodne z RAID0, RAID1, RAID10, RAID5, RAID6 oraz RAID z tzw. rozproszoną wolną pojemnością, realizowane sprzętowo za pomocą dedykowanego układu, z możliwością dowolnej ich kombinacji w obrębie 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oferowanej macierzy i z wykorzystaniem wszystkich dysków (tzw.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wide-striping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42A03A1D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umożliwiać definiowanie globalnych dysków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spare</w:t>
            </w:r>
            <w:proofErr w:type="spellEnd"/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oraz dedykowanie dysków </w:t>
            </w:r>
            <w:proofErr w:type="spellStart"/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spare</w:t>
            </w:r>
            <w:proofErr w:type="spellEnd"/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do konkretnych grup RAID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17E24BB8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Macierz musi również oferować możliwość zdefiniowania grup dyskowych z tzw. rozproszoną wolną pojemnością, która nie wykorzystuje tradycyjnych dysków zapasowych (integracja dysków zapasowych i nieaktywnych do zwiększenia dostępności i wydajności macierzy, zwiększenie szybkości odbudowy macierzy na wypadek awarii dysku).</w:t>
            </w:r>
          </w:p>
          <w:p w14:paraId="5F7F9BDF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Macierz musi umożliwiać obsługę dysków różnej pojemności w ramach grupy dysków.</w:t>
            </w:r>
          </w:p>
        </w:tc>
        <w:tc>
          <w:tcPr>
            <w:tcW w:w="6521" w:type="dxa"/>
          </w:tcPr>
          <w:p w14:paraId="05B57CBC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34715EB6" w14:textId="1E7EE269" w:rsidTr="000E3D86">
        <w:tc>
          <w:tcPr>
            <w:tcW w:w="1843" w:type="dxa"/>
          </w:tcPr>
          <w:p w14:paraId="315A4559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Tryb pracy kontrolerów macierzowych</w:t>
            </w:r>
          </w:p>
        </w:tc>
        <w:tc>
          <w:tcPr>
            <w:tcW w:w="5670" w:type="dxa"/>
          </w:tcPr>
          <w:p w14:paraId="6F23333B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posiadać minimum 2 kontrolery macierzowe pracujące w trybie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active-active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i udostępniające jednocześnie dane blokowe. Wszystkie kontrolery muszą komunikować się między sobą bez stosowania dodatkowych przełączników lub koncentratorów. </w:t>
            </w:r>
          </w:p>
        </w:tc>
        <w:tc>
          <w:tcPr>
            <w:tcW w:w="6521" w:type="dxa"/>
          </w:tcPr>
          <w:p w14:paraId="04C08CC5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06903C78" w14:textId="69E52500" w:rsidTr="000E3D86">
        <w:tc>
          <w:tcPr>
            <w:tcW w:w="1843" w:type="dxa"/>
          </w:tcPr>
          <w:p w14:paraId="7C4B44C1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Pamięć cache</w:t>
            </w:r>
          </w:p>
        </w:tc>
        <w:tc>
          <w:tcPr>
            <w:tcW w:w="5670" w:type="dxa"/>
          </w:tcPr>
          <w:p w14:paraId="6E999BBE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Macierz musi posiadać minimum sumarycznie 32 GB pamięci cache. Pamięć cache musi być zbudowana w oparciu o wydajną pamięć typu RAM.</w:t>
            </w:r>
          </w:p>
          <w:p w14:paraId="15F8BD24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Pamięć zapisu musi być mirrorowana (kopie lustrzane) pomiędzy kontrolerami dyskowymi.</w:t>
            </w:r>
          </w:p>
          <w:p w14:paraId="027CBDF6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Dane niezapisane na dyskach (np. zawartość pamięci kontrolera) muszą zostać zabezpieczone w przypadku awarii zasilania za pomocą podtrzymania bateryjnego lub z zastosowaniem innej technologii przez okres minimum 5 lat.</w:t>
            </w:r>
          </w:p>
        </w:tc>
        <w:tc>
          <w:tcPr>
            <w:tcW w:w="6521" w:type="dxa"/>
          </w:tcPr>
          <w:p w14:paraId="16C95D20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02FDFD5B" w14:textId="46064C39" w:rsidTr="000E3D86">
        <w:tc>
          <w:tcPr>
            <w:tcW w:w="1843" w:type="dxa"/>
          </w:tcPr>
          <w:p w14:paraId="666C809D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Rozbudowa pamięci cache</w:t>
            </w:r>
          </w:p>
        </w:tc>
        <w:tc>
          <w:tcPr>
            <w:tcW w:w="5670" w:type="dxa"/>
          </w:tcPr>
          <w:p w14:paraId="6B8F00A2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umożliwiać zwiększenie pojemności pamięci cache dla odczytów do minimum 8 TB z wykorzystaniem dysków SSD lub kart pamięci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flash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68183033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Jeżeli do obsługi powyższej funkcjonalności wymagane są dodatkowe licencje, należy je dostarczyć wraz z rozwiązaniem.</w:t>
            </w:r>
          </w:p>
        </w:tc>
        <w:tc>
          <w:tcPr>
            <w:tcW w:w="6521" w:type="dxa"/>
          </w:tcPr>
          <w:p w14:paraId="7AA6F800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3866759D" w14:textId="72851B46" w:rsidTr="000E3D86">
        <w:tc>
          <w:tcPr>
            <w:tcW w:w="1843" w:type="dxa"/>
          </w:tcPr>
          <w:p w14:paraId="64ED43F4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Interfejsy </w:t>
            </w:r>
          </w:p>
        </w:tc>
        <w:tc>
          <w:tcPr>
            <w:tcW w:w="5670" w:type="dxa"/>
          </w:tcPr>
          <w:p w14:paraId="7D54D4CF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posiadać, co najmniej 8 portów 25Gb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iSCSI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w standardzie SFP28 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br/>
              <w:t>(4 porty na kontroler).</w:t>
            </w:r>
          </w:p>
          <w:p w14:paraId="3A7512FE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W zestawie muszą znajdować się 4 kable DAC 25GbE SFP28/SFP28 min. 3m, dostarczone przez producenta macierzy.</w:t>
            </w:r>
          </w:p>
        </w:tc>
        <w:tc>
          <w:tcPr>
            <w:tcW w:w="6521" w:type="dxa"/>
          </w:tcPr>
          <w:p w14:paraId="77742F42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4CC16C39" w14:textId="3F45E74B" w:rsidTr="000E3D86">
        <w:tc>
          <w:tcPr>
            <w:tcW w:w="1843" w:type="dxa"/>
          </w:tcPr>
          <w:p w14:paraId="4DBACB9F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Zarządzanie</w:t>
            </w:r>
          </w:p>
        </w:tc>
        <w:tc>
          <w:tcPr>
            <w:tcW w:w="5670" w:type="dxa"/>
          </w:tcPr>
          <w:p w14:paraId="12226676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Zarządzanie macierzą musi być możliwe z poziomu interfejsu graficznego i interfejsu znakowego. Zarządzanie macierzą musi odbywać się bezpośrednio na kontrolerach macierzy z poziomu przeglądarki internetowej. </w:t>
            </w:r>
          </w:p>
        </w:tc>
        <w:tc>
          <w:tcPr>
            <w:tcW w:w="6521" w:type="dxa"/>
          </w:tcPr>
          <w:p w14:paraId="77C70CDF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20C9369F" w14:textId="2A45C50B" w:rsidTr="000E3D86">
        <w:tc>
          <w:tcPr>
            <w:tcW w:w="1843" w:type="dxa"/>
          </w:tcPr>
          <w:p w14:paraId="336198C1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Zarządzanie grupami dyskowymi oraz dyskami logicznymi</w:t>
            </w:r>
          </w:p>
        </w:tc>
        <w:tc>
          <w:tcPr>
            <w:tcW w:w="5670" w:type="dxa"/>
          </w:tcPr>
          <w:p w14:paraId="422DF9FB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umożliwiać zdefiniowanie, co najmniej 500 wolumenów logicznych w ramach oferowanej macierzy dyskowej. </w:t>
            </w:r>
          </w:p>
          <w:p w14:paraId="78DBF22A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Musi istnieć możliwość rozłożenia pojedynczego wolumenu logicznego na wszystkie dyski fizyczne macierzy (tzw.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wide-striping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), 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bez konieczności łączenia wielu różnych dysków logicznych w jeden większy.</w:t>
            </w:r>
          </w:p>
          <w:p w14:paraId="28E62940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6521" w:type="dxa"/>
          </w:tcPr>
          <w:p w14:paraId="51A4FE8D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25D5C798" w14:textId="41C652F8" w:rsidTr="000E3D86">
        <w:tc>
          <w:tcPr>
            <w:tcW w:w="1843" w:type="dxa"/>
          </w:tcPr>
          <w:p w14:paraId="62413858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Thin</w:t>
            </w:r>
            <w:proofErr w:type="spellEnd"/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Provisioning</w:t>
            </w:r>
            <w:proofErr w:type="spellEnd"/>
          </w:p>
        </w:tc>
        <w:tc>
          <w:tcPr>
            <w:tcW w:w="5670" w:type="dxa"/>
          </w:tcPr>
          <w:p w14:paraId="7B1B65DA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umożliwiać udostępnianie zasobów dyskowych do serwerów w trybie tradycyjnym, jak i w trybie typu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Thin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Provisioning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51F4CE3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umożliwiać odzyskiwanie przestrzeni dyskowych po usuniętych danych w ramach wolumenów typu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Thin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. Proces odzyskiwania danych musi być automatyczny bez konieczności uruchamiania dodatkowych procesów na kontrolerach macierzowych (wymagana obsługa standardu T10 SCSI UNMAP).</w:t>
            </w:r>
          </w:p>
          <w:p w14:paraId="7CD5817E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6521" w:type="dxa"/>
          </w:tcPr>
          <w:p w14:paraId="7069D593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379B176E" w14:textId="27334E4F" w:rsidTr="000E3D86">
        <w:tc>
          <w:tcPr>
            <w:tcW w:w="1843" w:type="dxa"/>
          </w:tcPr>
          <w:p w14:paraId="1556DFC6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Tiering</w:t>
            </w:r>
            <w:proofErr w:type="spellEnd"/>
          </w:p>
        </w:tc>
        <w:tc>
          <w:tcPr>
            <w:tcW w:w="5670" w:type="dxa"/>
          </w:tcPr>
          <w:p w14:paraId="40D36255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posiadać funkcjonalność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Tiering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między dyskami SSD i SAS i między dyskami SAS i NL SAS.</w:t>
            </w:r>
          </w:p>
          <w:p w14:paraId="08702196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Tiering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musi obejmować wszystkie woluminy w danej puli dyskowej.</w:t>
            </w:r>
          </w:p>
          <w:p w14:paraId="50C52EA4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Dyski SSD mogą być wykorzystane zarówno do uzyskania pojemności w warstwie wydajności lub na potrzeby zwiększenia pamięci podręcznej odczytu w celu przyspieszenia operacji 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losowego odczytu z jednej lub wielu warstw napędów mechanicznych.</w:t>
            </w:r>
          </w:p>
        </w:tc>
        <w:tc>
          <w:tcPr>
            <w:tcW w:w="6521" w:type="dxa"/>
          </w:tcPr>
          <w:p w14:paraId="764FE15F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7795AB03" w14:textId="7185EDF3" w:rsidTr="000E3D86">
        <w:tc>
          <w:tcPr>
            <w:tcW w:w="1843" w:type="dxa"/>
          </w:tcPr>
          <w:p w14:paraId="53DEA63C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Wewnętrzne kopie migawkowe</w:t>
            </w:r>
          </w:p>
        </w:tc>
        <w:tc>
          <w:tcPr>
            <w:tcW w:w="5670" w:type="dxa"/>
          </w:tcPr>
          <w:p w14:paraId="1F9C2C62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Macierz musi umożliwiać dokonywania na żądanie tzw. migawkowej kopii danych (</w:t>
            </w:r>
            <w:proofErr w:type="spellStart"/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snapshot</w:t>
            </w:r>
            <w:proofErr w:type="spellEnd"/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, point-in-</w:t>
            </w:r>
            <w:proofErr w:type="spellStart"/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time</w:t>
            </w:r>
            <w:proofErr w:type="spellEnd"/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) w ramach macierzy za pomocą wewnętrznych kontrolerów macierzowych. Kopia migawkowa wykonuje się bez alokowania dodatkowej przestrzeni dyskowej na potrzeby kopii. Zajmowanie dodatkowej przestrzeni dyskowej następuje w momencie zmiany danych na dysku źródłowym lub na jego kopii. </w:t>
            </w:r>
          </w:p>
          <w:p w14:paraId="455F643F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Macierz musi wspierać minimum 512 kopii migawkowych. Jeżeli do obsługi powyższych funkcjonalności wymagane są dodatkowe licencje, należy je dostarczyć dla całej pojemności urządzenia. </w:t>
            </w:r>
          </w:p>
        </w:tc>
        <w:tc>
          <w:tcPr>
            <w:tcW w:w="6521" w:type="dxa"/>
          </w:tcPr>
          <w:p w14:paraId="3A06679B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0E3D86" w:rsidRPr="008B5FB5" w14:paraId="342E86D9" w14:textId="22C1878B" w:rsidTr="000E3D86">
        <w:tc>
          <w:tcPr>
            <w:tcW w:w="1843" w:type="dxa"/>
          </w:tcPr>
          <w:p w14:paraId="43CE8208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Wewnętrzne kopie pełne</w:t>
            </w:r>
          </w:p>
        </w:tc>
        <w:tc>
          <w:tcPr>
            <w:tcW w:w="5670" w:type="dxa"/>
          </w:tcPr>
          <w:p w14:paraId="645F5521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umożliwiać dokonywanie na żądanie pełnej fizycznej kopii danych (clone) w ramach macierzy za pomocą wewnętrznych kontrolerów macierzowych. </w:t>
            </w:r>
          </w:p>
          <w:p w14:paraId="3851C63B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6521" w:type="dxa"/>
          </w:tcPr>
          <w:p w14:paraId="757997FD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2308E5F1" w14:textId="54C8C377" w:rsidTr="000E3D86">
        <w:tc>
          <w:tcPr>
            <w:tcW w:w="1843" w:type="dxa"/>
          </w:tcPr>
          <w:p w14:paraId="77F7FC42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Migracja danych w obrębie macierzy</w:t>
            </w:r>
          </w:p>
        </w:tc>
        <w:tc>
          <w:tcPr>
            <w:tcW w:w="5670" w:type="dxa"/>
          </w:tcPr>
          <w:p w14:paraId="7F95707A" w14:textId="77777777" w:rsidR="000E3D86" w:rsidRPr="008B5FB5" w:rsidRDefault="000E3D86" w:rsidP="00727A35">
            <w:pPr>
              <w:spacing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dyskowa musi umożliwiać migrację danych bez przerywania do nich dostępu pomiędzy różnymi warstwami technologii dyskowych na poziomie części wolumenów logicznych (ang.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Sub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-LUN). Zmiany te muszą się odbywać wewnętrznymi mechanizmami macierzy. Funkcjonalność musi umożliwiać zdefiniowanie zasobu LUN, który fizycznie będzie znajdował się na min. 3 typach dysków obsługiwanych przez macierz, a jego części będą realokowane na podstawie analizy ruchu w sposób 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automatyczny i transparentny (bez przerywania dostępu do danych) dla korzystających z tego wolumenu hostów. Zmiany te muszą się odbywać wewnętrznymi mechanizmami macierzy. </w:t>
            </w:r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Jeżeli do obsługi powyższych funkcjonalności wymagane są dodatkowe licencje, należy je dostarczyć dla całej pojemności dostarczanego urządzenia.</w:t>
            </w:r>
          </w:p>
        </w:tc>
        <w:tc>
          <w:tcPr>
            <w:tcW w:w="6521" w:type="dxa"/>
          </w:tcPr>
          <w:p w14:paraId="34FF7E21" w14:textId="77777777" w:rsidR="000E3D86" w:rsidRPr="008B5FB5" w:rsidRDefault="000E3D86" w:rsidP="00727A35">
            <w:pPr>
              <w:spacing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37D077A2" w14:textId="48967FEB" w:rsidTr="000E3D86">
        <w:tc>
          <w:tcPr>
            <w:tcW w:w="1843" w:type="dxa"/>
          </w:tcPr>
          <w:p w14:paraId="276A1E80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Zdalna replikacja danych</w:t>
            </w:r>
          </w:p>
          <w:p w14:paraId="2D20E713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624D7DD2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umożliwiać asynchroniczną replikację danych do innej macierzy z tej samej rodziny. Replikacja musi być wykonywana na poziomie kontrolerów, bez użycia dodatkowych serwerów lub innych urządzeń i bez obciążania serwerów podłączonych do macierzy. </w:t>
            </w:r>
          </w:p>
          <w:p w14:paraId="51E0CACA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highlight w:val="yellow"/>
              </w:rPr>
            </w:pPr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Jeżeli do obsługi powyższej funkcjonalności wymagane są dodatkowe licencje, należy je dostarczyć wraz z urządzeniem.</w:t>
            </w:r>
          </w:p>
        </w:tc>
        <w:tc>
          <w:tcPr>
            <w:tcW w:w="6521" w:type="dxa"/>
          </w:tcPr>
          <w:p w14:paraId="50B64298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0C6AE30C" w14:textId="7B25B475" w:rsidTr="000E3D86">
        <w:tc>
          <w:tcPr>
            <w:tcW w:w="1843" w:type="dxa"/>
          </w:tcPr>
          <w:p w14:paraId="538A49EF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Podłączanie zewnętrznych systemów operacyjnych</w:t>
            </w:r>
          </w:p>
        </w:tc>
        <w:tc>
          <w:tcPr>
            <w:tcW w:w="5670" w:type="dxa"/>
          </w:tcPr>
          <w:p w14:paraId="7B43259F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umożliwiać jednoczesne podłączenie wielu serwerów w trybie wysokiej dostępności (co najmniej dwoma ścieżkami). </w:t>
            </w:r>
          </w:p>
          <w:p w14:paraId="5A072FC2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Macierz musi wspierać podłączenie następujących systemów operacyjnych: Windows, RHEL, SLES, Vmware,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Citrix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60C00E00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Dla wymienionych systemów operacyjnych należy dostarczyć oprogramowanie do przełączania ścieżek i równoważenia obciążenia poszczególnych ścieżek. Wymagane jest oprogramowanie dla nielimitowanej liczby serwerów. Dopuszcza się rozwiązania bazujące na natywnych możliwościach systemów operacyjnych.</w:t>
            </w:r>
          </w:p>
          <w:p w14:paraId="42E5FEC0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Jeżeli do obsługi powyższych funkcjonalności wymagane są dodatkowe licencje, należy je dostarczyć dla 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maksymalnej liczby serwerów obsługiwanych przez oferowane urządzenie.</w:t>
            </w:r>
          </w:p>
        </w:tc>
        <w:tc>
          <w:tcPr>
            <w:tcW w:w="6521" w:type="dxa"/>
          </w:tcPr>
          <w:p w14:paraId="7088D447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41274F8F" w14:textId="4C4497A9" w:rsidTr="000E3D86">
        <w:tc>
          <w:tcPr>
            <w:tcW w:w="1843" w:type="dxa"/>
          </w:tcPr>
          <w:p w14:paraId="7B94E7EC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Redundancja</w:t>
            </w:r>
          </w:p>
          <w:p w14:paraId="1A923B27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670" w:type="dxa"/>
          </w:tcPr>
          <w:p w14:paraId="76F408BA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Macierz nie może posiadać pojedynczego punktu awarii, który powodowałby brak dostępu do danych. Musi być zapewniona pełna redundancja komponentów, w szczególności zdublowanie kontrolerów, zasilaczy i wentylatorów.</w:t>
            </w:r>
          </w:p>
          <w:p w14:paraId="0AFFC54E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Macierz musi umożliwiać wymianę elementów systemu w trybie „hot-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swap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”, a w szczególności takich, jak: dyski, kontrolery, zasilacze, wentylatory.</w:t>
            </w:r>
          </w:p>
          <w:p w14:paraId="1140ED06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Cs/>
                <w:sz w:val="20"/>
                <w:szCs w:val="20"/>
              </w:rPr>
              <w:t>Macierz musi mieć możliwość zasilania z dwu niezależnych źródeł zasilania – odporność na zanik zasilania jednej fazy lub awarię jednego z zasilaczy macierzy.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2D1AEB0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Zasilacze użyte w macierzy powinny spełniać wymagania dotyczące sprawności dla zasilacza minimum 80+ Gold.</w:t>
            </w:r>
          </w:p>
        </w:tc>
        <w:tc>
          <w:tcPr>
            <w:tcW w:w="6521" w:type="dxa"/>
          </w:tcPr>
          <w:p w14:paraId="7E7B0F93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5026DCED" w14:textId="52116ACB" w:rsidTr="000E3D86">
        <w:tc>
          <w:tcPr>
            <w:tcW w:w="1843" w:type="dxa"/>
          </w:tcPr>
          <w:p w14:paraId="1C23EE94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Dodatkowe wymagania</w:t>
            </w:r>
          </w:p>
        </w:tc>
        <w:tc>
          <w:tcPr>
            <w:tcW w:w="5670" w:type="dxa"/>
          </w:tcPr>
          <w:p w14:paraId="29847524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Oferowany system dyskowy musi się składać z pojedynczej macierzy dyskowej. Niedopuszczalna jest realizacja zamówienia poprzez dostarczenie wielu macierzy dyskowych. Za pojedynczą macierz nie uznaje się rozwiązania opartego o wiele macierzy dyskowych (par kontrolerów macierzowych) połączonych przełącznikami SAN lub tzw.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wirtualizatorem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sieci SAN czy 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wirtualizatorem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macierzy dyskowych.</w:t>
            </w:r>
          </w:p>
          <w:p w14:paraId="598EA398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Możliwość ograniczania poboru zasilania przez dyski, które nie obsługują operacji we/wy, poprzez ich zatrzymanie.</w:t>
            </w:r>
          </w:p>
        </w:tc>
        <w:tc>
          <w:tcPr>
            <w:tcW w:w="6521" w:type="dxa"/>
          </w:tcPr>
          <w:p w14:paraId="013AD946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5E788939" w14:textId="49ADF8A5" w:rsidTr="000E3D86">
        <w:tc>
          <w:tcPr>
            <w:tcW w:w="1843" w:type="dxa"/>
          </w:tcPr>
          <w:p w14:paraId="7DF660B6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Standardy bezpieczeństwa</w:t>
            </w:r>
          </w:p>
        </w:tc>
        <w:tc>
          <w:tcPr>
            <w:tcW w:w="5670" w:type="dxa"/>
          </w:tcPr>
          <w:p w14:paraId="6FE9268B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Urządzenie musi spełniać następujące standardy bezpieczeństwa: EN 62368-1 (</w:t>
            </w:r>
            <w:proofErr w:type="spellStart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European</w:t>
            </w:r>
            <w:proofErr w:type="spellEnd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Union), IEC 60950-1 (International)</w:t>
            </w:r>
          </w:p>
        </w:tc>
        <w:tc>
          <w:tcPr>
            <w:tcW w:w="6521" w:type="dxa"/>
          </w:tcPr>
          <w:p w14:paraId="32289DD9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5202E3D8" w14:textId="5B3C4CD8" w:rsidTr="000E3D86">
        <w:tc>
          <w:tcPr>
            <w:tcW w:w="1843" w:type="dxa"/>
          </w:tcPr>
          <w:p w14:paraId="51352ABF" w14:textId="77777777" w:rsidR="000E3D86" w:rsidRPr="008B5FB5" w:rsidRDefault="000E3D86" w:rsidP="00727A35">
            <w:pPr>
              <w:spacing w:after="0" w:line="259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B5FB5">
              <w:rPr>
                <w:rFonts w:asciiTheme="minorHAnsi" w:eastAsia="MS Mincho" w:hAnsiTheme="minorHAnsi" w:cstheme="minorHAnsi"/>
                <w:b/>
                <w:bCs/>
                <w:sz w:val="20"/>
                <w:szCs w:val="20"/>
                <w:lang w:eastAsia="ja-JP"/>
              </w:rPr>
              <w:t>Inne</w:t>
            </w:r>
          </w:p>
        </w:tc>
        <w:tc>
          <w:tcPr>
            <w:tcW w:w="5670" w:type="dxa"/>
            <w:vAlign w:val="center"/>
          </w:tcPr>
          <w:p w14:paraId="7FB5AF75" w14:textId="77777777" w:rsidR="000E3D86" w:rsidRPr="008B5FB5" w:rsidRDefault="000E3D86" w:rsidP="00727A3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Urządzenie musi być zakupione w oficjalnym kanale dystrybucyjnym producenta. 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br/>
              <w:t>Na żądanie Zamawiającego, Wykonawca musi przedstawić oświadczenie producenta oferowanej macierzy, potwierdzające pochodzenie urządzenia z oficjalnego kanału dystrybucyjnego producenta.</w:t>
            </w:r>
          </w:p>
          <w:p w14:paraId="7819260B" w14:textId="77777777" w:rsidR="000E3D86" w:rsidRPr="008B5FB5" w:rsidRDefault="000E3D86" w:rsidP="00727A3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4" w:name="_Hlk218506105"/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Wymagane są dokumenty poświadczające, że sprzęt jest produkowany zgodnie z normami ISO 9001 oraz ISO 14001.</w:t>
            </w:r>
          </w:p>
          <w:p w14:paraId="77D56EA7" w14:textId="77777777" w:rsidR="000E3D86" w:rsidRPr="008B5FB5" w:rsidRDefault="000E3D86" w:rsidP="00727A35">
            <w:pPr>
              <w:spacing w:after="0" w:line="259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>Deklaracja zgodności CE.</w:t>
            </w:r>
            <w:bookmarkEnd w:id="4"/>
          </w:p>
        </w:tc>
        <w:tc>
          <w:tcPr>
            <w:tcW w:w="6521" w:type="dxa"/>
          </w:tcPr>
          <w:p w14:paraId="335CF175" w14:textId="77777777" w:rsidR="000E3D86" w:rsidRPr="008B5FB5" w:rsidRDefault="000E3D86" w:rsidP="00727A3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E3D86" w:rsidRPr="008B5FB5" w14:paraId="2E799234" w14:textId="0FA7DA11" w:rsidTr="000E3D8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B3F4" w14:textId="77777777" w:rsidR="000E3D86" w:rsidRPr="008B5FB5" w:rsidRDefault="000E3D86" w:rsidP="00727A35">
            <w:pPr>
              <w:spacing w:after="0" w:line="259" w:lineRule="auto"/>
              <w:rPr>
                <w:rFonts w:asciiTheme="minorHAnsi" w:eastAsia="MS Mincho" w:hAnsiTheme="minorHAnsi" w:cstheme="minorHAnsi"/>
                <w:b/>
                <w:bCs/>
                <w:sz w:val="20"/>
                <w:szCs w:val="20"/>
                <w:lang w:eastAsia="ja-JP"/>
              </w:rPr>
            </w:pPr>
            <w:r w:rsidRPr="008B5FB5">
              <w:rPr>
                <w:rFonts w:asciiTheme="minorHAnsi" w:eastAsia="MS Mincho" w:hAnsiTheme="minorHAnsi" w:cstheme="minorHAnsi"/>
                <w:b/>
                <w:bCs/>
                <w:sz w:val="20"/>
                <w:szCs w:val="20"/>
                <w:lang w:eastAsia="ja-JP"/>
              </w:rPr>
              <w:t>Warunki gwarancji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735B" w14:textId="645233EB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8B5FB5">
              <w:rPr>
                <w:rFonts w:asciiTheme="minorHAnsi" w:hAnsiTheme="minorHAnsi" w:cstheme="minorHAnsi"/>
                <w:sz w:val="20"/>
              </w:rPr>
              <w:t xml:space="preserve">Zamawiający wymaga zapewnienia gwarancji Producenta z zakresu wdrażanej technologii na okres minimum </w:t>
            </w:r>
            <w:r w:rsidR="00E12FB1">
              <w:rPr>
                <w:rFonts w:asciiTheme="minorHAnsi" w:hAnsiTheme="minorHAnsi" w:cstheme="minorHAnsi"/>
                <w:sz w:val="20"/>
              </w:rPr>
              <w:t>36</w:t>
            </w:r>
            <w:r w:rsidRPr="008B5FB5">
              <w:rPr>
                <w:rFonts w:asciiTheme="minorHAnsi" w:hAnsiTheme="minorHAnsi" w:cstheme="minorHAnsi"/>
                <w:sz w:val="20"/>
              </w:rPr>
              <w:t xml:space="preserve"> miesięcy. </w:t>
            </w:r>
          </w:p>
          <w:p w14:paraId="464D2A1F" w14:textId="77777777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8B5FB5">
              <w:rPr>
                <w:rFonts w:asciiTheme="minorHAnsi" w:hAnsiTheme="minorHAnsi" w:cstheme="minorHAnsi"/>
                <w:sz w:val="20"/>
              </w:rPr>
              <w:t xml:space="preserve">Zamawiający oczekuje możliwości zgłaszania zdarzeń serwisowych w trybie 24/7/365 następującymi kanałami: telefonicznie i przez Internet. </w:t>
            </w:r>
          </w:p>
          <w:p w14:paraId="1955CCB8" w14:textId="77777777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8B5FB5">
              <w:rPr>
                <w:rFonts w:asciiTheme="minorHAnsi" w:hAnsiTheme="minorHAnsi" w:cstheme="minorHAnsi"/>
                <w:sz w:val="20"/>
              </w:rPr>
              <w:t xml:space="preserve">Zamawiający wymaga pojedynczego punktu kontaktu dla całego rozwiązania Producenta, w tym także sprzedanego oprogramowania. </w:t>
            </w:r>
          </w:p>
          <w:p w14:paraId="0B9B6013" w14:textId="77777777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8B5FB5">
              <w:rPr>
                <w:rFonts w:asciiTheme="minorHAnsi" w:hAnsiTheme="minorHAnsi" w:cstheme="minorHAnsi"/>
                <w:sz w:val="20"/>
              </w:rPr>
              <w:t>Zamawiający oczekuje możliwości samodzielnego kwalifikowania poziomu ważności naprawy.</w:t>
            </w:r>
          </w:p>
          <w:p w14:paraId="62C17957" w14:textId="77777777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8B5FB5">
              <w:rPr>
                <w:rFonts w:asciiTheme="minorHAnsi" w:hAnsiTheme="minorHAnsi" w:cstheme="minorHAnsi"/>
                <w:sz w:val="20"/>
              </w:rPr>
              <w:t xml:space="preserve">Certyfikowany Technik Producenta z właściwym zestawem części do naprawy (potwierdzonym na etapie </w:t>
            </w:r>
            <w:r w:rsidRPr="008B5FB5">
              <w:rPr>
                <w:rFonts w:asciiTheme="minorHAnsi" w:hAnsiTheme="minorHAnsi" w:cstheme="minorHAnsi"/>
                <w:sz w:val="20"/>
              </w:rPr>
              <w:lastRenderedPageBreak/>
              <w:t xml:space="preserve">diagnostyki) powinien rozpocząć naprawę w siedzibie zamawiającego najpóźniej w następnym dniu roboczym (NBD) od zakończenia diagnostyki. </w:t>
            </w:r>
          </w:p>
          <w:p w14:paraId="3358E08A" w14:textId="77777777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8B5FB5">
              <w:rPr>
                <w:rFonts w:asciiTheme="minorHAnsi" w:hAnsiTheme="minorHAnsi" w:cstheme="minorHAnsi"/>
                <w:sz w:val="20"/>
              </w:rPr>
              <w:t xml:space="preserve">Naprawa ma się odbyć w siedzibie zamawiającego, chyba, że zamawiający dla danej naprawy zgodzi się na inną formę.  </w:t>
            </w:r>
          </w:p>
          <w:p w14:paraId="73AAD11E" w14:textId="77777777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r w:rsidRPr="008B5FB5">
              <w:rPr>
                <w:rFonts w:asciiTheme="minorHAnsi" w:hAnsiTheme="minorHAnsi" w:cstheme="minorHAnsi"/>
                <w:sz w:val="20"/>
              </w:rPr>
              <w:t>Zamawiający oczekuje nieodpłatnego udostępnienia narzędzi serwisowych i procesów wsparcia umożliwiających: Wykrywanie usterek sprzętowych z predykcją awarii, automatyczną diagnostykę i zdalne otwieranie zgłoszeń serwisowych, wskazówki dotyczące bezpieczeństwa produktów, samodzielne wysyłanie części, a także ocena bezpieczeństwa cybernetycznego.</w:t>
            </w:r>
          </w:p>
          <w:p w14:paraId="7B255492" w14:textId="494C6347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rPr>
                <w:rFonts w:asciiTheme="minorHAnsi" w:hAnsiTheme="minorHAnsi" w:cstheme="minorHAnsi"/>
                <w:sz w:val="20"/>
              </w:rPr>
            </w:pPr>
            <w:bookmarkStart w:id="5" w:name="_Hlk218506169"/>
            <w:r w:rsidRPr="008B5FB5">
              <w:rPr>
                <w:rFonts w:asciiTheme="minorHAnsi" w:hAnsiTheme="minorHAnsi" w:cstheme="minorHAnsi"/>
                <w:sz w:val="20"/>
              </w:rPr>
              <w:t>Zamawiający wymaga od podmiotu realizującego serwis lub producenta sprzętu dołączenia do oferty oświadczenia, że w przypadku wystąpienia awarii dysku twardego w urządzeniu objętym aktywnym wparciem technicznym, uszkodzony dysk twardy pozostaje u Zamawiającego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622A5BCC" w14:textId="5D715ECC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jc w:val="both"/>
              <w:rPr>
                <w:rFonts w:asciiTheme="minorHAnsi" w:hAnsiTheme="minorHAnsi" w:cstheme="minorHAnsi"/>
                <w:sz w:val="20"/>
              </w:rPr>
            </w:pPr>
            <w:r w:rsidRPr="008B5FB5">
              <w:rPr>
                <w:rFonts w:asciiTheme="minorHAnsi" w:hAnsiTheme="minorHAnsi" w:cstheme="minorHAnsi"/>
                <w:sz w:val="20"/>
              </w:rPr>
              <w:t>Wymagane dołączenie do oferty oświadczenia Producenta potwierdzające, że Serwis urządzeń będzie realizowany bezpośrednio przez Producenta i/lub we współpracy z Autoryzowanym Partnerem Serwisowym Producenta</w:t>
            </w:r>
            <w:r w:rsidR="006C3818">
              <w:rPr>
                <w:rFonts w:asciiTheme="minorHAnsi" w:hAnsiTheme="minorHAnsi" w:cstheme="minorHAnsi"/>
                <w:sz w:val="20"/>
              </w:rPr>
              <w:t>.</w:t>
            </w:r>
            <w:r w:rsidRPr="008B5FB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E109D92" w14:textId="4DA8BD42" w:rsidR="000E3D86" w:rsidRPr="008B5FB5" w:rsidRDefault="000E3D86" w:rsidP="000E3D86">
            <w:pPr>
              <w:numPr>
                <w:ilvl w:val="0"/>
                <w:numId w:val="8"/>
              </w:numPr>
              <w:spacing w:before="0" w:after="160" w:line="259" w:lineRule="auto"/>
              <w:contextualSpacing/>
              <w:jc w:val="both"/>
              <w:rPr>
                <w:rFonts w:asciiTheme="minorHAnsi" w:eastAsia="MS Mincho" w:hAnsiTheme="minorHAnsi" w:cstheme="minorHAnsi"/>
                <w:sz w:val="20"/>
                <w:szCs w:val="20"/>
                <w:lang w:eastAsia="ja-JP"/>
              </w:rPr>
            </w:pPr>
            <w:r w:rsidRPr="008B5FB5">
              <w:rPr>
                <w:rFonts w:asciiTheme="minorHAnsi" w:hAnsiTheme="minorHAnsi" w:cstheme="minorHAnsi"/>
                <w:sz w:val="20"/>
              </w:rPr>
              <w:t>Firma serwisująca musi posiadać ISO 9001:2015 oraz ISO-27001 na świadczenie usług serwisowych oraz posiadać autoryzacje producenta urządzeń</w:t>
            </w:r>
            <w:bookmarkEnd w:id="5"/>
            <w:r w:rsidR="006C3818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6521" w:type="dxa"/>
          </w:tcPr>
          <w:p w14:paraId="3565795F" w14:textId="77777777" w:rsidR="000E3D86" w:rsidRPr="008B5FB5" w:rsidRDefault="000E3D86" w:rsidP="006E7B55">
            <w:pPr>
              <w:spacing w:before="0" w:after="160" w:line="259" w:lineRule="auto"/>
              <w:ind w:left="720"/>
              <w:contextualSpacing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FEC9EDC" w14:textId="77777777" w:rsidR="000E3D86" w:rsidRPr="008B5FB5" w:rsidRDefault="000E3D86" w:rsidP="003609A7">
      <w:pPr>
        <w:spacing w:before="0" w:after="0"/>
        <w:rPr>
          <w:rFonts w:asciiTheme="minorHAnsi" w:hAnsiTheme="minorHAnsi" w:cstheme="minorHAnsi"/>
        </w:rPr>
      </w:pPr>
    </w:p>
    <w:sectPr w:rsidR="000E3D86" w:rsidRPr="008B5FB5" w:rsidSect="00023AA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 w:code="9"/>
      <w:pgMar w:top="1134" w:right="1922" w:bottom="1134" w:left="1446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66483" w14:textId="77777777" w:rsidR="0018173F" w:rsidRDefault="0018173F">
      <w:r>
        <w:separator/>
      </w:r>
    </w:p>
  </w:endnote>
  <w:endnote w:type="continuationSeparator" w:id="0">
    <w:p w14:paraId="76170B61" w14:textId="77777777" w:rsidR="0018173F" w:rsidRDefault="0018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41FC8BFC">
          <wp:simplePos x="0" y="0"/>
          <wp:positionH relativeFrom="column">
            <wp:posOffset>4709160</wp:posOffset>
          </wp:positionH>
          <wp:positionV relativeFrom="paragraph">
            <wp:posOffset>244475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3818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2CA84D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EC48C2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624EC438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8947442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5F0FE" w14:textId="77777777" w:rsidR="0018173F" w:rsidRDefault="0018173F">
      <w:r>
        <w:separator/>
      </w:r>
    </w:p>
  </w:footnote>
  <w:footnote w:type="continuationSeparator" w:id="0">
    <w:p w14:paraId="49F871AD" w14:textId="77777777" w:rsidR="0018173F" w:rsidRDefault="00181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77777777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9C7D8E"/>
    <w:multiLevelType w:val="hybridMultilevel"/>
    <w:tmpl w:val="A2DAF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852C8"/>
    <w:multiLevelType w:val="hybridMultilevel"/>
    <w:tmpl w:val="D5A0E9E4"/>
    <w:lvl w:ilvl="0" w:tplc="DD5CA748">
      <w:start w:val="1"/>
      <w:numFmt w:val="decimal"/>
      <w:lvlText w:val="%1."/>
      <w:lvlJc w:val="left"/>
      <w:pPr>
        <w:ind w:left="720" w:hanging="360"/>
      </w:pPr>
    </w:lvl>
    <w:lvl w:ilvl="1" w:tplc="91D643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C59C2"/>
    <w:multiLevelType w:val="hybridMultilevel"/>
    <w:tmpl w:val="06C409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B78E33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63A32"/>
    <w:multiLevelType w:val="hybridMultilevel"/>
    <w:tmpl w:val="C7FC9F72"/>
    <w:lvl w:ilvl="0" w:tplc="07A21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63E18"/>
    <w:multiLevelType w:val="hybridMultilevel"/>
    <w:tmpl w:val="B534363E"/>
    <w:lvl w:ilvl="0" w:tplc="3EB87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D0B1A"/>
    <w:multiLevelType w:val="hybridMultilevel"/>
    <w:tmpl w:val="3C3E9122"/>
    <w:lvl w:ilvl="0" w:tplc="3EB87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3021E"/>
    <w:multiLevelType w:val="hybridMultilevel"/>
    <w:tmpl w:val="EAE87E14"/>
    <w:lvl w:ilvl="0" w:tplc="3EB87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FF74E2"/>
    <w:multiLevelType w:val="hybridMultilevel"/>
    <w:tmpl w:val="3498F6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226A3"/>
    <w:multiLevelType w:val="hybridMultilevel"/>
    <w:tmpl w:val="0D6E8860"/>
    <w:lvl w:ilvl="0" w:tplc="3EB873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AD203B"/>
    <w:multiLevelType w:val="hybridMultilevel"/>
    <w:tmpl w:val="6E343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073D97"/>
    <w:multiLevelType w:val="hybridMultilevel"/>
    <w:tmpl w:val="088A00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5596946">
    <w:abstractNumId w:val="1"/>
  </w:num>
  <w:num w:numId="2" w16cid:durableId="536429250">
    <w:abstractNumId w:val="10"/>
  </w:num>
  <w:num w:numId="3" w16cid:durableId="2008709622">
    <w:abstractNumId w:val="17"/>
  </w:num>
  <w:num w:numId="4" w16cid:durableId="1774592914">
    <w:abstractNumId w:val="13"/>
  </w:num>
  <w:num w:numId="5" w16cid:durableId="1531069444">
    <w:abstractNumId w:val="8"/>
  </w:num>
  <w:num w:numId="6" w16cid:durableId="2102986736">
    <w:abstractNumId w:val="6"/>
  </w:num>
  <w:num w:numId="7" w16cid:durableId="678313632">
    <w:abstractNumId w:val="9"/>
  </w:num>
  <w:num w:numId="8" w16cid:durableId="1376852237">
    <w:abstractNumId w:val="2"/>
  </w:num>
  <w:num w:numId="9" w16cid:durableId="1129200778">
    <w:abstractNumId w:val="5"/>
  </w:num>
  <w:num w:numId="10" w16cid:durableId="93287997">
    <w:abstractNumId w:val="15"/>
  </w:num>
  <w:num w:numId="11" w16cid:durableId="337581895">
    <w:abstractNumId w:val="3"/>
  </w:num>
  <w:num w:numId="12" w16cid:durableId="717357879">
    <w:abstractNumId w:val="7"/>
  </w:num>
  <w:num w:numId="13" w16cid:durableId="1542939003">
    <w:abstractNumId w:val="11"/>
  </w:num>
  <w:num w:numId="14" w16cid:durableId="1723558023">
    <w:abstractNumId w:val="16"/>
  </w:num>
  <w:num w:numId="15" w16cid:durableId="1085878262">
    <w:abstractNumId w:val="4"/>
  </w:num>
  <w:num w:numId="16" w16cid:durableId="401374095">
    <w:abstractNumId w:val="12"/>
  </w:num>
  <w:num w:numId="17" w16cid:durableId="961156998">
    <w:abstractNumId w:val="14"/>
  </w:num>
  <w:num w:numId="18" w16cid:durableId="1179082704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4457"/>
    <w:rsid w:val="00010FC6"/>
    <w:rsid w:val="00023AAD"/>
    <w:rsid w:val="00033BD7"/>
    <w:rsid w:val="0004603C"/>
    <w:rsid w:val="00065C40"/>
    <w:rsid w:val="00084A79"/>
    <w:rsid w:val="00094EF6"/>
    <w:rsid w:val="000E21EF"/>
    <w:rsid w:val="000E3D86"/>
    <w:rsid w:val="000F55F6"/>
    <w:rsid w:val="0010162A"/>
    <w:rsid w:val="001561C5"/>
    <w:rsid w:val="0018173F"/>
    <w:rsid w:val="00195DA4"/>
    <w:rsid w:val="00214307"/>
    <w:rsid w:val="002571F6"/>
    <w:rsid w:val="002A0B00"/>
    <w:rsid w:val="002B08FC"/>
    <w:rsid w:val="002D66BB"/>
    <w:rsid w:val="002E6BDD"/>
    <w:rsid w:val="002F66E8"/>
    <w:rsid w:val="00310274"/>
    <w:rsid w:val="003134FE"/>
    <w:rsid w:val="00336947"/>
    <w:rsid w:val="003609A7"/>
    <w:rsid w:val="00366E79"/>
    <w:rsid w:val="003741ED"/>
    <w:rsid w:val="003816DA"/>
    <w:rsid w:val="00385D2C"/>
    <w:rsid w:val="00385FFB"/>
    <w:rsid w:val="00412555"/>
    <w:rsid w:val="004174D9"/>
    <w:rsid w:val="00451120"/>
    <w:rsid w:val="00482EA3"/>
    <w:rsid w:val="004844AD"/>
    <w:rsid w:val="004A5600"/>
    <w:rsid w:val="004E62F6"/>
    <w:rsid w:val="004F057D"/>
    <w:rsid w:val="00502777"/>
    <w:rsid w:val="005115C2"/>
    <w:rsid w:val="00540089"/>
    <w:rsid w:val="005A056A"/>
    <w:rsid w:val="005B0A37"/>
    <w:rsid w:val="005B7917"/>
    <w:rsid w:val="005D649B"/>
    <w:rsid w:val="005E22E2"/>
    <w:rsid w:val="0062332B"/>
    <w:rsid w:val="006268AD"/>
    <w:rsid w:val="0064734F"/>
    <w:rsid w:val="006760F1"/>
    <w:rsid w:val="00686BD9"/>
    <w:rsid w:val="006C3818"/>
    <w:rsid w:val="006C6133"/>
    <w:rsid w:val="006D19B4"/>
    <w:rsid w:val="006E040C"/>
    <w:rsid w:val="006E7B55"/>
    <w:rsid w:val="006F25B4"/>
    <w:rsid w:val="007021C9"/>
    <w:rsid w:val="007077F2"/>
    <w:rsid w:val="00735813"/>
    <w:rsid w:val="00760990"/>
    <w:rsid w:val="00761B48"/>
    <w:rsid w:val="00780D75"/>
    <w:rsid w:val="00795746"/>
    <w:rsid w:val="007A131B"/>
    <w:rsid w:val="00863D3F"/>
    <w:rsid w:val="0088784C"/>
    <w:rsid w:val="008B21FA"/>
    <w:rsid w:val="008B5FB5"/>
    <w:rsid w:val="008C4DE6"/>
    <w:rsid w:val="0097114E"/>
    <w:rsid w:val="009A5797"/>
    <w:rsid w:val="009B7B29"/>
    <w:rsid w:val="00A13DE6"/>
    <w:rsid w:val="00A25198"/>
    <w:rsid w:val="00A34049"/>
    <w:rsid w:val="00A4243A"/>
    <w:rsid w:val="00A42564"/>
    <w:rsid w:val="00A63403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53462"/>
    <w:rsid w:val="00C965EE"/>
    <w:rsid w:val="00CA4211"/>
    <w:rsid w:val="00CB53C1"/>
    <w:rsid w:val="00CC431D"/>
    <w:rsid w:val="00CF1AB9"/>
    <w:rsid w:val="00D20A77"/>
    <w:rsid w:val="00DB39D1"/>
    <w:rsid w:val="00DC0C56"/>
    <w:rsid w:val="00DF468E"/>
    <w:rsid w:val="00E05D52"/>
    <w:rsid w:val="00E12FB1"/>
    <w:rsid w:val="00E1663C"/>
    <w:rsid w:val="00EA5546"/>
    <w:rsid w:val="00EB7791"/>
    <w:rsid w:val="00EC48C2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link w:val="MapadokumentuZnak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EC48C2"/>
    <w:rPr>
      <w:rFonts w:ascii="Tahoma" w:hAnsi="Tahoma" w:cs="Tahoma"/>
      <w:sz w:val="20"/>
      <w:szCs w:val="20"/>
      <w:shd w:val="clear" w:color="auto" w:fill="000080"/>
    </w:rPr>
  </w:style>
  <w:style w:type="character" w:customStyle="1" w:styleId="TekstdymkaZnak">
    <w:name w:val="Tekst dymka Znak"/>
    <w:basedOn w:val="Domylnaczcionkaakapitu"/>
    <w:link w:val="Tekstdymka"/>
    <w:semiHidden/>
    <w:rsid w:val="00EC48C2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EC48C2"/>
  </w:style>
  <w:style w:type="paragraph" w:customStyle="1" w:styleId="dtekst">
    <w:name w:val="d_tekst"/>
    <w:basedOn w:val="Normalny"/>
    <w:link w:val="dtekstZnak"/>
    <w:qFormat/>
    <w:rsid w:val="00EC48C2"/>
    <w:pPr>
      <w:spacing w:before="0" w:after="0" w:line="240" w:lineRule="auto"/>
      <w:ind w:firstLine="709"/>
      <w:jc w:val="both"/>
    </w:pPr>
    <w:rPr>
      <w:rFonts w:ascii="Times New Roman" w:hAnsi="Times New Roman"/>
      <w:lang w:eastAsia="pl-PL"/>
    </w:rPr>
  </w:style>
  <w:style w:type="character" w:customStyle="1" w:styleId="dtekstZnak">
    <w:name w:val="d_tekst Znak"/>
    <w:basedOn w:val="Domylnaczcionkaakapitu"/>
    <w:link w:val="dtekst"/>
    <w:rsid w:val="00EC48C2"/>
    <w:rPr>
      <w:rFonts w:ascii="Times New Roman" w:hAnsi="Times New Roman"/>
      <w:lang w:eastAsia="pl-PL"/>
    </w:rPr>
  </w:style>
  <w:style w:type="paragraph" w:customStyle="1" w:styleId="Default">
    <w:name w:val="Default"/>
    <w:rsid w:val="00EC48C2"/>
    <w:pPr>
      <w:autoSpaceDE w:val="0"/>
      <w:autoSpaceDN w:val="0"/>
      <w:adjustRightInd w:val="0"/>
    </w:pPr>
    <w:rPr>
      <w:rFonts w:eastAsiaTheme="minorHAnsi" w:cs="Calibri"/>
      <w:color w:val="000000"/>
    </w:rPr>
  </w:style>
  <w:style w:type="paragraph" w:customStyle="1" w:styleId="Akapitzlist1">
    <w:name w:val="Akapit z listą1"/>
    <w:basedOn w:val="Normalny"/>
    <w:rsid w:val="00EC48C2"/>
    <w:pPr>
      <w:widowControl w:val="0"/>
      <w:suppressAutoHyphens/>
      <w:spacing w:before="0" w:after="200" w:line="240" w:lineRule="auto"/>
      <w:ind w:left="720"/>
      <w:contextualSpacing/>
    </w:pPr>
    <w:rPr>
      <w:rFonts w:ascii="Liberation Serif" w:hAnsi="Liberation Serif" w:cs="Mangal"/>
      <w:kern w:val="1"/>
      <w:lang w:eastAsia="zh-CN" w:bidi="hi-IN"/>
    </w:rPr>
  </w:style>
  <w:style w:type="paragraph" w:styleId="Tekstprzypisudolnego">
    <w:name w:val="footnote text"/>
    <w:basedOn w:val="Normalny"/>
    <w:link w:val="TekstprzypisudolnegoZnak"/>
    <w:semiHidden/>
    <w:unhideWhenUsed/>
    <w:rsid w:val="00EC48C2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C48C2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EC48C2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unhideWhenUsed/>
    <w:rsid w:val="00EC48C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48C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EC48C2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EC48C2"/>
    <w:pPr>
      <w:spacing w:before="0" w:after="0" w:line="240" w:lineRule="auto"/>
      <w:ind w:left="2124" w:hanging="2124"/>
      <w:jc w:val="both"/>
    </w:pPr>
    <w:rPr>
      <w:rFonts w:ascii="Times New Roman" w:hAnsi="Times New Roman"/>
      <w:sz w:val="4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8C2"/>
    <w:rPr>
      <w:rFonts w:ascii="Times New Roman" w:hAnsi="Times New Roman"/>
      <w:sz w:val="4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peat.ne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24</Pages>
  <Words>3758</Words>
  <Characters>26390</Characters>
  <Application>Microsoft Office Word</Application>
  <DocSecurity>0</DocSecurity>
  <Lines>219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30088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Karolina Jura</cp:lastModifiedBy>
  <cp:revision>43</cp:revision>
  <cp:lastPrinted>2018-03-26T09:55:00Z</cp:lastPrinted>
  <dcterms:created xsi:type="dcterms:W3CDTF">2024-02-09T09:14:00Z</dcterms:created>
  <dcterms:modified xsi:type="dcterms:W3CDTF">2026-04-15T11:16:00Z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