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30"/>
        <w:jc w:val="end"/>
        <w:rPr>
          <w:rFonts w:eastAsia="Lucida Sans Unicode"/>
          <w:sz w:val="22"/>
          <w:szCs w:val="22"/>
        </w:rPr>
      </w:pPr>
      <w:r>
        <w:rPr>
          <w:rFonts w:eastAsia="Lucida Sans Unicode"/>
          <w:sz w:val="22"/>
          <w:szCs w:val="22"/>
        </w:rPr>
      </w:r>
    </w:p>
    <w:tbl>
      <w:tblPr>
        <w:tblW w:w="9211" w:type="dxa"/>
        <w:jc w:val="start"/>
        <w:tblInd w:w="10" w:type="dxa"/>
        <w:tblLayout w:type="fixed"/>
        <w:tblCellMar>
          <w:top w:w="55" w:type="dxa"/>
          <w:start w:w="55" w:type="dxa"/>
          <w:bottom w:w="55" w:type="dxa"/>
          <w:end w:w="55" w:type="dxa"/>
        </w:tblCellMar>
        <w:tblLook w:firstRow="1" w:noVBand="1" w:lastRow="0" w:firstColumn="1" w:lastColumn="0" w:noHBand="0" w:val="04a0"/>
      </w:tblPr>
      <w:tblGrid>
        <w:gridCol w:w="1797"/>
        <w:gridCol w:w="7413"/>
      </w:tblGrid>
      <w:tr>
        <w:trPr/>
        <w:tc>
          <w:tcPr>
            <w:tcW w:w="9210" w:type="dxa"/>
            <w:gridSpan w:val="2"/>
            <w:tcBorders>
              <w:top w:val="single" w:sz="2" w:space="0" w:color="000000"/>
              <w:start w:val="single" w:sz="2" w:space="0" w:color="000000"/>
              <w:bottom w:val="single" w:sz="2" w:space="0" w:color="000000"/>
              <w:end w:val="single" w:sz="2" w:space="0" w:color="000000"/>
            </w:tcBorders>
            <w:shd w:color="auto" w:fill="666666" w:val="clear"/>
            <w:vAlign w:val="center"/>
          </w:tcPr>
          <w:p>
            <w:pPr>
              <w:pStyle w:val="Zawartotabeli"/>
              <w:spacing w:lineRule="atLeast" w:line="200"/>
              <w:jc w:val="center"/>
              <w:rPr>
                <w:b/>
                <w:bCs/>
                <w:i/>
                <w:i/>
                <w:iCs/>
                <w:color w:val="FFFFFF"/>
                <w:sz w:val="44"/>
                <w:szCs w:val="44"/>
              </w:rPr>
            </w:pPr>
            <w:r>
              <w:rPr>
                <w:b/>
                <w:bCs/>
                <w:i/>
                <w:iCs/>
                <w:color w:val="FFFFFF"/>
                <w:sz w:val="44"/>
                <w:szCs w:val="44"/>
              </w:rPr>
              <w:t>BUDYNEK - B</w:t>
            </w:r>
          </w:p>
        </w:tc>
      </w:tr>
      <w:tr>
        <w:trPr/>
        <w:tc>
          <w:tcPr>
            <w:tcW w:w="9210" w:type="dxa"/>
            <w:gridSpan w:val="2"/>
            <w:tcBorders>
              <w:start w:val="single" w:sz="2" w:space="0" w:color="000000"/>
              <w:bottom w:val="single" w:sz="2" w:space="0" w:color="000000"/>
              <w:end w:val="single" w:sz="2" w:space="0" w:color="000000"/>
            </w:tcBorders>
            <w:shd w:color="auto" w:fill="666666" w:val="clear"/>
            <w:vAlign w:val="center"/>
          </w:tcPr>
          <w:p>
            <w:pPr>
              <w:pStyle w:val="Zawartotabeli"/>
              <w:spacing w:lineRule="atLeast" w:line="200"/>
              <w:jc w:val="center"/>
              <w:rPr>
                <w:b/>
                <w:bCs/>
                <w:i/>
                <w:i/>
                <w:iCs/>
                <w:color w:val="FFFFFF"/>
                <w:sz w:val="30"/>
                <w:szCs w:val="30"/>
              </w:rPr>
            </w:pPr>
            <w:r>
              <w:rPr>
                <w:b/>
                <w:bCs/>
                <w:i/>
                <w:iCs/>
                <w:color w:val="FFFFFF"/>
                <w:sz w:val="30"/>
                <w:szCs w:val="30"/>
              </w:rPr>
              <w:t>SPECYFIKACJA TECHNICZNA WYKONANIA I ODBIORU ROBÓT BUDOWLANYCH</w:t>
            </w:r>
          </w:p>
          <w:p>
            <w:pPr>
              <w:pStyle w:val="Zawartotabeli"/>
              <w:spacing w:lineRule="atLeast" w:line="200"/>
              <w:jc w:val="center"/>
              <w:rPr>
                <w:b/>
                <w:bCs/>
                <w:i/>
                <w:i/>
                <w:iCs/>
                <w:color w:val="FFFFFF"/>
                <w:sz w:val="42"/>
                <w:szCs w:val="42"/>
              </w:rPr>
            </w:pPr>
            <w:r>
              <w:rPr>
                <w:b/>
                <w:bCs/>
                <w:i/>
                <w:iCs/>
                <w:color w:val="FFFFFF"/>
                <w:sz w:val="42"/>
                <w:szCs w:val="42"/>
              </w:rPr>
              <w:t>BRANŻA - ELEKTRYCZNA</w:t>
            </w:r>
          </w:p>
        </w:tc>
      </w:tr>
      <w:tr>
        <w:trPr>
          <w:trHeight w:val="450" w:hRule="atLeast"/>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NAZWA  INWESTYCJI</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ind w:end="57"/>
              <w:jc w:val="center"/>
              <w:rPr>
                <w:sz w:val="24"/>
                <w:szCs w:val="24"/>
              </w:rPr>
            </w:pPr>
            <w:r>
              <w:rPr>
                <w:sz w:val="24"/>
                <w:szCs w:val="24"/>
              </w:rPr>
              <w:t>Remont pomieszczeń dydaktycznych w budynku „B” i „C”</w:t>
            </w:r>
          </w:p>
          <w:p>
            <w:pPr>
              <w:pStyle w:val="Zawartotabeli"/>
              <w:spacing w:lineRule="atLeast" w:line="200"/>
              <w:ind w:end="57"/>
              <w:jc w:val="center"/>
              <w:rPr>
                <w:sz w:val="24"/>
                <w:szCs w:val="24"/>
              </w:rPr>
            </w:pPr>
            <w:r>
              <w:rPr>
                <w:sz w:val="24"/>
                <w:szCs w:val="24"/>
              </w:rPr>
              <w:t>Zespołu Szkół Ponadpodstawowych Nr 2</w:t>
            </w:r>
          </w:p>
          <w:p>
            <w:pPr>
              <w:pStyle w:val="Zawartotabeli"/>
              <w:spacing w:lineRule="atLeast" w:line="200"/>
              <w:ind w:end="57"/>
              <w:jc w:val="center"/>
              <w:rPr>
                <w:sz w:val="24"/>
                <w:szCs w:val="24"/>
              </w:rPr>
            </w:pPr>
            <w:r>
              <w:rPr>
                <w:sz w:val="24"/>
                <w:szCs w:val="24"/>
              </w:rPr>
              <w:t>Centrum Kształcenia Zawodowego im. T. Kościuszki w Łowiczu,</w:t>
            </w:r>
          </w:p>
          <w:p>
            <w:pPr>
              <w:pStyle w:val="Zawartotabeli"/>
              <w:spacing w:lineRule="atLeast" w:line="200"/>
              <w:ind w:end="57"/>
              <w:jc w:val="center"/>
              <w:rPr>
                <w:sz w:val="24"/>
                <w:szCs w:val="24"/>
              </w:rPr>
            </w:pPr>
            <w:r>
              <w:rPr>
                <w:sz w:val="24"/>
                <w:szCs w:val="24"/>
              </w:rPr>
              <w:t>w ramach projektu pod nazwą:</w:t>
            </w:r>
          </w:p>
          <w:p>
            <w:pPr>
              <w:pStyle w:val="Zawartotabeli"/>
              <w:spacing w:lineRule="atLeast" w:line="200"/>
              <w:ind w:end="57"/>
              <w:jc w:val="center"/>
              <w:rPr/>
            </w:pPr>
            <w:r>
              <w:rPr>
                <w:sz w:val="24"/>
                <w:szCs w:val="24"/>
              </w:rPr>
              <w:t>„</w:t>
            </w:r>
            <w:r>
              <w:rPr>
                <w:sz w:val="24"/>
                <w:szCs w:val="24"/>
              </w:rPr>
              <w:t>Modernizacja pracowni warsztatowych do potrzeb zdobycia kwalifikacji branżowych na nowoczesnym rynku pracy</w:t>
            </w:r>
          </w:p>
          <w:p>
            <w:pPr>
              <w:pStyle w:val="Zawartotabeli"/>
              <w:spacing w:lineRule="atLeast" w:line="200"/>
              <w:ind w:end="57"/>
              <w:jc w:val="center"/>
              <w:rPr>
                <w:sz w:val="24"/>
              </w:rPr>
            </w:pPr>
            <w:r>
              <w:rPr>
                <w:sz w:val="24"/>
              </w:rPr>
              <w:t>mechanizacji rolnictwa”</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ADRES INWESTYCJI</w:t>
            </w:r>
          </w:p>
        </w:tc>
        <w:tc>
          <w:tcPr>
            <w:tcW w:w="7413" w:type="dxa"/>
            <w:tcBorders>
              <w:start w:val="single" w:sz="2" w:space="0" w:color="000000"/>
              <w:bottom w:val="single" w:sz="2" w:space="0" w:color="000000"/>
              <w:end w:val="single" w:sz="2" w:space="0" w:color="000000"/>
            </w:tcBorders>
            <w:shd w:color="auto" w:fill="FFFFFF" w:val="clear"/>
            <w:vAlign w:val="center"/>
          </w:tcPr>
          <w:p>
            <w:pPr>
              <w:pStyle w:val="Normal"/>
              <w:widowControl/>
              <w:spacing w:lineRule="auto" w:line="276"/>
              <w:ind w:end="57"/>
              <w:jc w:val="center"/>
              <w:rPr>
                <w:sz w:val="24"/>
                <w:szCs w:val="24"/>
              </w:rPr>
            </w:pPr>
            <w:r>
              <w:rPr>
                <w:sz w:val="24"/>
                <w:szCs w:val="24"/>
              </w:rPr>
              <w:t>ul. Blich 10, 99-400 Łowicz,</w:t>
            </w:r>
          </w:p>
          <w:p>
            <w:pPr>
              <w:pStyle w:val="Normal"/>
              <w:widowControl/>
              <w:spacing w:lineRule="auto" w:line="276"/>
              <w:ind w:end="57"/>
              <w:jc w:val="center"/>
              <w:rPr>
                <w:sz w:val="24"/>
                <w:szCs w:val="24"/>
              </w:rPr>
            </w:pPr>
            <w:r>
              <w:rPr>
                <w:sz w:val="24"/>
                <w:szCs w:val="24"/>
              </w:rPr>
              <w:t>dz. nr ewid. 1376/6, obręb: 0004 Korabka</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KATEGORIA BUDYNKU</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IX – budynki szkolne</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IDENTYFIKATOR</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100501_1.0004.1376/6</w:t>
            </w:r>
          </w:p>
        </w:tc>
      </w:tr>
      <w:tr>
        <w:trPr/>
        <w:tc>
          <w:tcPr>
            <w:tcW w:w="1797" w:type="dxa"/>
            <w:tcBorders>
              <w:start w:val="single" w:sz="2" w:space="0" w:color="000000"/>
              <w:bottom w:val="single" w:sz="2" w:space="0" w:color="000000"/>
            </w:tcBorders>
            <w:shd w:color="auto" w:fill="FFFFFF" w:val="clear"/>
            <w:vAlign w:val="center"/>
          </w:tcPr>
          <w:p>
            <w:pPr>
              <w:pStyle w:val="Zawartotabeli"/>
              <w:spacing w:lineRule="atLeast" w:line="200"/>
              <w:rPr/>
            </w:pPr>
            <w:r>
              <w:rPr/>
              <w:t>ZAMAWIAJĄCY</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jc w:val="center"/>
              <w:rPr>
                <w:sz w:val="24"/>
                <w:szCs w:val="24"/>
              </w:rPr>
            </w:pPr>
            <w:r>
              <w:rPr>
                <w:sz w:val="24"/>
                <w:szCs w:val="24"/>
              </w:rPr>
              <w:t>Powiat Łowicki,  ul. Stanisławskiego 30,  99-400 Łowicz</w:t>
            </w:r>
          </w:p>
        </w:tc>
      </w:tr>
    </w:tbl>
    <w:p>
      <w:pPr>
        <w:pStyle w:val="Normal"/>
        <w:rPr/>
      </w:pPr>
      <w:r>
        <w:rPr/>
      </w:r>
    </w:p>
    <w:p>
      <w:pPr>
        <w:pStyle w:val="Normal"/>
        <w:rPr/>
      </w:pPr>
      <w:r>
        <w:rPr/>
      </w:r>
    </w:p>
    <w:tbl>
      <w:tblPr>
        <w:tblW w:w="9246" w:type="dxa"/>
        <w:jc w:val="start"/>
        <w:tblInd w:w="-1" w:type="dxa"/>
        <w:tblLayout w:type="fixed"/>
        <w:tblCellMar>
          <w:top w:w="55" w:type="dxa"/>
          <w:start w:w="55" w:type="dxa"/>
          <w:bottom w:w="55" w:type="dxa"/>
          <w:end w:w="55" w:type="dxa"/>
        </w:tblCellMar>
        <w:tblLook w:firstRow="1" w:noVBand="1" w:lastRow="0" w:firstColumn="1" w:lastColumn="0" w:noHBand="0" w:val="04a0"/>
      </w:tblPr>
      <w:tblGrid>
        <w:gridCol w:w="1693"/>
        <w:gridCol w:w="6125"/>
        <w:gridCol w:w="1428"/>
      </w:tblGrid>
      <w:tr>
        <w:trPr/>
        <w:tc>
          <w:tcPr>
            <w:tcW w:w="9246" w:type="dxa"/>
            <w:gridSpan w:val="3"/>
            <w:tcBorders>
              <w:top w:val="single" w:sz="2" w:space="0" w:color="000000"/>
              <w:start w:val="single" w:sz="2" w:space="0" w:color="000000"/>
              <w:bottom w:val="single" w:sz="2" w:space="0" w:color="000000"/>
              <w:end w:val="single" w:sz="2" w:space="0" w:color="000000"/>
            </w:tcBorders>
            <w:shd w:color="auto" w:fill="666666" w:val="clear"/>
          </w:tcPr>
          <w:p>
            <w:pPr>
              <w:pStyle w:val="Zawartotabeli"/>
              <w:rPr>
                <w:b/>
                <w:bCs/>
                <w:i/>
                <w:i/>
                <w:iCs/>
                <w:color w:val="FFFFFF"/>
                <w:sz w:val="24"/>
                <w:szCs w:val="24"/>
              </w:rPr>
            </w:pPr>
            <w:r>
              <w:rPr>
                <w:b/>
                <w:bCs/>
                <w:i/>
                <w:iCs/>
                <w:color w:val="FFFFFF"/>
                <w:sz w:val="24"/>
                <w:szCs w:val="24"/>
              </w:rPr>
              <w:t>OPRACOWANIE</w:t>
            </w:r>
          </w:p>
        </w:tc>
      </w:tr>
      <w:tr>
        <w:trPr/>
        <w:tc>
          <w:tcPr>
            <w:tcW w:w="1693" w:type="dxa"/>
            <w:tcBorders>
              <w:start w:val="single" w:sz="2" w:space="0" w:color="000000"/>
              <w:bottom w:val="single" w:sz="2" w:space="0" w:color="000000"/>
            </w:tcBorders>
            <w:shd w:color="auto" w:fill="666666" w:val="clear"/>
          </w:tcPr>
          <w:p>
            <w:pPr>
              <w:pStyle w:val="Zawartotabeli"/>
              <w:ind w:end="-1701"/>
              <w:rPr>
                <w:b/>
                <w:bCs/>
                <w:i/>
                <w:i/>
                <w:iCs/>
                <w:color w:val="FFFFFF"/>
                <w:sz w:val="22"/>
                <w:szCs w:val="22"/>
              </w:rPr>
            </w:pPr>
            <w:r>
              <w:rPr>
                <w:b/>
                <w:bCs/>
                <w:i/>
                <w:iCs/>
                <w:color w:val="FFFFFF"/>
                <w:sz w:val="22"/>
                <w:szCs w:val="22"/>
              </w:rPr>
              <w:t>BRANŻA</w:t>
            </w:r>
          </w:p>
        </w:tc>
        <w:tc>
          <w:tcPr>
            <w:tcW w:w="6125" w:type="dxa"/>
            <w:tcBorders>
              <w:start w:val="single" w:sz="2" w:space="0" w:color="000000"/>
              <w:bottom w:val="single" w:sz="2" w:space="0" w:color="000000"/>
            </w:tcBorders>
            <w:shd w:color="auto" w:fill="666666" w:val="clear"/>
          </w:tcPr>
          <w:p>
            <w:pPr>
              <w:pStyle w:val="Zawartotabeli"/>
              <w:spacing w:lineRule="atLeast" w:line="200"/>
              <w:rPr>
                <w:b/>
                <w:bCs/>
                <w:i/>
                <w:i/>
                <w:iCs/>
                <w:color w:val="FFFFFF"/>
                <w:sz w:val="22"/>
                <w:szCs w:val="22"/>
              </w:rPr>
            </w:pPr>
            <w:r>
              <w:rPr>
                <w:b/>
                <w:bCs/>
                <w:i/>
                <w:iCs/>
                <w:color w:val="FFFFFF"/>
                <w:sz w:val="22"/>
                <w:szCs w:val="22"/>
              </w:rPr>
              <w:t>PROJEKTANT</w:t>
            </w:r>
          </w:p>
        </w:tc>
        <w:tc>
          <w:tcPr>
            <w:tcW w:w="1428" w:type="dxa"/>
            <w:tcBorders>
              <w:start w:val="single" w:sz="2" w:space="0" w:color="000000"/>
              <w:bottom w:val="single" w:sz="2" w:space="0" w:color="000000"/>
              <w:end w:val="single" w:sz="2" w:space="0" w:color="000000"/>
            </w:tcBorders>
            <w:shd w:color="auto" w:fill="666666" w:val="clear"/>
          </w:tcPr>
          <w:p>
            <w:pPr>
              <w:pStyle w:val="Zawartotabeli"/>
              <w:rPr>
                <w:b/>
                <w:bCs/>
                <w:i/>
                <w:i/>
                <w:iCs/>
                <w:color w:val="FFFFFF"/>
                <w:sz w:val="22"/>
                <w:szCs w:val="22"/>
              </w:rPr>
            </w:pPr>
            <w:r>
              <w:rPr>
                <w:b/>
                <w:bCs/>
                <w:i/>
                <w:iCs/>
                <w:color w:val="FFFFFF"/>
                <w:sz w:val="22"/>
                <w:szCs w:val="22"/>
              </w:rPr>
              <w:t>PODPIS</w:t>
            </w:r>
          </w:p>
        </w:tc>
      </w:tr>
      <w:tr>
        <w:trPr/>
        <w:tc>
          <w:tcPr>
            <w:tcW w:w="1693" w:type="dxa"/>
            <w:vMerge w:val="restart"/>
            <w:tcBorders>
              <w:start w:val="single" w:sz="2" w:space="0" w:color="000000"/>
              <w:bottom w:val="single" w:sz="2" w:space="0" w:color="000000"/>
            </w:tcBorders>
          </w:tcPr>
          <w:p>
            <w:pPr>
              <w:pStyle w:val="Zawartotabeli"/>
              <w:ind w:end="-1701"/>
              <w:rPr>
                <w:sz w:val="22"/>
                <w:szCs w:val="22"/>
              </w:rPr>
            </w:pPr>
            <w:r>
              <w:rPr>
                <w:sz w:val="22"/>
                <w:szCs w:val="22"/>
              </w:rPr>
              <w:t>INSTALACJE</w:t>
            </w:r>
          </w:p>
          <w:p>
            <w:pPr>
              <w:pStyle w:val="Zawartotabeli"/>
              <w:ind w:end="-1701"/>
              <w:rPr>
                <w:sz w:val="22"/>
                <w:szCs w:val="22"/>
              </w:rPr>
            </w:pPr>
            <w:r>
              <w:rPr>
                <w:sz w:val="22"/>
                <w:szCs w:val="22"/>
              </w:rPr>
              <w:t>ELEKTRYCZNE</w:t>
            </w:r>
          </w:p>
          <w:p>
            <w:pPr>
              <w:pStyle w:val="Zawartotabeli"/>
              <w:ind w:end="-1701"/>
              <w:rPr>
                <w:sz w:val="22"/>
                <w:szCs w:val="22"/>
              </w:rPr>
            </w:pPr>
            <w:r>
              <w:rPr>
                <w:sz w:val="22"/>
                <w:szCs w:val="22"/>
              </w:rPr>
            </w:r>
          </w:p>
        </w:tc>
        <w:tc>
          <w:tcPr>
            <w:tcW w:w="6125" w:type="dxa"/>
            <w:tcBorders>
              <w:start w:val="single" w:sz="2" w:space="0" w:color="000000"/>
              <w:bottom w:val="single" w:sz="2" w:space="0" w:color="000000"/>
            </w:tcBorders>
          </w:tcPr>
          <w:p>
            <w:pPr>
              <w:pStyle w:val="Zawartotabeli"/>
              <w:spacing w:lineRule="atLeast" w:line="200"/>
              <w:rPr>
                <w:sz w:val="22"/>
                <w:szCs w:val="22"/>
                <w:u w:val="single"/>
              </w:rPr>
            </w:pPr>
            <w:r>
              <w:rPr>
                <w:sz w:val="22"/>
                <w:szCs w:val="22"/>
                <w:u w:val="single"/>
              </w:rPr>
              <w:t>Projektant:</w:t>
            </w:r>
          </w:p>
          <w:p>
            <w:pPr>
              <w:pStyle w:val="Zawartotabeli"/>
              <w:spacing w:lineRule="atLeast" w:line="200"/>
              <w:rPr>
                <w:sz w:val="22"/>
                <w:szCs w:val="22"/>
              </w:rPr>
            </w:pPr>
            <w:r>
              <w:rPr>
                <w:sz w:val="22"/>
                <w:szCs w:val="22"/>
              </w:rPr>
              <w:t>MGR INŻ. SEBASTIAN MICHTA</w:t>
            </w:r>
          </w:p>
          <w:p>
            <w:pPr>
              <w:pStyle w:val="Zawartotabeli"/>
              <w:spacing w:lineRule="atLeast" w:line="200"/>
              <w:rPr>
                <w:sz w:val="22"/>
                <w:szCs w:val="22"/>
              </w:rPr>
            </w:pPr>
            <w:r>
              <w:rPr>
                <w:sz w:val="22"/>
                <w:szCs w:val="22"/>
              </w:rPr>
              <w:t>upr. bud. w spec. inst. elektrycznych  nr SWK/0174/PWOE/11</w:t>
            </w:r>
          </w:p>
        </w:tc>
        <w:tc>
          <w:tcPr>
            <w:tcW w:w="1428" w:type="dxa"/>
            <w:tcBorders>
              <w:start w:val="single" w:sz="2" w:space="0" w:color="000000"/>
              <w:bottom w:val="single" w:sz="2" w:space="0" w:color="000000"/>
              <w:end w:val="single" w:sz="2" w:space="0" w:color="000000"/>
            </w:tcBorders>
          </w:tcPr>
          <w:p>
            <w:pPr>
              <w:pStyle w:val="Zawartotabeli"/>
              <w:snapToGrid w:val="false"/>
              <w:rPr>
                <w:sz w:val="22"/>
                <w:szCs w:val="22"/>
              </w:rPr>
            </w:pPr>
            <w:r>
              <w:rPr>
                <w:sz w:val="22"/>
                <w:szCs w:val="22"/>
              </w:rPr>
            </w:r>
          </w:p>
        </w:tc>
      </w:tr>
      <w:tr>
        <w:trPr/>
        <w:tc>
          <w:tcPr>
            <w:tcW w:w="1693" w:type="dxa"/>
            <w:vMerge w:val="continue"/>
            <w:tcBorders>
              <w:start w:val="single" w:sz="2" w:space="0" w:color="000000"/>
              <w:bottom w:val="single" w:sz="2" w:space="0" w:color="000000"/>
            </w:tcBorders>
          </w:tcPr>
          <w:p>
            <w:pPr>
              <w:pStyle w:val="Zawartotabeli"/>
              <w:snapToGrid w:val="false"/>
              <w:ind w:end="-1701"/>
              <w:rPr>
                <w:sz w:val="22"/>
                <w:szCs w:val="22"/>
              </w:rPr>
            </w:pPr>
            <w:r>
              <w:rPr>
                <w:sz w:val="22"/>
                <w:szCs w:val="22"/>
              </w:rPr>
            </w:r>
          </w:p>
        </w:tc>
        <w:tc>
          <w:tcPr>
            <w:tcW w:w="6125" w:type="dxa"/>
            <w:tcBorders>
              <w:start w:val="single" w:sz="2" w:space="0" w:color="000000"/>
              <w:bottom w:val="single" w:sz="2" w:space="0" w:color="000000"/>
            </w:tcBorders>
          </w:tcPr>
          <w:p>
            <w:pPr>
              <w:pStyle w:val="Zawartotabeli"/>
              <w:spacing w:lineRule="atLeast" w:line="200"/>
              <w:rPr>
                <w:sz w:val="22"/>
                <w:szCs w:val="22"/>
                <w:u w:val="single"/>
              </w:rPr>
            </w:pPr>
            <w:r>
              <w:rPr>
                <w:sz w:val="22"/>
                <w:szCs w:val="22"/>
                <w:u w:val="single"/>
              </w:rPr>
              <w:t>Współpraca - opracowanie:</w:t>
            </w:r>
          </w:p>
          <w:p>
            <w:pPr>
              <w:pStyle w:val="Zawartotabeli"/>
              <w:spacing w:lineRule="atLeast" w:line="200"/>
              <w:rPr>
                <w:sz w:val="22"/>
                <w:szCs w:val="22"/>
              </w:rPr>
            </w:pPr>
            <w:r>
              <w:rPr>
                <w:sz w:val="22"/>
                <w:szCs w:val="22"/>
              </w:rPr>
              <w:t>MGR INŻ. EWA PIOTROWICZ</w:t>
            </w:r>
          </w:p>
        </w:tc>
        <w:tc>
          <w:tcPr>
            <w:tcW w:w="1428" w:type="dxa"/>
            <w:tcBorders>
              <w:start w:val="single" w:sz="2" w:space="0" w:color="000000"/>
              <w:bottom w:val="single" w:sz="2" w:space="0" w:color="000000"/>
              <w:end w:val="single" w:sz="2" w:space="0" w:color="000000"/>
            </w:tcBorders>
          </w:tcPr>
          <w:p>
            <w:pPr>
              <w:pStyle w:val="Zawartotabeli"/>
              <w:snapToGrid w:val="false"/>
              <w:rPr>
                <w:sz w:val="22"/>
                <w:szCs w:val="22"/>
              </w:rPr>
            </w:pPr>
            <w:r>
              <w:rPr>
                <w:sz w:val="22"/>
                <w:szCs w:val="22"/>
              </w:rPr>
            </w:r>
          </w:p>
        </w:tc>
      </w:tr>
      <w:tr>
        <w:trPr/>
        <w:tc>
          <w:tcPr>
            <w:tcW w:w="9246" w:type="dxa"/>
            <w:gridSpan w:val="3"/>
            <w:tcBorders>
              <w:start w:val="single" w:sz="2" w:space="0" w:color="000000"/>
              <w:bottom w:val="single" w:sz="2" w:space="0" w:color="000000"/>
              <w:end w:val="single" w:sz="2" w:space="0" w:color="000000"/>
            </w:tcBorders>
            <w:shd w:color="auto" w:fill="666666" w:val="clear"/>
          </w:tcPr>
          <w:p>
            <w:pPr>
              <w:pStyle w:val="Zawartotabeli"/>
              <w:ind w:end="-1701"/>
              <w:rPr>
                <w:b/>
                <w:bCs/>
                <w:i/>
                <w:i/>
                <w:iCs/>
                <w:color w:val="FFFFFF"/>
                <w:sz w:val="24"/>
                <w:szCs w:val="24"/>
              </w:rPr>
            </w:pPr>
            <w:r>
              <w:rPr>
                <w:b/>
                <w:bCs/>
                <w:i/>
                <w:iCs/>
                <w:color w:val="FFFFFF"/>
                <w:sz w:val="24"/>
                <w:szCs w:val="24"/>
              </w:rPr>
              <w:t>DATA OPRACOWANIA: PAŹDZIERNIK – 2025r.</w:t>
            </w:r>
          </w:p>
        </w:tc>
      </w:tr>
    </w:tbl>
    <w:p>
      <w:pPr>
        <w:pStyle w:val="Normal"/>
        <w:rPr/>
      </w:pPr>
      <w:r>
        <w:rPr/>
      </w:r>
    </w:p>
    <w:p>
      <w:pPr>
        <w:pStyle w:val="Normal"/>
        <w:rPr>
          <w:b/>
          <w:bCs/>
          <w:i/>
          <w:i/>
          <w:iCs/>
          <w:u w:val="single"/>
        </w:rPr>
      </w:pPr>
      <w:r>
        <w:rPr>
          <w:b/>
          <w:bCs/>
          <w:i/>
          <w:iCs/>
          <w:u w:val="single"/>
        </w:rPr>
        <w:t xml:space="preserve">EGZ. NR       </w:t>
      </w:r>
    </w:p>
    <w:p>
      <w:pPr>
        <w:pStyle w:val="Normal"/>
        <w:rPr/>
      </w:pPr>
      <w:r>
        <w:rPr/>
      </w:r>
    </w:p>
    <w:p>
      <w:pPr>
        <w:pStyle w:val="BodyText"/>
        <w:numPr>
          <w:ilvl w:val="0"/>
          <w:numId w:val="0"/>
        </w:numPr>
        <w:spacing w:lineRule="auto" w:line="240" w:before="0" w:after="0"/>
        <w:ind w:hanging="0" w:start="0" w:end="0"/>
        <w:rPr>
          <w:rStyle w:val="Strong"/>
          <w:rFonts w:ascii="Arial" w:hAnsi="Arial"/>
          <w:b w:val="false"/>
          <w:bCs w:val="false"/>
          <w:sz w:val="24"/>
          <w:szCs w:val="24"/>
          <w:u w:val="none"/>
        </w:rPr>
      </w:pPr>
      <w:r>
        <w:rPr>
          <w:b w:val="false"/>
          <w:bCs w:val="false"/>
          <w:sz w:val="24"/>
          <w:szCs w:val="24"/>
          <w:u w:val="none"/>
        </w:rPr>
      </w:r>
    </w:p>
    <w:p>
      <w:pPr>
        <w:pStyle w:val="BodyText"/>
        <w:numPr>
          <w:ilvl w:val="0"/>
          <w:numId w:val="0"/>
        </w:numPr>
        <w:spacing w:lineRule="auto" w:line="240" w:before="0" w:after="0"/>
        <w:ind w:hanging="0" w:start="0" w:end="0"/>
        <w:rPr/>
      </w:pPr>
      <w:r>
        <w:rPr>
          <w:rStyle w:val="Strong"/>
          <w:b w:val="false"/>
          <w:bCs w:val="false"/>
          <w:sz w:val="24"/>
          <w:szCs w:val="24"/>
          <w:u w:val="none"/>
        </w:rPr>
        <w:t xml:space="preserve">45310000-3 </w:t>
      </w:r>
      <w:r>
        <w:rPr>
          <w:b w:val="false"/>
          <w:bCs w:val="false"/>
          <w:sz w:val="24"/>
          <w:szCs w:val="24"/>
          <w:u w:val="none"/>
        </w:rPr>
        <w:t>– Roboty instalacyjne elektryczne</w:t>
      </w:r>
    </w:p>
    <w:p>
      <w:pPr>
        <w:pStyle w:val="BodyText"/>
        <w:numPr>
          <w:ilvl w:val="0"/>
          <w:numId w:val="0"/>
        </w:numPr>
        <w:spacing w:lineRule="auto" w:line="240" w:before="0" w:after="0"/>
        <w:ind w:hanging="0" w:start="0" w:end="0"/>
        <w:rPr/>
      </w:pPr>
      <w:r>
        <w:rPr>
          <w:b w:val="false"/>
          <w:bCs w:val="false"/>
          <w:sz w:val="24"/>
          <w:szCs w:val="24"/>
          <w:u w:val="none"/>
        </w:rPr>
        <w:t>45311200-2 – Roboty w zakresie instalacji elektrycznych</w:t>
      </w:r>
    </w:p>
    <w:p>
      <w:pPr>
        <w:pStyle w:val="BodyText"/>
        <w:numPr>
          <w:ilvl w:val="0"/>
          <w:numId w:val="0"/>
        </w:numPr>
        <w:spacing w:lineRule="auto" w:line="240" w:before="0" w:after="0"/>
        <w:ind w:hanging="0" w:start="0" w:end="0"/>
        <w:rPr/>
      </w:pPr>
      <w:r>
        <w:rPr>
          <w:b w:val="false"/>
          <w:bCs w:val="false"/>
          <w:sz w:val="24"/>
          <w:szCs w:val="24"/>
          <w:u w:val="none"/>
        </w:rPr>
        <w:t>45315300-1 – Instalacje zasilania elektrycznego</w:t>
      </w:r>
    </w:p>
    <w:p>
      <w:pPr>
        <w:pStyle w:val="BodyText"/>
        <w:numPr>
          <w:ilvl w:val="0"/>
          <w:numId w:val="0"/>
        </w:numPr>
        <w:spacing w:lineRule="auto" w:line="240" w:before="0" w:after="0"/>
        <w:ind w:hanging="0" w:start="0" w:end="0"/>
        <w:rPr/>
      </w:pPr>
      <w:r>
        <w:rPr>
          <w:b w:val="false"/>
          <w:bCs w:val="false"/>
          <w:sz w:val="24"/>
          <w:szCs w:val="24"/>
          <w:u w:val="none"/>
        </w:rPr>
        <w:t>45315100-9 – Instalacyjne roboty elektrotechniczne</w:t>
      </w:r>
    </w:p>
    <w:p>
      <w:pPr>
        <w:pStyle w:val="BodyText"/>
        <w:numPr>
          <w:ilvl w:val="0"/>
          <w:numId w:val="0"/>
        </w:numPr>
        <w:spacing w:lineRule="auto" w:line="240" w:before="0" w:after="0"/>
        <w:ind w:hanging="0" w:start="0" w:end="0"/>
        <w:rPr/>
      </w:pPr>
      <w:r>
        <w:rPr>
          <w:rStyle w:val="Strong"/>
          <w:b w:val="false"/>
          <w:bCs w:val="false"/>
          <w:sz w:val="24"/>
          <w:szCs w:val="24"/>
          <w:u w:val="none"/>
        </w:rPr>
        <w:t xml:space="preserve">45311000-0 </w:t>
      </w:r>
      <w:r>
        <w:rPr>
          <w:b w:val="false"/>
          <w:bCs w:val="false"/>
          <w:sz w:val="24"/>
          <w:szCs w:val="24"/>
          <w:u w:val="none"/>
        </w:rPr>
        <w:t>– Roboty w zakresie okablowania oraz instalacji elektrycznych</w:t>
      </w:r>
    </w:p>
    <w:p>
      <w:pPr>
        <w:pStyle w:val="BodyText"/>
        <w:numPr>
          <w:ilvl w:val="0"/>
          <w:numId w:val="0"/>
        </w:numPr>
        <w:spacing w:lineRule="auto" w:line="240" w:before="0" w:after="0"/>
        <w:ind w:hanging="0" w:start="0" w:end="0"/>
        <w:rPr>
          <w:rFonts w:ascii="Arial" w:hAnsi="Arial"/>
          <w:b w:val="false"/>
          <w:bCs w:val="false"/>
          <w:sz w:val="24"/>
          <w:szCs w:val="24"/>
          <w:u w:val="none"/>
        </w:rPr>
      </w:pPr>
      <w:r>
        <w:rPr>
          <w:b w:val="false"/>
          <w:bCs w:val="false"/>
          <w:sz w:val="24"/>
          <w:szCs w:val="24"/>
          <w:u w:val="none"/>
        </w:rPr>
        <w:t>45311100-0 – Instalacje gniazd wtykowych ogólnych</w:t>
      </w:r>
    </w:p>
    <w:p>
      <w:pPr>
        <w:pStyle w:val="BodyText"/>
        <w:numPr>
          <w:ilvl w:val="0"/>
          <w:numId w:val="0"/>
        </w:numPr>
        <w:spacing w:lineRule="auto" w:line="240" w:before="0" w:after="0"/>
        <w:ind w:hanging="0" w:start="0" w:end="0"/>
        <w:rPr>
          <w:rFonts w:ascii="Arial" w:hAnsi="Arial"/>
          <w:b w:val="false"/>
          <w:bCs w:val="false"/>
          <w:sz w:val="24"/>
          <w:szCs w:val="24"/>
          <w:u w:val="none"/>
        </w:rPr>
      </w:pPr>
      <w:r>
        <w:rPr>
          <w:b w:val="false"/>
          <w:bCs w:val="false"/>
          <w:sz w:val="24"/>
          <w:szCs w:val="24"/>
          <w:u w:val="none"/>
        </w:rPr>
        <w:t>45312311-0 – Instalacje oświetlenia</w:t>
      </w:r>
    </w:p>
    <w:p>
      <w:pPr>
        <w:pStyle w:val="BodyText"/>
        <w:numPr>
          <w:ilvl w:val="0"/>
          <w:numId w:val="0"/>
        </w:numPr>
        <w:spacing w:lineRule="auto" w:line="240"/>
        <w:ind w:hanging="0" w:start="0" w:end="0"/>
        <w:rPr>
          <w:sz w:val="24"/>
        </w:rPr>
      </w:pPr>
      <w:r>
        <w:rPr>
          <w:b w:val="false"/>
          <w:bCs w:val="false"/>
          <w:sz w:val="24"/>
          <w:szCs w:val="24"/>
          <w:u w:val="none"/>
        </w:rPr>
        <w:t>45315700-5 – Rozdzielnice elektryczne</w:t>
      </w:r>
    </w:p>
    <w:p>
      <w:pPr>
        <w:pStyle w:val="Normal"/>
        <w:shd w:val="clear" w:color="auto" w:fill="FFFFFF"/>
        <w:ind w:start="426" w:end="423"/>
        <w:jc w:val="both"/>
        <w:rPr>
          <w:sz w:val="18"/>
        </w:rPr>
      </w:pPr>
      <w:r>
        <w:rPr>
          <w:sz w:val="18"/>
        </w:rPr>
      </w:r>
    </w:p>
    <w:p>
      <w:pPr>
        <w:pStyle w:val="Normal"/>
        <w:shd w:val="clear" w:color="auto" w:fill="FFFFFF"/>
        <w:ind w:start="426" w:end="423"/>
        <w:jc w:val="both"/>
        <w:rPr>
          <w:sz w:val="18"/>
        </w:rPr>
      </w:pPr>
      <w:r>
        <w:rPr>
          <w:sz w:val="18"/>
        </w:rPr>
      </w:r>
      <w:bookmarkStart w:id="0" w:name="_Toc535218181"/>
      <w:bookmarkStart w:id="1" w:name="_Toc535218181"/>
      <w:bookmarkEnd w:id="1"/>
    </w:p>
    <w:sdt>
      <w:sdtPr>
        <w:docPartObj>
          <w:docPartGallery w:val="Table of Contents"/>
          <w:docPartUnique w:val="true"/>
        </w:docPartObj>
      </w:sdtPr>
      <w:sdtContent>
        <w:p>
          <w:pPr>
            <w:pStyle w:val="TOCHeading"/>
            <w:ind w:start="426" w:end="423"/>
            <w:rPr>
              <w:rFonts w:ascii="Arial" w:hAnsi="Arial" w:cs="Arial"/>
              <w:sz w:val="24"/>
              <w:szCs w:val="24"/>
            </w:rPr>
          </w:pPr>
          <w:bookmarkStart w:id="2" w:name="_Toc115621658"/>
          <w:bookmarkStart w:id="3" w:name="_Toc535218181_kopia_1"/>
          <w:bookmarkEnd w:id="3"/>
          <w:r>
            <w:rPr>
              <w:rFonts w:cs="Arial" w:ascii="Arial" w:hAnsi="Arial"/>
              <w:sz w:val="24"/>
              <w:szCs w:val="24"/>
            </w:rPr>
            <w:t>Spis treści</w:t>
          </w:r>
          <w:bookmarkEnd w:id="2"/>
        </w:p>
        <w:p>
          <w:pPr>
            <w:pStyle w:val="TOC1"/>
            <w:tabs>
              <w:tab w:val="clear" w:pos="708"/>
              <w:tab w:val="right" w:pos="9060" w:leader="dot"/>
            </w:tabs>
            <w:rPr>
              <w:rFonts w:eastAsia="" w:eastAsiaTheme="minorEastAsia"/>
              <w:sz w:val="24"/>
              <w:szCs w:val="24"/>
            </w:rPr>
          </w:pPr>
          <w:r>
            <w:fldChar w:fldCharType="begin"/>
          </w:r>
          <w:r>
            <w:rPr>
              <w:webHidden/>
              <w:rStyle w:val="Czeindeksu"/>
              <w:sz w:val="24"/>
              <w:szCs w:val="24"/>
              <w:vanish w:val="false"/>
              <w:rFonts w:eastAsia=""/>
            </w:rPr>
            <w:instrText xml:space="preserve"> TOC \z \o "1-3" \u \h</w:instrText>
          </w:r>
          <w:r>
            <w:rPr>
              <w:webHidden/>
              <w:rStyle w:val="Czeindeksu"/>
              <w:sz w:val="24"/>
              <w:szCs w:val="24"/>
              <w:vanish w:val="false"/>
              <w:rFonts w:eastAsia=""/>
            </w:rPr>
            <w:fldChar w:fldCharType="separate"/>
          </w:r>
          <w:hyperlink w:anchor="_Toc115621658">
            <w:r>
              <w:rPr>
                <w:webHidden/>
                <w:rStyle w:val="Czeindeksu"/>
                <w:rFonts w:eastAsia="" w:eastAsiaTheme="majorEastAsia"/>
                <w:vanish w:val="false"/>
                <w:sz w:val="24"/>
                <w:szCs w:val="24"/>
              </w:rPr>
              <w:t>Spis treści</w:t>
            </w:r>
            <w:r>
              <w:rPr>
                <w:webHidden/>
              </w:rPr>
              <w:fldChar w:fldCharType="begin"/>
            </w:r>
            <w:r>
              <w:rPr>
                <w:webHidden/>
              </w:rPr>
              <w:instrText xml:space="preserve">PAGEREF _Toc115621658 \h</w:instrText>
            </w:r>
            <w:r>
              <w:rPr>
                <w:webHidden/>
              </w:rPr>
              <w:fldChar w:fldCharType="separate"/>
            </w:r>
            <w:r>
              <w:rPr>
                <w:rStyle w:val="Czeindeksu"/>
                <w:vanish w:val="false"/>
                <w:sz w:val="24"/>
                <w:szCs w:val="24"/>
              </w:rPr>
              <w:t>2</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659">
            <w:r>
              <w:rPr>
                <w:webHidden/>
                <w:rStyle w:val="Czeindeksu"/>
                <w:rFonts w:eastAsia="" w:eastAsiaTheme="majorEastAsia"/>
                <w:vanish w:val="false"/>
                <w:sz w:val="24"/>
                <w:szCs w:val="24"/>
              </w:rPr>
              <w:t>1.</w:t>
            </w:r>
            <w:r>
              <w:rPr>
                <w:rStyle w:val="Czeindeksu"/>
                <w:rFonts w:eastAsia="" w:eastAsiaTheme="minorEastAsia"/>
                <w:sz w:val="24"/>
                <w:szCs w:val="24"/>
              </w:rPr>
              <w:tab/>
            </w:r>
            <w:r>
              <w:rPr>
                <w:rStyle w:val="Czeindeksu"/>
                <w:rFonts w:eastAsia="" w:eastAsiaTheme="majorEastAsia"/>
                <w:sz w:val="24"/>
                <w:szCs w:val="24"/>
              </w:rPr>
              <w:t>CZĘŚĆ OGÓLNA</w:t>
            </w:r>
            <w:r>
              <w:rPr>
                <w:webHidden/>
              </w:rPr>
              <w:fldChar w:fldCharType="begin"/>
            </w:r>
            <w:r>
              <w:rPr>
                <w:webHidden/>
              </w:rPr>
              <w:instrText xml:space="preserve">PAGEREF _Toc115621659 \h</w:instrText>
            </w:r>
            <w:r>
              <w:rPr>
                <w:webHidden/>
              </w:rPr>
              <w:fldChar w:fldCharType="separate"/>
            </w:r>
            <w:r>
              <w:rPr>
                <w:rStyle w:val="Czeindeksu"/>
                <w:vanish w:val="false"/>
                <w:sz w:val="24"/>
                <w:szCs w:val="24"/>
              </w:rPr>
              <w:t>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0">
            <w:r>
              <w:rPr>
                <w:webHidden/>
                <w:rStyle w:val="Czeindeksu"/>
                <w:rFonts w:eastAsia="" w:eastAsiaTheme="majorEastAsia"/>
                <w:vanish w:val="false"/>
                <w:sz w:val="24"/>
                <w:szCs w:val="24"/>
              </w:rPr>
              <w:t>1.1.</w:t>
            </w:r>
            <w:r>
              <w:rPr>
                <w:rStyle w:val="Czeindeksu"/>
                <w:rFonts w:eastAsia="" w:eastAsiaTheme="minorEastAsia"/>
                <w:sz w:val="24"/>
                <w:szCs w:val="24"/>
              </w:rPr>
              <w:tab/>
            </w:r>
            <w:r>
              <w:rPr>
                <w:rStyle w:val="Czeindeksu"/>
                <w:rFonts w:eastAsia="" w:eastAsiaTheme="majorEastAsia"/>
                <w:sz w:val="24"/>
                <w:szCs w:val="24"/>
              </w:rPr>
              <w:t>Przedmiot ST</w:t>
            </w:r>
            <w:r>
              <w:rPr>
                <w:webHidden/>
              </w:rPr>
              <w:fldChar w:fldCharType="begin"/>
            </w:r>
            <w:r>
              <w:rPr>
                <w:webHidden/>
              </w:rPr>
              <w:instrText xml:space="preserve">PAGEREF _Toc115621660 \h</w:instrText>
            </w:r>
            <w:r>
              <w:rPr>
                <w:webHidden/>
              </w:rPr>
              <w:fldChar w:fldCharType="separate"/>
            </w:r>
            <w:r>
              <w:rPr>
                <w:rStyle w:val="Czeindeksu"/>
                <w:vanish w:val="false"/>
                <w:sz w:val="24"/>
                <w:szCs w:val="24"/>
              </w:rPr>
              <w:t>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1">
            <w:r>
              <w:rPr>
                <w:webHidden/>
                <w:rStyle w:val="Czeindeksu"/>
                <w:rFonts w:eastAsia="" w:eastAsiaTheme="majorEastAsia"/>
                <w:vanish w:val="false"/>
                <w:sz w:val="24"/>
                <w:szCs w:val="24"/>
              </w:rPr>
              <w:t>1.2.</w:t>
            </w:r>
            <w:r>
              <w:rPr>
                <w:rStyle w:val="Czeindeksu"/>
                <w:rFonts w:eastAsia="" w:eastAsiaTheme="minorEastAsia"/>
                <w:sz w:val="24"/>
                <w:szCs w:val="24"/>
              </w:rPr>
              <w:tab/>
            </w:r>
            <w:r>
              <w:rPr>
                <w:rStyle w:val="Czeindeksu"/>
                <w:rFonts w:eastAsia="" w:eastAsiaTheme="majorEastAsia"/>
                <w:sz w:val="24"/>
                <w:szCs w:val="24"/>
              </w:rPr>
              <w:t>Zakres stosowania ST</w:t>
            </w:r>
            <w:r>
              <w:rPr>
                <w:webHidden/>
              </w:rPr>
              <w:fldChar w:fldCharType="begin"/>
            </w:r>
            <w:r>
              <w:rPr>
                <w:webHidden/>
              </w:rPr>
              <w:instrText xml:space="preserve">PAGEREF _Toc115621661 \h</w:instrText>
            </w:r>
            <w:r>
              <w:rPr>
                <w:webHidden/>
              </w:rPr>
              <w:fldChar w:fldCharType="separate"/>
            </w:r>
            <w:r>
              <w:rPr>
                <w:rStyle w:val="Czeindeksu"/>
                <w:vanish w:val="false"/>
                <w:sz w:val="24"/>
                <w:szCs w:val="24"/>
              </w:rPr>
              <w:t>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2">
            <w:r>
              <w:rPr>
                <w:webHidden/>
                <w:rStyle w:val="Czeindeksu"/>
                <w:rFonts w:eastAsia="" w:eastAsiaTheme="majorEastAsia"/>
                <w:vanish w:val="false"/>
                <w:sz w:val="24"/>
                <w:szCs w:val="24"/>
              </w:rPr>
              <w:t>1.3.</w:t>
            </w:r>
            <w:r>
              <w:rPr>
                <w:rStyle w:val="Czeindeksu"/>
                <w:rFonts w:eastAsia="" w:eastAsiaTheme="minorEastAsia"/>
                <w:sz w:val="24"/>
                <w:szCs w:val="24"/>
              </w:rPr>
              <w:tab/>
            </w:r>
            <w:r>
              <w:rPr>
                <w:rStyle w:val="Czeindeksu"/>
                <w:rFonts w:eastAsia="" w:eastAsiaTheme="majorEastAsia"/>
                <w:sz w:val="24"/>
                <w:szCs w:val="24"/>
              </w:rPr>
              <w:t>Przedmiot i zakres robót objętych ST</w:t>
            </w:r>
            <w:r>
              <w:rPr>
                <w:webHidden/>
              </w:rPr>
              <w:fldChar w:fldCharType="begin"/>
            </w:r>
            <w:r>
              <w:rPr>
                <w:webHidden/>
              </w:rPr>
              <w:instrText xml:space="preserve">PAGEREF _Toc115621662 \h</w:instrText>
            </w:r>
            <w:r>
              <w:rPr>
                <w:webHidden/>
              </w:rPr>
              <w:fldChar w:fldCharType="separate"/>
            </w:r>
            <w:r>
              <w:rPr>
                <w:rStyle w:val="Czeindeksu"/>
                <w:vanish w:val="false"/>
                <w:sz w:val="24"/>
                <w:szCs w:val="24"/>
              </w:rPr>
              <w:t>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3">
            <w:r>
              <w:rPr>
                <w:webHidden/>
                <w:rStyle w:val="Czeindeksu"/>
                <w:rFonts w:eastAsia="" w:eastAsiaTheme="majorEastAsia"/>
                <w:vanish w:val="false"/>
                <w:sz w:val="24"/>
                <w:szCs w:val="24"/>
              </w:rPr>
              <w:t>1.4.</w:t>
            </w:r>
            <w:r>
              <w:rPr>
                <w:rStyle w:val="Czeindeksu"/>
                <w:rFonts w:eastAsia="" w:eastAsiaTheme="minorEastAsia"/>
                <w:sz w:val="24"/>
                <w:szCs w:val="24"/>
              </w:rPr>
              <w:tab/>
            </w:r>
            <w:r>
              <w:rPr>
                <w:rStyle w:val="Czeindeksu"/>
                <w:rFonts w:eastAsia="" w:eastAsiaTheme="majorEastAsia"/>
                <w:sz w:val="24"/>
                <w:szCs w:val="24"/>
              </w:rPr>
              <w:t>Zakres robót objętych SST</w:t>
            </w:r>
            <w:r>
              <w:rPr>
                <w:webHidden/>
              </w:rPr>
              <w:fldChar w:fldCharType="begin"/>
            </w:r>
            <w:r>
              <w:rPr>
                <w:webHidden/>
              </w:rPr>
              <w:instrText xml:space="preserve">PAGEREF _Toc115621663 \h</w:instrText>
            </w:r>
            <w:r>
              <w:rPr>
                <w:webHidden/>
              </w:rPr>
              <w:fldChar w:fldCharType="separate"/>
            </w:r>
            <w:r>
              <w:rPr>
                <w:rStyle w:val="Czeindeksu"/>
                <w:vanish w:val="false"/>
                <w:sz w:val="24"/>
                <w:szCs w:val="24"/>
              </w:rPr>
              <w:t>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4">
            <w:r>
              <w:rPr>
                <w:webHidden/>
                <w:rStyle w:val="Czeindeksu"/>
                <w:rFonts w:eastAsia="" w:eastAsiaTheme="majorEastAsia"/>
                <w:vanish w:val="false"/>
                <w:sz w:val="24"/>
                <w:szCs w:val="24"/>
              </w:rPr>
              <w:t>1.5.</w:t>
            </w:r>
            <w:r>
              <w:rPr>
                <w:rStyle w:val="Czeindeksu"/>
                <w:rFonts w:eastAsia="" w:eastAsiaTheme="minorEastAsia"/>
                <w:sz w:val="24"/>
                <w:szCs w:val="24"/>
              </w:rPr>
              <w:tab/>
            </w:r>
            <w:r>
              <w:rPr>
                <w:rStyle w:val="Czeindeksu"/>
                <w:rFonts w:eastAsia="" w:eastAsiaTheme="majorEastAsia"/>
                <w:sz w:val="24"/>
                <w:szCs w:val="24"/>
              </w:rPr>
              <w:t>Określenia podstawowe, definicje</w:t>
            </w:r>
            <w:r>
              <w:rPr>
                <w:webHidden/>
              </w:rPr>
              <w:fldChar w:fldCharType="begin"/>
            </w:r>
            <w:r>
              <w:rPr>
                <w:webHidden/>
              </w:rPr>
              <w:instrText xml:space="preserve">PAGEREF _Toc115621664 \h</w:instrText>
            </w:r>
            <w:r>
              <w:rPr>
                <w:webHidden/>
              </w:rPr>
              <w:fldChar w:fldCharType="separate"/>
            </w:r>
            <w:r>
              <w:rPr>
                <w:rStyle w:val="Czeindeksu"/>
                <w:vanish w:val="false"/>
                <w:sz w:val="24"/>
                <w:szCs w:val="24"/>
              </w:rPr>
              <w:t>5</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665">
            <w:r>
              <w:rPr>
                <w:webHidden/>
                <w:rStyle w:val="Czeindeksu"/>
                <w:rFonts w:eastAsia="" w:eastAsiaTheme="majorEastAsia"/>
                <w:vanish w:val="false"/>
                <w:sz w:val="24"/>
                <w:szCs w:val="24"/>
              </w:rPr>
              <w:t>2.</w:t>
            </w:r>
            <w:r>
              <w:rPr>
                <w:rStyle w:val="Czeindeksu"/>
                <w:rFonts w:eastAsia="" w:eastAsiaTheme="minorEastAsia"/>
                <w:sz w:val="24"/>
                <w:szCs w:val="24"/>
              </w:rPr>
              <w:tab/>
            </w:r>
            <w:r>
              <w:rPr>
                <w:rStyle w:val="Czeindeksu"/>
                <w:rFonts w:eastAsia="" w:eastAsiaTheme="majorEastAsia"/>
                <w:sz w:val="24"/>
                <w:szCs w:val="24"/>
              </w:rPr>
              <w:t>Ogólne wymagania dotyczące robót</w:t>
            </w:r>
            <w:r>
              <w:rPr>
                <w:webHidden/>
              </w:rPr>
              <w:fldChar w:fldCharType="begin"/>
            </w:r>
            <w:r>
              <w:rPr>
                <w:webHidden/>
              </w:rPr>
              <w:instrText xml:space="preserve">PAGEREF _Toc115621665 \h</w:instrText>
            </w:r>
            <w:r>
              <w:rPr>
                <w:webHidden/>
              </w:rPr>
              <w:fldChar w:fldCharType="separate"/>
            </w:r>
            <w:r>
              <w:rPr>
                <w:rStyle w:val="Czeindeksu"/>
                <w:vanish w:val="false"/>
                <w:sz w:val="24"/>
                <w:szCs w:val="24"/>
              </w:rPr>
              <w:t>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7">
            <w:r>
              <w:rPr>
                <w:webHidden/>
                <w:rStyle w:val="Czeindeksu"/>
                <w:rFonts w:eastAsia="" w:eastAsiaTheme="majorEastAsia"/>
                <w:vanish w:val="false"/>
                <w:sz w:val="24"/>
                <w:szCs w:val="24"/>
              </w:rPr>
              <w:t>2.1.</w:t>
            </w:r>
            <w:r>
              <w:rPr>
                <w:rStyle w:val="Czeindeksu"/>
                <w:rFonts w:eastAsia="" w:eastAsiaTheme="minorEastAsia"/>
                <w:sz w:val="24"/>
                <w:szCs w:val="24"/>
              </w:rPr>
              <w:tab/>
            </w:r>
            <w:r>
              <w:rPr>
                <w:rStyle w:val="Czeindeksu"/>
                <w:rFonts w:eastAsia="" w:eastAsiaTheme="majorEastAsia"/>
                <w:sz w:val="24"/>
                <w:szCs w:val="24"/>
              </w:rPr>
              <w:t>Dokumentacja robót montażowych</w:t>
            </w:r>
            <w:r>
              <w:rPr>
                <w:webHidden/>
              </w:rPr>
              <w:fldChar w:fldCharType="begin"/>
            </w:r>
            <w:r>
              <w:rPr>
                <w:webHidden/>
              </w:rPr>
              <w:instrText xml:space="preserve">PAGEREF _Toc115621667 \h</w:instrText>
            </w:r>
            <w:r>
              <w:rPr>
                <w:webHidden/>
              </w:rPr>
              <w:fldChar w:fldCharType="separate"/>
            </w:r>
            <w:r>
              <w:rPr>
                <w:rStyle w:val="Czeindeksu"/>
                <w:vanish w:val="false"/>
                <w:sz w:val="24"/>
                <w:szCs w:val="24"/>
              </w:rPr>
              <w:t>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8">
            <w:r>
              <w:rPr>
                <w:webHidden/>
                <w:rStyle w:val="Czeindeksu"/>
                <w:rFonts w:eastAsia="" w:eastAsiaTheme="majorEastAsia"/>
                <w:vanish w:val="false"/>
                <w:sz w:val="24"/>
                <w:szCs w:val="24"/>
              </w:rPr>
              <w:t>2.2.</w:t>
            </w:r>
            <w:r>
              <w:rPr>
                <w:rStyle w:val="Czeindeksu"/>
                <w:rFonts w:eastAsia="" w:eastAsiaTheme="minorEastAsia"/>
                <w:sz w:val="24"/>
                <w:szCs w:val="24"/>
              </w:rPr>
              <w:tab/>
            </w:r>
            <w:r>
              <w:rPr>
                <w:rStyle w:val="Czeindeksu"/>
                <w:rFonts w:eastAsia="" w:eastAsiaTheme="majorEastAsia"/>
                <w:sz w:val="24"/>
                <w:szCs w:val="24"/>
              </w:rPr>
              <w:t>Teren budowy</w:t>
            </w:r>
            <w:r>
              <w:rPr>
                <w:webHidden/>
              </w:rPr>
              <w:fldChar w:fldCharType="begin"/>
            </w:r>
            <w:r>
              <w:rPr>
                <w:webHidden/>
              </w:rPr>
              <w:instrText xml:space="preserve">PAGEREF _Toc115621668 \h</w:instrText>
            </w:r>
            <w:r>
              <w:rPr>
                <w:webHidden/>
              </w:rPr>
              <w:fldChar w:fldCharType="separate"/>
            </w:r>
            <w:r>
              <w:rPr>
                <w:rStyle w:val="Czeindeksu"/>
                <w:vanish w:val="false"/>
                <w:sz w:val="24"/>
                <w:szCs w:val="24"/>
              </w:rPr>
              <w:t>10</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69">
            <w:r>
              <w:rPr>
                <w:webHidden/>
                <w:rStyle w:val="Czeindeksu"/>
                <w:rFonts w:eastAsia="" w:eastAsiaTheme="majorEastAsia"/>
                <w:vanish w:val="false"/>
                <w:sz w:val="24"/>
                <w:szCs w:val="24"/>
              </w:rPr>
              <w:t>2.3.</w:t>
            </w:r>
            <w:r>
              <w:rPr>
                <w:rStyle w:val="Czeindeksu"/>
                <w:rFonts w:eastAsia="" w:eastAsiaTheme="minorEastAsia"/>
                <w:sz w:val="24"/>
                <w:szCs w:val="24"/>
              </w:rPr>
              <w:tab/>
            </w:r>
            <w:r>
              <w:rPr>
                <w:rStyle w:val="Czeindeksu"/>
                <w:rFonts w:eastAsia="" w:eastAsiaTheme="majorEastAsia"/>
                <w:sz w:val="24"/>
                <w:szCs w:val="24"/>
              </w:rPr>
              <w:t>Powiązania prawne i odpowiedzialność prawna</w:t>
            </w:r>
            <w:r>
              <w:rPr>
                <w:webHidden/>
              </w:rPr>
              <w:fldChar w:fldCharType="begin"/>
            </w:r>
            <w:r>
              <w:rPr>
                <w:webHidden/>
              </w:rPr>
              <w:instrText xml:space="preserve">PAGEREF _Toc115621669 \h</w:instrText>
            </w:r>
            <w:r>
              <w:rPr>
                <w:webHidden/>
              </w:rPr>
              <w:fldChar w:fldCharType="separate"/>
            </w:r>
            <w:r>
              <w:rPr>
                <w:rStyle w:val="Czeindeksu"/>
                <w:vanish w:val="false"/>
                <w:sz w:val="24"/>
                <w:szCs w:val="24"/>
              </w:rPr>
              <w:t>11</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670">
            <w:r>
              <w:rPr>
                <w:webHidden/>
                <w:rStyle w:val="Czeindeksu"/>
                <w:rFonts w:eastAsia="" w:eastAsiaTheme="majorEastAsia"/>
                <w:vanish w:val="false"/>
                <w:sz w:val="24"/>
                <w:szCs w:val="24"/>
              </w:rPr>
              <w:t>3.</w:t>
            </w:r>
            <w:r>
              <w:rPr>
                <w:rStyle w:val="Czeindeksu"/>
                <w:rFonts w:eastAsia="" w:eastAsiaTheme="minorEastAsia"/>
                <w:sz w:val="24"/>
                <w:szCs w:val="24"/>
              </w:rPr>
              <w:tab/>
            </w:r>
            <w:r>
              <w:rPr>
                <w:rStyle w:val="Czeindeksu"/>
                <w:rFonts w:eastAsia="" w:eastAsiaTheme="majorEastAsia"/>
                <w:sz w:val="24"/>
                <w:szCs w:val="24"/>
              </w:rPr>
              <w:t>WYMAGANIA DOTYCZĄCE WŁAŚCIWOŚCI MATERIAŁÓW</w:t>
            </w:r>
            <w:r>
              <w:rPr>
                <w:webHidden/>
              </w:rPr>
              <w:fldChar w:fldCharType="begin"/>
            </w:r>
            <w:r>
              <w:rPr>
                <w:webHidden/>
              </w:rPr>
              <w:instrText xml:space="preserve">PAGEREF _Toc115621670 \h</w:instrText>
            </w:r>
            <w:r>
              <w:rPr>
                <w:webHidden/>
              </w:rPr>
              <w:fldChar w:fldCharType="separate"/>
            </w:r>
            <w:r>
              <w:rPr>
                <w:rStyle w:val="Czeindeksu"/>
                <w:vanish w:val="false"/>
                <w:sz w:val="24"/>
                <w:szCs w:val="24"/>
              </w:rPr>
              <w:t>14</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71">
            <w:r>
              <w:rPr>
                <w:webHidden/>
                <w:rStyle w:val="Czeindeksu"/>
                <w:rFonts w:eastAsia="" w:eastAsiaTheme="majorEastAsia"/>
                <w:vanish w:val="false"/>
                <w:sz w:val="24"/>
                <w:szCs w:val="24"/>
              </w:rPr>
              <w:t>3.1.</w:t>
            </w:r>
            <w:r>
              <w:rPr>
                <w:rStyle w:val="Czeindeksu"/>
                <w:rFonts w:eastAsia="" w:eastAsiaTheme="minorEastAsia"/>
                <w:sz w:val="24"/>
                <w:szCs w:val="24"/>
              </w:rPr>
              <w:tab/>
            </w:r>
            <w:r>
              <w:rPr>
                <w:rStyle w:val="Czeindeksu"/>
                <w:rFonts w:eastAsia="" w:eastAsiaTheme="majorEastAsia"/>
                <w:sz w:val="24"/>
                <w:szCs w:val="24"/>
              </w:rPr>
              <w:t>Ogólne wymagania dotyczące właściwości materiałów, ich pozyskiwania i składowania podano w ST „Wymagania ogólne"</w:t>
            </w:r>
            <w:r>
              <w:rPr>
                <w:webHidden/>
              </w:rPr>
              <w:fldChar w:fldCharType="begin"/>
            </w:r>
            <w:r>
              <w:rPr>
                <w:webHidden/>
              </w:rPr>
              <w:instrText xml:space="preserve">PAGEREF _Toc115621671 \h</w:instrText>
            </w:r>
            <w:r>
              <w:rPr>
                <w:webHidden/>
              </w:rPr>
              <w:fldChar w:fldCharType="separate"/>
            </w:r>
            <w:r>
              <w:rPr>
                <w:rStyle w:val="Czeindeksu"/>
                <w:vanish w:val="false"/>
                <w:sz w:val="24"/>
                <w:szCs w:val="24"/>
              </w:rPr>
              <w:t>16</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72">
            <w:r>
              <w:rPr>
                <w:webHidden/>
                <w:rStyle w:val="Czeindeksu"/>
                <w:rFonts w:eastAsia="" w:eastAsiaTheme="majorEastAsia"/>
                <w:vanish w:val="false"/>
                <w:sz w:val="24"/>
                <w:szCs w:val="24"/>
              </w:rPr>
              <w:t>3.2.</w:t>
            </w:r>
            <w:r>
              <w:rPr>
                <w:rStyle w:val="Czeindeksu"/>
                <w:rFonts w:eastAsia="" w:eastAsiaTheme="minorEastAsia"/>
                <w:sz w:val="24"/>
                <w:szCs w:val="24"/>
              </w:rPr>
              <w:tab/>
            </w:r>
            <w:r>
              <w:rPr>
                <w:rStyle w:val="Czeindeksu"/>
                <w:rFonts w:eastAsia="" w:eastAsiaTheme="majorEastAsia"/>
                <w:sz w:val="24"/>
                <w:szCs w:val="24"/>
              </w:rPr>
              <w:t>Rodzaje materiałów</w:t>
            </w:r>
            <w:r>
              <w:rPr>
                <w:webHidden/>
              </w:rPr>
              <w:fldChar w:fldCharType="begin"/>
            </w:r>
            <w:r>
              <w:rPr>
                <w:webHidden/>
              </w:rPr>
              <w:instrText xml:space="preserve">PAGEREF _Toc115621672 \h</w:instrText>
            </w:r>
            <w:r>
              <w:rPr>
                <w:webHidden/>
              </w:rPr>
              <w:fldChar w:fldCharType="separate"/>
            </w:r>
            <w:r>
              <w:rPr>
                <w:rStyle w:val="Czeindeksu"/>
                <w:vanish w:val="false"/>
                <w:sz w:val="24"/>
                <w:szCs w:val="24"/>
              </w:rPr>
              <w:t>16</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673">
            <w:r>
              <w:rPr>
                <w:webHidden/>
                <w:rStyle w:val="Czeindeksu"/>
                <w:rFonts w:eastAsia="" w:eastAsiaTheme="majorEastAsia"/>
                <w:vanish w:val="false"/>
                <w:sz w:val="24"/>
                <w:szCs w:val="24"/>
              </w:rPr>
              <w:t>3.2.1.</w:t>
            </w:r>
            <w:r>
              <w:rPr>
                <w:rStyle w:val="Czeindeksu"/>
                <w:rFonts w:eastAsia="" w:eastAsiaTheme="minorEastAsia"/>
                <w:sz w:val="24"/>
                <w:szCs w:val="24"/>
              </w:rPr>
              <w:tab/>
            </w:r>
            <w:r>
              <w:rPr>
                <w:rStyle w:val="Czeindeksu"/>
                <w:rFonts w:eastAsia="" w:eastAsiaTheme="majorEastAsia"/>
                <w:sz w:val="24"/>
                <w:szCs w:val="24"/>
              </w:rPr>
              <w:t>Kable i przewody</w:t>
            </w:r>
            <w:r>
              <w:rPr>
                <w:webHidden/>
              </w:rPr>
              <w:fldChar w:fldCharType="begin"/>
            </w:r>
            <w:r>
              <w:rPr>
                <w:webHidden/>
              </w:rPr>
              <w:instrText xml:space="preserve">PAGEREF _Toc115621673 \h</w:instrText>
            </w:r>
            <w:r>
              <w:rPr>
                <w:webHidden/>
              </w:rPr>
              <w:fldChar w:fldCharType="separate"/>
            </w:r>
            <w:r>
              <w:rPr>
                <w:rStyle w:val="Czeindeksu"/>
                <w:vanish w:val="false"/>
                <w:sz w:val="24"/>
                <w:szCs w:val="24"/>
              </w:rPr>
              <w:t>16</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674">
            <w:r>
              <w:rPr>
                <w:webHidden/>
                <w:rStyle w:val="Czeindeksu"/>
                <w:rFonts w:eastAsia="" w:eastAsiaTheme="majorEastAsia"/>
                <w:vanish w:val="false"/>
                <w:sz w:val="24"/>
                <w:szCs w:val="24"/>
              </w:rPr>
              <w:t>3.2.2.</w:t>
            </w:r>
            <w:r>
              <w:rPr>
                <w:rStyle w:val="Czeindeksu"/>
                <w:rFonts w:eastAsia="" w:eastAsiaTheme="minorEastAsia"/>
                <w:sz w:val="24"/>
                <w:szCs w:val="24"/>
              </w:rPr>
              <w:tab/>
            </w:r>
            <w:r>
              <w:rPr>
                <w:rStyle w:val="Czeindeksu"/>
                <w:rFonts w:eastAsia="" w:eastAsiaTheme="majorEastAsia"/>
                <w:sz w:val="24"/>
                <w:szCs w:val="24"/>
              </w:rPr>
              <w:t>Osprzęt instalacyjny do kabli i przewodów</w:t>
            </w:r>
            <w:r>
              <w:rPr>
                <w:webHidden/>
              </w:rPr>
              <w:fldChar w:fldCharType="begin"/>
            </w:r>
            <w:r>
              <w:rPr>
                <w:webHidden/>
              </w:rPr>
              <w:instrText xml:space="preserve">PAGEREF _Toc115621674 \h</w:instrText>
            </w:r>
            <w:r>
              <w:rPr>
                <w:webHidden/>
              </w:rPr>
              <w:fldChar w:fldCharType="separate"/>
            </w:r>
            <w:r>
              <w:rPr>
                <w:rStyle w:val="Czeindeksu"/>
                <w:vanish w:val="false"/>
                <w:sz w:val="24"/>
                <w:szCs w:val="24"/>
              </w:rPr>
              <w:t>17</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675">
            <w:r>
              <w:rPr>
                <w:webHidden/>
                <w:rStyle w:val="Czeindeksu"/>
                <w:rFonts w:eastAsia="" w:eastAsiaTheme="majorEastAsia"/>
                <w:vanish w:val="false"/>
                <w:sz w:val="24"/>
                <w:szCs w:val="24"/>
              </w:rPr>
              <w:t>3.2.3.</w:t>
            </w:r>
            <w:r>
              <w:rPr>
                <w:rStyle w:val="Czeindeksu"/>
                <w:rFonts w:eastAsia="" w:eastAsiaTheme="minorEastAsia"/>
                <w:sz w:val="24"/>
                <w:szCs w:val="24"/>
              </w:rPr>
              <w:tab/>
            </w:r>
            <w:r>
              <w:rPr>
                <w:rStyle w:val="Czeindeksu"/>
                <w:rFonts w:eastAsia="" w:eastAsiaTheme="majorEastAsia"/>
                <w:sz w:val="24"/>
                <w:szCs w:val="24"/>
              </w:rPr>
              <w:t>Osprzęt instalacyjny</w:t>
            </w:r>
            <w:r>
              <w:rPr>
                <w:webHidden/>
              </w:rPr>
              <w:fldChar w:fldCharType="begin"/>
            </w:r>
            <w:r>
              <w:rPr>
                <w:webHidden/>
              </w:rPr>
              <w:instrText xml:space="preserve">PAGEREF _Toc115621675 \h</w:instrText>
            </w:r>
            <w:r>
              <w:rPr>
                <w:webHidden/>
              </w:rPr>
              <w:fldChar w:fldCharType="separate"/>
            </w:r>
            <w:r>
              <w:rPr>
                <w:rStyle w:val="Czeindeksu"/>
                <w:vanish w:val="false"/>
                <w:sz w:val="24"/>
                <w:szCs w:val="24"/>
              </w:rPr>
              <w:t>18</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676">
            <w:r>
              <w:rPr>
                <w:webHidden/>
                <w:rStyle w:val="Czeindeksu"/>
                <w:rFonts w:eastAsia="" w:eastAsiaTheme="majorEastAsia"/>
                <w:vanish w:val="false"/>
                <w:sz w:val="24"/>
                <w:szCs w:val="24"/>
              </w:rPr>
              <w:t>3.2.4.</w:t>
            </w:r>
            <w:r>
              <w:rPr>
                <w:rStyle w:val="Czeindeksu"/>
                <w:rFonts w:eastAsia="" w:eastAsiaTheme="minorEastAsia"/>
                <w:sz w:val="24"/>
                <w:szCs w:val="24"/>
              </w:rPr>
              <w:tab/>
            </w:r>
            <w:r>
              <w:rPr>
                <w:rStyle w:val="Czeindeksu"/>
                <w:rFonts w:eastAsia="" w:eastAsiaTheme="majorEastAsia"/>
                <w:sz w:val="24"/>
                <w:szCs w:val="24"/>
              </w:rPr>
              <w:t>Gniazda wtykowe ogólnego przeznaczenia do montażu w instalacjach podtynkowych, natynkowych i natynkowo-wtynkowych:</w:t>
            </w:r>
            <w:r>
              <w:rPr>
                <w:webHidden/>
              </w:rPr>
              <w:fldChar w:fldCharType="begin"/>
            </w:r>
            <w:r>
              <w:rPr>
                <w:webHidden/>
              </w:rPr>
              <w:instrText xml:space="preserve">PAGEREF _Toc115621676 \h</w:instrText>
            </w:r>
            <w:r>
              <w:rPr>
                <w:webHidden/>
              </w:rPr>
              <w:fldChar w:fldCharType="separate"/>
            </w:r>
            <w:r>
              <w:rPr>
                <w:rStyle w:val="Czeindeksu"/>
                <w:vanish w:val="false"/>
                <w:sz w:val="24"/>
                <w:szCs w:val="24"/>
              </w:rPr>
              <w:t>18</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677">
            <w:r>
              <w:rPr>
                <w:webHidden/>
                <w:rStyle w:val="Czeindeksu"/>
                <w:rFonts w:eastAsia="" w:eastAsiaTheme="majorEastAsia"/>
                <w:vanish w:val="false"/>
                <w:sz w:val="24"/>
                <w:szCs w:val="24"/>
              </w:rPr>
              <w:t>3.2.5.</w:t>
            </w:r>
            <w:r>
              <w:rPr>
                <w:rStyle w:val="Czeindeksu"/>
                <w:rFonts w:eastAsia="" w:eastAsiaTheme="minorEastAsia"/>
                <w:sz w:val="24"/>
                <w:szCs w:val="24"/>
              </w:rPr>
              <w:tab/>
            </w:r>
            <w:r>
              <w:rPr>
                <w:rStyle w:val="Czeindeksu"/>
                <w:rFonts w:eastAsia="" w:eastAsiaTheme="majorEastAsia"/>
                <w:sz w:val="24"/>
                <w:szCs w:val="24"/>
              </w:rPr>
              <w:t>Osprzęt oświetleniowy</w:t>
            </w:r>
            <w:r>
              <w:rPr>
                <w:webHidden/>
              </w:rPr>
              <w:fldChar w:fldCharType="begin"/>
            </w:r>
            <w:r>
              <w:rPr>
                <w:webHidden/>
              </w:rPr>
              <w:instrText xml:space="preserve">PAGEREF _Toc115621677 \h</w:instrText>
            </w:r>
            <w:r>
              <w:rPr>
                <w:webHidden/>
              </w:rPr>
              <w:fldChar w:fldCharType="separate"/>
            </w:r>
            <w:r>
              <w:rPr>
                <w:rStyle w:val="Czeindeksu"/>
                <w:vanish w:val="false"/>
                <w:sz w:val="24"/>
                <w:szCs w:val="24"/>
              </w:rPr>
              <w:t>18</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678">
            <w:r>
              <w:rPr>
                <w:webHidden/>
                <w:rStyle w:val="Czeindeksu"/>
                <w:rFonts w:eastAsia="" w:eastAsiaTheme="majorEastAsia"/>
                <w:vanish w:val="false"/>
                <w:sz w:val="24"/>
                <w:szCs w:val="24"/>
              </w:rPr>
              <w:t>3.2.6.</w:t>
            </w:r>
            <w:r>
              <w:rPr>
                <w:rStyle w:val="Czeindeksu"/>
                <w:rFonts w:eastAsia="" w:eastAsiaTheme="minorEastAsia"/>
                <w:sz w:val="24"/>
                <w:szCs w:val="24"/>
              </w:rPr>
              <w:tab/>
            </w:r>
            <w:r>
              <w:rPr>
                <w:rStyle w:val="Czeindeksu"/>
                <w:rFonts w:eastAsia="" w:eastAsiaTheme="majorEastAsia"/>
                <w:sz w:val="24"/>
                <w:szCs w:val="24"/>
              </w:rPr>
              <w:t>Tablice rozdzielcze</w:t>
            </w:r>
            <w:r>
              <w:rPr>
                <w:webHidden/>
              </w:rPr>
              <w:fldChar w:fldCharType="begin"/>
            </w:r>
            <w:r>
              <w:rPr>
                <w:webHidden/>
              </w:rPr>
              <w:instrText xml:space="preserve">PAGEREF _Toc115621678 \h</w:instrText>
            </w:r>
            <w:r>
              <w:rPr>
                <w:webHidden/>
              </w:rPr>
              <w:fldChar w:fldCharType="separate"/>
            </w:r>
            <w:r>
              <w:rPr>
                <w:rStyle w:val="Czeindeksu"/>
                <w:vanish w:val="false"/>
                <w:sz w:val="24"/>
                <w:szCs w:val="24"/>
              </w:rPr>
              <w:t>19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79">
            <w:r>
              <w:rPr>
                <w:webHidden/>
                <w:rStyle w:val="Czeindeksu"/>
                <w:rFonts w:eastAsia="" w:eastAsiaTheme="majorEastAsia"/>
                <w:vanish w:val="false"/>
                <w:sz w:val="24"/>
                <w:szCs w:val="24"/>
              </w:rPr>
              <w:t>3.3.</w:t>
            </w:r>
            <w:r>
              <w:rPr>
                <w:rStyle w:val="Czeindeksu"/>
                <w:rFonts w:eastAsia="" w:eastAsiaTheme="minorEastAsia"/>
                <w:sz w:val="24"/>
                <w:szCs w:val="24"/>
              </w:rPr>
              <w:tab/>
            </w:r>
            <w:r>
              <w:rPr>
                <w:rStyle w:val="Czeindeksu"/>
                <w:rFonts w:eastAsia="" w:eastAsiaTheme="majorEastAsia"/>
                <w:sz w:val="24"/>
                <w:szCs w:val="24"/>
              </w:rPr>
              <w:t>Warunki przyjęcia na budowę materiałów do robót montażowych</w:t>
            </w:r>
            <w:r>
              <w:rPr>
                <w:webHidden/>
              </w:rPr>
              <w:fldChar w:fldCharType="begin"/>
            </w:r>
            <w:r>
              <w:rPr>
                <w:webHidden/>
              </w:rPr>
              <w:instrText xml:space="preserve">PAGEREF _Toc115621679 \h</w:instrText>
            </w:r>
            <w:r>
              <w:rPr>
                <w:webHidden/>
              </w:rPr>
              <w:fldChar w:fldCharType="separate"/>
            </w:r>
            <w:r>
              <w:rPr>
                <w:rStyle w:val="Czeindeksu"/>
                <w:vanish w:val="false"/>
                <w:sz w:val="24"/>
                <w:szCs w:val="24"/>
              </w:rPr>
              <w:t>19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80">
            <w:r>
              <w:rPr>
                <w:webHidden/>
                <w:rStyle w:val="Czeindeksu"/>
                <w:rFonts w:eastAsia="" w:eastAsiaTheme="majorEastAsia"/>
                <w:vanish w:val="false"/>
                <w:sz w:val="24"/>
                <w:szCs w:val="24"/>
              </w:rPr>
              <w:t>3.4.</w:t>
            </w:r>
            <w:r>
              <w:rPr>
                <w:rStyle w:val="Czeindeksu"/>
                <w:rFonts w:eastAsia="" w:eastAsiaTheme="minorEastAsia"/>
                <w:sz w:val="24"/>
                <w:szCs w:val="24"/>
              </w:rPr>
              <w:tab/>
            </w:r>
            <w:r>
              <w:rPr>
                <w:rStyle w:val="Czeindeksu"/>
                <w:rFonts w:eastAsia="" w:eastAsiaTheme="majorEastAsia"/>
                <w:sz w:val="24"/>
                <w:szCs w:val="24"/>
              </w:rPr>
              <w:t>Warunki przechowywania materiałów</w:t>
            </w:r>
            <w:r>
              <w:rPr>
                <w:webHidden/>
              </w:rPr>
              <w:fldChar w:fldCharType="begin"/>
            </w:r>
            <w:r>
              <w:rPr>
                <w:webHidden/>
              </w:rPr>
              <w:instrText xml:space="preserve">PAGEREF _Toc115621680 \h</w:instrText>
            </w:r>
            <w:r>
              <w:rPr>
                <w:webHidden/>
              </w:rPr>
              <w:fldChar w:fldCharType="separate"/>
            </w:r>
            <w:r>
              <w:rPr>
                <w:rStyle w:val="Czeindeksu"/>
                <w:vanish w:val="false"/>
                <w:sz w:val="24"/>
                <w:szCs w:val="24"/>
              </w:rPr>
              <w:t>20</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681">
            <w:r>
              <w:rPr>
                <w:webHidden/>
                <w:rStyle w:val="Czeindeksu"/>
                <w:rFonts w:eastAsia="" w:eastAsiaTheme="majorEastAsia"/>
                <w:vanish w:val="false"/>
                <w:sz w:val="24"/>
                <w:szCs w:val="24"/>
              </w:rPr>
              <w:t>4.</w:t>
            </w:r>
            <w:r>
              <w:rPr>
                <w:rStyle w:val="Czeindeksu"/>
                <w:rFonts w:eastAsia="" w:eastAsiaTheme="minorEastAsia"/>
                <w:sz w:val="24"/>
                <w:szCs w:val="24"/>
              </w:rPr>
              <w:tab/>
            </w:r>
            <w:r>
              <w:rPr>
                <w:rStyle w:val="Czeindeksu"/>
                <w:rFonts w:eastAsia="" w:eastAsiaTheme="majorEastAsia"/>
                <w:sz w:val="24"/>
                <w:szCs w:val="24"/>
              </w:rPr>
              <w:t>WYMAGANIA DOTYCZĄCE SPRZĘTU, MASZYN I NARZĘDZI</w:t>
            </w:r>
            <w:r>
              <w:rPr>
                <w:webHidden/>
              </w:rPr>
              <w:fldChar w:fldCharType="begin"/>
            </w:r>
            <w:r>
              <w:rPr>
                <w:webHidden/>
              </w:rPr>
              <w:instrText xml:space="preserve">PAGEREF _Toc115621681 \h</w:instrText>
            </w:r>
            <w:r>
              <w:rPr>
                <w:webHidden/>
              </w:rPr>
              <w:fldChar w:fldCharType="separate"/>
            </w:r>
            <w:r>
              <w:rPr>
                <w:rStyle w:val="Czeindeksu"/>
                <w:vanish w:val="false"/>
                <w:sz w:val="24"/>
                <w:szCs w:val="24"/>
              </w:rPr>
              <w:t>20</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82">
            <w:r>
              <w:rPr>
                <w:webHidden/>
                <w:rStyle w:val="Czeindeksu"/>
                <w:rFonts w:eastAsia="" w:eastAsiaTheme="majorEastAsia"/>
                <w:vanish w:val="false"/>
                <w:sz w:val="24"/>
                <w:szCs w:val="24"/>
              </w:rPr>
              <w:t>4.1.</w:t>
            </w:r>
            <w:r>
              <w:rPr>
                <w:rStyle w:val="Czeindeksu"/>
                <w:rFonts w:eastAsia="" w:eastAsiaTheme="minorEastAsia"/>
                <w:sz w:val="24"/>
                <w:szCs w:val="24"/>
              </w:rPr>
              <w:tab/>
            </w:r>
            <w:r>
              <w:rPr>
                <w:rStyle w:val="Czeindeksu"/>
                <w:rFonts w:eastAsia="" w:eastAsiaTheme="majorEastAsia"/>
                <w:sz w:val="24"/>
                <w:szCs w:val="24"/>
              </w:rPr>
              <w:t>Ogólne wymagania dotyczące sprzętu podano w ST „Wymagania ogólne"</w:t>
            </w:r>
            <w:r>
              <w:rPr>
                <w:webHidden/>
              </w:rPr>
              <w:fldChar w:fldCharType="begin"/>
            </w:r>
            <w:r>
              <w:rPr>
                <w:webHidden/>
              </w:rPr>
              <w:instrText xml:space="preserve">PAGEREF _Toc115621682 \h</w:instrText>
            </w:r>
            <w:r>
              <w:rPr>
                <w:webHidden/>
              </w:rPr>
              <w:fldChar w:fldCharType="separate"/>
            </w:r>
            <w:r>
              <w:rPr>
                <w:rStyle w:val="Czeindeksu"/>
                <w:vanish w:val="false"/>
                <w:sz w:val="24"/>
                <w:szCs w:val="24"/>
              </w:rPr>
              <w:t>20</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683">
            <w:r>
              <w:rPr>
                <w:webHidden/>
                <w:rStyle w:val="Czeindeksu"/>
                <w:rFonts w:eastAsia="" w:eastAsiaTheme="majorEastAsia"/>
                <w:vanish w:val="false"/>
                <w:sz w:val="24"/>
                <w:szCs w:val="24"/>
              </w:rPr>
              <w:t>5.</w:t>
            </w:r>
            <w:r>
              <w:rPr>
                <w:rStyle w:val="Czeindeksu"/>
                <w:rFonts w:eastAsia="" w:eastAsiaTheme="minorEastAsia"/>
                <w:sz w:val="24"/>
                <w:szCs w:val="24"/>
              </w:rPr>
              <w:tab/>
            </w:r>
            <w:r>
              <w:rPr>
                <w:rStyle w:val="Czeindeksu"/>
                <w:rFonts w:eastAsia="" w:eastAsiaTheme="majorEastAsia"/>
                <w:sz w:val="24"/>
                <w:szCs w:val="24"/>
              </w:rPr>
              <w:t>WYMAGANIA DOTYCZĄCE TRANSPORTU</w:t>
            </w:r>
            <w:r>
              <w:rPr>
                <w:webHidden/>
              </w:rPr>
              <w:fldChar w:fldCharType="begin"/>
            </w:r>
            <w:r>
              <w:rPr>
                <w:webHidden/>
              </w:rPr>
              <w:instrText xml:space="preserve">PAGEREF _Toc115621683 \h</w:instrText>
            </w:r>
            <w:r>
              <w:rPr>
                <w:webHidden/>
              </w:rPr>
              <w:fldChar w:fldCharType="separate"/>
            </w:r>
            <w:r>
              <w:rPr>
                <w:rStyle w:val="Czeindeksu"/>
                <w:vanish w:val="false"/>
                <w:sz w:val="24"/>
                <w:szCs w:val="24"/>
              </w:rPr>
              <w:t>21</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84">
            <w:r>
              <w:rPr>
                <w:webHidden/>
                <w:rStyle w:val="Czeindeksu"/>
                <w:rFonts w:eastAsia="" w:eastAsiaTheme="majorEastAsia"/>
                <w:vanish w:val="false"/>
                <w:sz w:val="24"/>
                <w:szCs w:val="24"/>
              </w:rPr>
              <w:t>5.1.</w:t>
            </w:r>
            <w:r>
              <w:rPr>
                <w:rStyle w:val="Czeindeksu"/>
                <w:rFonts w:eastAsia="" w:eastAsiaTheme="minorEastAsia"/>
                <w:sz w:val="24"/>
                <w:szCs w:val="24"/>
              </w:rPr>
              <w:tab/>
            </w:r>
            <w:r>
              <w:rPr>
                <w:rStyle w:val="Czeindeksu"/>
                <w:rFonts w:eastAsia="" w:eastAsiaTheme="majorEastAsia"/>
                <w:sz w:val="24"/>
                <w:szCs w:val="24"/>
              </w:rPr>
              <w:t>Ogólne wymagania dotyczące transportu podano w ST „Wymagania ogólne"</w:t>
            </w:r>
            <w:r>
              <w:rPr>
                <w:webHidden/>
              </w:rPr>
              <w:fldChar w:fldCharType="begin"/>
            </w:r>
            <w:r>
              <w:rPr>
                <w:webHidden/>
              </w:rPr>
              <w:instrText xml:space="preserve">PAGEREF _Toc115621684 \h</w:instrText>
            </w:r>
            <w:r>
              <w:rPr>
                <w:webHidden/>
              </w:rPr>
              <w:fldChar w:fldCharType="separate"/>
            </w:r>
            <w:r>
              <w:rPr>
                <w:rStyle w:val="Czeindeksu"/>
                <w:vanish w:val="false"/>
                <w:sz w:val="24"/>
                <w:szCs w:val="24"/>
              </w:rPr>
              <w:t>21</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85">
            <w:r>
              <w:rPr>
                <w:webHidden/>
                <w:rStyle w:val="Czeindeksu"/>
                <w:rFonts w:eastAsia="" w:eastAsiaTheme="majorEastAsia"/>
                <w:vanish w:val="false"/>
                <w:sz w:val="24"/>
                <w:szCs w:val="24"/>
              </w:rPr>
              <w:t>5.2.</w:t>
            </w:r>
            <w:r>
              <w:rPr>
                <w:rStyle w:val="Czeindeksu"/>
                <w:rFonts w:eastAsia="" w:eastAsiaTheme="minorEastAsia"/>
                <w:sz w:val="24"/>
                <w:szCs w:val="24"/>
              </w:rPr>
              <w:tab/>
            </w:r>
            <w:r>
              <w:rPr>
                <w:rStyle w:val="Czeindeksu"/>
                <w:rFonts w:eastAsia="" w:eastAsiaTheme="majorEastAsia"/>
                <w:sz w:val="24"/>
                <w:szCs w:val="24"/>
              </w:rPr>
              <w:t>Transport materiałów</w:t>
            </w:r>
            <w:r>
              <w:rPr>
                <w:webHidden/>
              </w:rPr>
              <w:fldChar w:fldCharType="begin"/>
            </w:r>
            <w:r>
              <w:rPr>
                <w:webHidden/>
              </w:rPr>
              <w:instrText xml:space="preserve">PAGEREF _Toc115621685 \h</w:instrText>
            </w:r>
            <w:r>
              <w:rPr>
                <w:webHidden/>
              </w:rPr>
              <w:fldChar w:fldCharType="separate"/>
            </w:r>
            <w:r>
              <w:rPr>
                <w:rStyle w:val="Czeindeksu"/>
                <w:vanish w:val="false"/>
                <w:sz w:val="24"/>
                <w:szCs w:val="24"/>
              </w:rPr>
              <w:t>21</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686">
            <w:r>
              <w:rPr>
                <w:webHidden/>
                <w:rStyle w:val="Czeindeksu"/>
                <w:rFonts w:eastAsia="" w:eastAsiaTheme="majorEastAsia"/>
                <w:vanish w:val="false"/>
                <w:sz w:val="24"/>
                <w:szCs w:val="24"/>
              </w:rPr>
              <w:t>6.</w:t>
            </w:r>
            <w:r>
              <w:rPr>
                <w:rStyle w:val="Czeindeksu"/>
                <w:rFonts w:eastAsia="" w:eastAsiaTheme="minorEastAsia"/>
                <w:sz w:val="24"/>
                <w:szCs w:val="24"/>
              </w:rPr>
              <w:tab/>
            </w:r>
            <w:r>
              <w:rPr>
                <w:rStyle w:val="Czeindeksu"/>
                <w:rFonts w:eastAsia="" w:eastAsiaTheme="majorEastAsia"/>
                <w:sz w:val="24"/>
                <w:szCs w:val="24"/>
              </w:rPr>
              <w:t>WYMAGANIA DOTYCZĄCE WYKONANIA ROBÓT</w:t>
            </w:r>
            <w:r>
              <w:rPr>
                <w:webHidden/>
              </w:rPr>
              <w:fldChar w:fldCharType="begin"/>
            </w:r>
            <w:r>
              <w:rPr>
                <w:webHidden/>
              </w:rPr>
              <w:instrText xml:space="preserve">PAGEREF _Toc115621686 \h</w:instrText>
            </w:r>
            <w:r>
              <w:rPr>
                <w:webHidden/>
              </w:rPr>
              <w:fldChar w:fldCharType="separate"/>
            </w:r>
            <w:r>
              <w:rPr>
                <w:rStyle w:val="Czeindeksu"/>
                <w:vanish w:val="false"/>
                <w:sz w:val="24"/>
                <w:szCs w:val="24"/>
              </w:rPr>
              <w:t>21</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87">
            <w:r>
              <w:rPr>
                <w:webHidden/>
                <w:rStyle w:val="Czeindeksu"/>
                <w:rFonts w:eastAsia="" w:eastAsiaTheme="majorEastAsia"/>
                <w:vanish w:val="false"/>
                <w:sz w:val="24"/>
                <w:szCs w:val="24"/>
              </w:rPr>
              <w:t>6.1.</w:t>
            </w:r>
            <w:r>
              <w:rPr>
                <w:rStyle w:val="Czeindeksu"/>
                <w:rFonts w:eastAsia="" w:eastAsiaTheme="minorEastAsia"/>
                <w:sz w:val="24"/>
                <w:szCs w:val="24"/>
              </w:rPr>
              <w:tab/>
            </w:r>
            <w:r>
              <w:rPr>
                <w:rStyle w:val="Czeindeksu"/>
                <w:rFonts w:eastAsia="" w:eastAsiaTheme="majorEastAsia"/>
                <w:sz w:val="24"/>
                <w:szCs w:val="24"/>
              </w:rPr>
              <w:t>Ogólne zasady wykonania robót podano w ST „Wymagania ogólne"</w:t>
            </w:r>
            <w:r>
              <w:rPr>
                <w:webHidden/>
              </w:rPr>
              <w:fldChar w:fldCharType="begin"/>
            </w:r>
            <w:r>
              <w:rPr>
                <w:webHidden/>
              </w:rPr>
              <w:instrText xml:space="preserve">PAGEREF _Toc115621687 \h</w:instrText>
            </w:r>
            <w:r>
              <w:rPr>
                <w:webHidden/>
              </w:rPr>
              <w:fldChar w:fldCharType="separate"/>
            </w:r>
            <w:r>
              <w:rPr>
                <w:rStyle w:val="Czeindeksu"/>
                <w:vanish w:val="false"/>
                <w:sz w:val="24"/>
                <w:szCs w:val="24"/>
              </w:rPr>
              <w:t>21</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88">
            <w:r>
              <w:rPr>
                <w:webHidden/>
                <w:rStyle w:val="Czeindeksu"/>
                <w:rFonts w:eastAsia="" w:eastAsiaTheme="majorEastAsia"/>
                <w:vanish w:val="false"/>
                <w:sz w:val="24"/>
                <w:szCs w:val="24"/>
              </w:rPr>
              <w:t>6.2.</w:t>
            </w:r>
            <w:r>
              <w:rPr>
                <w:rStyle w:val="Czeindeksu"/>
                <w:rFonts w:eastAsia="" w:eastAsiaTheme="minorEastAsia"/>
                <w:sz w:val="24"/>
                <w:szCs w:val="24"/>
              </w:rPr>
              <w:tab/>
            </w:r>
            <w:r>
              <w:rPr>
                <w:rStyle w:val="Czeindeksu"/>
                <w:rFonts w:eastAsia="" w:eastAsiaTheme="majorEastAsia"/>
                <w:sz w:val="24"/>
                <w:szCs w:val="24"/>
              </w:rPr>
              <w:t>Przygotowanie podłoża, montaż przewodów</w:t>
            </w:r>
            <w:r>
              <w:rPr>
                <w:webHidden/>
              </w:rPr>
              <w:fldChar w:fldCharType="begin"/>
            </w:r>
            <w:r>
              <w:rPr>
                <w:webHidden/>
              </w:rPr>
              <w:instrText xml:space="preserve">PAGEREF _Toc115621688 \h</w:instrText>
            </w:r>
            <w:r>
              <w:rPr>
                <w:webHidden/>
              </w:rPr>
              <w:fldChar w:fldCharType="separate"/>
            </w:r>
            <w:r>
              <w:rPr>
                <w:rStyle w:val="Czeindeksu"/>
                <w:vanish w:val="false"/>
                <w:sz w:val="24"/>
                <w:szCs w:val="24"/>
              </w:rPr>
              <w:t>22</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89">
            <w:r>
              <w:rPr>
                <w:webHidden/>
                <w:rStyle w:val="Czeindeksu"/>
                <w:rFonts w:eastAsia="" w:eastAsiaTheme="majorEastAsia"/>
                <w:vanish w:val="false"/>
                <w:sz w:val="24"/>
                <w:szCs w:val="24"/>
              </w:rPr>
              <w:t>6.3.</w:t>
            </w:r>
            <w:r>
              <w:rPr>
                <w:rStyle w:val="Czeindeksu"/>
                <w:rFonts w:eastAsia="" w:eastAsiaTheme="minorEastAsia"/>
                <w:sz w:val="24"/>
                <w:szCs w:val="24"/>
              </w:rPr>
              <w:tab/>
            </w:r>
            <w:r>
              <w:rPr>
                <w:rStyle w:val="Czeindeksu"/>
                <w:rFonts w:eastAsia="" w:eastAsiaTheme="majorEastAsia"/>
                <w:sz w:val="24"/>
                <w:szCs w:val="24"/>
              </w:rPr>
              <w:t>Montaż opraw oświetleniowych i sprzętu instalacyjnego, urządzeń i odbiorników energii elektrycznej</w:t>
            </w:r>
            <w:r>
              <w:rPr>
                <w:webHidden/>
              </w:rPr>
              <w:fldChar w:fldCharType="begin"/>
            </w:r>
            <w:r>
              <w:rPr>
                <w:webHidden/>
              </w:rPr>
              <w:instrText xml:space="preserve">PAGEREF _Toc115621689 \h</w:instrText>
            </w:r>
            <w:r>
              <w:rPr>
                <w:webHidden/>
              </w:rPr>
              <w:fldChar w:fldCharType="separate"/>
            </w:r>
            <w:r>
              <w:rPr>
                <w:rStyle w:val="Czeindeksu"/>
                <w:vanish w:val="false"/>
                <w:sz w:val="24"/>
                <w:szCs w:val="24"/>
              </w:rPr>
              <w:t>23</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0">
            <w:r>
              <w:rPr>
                <w:webHidden/>
                <w:rStyle w:val="Czeindeksu"/>
                <w:rFonts w:eastAsia="" w:eastAsiaTheme="majorEastAsia"/>
                <w:vanish w:val="false"/>
                <w:sz w:val="24"/>
                <w:szCs w:val="24"/>
              </w:rPr>
              <w:t>6.4.</w:t>
            </w:r>
            <w:r>
              <w:rPr>
                <w:rStyle w:val="Czeindeksu"/>
                <w:rFonts w:eastAsia="" w:eastAsiaTheme="minorEastAsia"/>
                <w:sz w:val="24"/>
                <w:szCs w:val="24"/>
              </w:rPr>
              <w:tab/>
            </w:r>
            <w:r>
              <w:rPr>
                <w:rStyle w:val="Czeindeksu"/>
                <w:rFonts w:eastAsia="" w:eastAsiaTheme="majorEastAsia"/>
                <w:sz w:val="24"/>
                <w:szCs w:val="24"/>
              </w:rPr>
              <w:t>Instalacja połączeń wyrównawczych</w:t>
            </w:r>
            <w:r>
              <w:rPr>
                <w:webHidden/>
              </w:rPr>
              <w:fldChar w:fldCharType="begin"/>
            </w:r>
            <w:r>
              <w:rPr>
                <w:webHidden/>
              </w:rPr>
              <w:instrText xml:space="preserve">PAGEREF _Toc115621690 \h</w:instrText>
            </w:r>
            <w:r>
              <w:rPr>
                <w:webHidden/>
              </w:rPr>
              <w:fldChar w:fldCharType="separate"/>
            </w:r>
            <w:r>
              <w:rPr>
                <w:rStyle w:val="Czeindeksu"/>
                <w:vanish w:val="false"/>
                <w:sz w:val="24"/>
                <w:szCs w:val="24"/>
              </w:rPr>
              <w:t>24</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691">
            <w:r>
              <w:rPr>
                <w:webHidden/>
                <w:rStyle w:val="Czeindeksu"/>
                <w:rFonts w:eastAsia="" w:eastAsiaTheme="majorEastAsia"/>
                <w:vanish w:val="false"/>
                <w:sz w:val="24"/>
                <w:szCs w:val="24"/>
              </w:rPr>
              <w:t>7.</w:t>
            </w:r>
            <w:r>
              <w:rPr>
                <w:rStyle w:val="Czeindeksu"/>
                <w:rFonts w:eastAsia="" w:eastAsiaTheme="minorEastAsia"/>
                <w:sz w:val="24"/>
                <w:szCs w:val="24"/>
              </w:rPr>
              <w:tab/>
            </w:r>
            <w:r>
              <w:rPr>
                <w:rStyle w:val="Czeindeksu"/>
                <w:rFonts w:eastAsia="" w:eastAsiaTheme="majorEastAsia"/>
                <w:sz w:val="24"/>
                <w:szCs w:val="24"/>
              </w:rPr>
              <w:t>KONTROLA JAKOŚCI ROBÓT</w:t>
            </w:r>
            <w:r>
              <w:rPr>
                <w:webHidden/>
              </w:rPr>
              <w:fldChar w:fldCharType="begin"/>
            </w:r>
            <w:r>
              <w:rPr>
                <w:webHidden/>
              </w:rPr>
              <w:instrText xml:space="preserve">PAGEREF _Toc115621691 \h</w:instrText>
            </w:r>
            <w:r>
              <w:rPr>
                <w:webHidden/>
              </w:rPr>
              <w:fldChar w:fldCharType="separate"/>
            </w:r>
            <w:r>
              <w:rPr>
                <w:rStyle w:val="Czeindeksu"/>
                <w:vanish w:val="false"/>
                <w:sz w:val="24"/>
                <w:szCs w:val="24"/>
              </w:rPr>
              <w:t>25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2">
            <w:r>
              <w:rPr>
                <w:webHidden/>
                <w:rStyle w:val="Czeindeksu"/>
                <w:rFonts w:eastAsia="" w:eastAsiaTheme="majorEastAsia"/>
                <w:vanish w:val="false"/>
                <w:sz w:val="24"/>
                <w:szCs w:val="24"/>
              </w:rPr>
              <w:t>7.1.</w:t>
            </w:r>
            <w:r>
              <w:rPr>
                <w:rStyle w:val="Czeindeksu"/>
                <w:rFonts w:eastAsia="" w:eastAsiaTheme="minorEastAsia"/>
                <w:sz w:val="24"/>
                <w:szCs w:val="24"/>
              </w:rPr>
              <w:tab/>
            </w:r>
            <w:r>
              <w:rPr>
                <w:rStyle w:val="Czeindeksu"/>
                <w:rFonts w:eastAsia="" w:eastAsiaTheme="majorEastAsia"/>
                <w:sz w:val="24"/>
                <w:szCs w:val="24"/>
              </w:rPr>
              <w:t>Ogólne zasady kontroli jakości robót podano w ST „Wymagania ogólne"</w:t>
            </w:r>
            <w:r>
              <w:rPr>
                <w:webHidden/>
              </w:rPr>
              <w:fldChar w:fldCharType="begin"/>
            </w:r>
            <w:r>
              <w:rPr>
                <w:webHidden/>
              </w:rPr>
              <w:instrText xml:space="preserve">PAGEREF _Toc115621692 \h</w:instrText>
            </w:r>
            <w:r>
              <w:rPr>
                <w:webHidden/>
              </w:rPr>
              <w:fldChar w:fldCharType="separate"/>
            </w:r>
            <w:r>
              <w:rPr>
                <w:rStyle w:val="Czeindeksu"/>
                <w:vanish w:val="false"/>
                <w:sz w:val="24"/>
                <w:szCs w:val="24"/>
              </w:rPr>
              <w:t>25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3">
            <w:r>
              <w:rPr>
                <w:webHidden/>
                <w:rStyle w:val="Czeindeksu"/>
                <w:rFonts w:eastAsia="" w:eastAsiaTheme="majorEastAsia"/>
                <w:vanish w:val="false"/>
                <w:spacing w:val="1"/>
                <w:sz w:val="24"/>
                <w:szCs w:val="24"/>
              </w:rPr>
              <w:t>7.2.</w:t>
            </w:r>
            <w:r>
              <w:rPr>
                <w:rStyle w:val="Czeindeksu"/>
                <w:rFonts w:eastAsia="" w:eastAsiaTheme="minorEastAsia"/>
                <w:sz w:val="24"/>
                <w:szCs w:val="24"/>
              </w:rPr>
              <w:tab/>
            </w:r>
            <w:r>
              <w:rPr>
                <w:rStyle w:val="Czeindeksu"/>
                <w:rFonts w:eastAsia="" w:eastAsiaTheme="majorEastAsia"/>
                <w:sz w:val="24"/>
                <w:szCs w:val="24"/>
              </w:rPr>
              <w:t xml:space="preserve">Szczegółowy wykaz oraz zakres badań pomontażowych i kontrolnych instalacji </w:t>
            </w:r>
            <w:r>
              <w:rPr>
                <w:rStyle w:val="Czeindeksu"/>
                <w:rFonts w:eastAsia="" w:eastAsiaTheme="majorEastAsia"/>
                <w:spacing w:val="1"/>
                <w:sz w:val="24"/>
                <w:szCs w:val="24"/>
              </w:rPr>
              <w:t>piorunochronnych i uziemień</w:t>
            </w:r>
            <w:r>
              <w:rPr>
                <w:webHidden/>
              </w:rPr>
              <w:fldChar w:fldCharType="begin"/>
            </w:r>
            <w:r>
              <w:rPr>
                <w:webHidden/>
              </w:rPr>
              <w:instrText xml:space="preserve">PAGEREF _Toc115621693 \h</w:instrText>
            </w:r>
            <w:r>
              <w:rPr>
                <w:webHidden/>
              </w:rPr>
              <w:fldChar w:fldCharType="separate"/>
            </w:r>
            <w:r>
              <w:rPr>
                <w:rStyle w:val="Czeindeksu"/>
                <w:vanish w:val="false"/>
                <w:sz w:val="24"/>
                <w:szCs w:val="24"/>
              </w:rPr>
              <w:t>25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4">
            <w:r>
              <w:rPr>
                <w:webHidden/>
                <w:rStyle w:val="Czeindeksu"/>
                <w:rFonts w:eastAsia="" w:eastAsiaTheme="majorEastAsia"/>
                <w:vanish w:val="false"/>
                <w:sz w:val="24"/>
                <w:szCs w:val="24"/>
              </w:rPr>
              <w:t>7.3.</w:t>
            </w:r>
            <w:r>
              <w:rPr>
                <w:rStyle w:val="Czeindeksu"/>
                <w:rFonts w:eastAsia="" w:eastAsiaTheme="minorEastAsia"/>
                <w:sz w:val="24"/>
                <w:szCs w:val="24"/>
              </w:rPr>
              <w:tab/>
            </w:r>
            <w:r>
              <w:rPr>
                <w:rStyle w:val="Czeindeksu"/>
                <w:rFonts w:eastAsia="" w:eastAsiaTheme="majorEastAsia"/>
                <w:sz w:val="24"/>
                <w:szCs w:val="24"/>
              </w:rPr>
              <w:t>Zasady postępowania z wadliwie wykonanymi robotami i materiałami</w:t>
            </w:r>
            <w:r>
              <w:rPr>
                <w:webHidden/>
              </w:rPr>
              <w:fldChar w:fldCharType="begin"/>
            </w:r>
            <w:r>
              <w:rPr>
                <w:webHidden/>
              </w:rPr>
              <w:instrText xml:space="preserve">PAGEREF _Toc115621694 \h</w:instrText>
            </w:r>
            <w:r>
              <w:rPr>
                <w:webHidden/>
              </w:rPr>
              <w:fldChar w:fldCharType="separate"/>
            </w:r>
            <w:r>
              <w:rPr>
                <w:rStyle w:val="Czeindeksu"/>
                <w:vanish w:val="false"/>
                <w:sz w:val="24"/>
                <w:szCs w:val="24"/>
              </w:rPr>
              <w:t>26</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6">
            <w:r>
              <w:rPr>
                <w:webHidden/>
                <w:rStyle w:val="Czeindeksu"/>
                <w:rFonts w:eastAsia="" w:eastAsiaTheme="majorEastAsia"/>
                <w:vanish w:val="false"/>
                <w:sz w:val="24"/>
                <w:szCs w:val="24"/>
              </w:rPr>
              <w:t>7.4.</w:t>
            </w:r>
            <w:r>
              <w:rPr>
                <w:rStyle w:val="Czeindeksu"/>
                <w:rFonts w:eastAsia="" w:eastAsiaTheme="minorEastAsia"/>
                <w:sz w:val="24"/>
                <w:szCs w:val="24"/>
              </w:rPr>
              <w:tab/>
            </w:r>
            <w:r>
              <w:rPr>
                <w:rStyle w:val="Czeindeksu"/>
                <w:rFonts w:eastAsia="" w:eastAsiaTheme="majorEastAsia"/>
                <w:sz w:val="24"/>
                <w:szCs w:val="24"/>
              </w:rPr>
              <w:t>Program zapewniania jakości</w:t>
            </w:r>
            <w:r>
              <w:rPr>
                <w:webHidden/>
              </w:rPr>
              <w:fldChar w:fldCharType="begin"/>
            </w:r>
            <w:r>
              <w:rPr>
                <w:webHidden/>
              </w:rPr>
              <w:instrText xml:space="preserve">PAGEREF _Toc115621696 \h</w:instrText>
            </w:r>
            <w:r>
              <w:rPr>
                <w:webHidden/>
              </w:rPr>
              <w:fldChar w:fldCharType="separate"/>
            </w:r>
            <w:r>
              <w:rPr>
                <w:rStyle w:val="Czeindeksu"/>
                <w:vanish w:val="false"/>
                <w:sz w:val="24"/>
                <w:szCs w:val="24"/>
              </w:rPr>
              <w:t>27</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7">
            <w:r>
              <w:rPr>
                <w:webHidden/>
                <w:rStyle w:val="Czeindeksu"/>
                <w:rFonts w:eastAsia="" w:eastAsiaTheme="majorEastAsia"/>
                <w:vanish w:val="false"/>
                <w:sz w:val="24"/>
                <w:szCs w:val="24"/>
              </w:rPr>
              <w:t>7.5.</w:t>
            </w:r>
            <w:r>
              <w:rPr>
                <w:rStyle w:val="Czeindeksu"/>
                <w:rFonts w:eastAsia="" w:eastAsiaTheme="minorEastAsia"/>
                <w:sz w:val="24"/>
                <w:szCs w:val="24"/>
              </w:rPr>
              <w:tab/>
            </w:r>
            <w:r>
              <w:rPr>
                <w:rStyle w:val="Czeindeksu"/>
                <w:rFonts w:eastAsia="" w:eastAsiaTheme="majorEastAsia"/>
                <w:sz w:val="24"/>
                <w:szCs w:val="24"/>
              </w:rPr>
              <w:t>Zasady kontroli jakości i robót</w:t>
            </w:r>
            <w:r>
              <w:rPr>
                <w:webHidden/>
              </w:rPr>
              <w:fldChar w:fldCharType="begin"/>
            </w:r>
            <w:r>
              <w:rPr>
                <w:webHidden/>
              </w:rPr>
              <w:instrText xml:space="preserve">PAGEREF _Toc115621697 \h</w:instrText>
            </w:r>
            <w:r>
              <w:rPr>
                <w:webHidden/>
              </w:rPr>
              <w:fldChar w:fldCharType="separate"/>
            </w:r>
            <w:r>
              <w:rPr>
                <w:rStyle w:val="Czeindeksu"/>
                <w:vanish w:val="false"/>
                <w:sz w:val="24"/>
                <w:szCs w:val="24"/>
              </w:rPr>
              <w:t>27</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8">
            <w:r>
              <w:rPr>
                <w:webHidden/>
                <w:rStyle w:val="Czeindeksu"/>
                <w:rFonts w:eastAsia="" w:eastAsiaTheme="majorEastAsia"/>
                <w:vanish w:val="false"/>
                <w:sz w:val="24"/>
                <w:szCs w:val="24"/>
              </w:rPr>
              <w:t>7.6.</w:t>
            </w:r>
            <w:r>
              <w:rPr>
                <w:rStyle w:val="Czeindeksu"/>
                <w:rFonts w:eastAsia="" w:eastAsiaTheme="minorEastAsia"/>
                <w:sz w:val="24"/>
                <w:szCs w:val="24"/>
              </w:rPr>
              <w:tab/>
            </w:r>
            <w:r>
              <w:rPr>
                <w:rStyle w:val="Czeindeksu"/>
                <w:rFonts w:eastAsia="" w:eastAsiaTheme="majorEastAsia"/>
                <w:sz w:val="24"/>
                <w:szCs w:val="24"/>
              </w:rPr>
              <w:t>Pobieranie próbek</w:t>
            </w:r>
            <w:r>
              <w:rPr>
                <w:webHidden/>
              </w:rPr>
              <w:fldChar w:fldCharType="begin"/>
            </w:r>
            <w:r>
              <w:rPr>
                <w:webHidden/>
              </w:rPr>
              <w:instrText xml:space="preserve">PAGEREF _Toc115621698 \h</w:instrText>
            </w:r>
            <w:r>
              <w:rPr>
                <w:webHidden/>
              </w:rPr>
              <w:fldChar w:fldCharType="separate"/>
            </w:r>
            <w:r>
              <w:rPr>
                <w:rStyle w:val="Czeindeksu"/>
                <w:vanish w:val="false"/>
                <w:sz w:val="24"/>
                <w:szCs w:val="24"/>
              </w:rPr>
              <w:t>27</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699">
            <w:r>
              <w:rPr>
                <w:webHidden/>
                <w:rStyle w:val="Czeindeksu"/>
                <w:rFonts w:eastAsia="" w:eastAsiaTheme="majorEastAsia"/>
                <w:vanish w:val="false"/>
                <w:sz w:val="24"/>
                <w:szCs w:val="24"/>
              </w:rPr>
              <w:t>7.7.</w:t>
            </w:r>
            <w:r>
              <w:rPr>
                <w:rStyle w:val="Czeindeksu"/>
                <w:rFonts w:eastAsia="" w:eastAsiaTheme="minorEastAsia"/>
                <w:sz w:val="24"/>
                <w:szCs w:val="24"/>
              </w:rPr>
              <w:tab/>
            </w:r>
            <w:r>
              <w:rPr>
                <w:rStyle w:val="Czeindeksu"/>
                <w:rFonts w:eastAsia="" w:eastAsiaTheme="majorEastAsia"/>
                <w:sz w:val="24"/>
                <w:szCs w:val="24"/>
              </w:rPr>
              <w:t>Badania i pomiary</w:t>
            </w:r>
            <w:r>
              <w:rPr>
                <w:webHidden/>
              </w:rPr>
              <w:fldChar w:fldCharType="begin"/>
            </w:r>
            <w:r>
              <w:rPr>
                <w:webHidden/>
              </w:rPr>
              <w:instrText xml:space="preserve">PAGEREF _Toc115621699 \h</w:instrText>
            </w:r>
            <w:r>
              <w:rPr>
                <w:webHidden/>
              </w:rPr>
              <w:fldChar w:fldCharType="separate"/>
            </w:r>
            <w:r>
              <w:rPr>
                <w:rStyle w:val="Czeindeksu"/>
                <w:vanish w:val="false"/>
                <w:sz w:val="24"/>
                <w:szCs w:val="24"/>
              </w:rPr>
              <w:t>28</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00">
            <w:r>
              <w:rPr>
                <w:webHidden/>
                <w:rStyle w:val="Czeindeksu"/>
                <w:rFonts w:eastAsia="" w:eastAsiaTheme="majorEastAsia"/>
                <w:vanish w:val="false"/>
                <w:sz w:val="24"/>
                <w:szCs w:val="24"/>
              </w:rPr>
              <w:t>7.8.</w:t>
            </w:r>
            <w:r>
              <w:rPr>
                <w:rStyle w:val="Czeindeksu"/>
                <w:rFonts w:eastAsia="" w:eastAsiaTheme="minorEastAsia"/>
                <w:sz w:val="24"/>
                <w:szCs w:val="24"/>
              </w:rPr>
              <w:tab/>
            </w:r>
            <w:r>
              <w:rPr>
                <w:rStyle w:val="Czeindeksu"/>
                <w:rFonts w:eastAsia="" w:eastAsiaTheme="majorEastAsia"/>
                <w:sz w:val="24"/>
                <w:szCs w:val="24"/>
              </w:rPr>
              <w:t>Raporty z badań</w:t>
            </w:r>
            <w:r>
              <w:rPr>
                <w:webHidden/>
              </w:rPr>
              <w:fldChar w:fldCharType="begin"/>
            </w:r>
            <w:r>
              <w:rPr>
                <w:webHidden/>
              </w:rPr>
              <w:instrText xml:space="preserve">PAGEREF _Toc115621700 \h</w:instrText>
            </w:r>
            <w:r>
              <w:rPr>
                <w:webHidden/>
              </w:rPr>
              <w:fldChar w:fldCharType="separate"/>
            </w:r>
            <w:r>
              <w:rPr>
                <w:rStyle w:val="Czeindeksu"/>
                <w:vanish w:val="false"/>
                <w:sz w:val="24"/>
                <w:szCs w:val="24"/>
              </w:rPr>
              <w:t>28</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01">
            <w:r>
              <w:rPr>
                <w:webHidden/>
                <w:rStyle w:val="Czeindeksu"/>
                <w:rFonts w:eastAsia="" w:eastAsiaTheme="majorEastAsia"/>
                <w:vanish w:val="false"/>
                <w:sz w:val="24"/>
                <w:szCs w:val="24"/>
              </w:rPr>
              <w:t>7.9.</w:t>
            </w:r>
            <w:r>
              <w:rPr>
                <w:rStyle w:val="Czeindeksu"/>
                <w:rFonts w:eastAsia="" w:eastAsiaTheme="minorEastAsia"/>
                <w:sz w:val="24"/>
                <w:szCs w:val="24"/>
              </w:rPr>
              <w:tab/>
            </w:r>
            <w:r>
              <w:rPr>
                <w:rStyle w:val="Czeindeksu"/>
                <w:rFonts w:eastAsia="" w:eastAsiaTheme="majorEastAsia"/>
                <w:sz w:val="24"/>
                <w:szCs w:val="24"/>
              </w:rPr>
              <w:t>Badania prowadzone przez Inspektora Nadzoru</w:t>
            </w:r>
            <w:r>
              <w:rPr>
                <w:webHidden/>
              </w:rPr>
              <w:fldChar w:fldCharType="begin"/>
            </w:r>
            <w:r>
              <w:rPr>
                <w:webHidden/>
              </w:rPr>
              <w:instrText xml:space="preserve">PAGEREF _Toc115621701 \h</w:instrText>
            </w:r>
            <w:r>
              <w:rPr>
                <w:webHidden/>
              </w:rPr>
              <w:fldChar w:fldCharType="separate"/>
            </w:r>
            <w:r>
              <w:rPr>
                <w:rStyle w:val="Czeindeksu"/>
                <w:vanish w:val="false"/>
                <w:sz w:val="24"/>
                <w:szCs w:val="24"/>
              </w:rPr>
              <w:t>28</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02">
            <w:r>
              <w:rPr>
                <w:webHidden/>
                <w:rStyle w:val="Czeindeksu"/>
                <w:rFonts w:eastAsia="" w:eastAsiaTheme="majorEastAsia"/>
                <w:vanish w:val="false"/>
                <w:sz w:val="24"/>
                <w:szCs w:val="24"/>
              </w:rPr>
              <w:t>7.10.</w:t>
            </w:r>
            <w:r>
              <w:rPr>
                <w:rStyle w:val="Czeindeksu"/>
                <w:rFonts w:eastAsia="" w:eastAsiaTheme="minorEastAsia"/>
                <w:sz w:val="24"/>
                <w:szCs w:val="24"/>
              </w:rPr>
              <w:tab/>
            </w:r>
            <w:r>
              <w:rPr>
                <w:rStyle w:val="Czeindeksu"/>
                <w:rFonts w:eastAsia="" w:eastAsiaTheme="majorEastAsia"/>
                <w:sz w:val="24"/>
                <w:szCs w:val="24"/>
              </w:rPr>
              <w:t>Certyfikaty i deklaracje</w:t>
            </w:r>
            <w:r>
              <w:rPr>
                <w:webHidden/>
              </w:rPr>
              <w:fldChar w:fldCharType="begin"/>
            </w:r>
            <w:r>
              <w:rPr>
                <w:webHidden/>
              </w:rPr>
              <w:instrText xml:space="preserve">PAGEREF _Toc115621702 \h</w:instrText>
            </w:r>
            <w:r>
              <w:rPr>
                <w:webHidden/>
              </w:rPr>
              <w:fldChar w:fldCharType="separate"/>
            </w:r>
            <w:r>
              <w:rPr>
                <w:rStyle w:val="Czeindeksu"/>
                <w:vanish w:val="false"/>
                <w:sz w:val="24"/>
                <w:szCs w:val="24"/>
              </w:rPr>
              <w:t>28</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703">
            <w:r>
              <w:rPr>
                <w:webHidden/>
                <w:rStyle w:val="Czeindeksu"/>
                <w:rFonts w:eastAsia="" w:eastAsiaTheme="majorEastAsia"/>
                <w:vanish w:val="false"/>
                <w:sz w:val="24"/>
                <w:szCs w:val="24"/>
              </w:rPr>
              <w:t>8.</w:t>
            </w:r>
            <w:r>
              <w:rPr>
                <w:rStyle w:val="Czeindeksu"/>
                <w:rFonts w:eastAsia="" w:eastAsiaTheme="minorEastAsia"/>
                <w:sz w:val="24"/>
                <w:szCs w:val="24"/>
              </w:rPr>
              <w:tab/>
            </w:r>
            <w:r>
              <w:rPr>
                <w:rStyle w:val="Czeindeksu"/>
                <w:rFonts w:eastAsia="" w:eastAsiaTheme="majorEastAsia"/>
                <w:sz w:val="24"/>
                <w:szCs w:val="24"/>
              </w:rPr>
              <w:t>Przedmiary i obmiary</w:t>
            </w:r>
            <w:r>
              <w:rPr>
                <w:webHidden/>
              </w:rPr>
              <w:fldChar w:fldCharType="begin"/>
            </w:r>
            <w:r>
              <w:rPr>
                <w:webHidden/>
              </w:rPr>
              <w:instrText xml:space="preserve">PAGEREF _Toc115621703 \h</w:instrText>
            </w:r>
            <w:r>
              <w:rPr>
                <w:webHidden/>
              </w:rPr>
              <w:fldChar w:fldCharType="separate"/>
            </w:r>
            <w:r>
              <w:rPr>
                <w:rStyle w:val="Czeindeksu"/>
                <w:vanish w:val="false"/>
                <w:sz w:val="24"/>
                <w:szCs w:val="24"/>
              </w:rPr>
              <w:t>29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12">
            <w:r>
              <w:rPr>
                <w:webHidden/>
                <w:rStyle w:val="Czeindeksu"/>
                <w:rFonts w:eastAsia="" w:eastAsiaTheme="majorEastAsia"/>
                <w:vanish w:val="false"/>
                <w:sz w:val="24"/>
                <w:szCs w:val="24"/>
              </w:rPr>
              <w:t>8.1.</w:t>
            </w:r>
            <w:r>
              <w:rPr>
                <w:rStyle w:val="Czeindeksu"/>
                <w:rFonts w:eastAsia="" w:eastAsiaTheme="minorEastAsia"/>
                <w:sz w:val="24"/>
                <w:szCs w:val="24"/>
              </w:rPr>
              <w:tab/>
            </w:r>
            <w:r>
              <w:rPr>
                <w:rStyle w:val="Czeindeksu"/>
                <w:rFonts w:eastAsia="" w:eastAsiaTheme="majorEastAsia"/>
                <w:sz w:val="24"/>
                <w:szCs w:val="24"/>
              </w:rPr>
              <w:t>Ogólne zasady przedmiaru i obmiaru</w:t>
            </w:r>
            <w:r>
              <w:rPr>
                <w:webHidden/>
              </w:rPr>
              <w:fldChar w:fldCharType="begin"/>
            </w:r>
            <w:r>
              <w:rPr>
                <w:webHidden/>
              </w:rPr>
              <w:instrText xml:space="preserve">PAGEREF _Toc115621712 \h</w:instrText>
            </w:r>
            <w:r>
              <w:rPr>
                <w:webHidden/>
              </w:rPr>
              <w:fldChar w:fldCharType="separate"/>
            </w:r>
            <w:r>
              <w:rPr>
                <w:rStyle w:val="Czeindeksu"/>
                <w:vanish w:val="false"/>
                <w:sz w:val="24"/>
                <w:szCs w:val="24"/>
              </w:rPr>
              <w:t>29</w:t>
            </w:r>
            <w:r>
              <w:rPr>
                <w:webHidden/>
              </w:rPr>
              <w:fldChar w:fldCharType="end"/>
            </w:r>
          </w:hyperlink>
        </w:p>
        <w:p>
          <w:pPr>
            <w:pStyle w:val="TOC2"/>
            <w:tabs>
              <w:tab w:val="clear" w:pos="708"/>
              <w:tab w:val="right" w:pos="9060" w:leader="dot"/>
            </w:tabs>
            <w:rPr>
              <w:rFonts w:eastAsia="" w:eastAsiaTheme="minorEastAsia"/>
              <w:sz w:val="24"/>
              <w:szCs w:val="24"/>
            </w:rPr>
          </w:pPr>
          <w:hyperlink w:anchor="_Toc115621713">
            <w:r>
              <w:rPr>
                <w:webHidden/>
              </w:rPr>
              <w:fldChar w:fldCharType="begin"/>
            </w:r>
            <w:r>
              <w:rPr>
                <w:webHidden/>
              </w:rPr>
              <w:instrText xml:space="preserve">PAGEREF _Toc115621713 \h</w:instrText>
            </w:r>
            <w:r>
              <w:rPr>
                <w:webHidden/>
              </w:rPr>
              <w:fldChar w:fldCharType="separate"/>
            </w:r>
            <w:r>
              <w:rPr>
                <w:webHidden/>
                <w:rStyle w:val="Czeindeksu"/>
                <w:vanish w:val="false"/>
                <w:sz w:val="24"/>
                <w:szCs w:val="24"/>
              </w:rPr>
              <w:t>Obmiar robót będzie odzwierciedlał faktyczny zakres wykonywanych robót zgodnie z PB, PW i ST, w jednostkach ustalonych w kosztorysie.29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14">
            <w:r>
              <w:rPr>
                <w:webHidden/>
                <w:rStyle w:val="Czeindeksu"/>
                <w:rFonts w:eastAsia="" w:eastAsiaTheme="majorEastAsia"/>
                <w:vanish w:val="false"/>
                <w:sz w:val="24"/>
                <w:szCs w:val="24"/>
              </w:rPr>
              <w:t>8.2.</w:t>
            </w:r>
            <w:r>
              <w:rPr>
                <w:rStyle w:val="Czeindeksu"/>
                <w:rFonts w:eastAsia="" w:eastAsiaTheme="minorEastAsia"/>
                <w:sz w:val="24"/>
                <w:szCs w:val="24"/>
              </w:rPr>
              <w:tab/>
            </w:r>
            <w:r>
              <w:rPr>
                <w:rStyle w:val="Czeindeksu"/>
                <w:rFonts w:eastAsia="" w:eastAsiaTheme="majorEastAsia"/>
                <w:sz w:val="24"/>
                <w:szCs w:val="24"/>
              </w:rPr>
              <w:t>Szczegółowe zasady przedmiaru i obmiaru robót montażowych instalacji elektrycznej</w:t>
            </w:r>
            <w:r>
              <w:rPr>
                <w:webHidden/>
              </w:rPr>
              <w:fldChar w:fldCharType="begin"/>
            </w:r>
            <w:r>
              <w:rPr>
                <w:webHidden/>
              </w:rPr>
              <w:instrText xml:space="preserve">PAGEREF _Toc115621714 \h</w:instrText>
            </w:r>
            <w:r>
              <w:rPr>
                <w:webHidden/>
              </w:rPr>
              <w:fldChar w:fldCharType="separate"/>
            </w:r>
            <w:r>
              <w:rPr>
                <w:rStyle w:val="Czeindeksu"/>
                <w:vanish w:val="false"/>
                <w:sz w:val="24"/>
                <w:szCs w:val="24"/>
              </w:rPr>
              <w:t>29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15">
            <w:r>
              <w:rPr>
                <w:webHidden/>
                <w:rStyle w:val="Czeindeksu"/>
                <w:rFonts w:eastAsia="" w:eastAsiaTheme="majorEastAsia"/>
                <w:vanish w:val="false"/>
                <w:sz w:val="24"/>
                <w:szCs w:val="24"/>
              </w:rPr>
              <w:t>8.3.</w:t>
            </w:r>
            <w:r>
              <w:rPr>
                <w:rStyle w:val="Czeindeksu"/>
                <w:rFonts w:eastAsia="" w:eastAsiaTheme="minorEastAsia"/>
                <w:sz w:val="24"/>
                <w:szCs w:val="24"/>
              </w:rPr>
              <w:tab/>
            </w:r>
            <w:r>
              <w:rPr>
                <w:rStyle w:val="Czeindeksu"/>
                <w:rFonts w:eastAsia="" w:eastAsiaTheme="majorEastAsia"/>
                <w:sz w:val="24"/>
                <w:szCs w:val="24"/>
              </w:rPr>
              <w:t>Specyfikacja techniczna</w:t>
            </w:r>
            <w:r>
              <w:rPr>
                <w:webHidden/>
              </w:rPr>
              <w:fldChar w:fldCharType="begin"/>
            </w:r>
            <w:r>
              <w:rPr>
                <w:webHidden/>
              </w:rPr>
              <w:instrText xml:space="preserve">PAGEREF _Toc115621715 \h</w:instrText>
            </w:r>
            <w:r>
              <w:rPr>
                <w:webHidden/>
              </w:rPr>
              <w:fldChar w:fldCharType="separate"/>
            </w:r>
            <w:r>
              <w:rPr>
                <w:rStyle w:val="Czeindeksu"/>
                <w:vanish w:val="false"/>
                <w:sz w:val="24"/>
                <w:szCs w:val="24"/>
              </w:rPr>
              <w:t>29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16">
            <w:r>
              <w:rPr>
                <w:webHidden/>
                <w:rStyle w:val="Czeindeksu"/>
                <w:rFonts w:eastAsia="" w:eastAsiaTheme="majorEastAsia"/>
                <w:vanish w:val="false"/>
                <w:sz w:val="24"/>
                <w:szCs w:val="24"/>
              </w:rPr>
              <w:t>8.4.</w:t>
            </w:r>
            <w:r>
              <w:rPr>
                <w:rStyle w:val="Czeindeksu"/>
                <w:rFonts w:eastAsia="" w:eastAsiaTheme="minorEastAsia"/>
                <w:sz w:val="24"/>
                <w:szCs w:val="24"/>
              </w:rPr>
              <w:tab/>
            </w:r>
            <w:r>
              <w:rPr>
                <w:rStyle w:val="Czeindeksu"/>
                <w:rFonts w:eastAsia="" w:eastAsiaTheme="majorEastAsia"/>
                <w:sz w:val="24"/>
                <w:szCs w:val="24"/>
              </w:rPr>
              <w:t>Urządzenia i sprzęt pomiarowy</w:t>
            </w:r>
            <w:r>
              <w:rPr>
                <w:webHidden/>
              </w:rPr>
              <w:fldChar w:fldCharType="begin"/>
            </w:r>
            <w:r>
              <w:rPr>
                <w:webHidden/>
              </w:rPr>
              <w:instrText xml:space="preserve">PAGEREF _Toc115621716 \h</w:instrText>
            </w:r>
            <w:r>
              <w:rPr>
                <w:webHidden/>
              </w:rPr>
              <w:fldChar w:fldCharType="separate"/>
            </w:r>
            <w:r>
              <w:rPr>
                <w:rStyle w:val="Czeindeksu"/>
                <w:vanish w:val="false"/>
                <w:sz w:val="24"/>
                <w:szCs w:val="24"/>
              </w:rPr>
              <w:t>29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17">
            <w:r>
              <w:rPr>
                <w:webHidden/>
                <w:rStyle w:val="Czeindeksu"/>
                <w:rFonts w:eastAsia="" w:eastAsiaTheme="majorEastAsia"/>
                <w:vanish w:val="false"/>
                <w:sz w:val="24"/>
                <w:szCs w:val="24"/>
              </w:rPr>
              <w:t>8.5.</w:t>
            </w:r>
            <w:r>
              <w:rPr>
                <w:rStyle w:val="Czeindeksu"/>
                <w:rFonts w:eastAsia="" w:eastAsiaTheme="minorEastAsia"/>
                <w:sz w:val="24"/>
                <w:szCs w:val="24"/>
              </w:rPr>
              <w:tab/>
            </w:r>
            <w:r>
              <w:rPr>
                <w:rStyle w:val="Czeindeksu"/>
                <w:rFonts w:eastAsia="" w:eastAsiaTheme="majorEastAsia"/>
                <w:sz w:val="24"/>
                <w:szCs w:val="24"/>
              </w:rPr>
              <w:t>Czas przeprowadzania obmiaru</w:t>
            </w:r>
            <w:r>
              <w:rPr>
                <w:webHidden/>
              </w:rPr>
              <w:fldChar w:fldCharType="begin"/>
            </w:r>
            <w:r>
              <w:rPr>
                <w:webHidden/>
              </w:rPr>
              <w:instrText xml:space="preserve">PAGEREF _Toc115621717 \h</w:instrText>
            </w:r>
            <w:r>
              <w:rPr>
                <w:webHidden/>
              </w:rPr>
              <w:fldChar w:fldCharType="separate"/>
            </w:r>
            <w:r>
              <w:rPr>
                <w:rStyle w:val="Czeindeksu"/>
                <w:vanish w:val="false"/>
                <w:sz w:val="24"/>
                <w:szCs w:val="24"/>
              </w:rPr>
              <w:t>29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18">
            <w:r>
              <w:rPr>
                <w:webHidden/>
                <w:rStyle w:val="Czeindeksu"/>
                <w:rFonts w:eastAsia="" w:eastAsiaTheme="majorEastAsia"/>
                <w:vanish w:val="false"/>
                <w:sz w:val="24"/>
                <w:szCs w:val="24"/>
              </w:rPr>
              <w:t>8.6.</w:t>
            </w:r>
            <w:r>
              <w:rPr>
                <w:rStyle w:val="Czeindeksu"/>
                <w:rFonts w:eastAsia="" w:eastAsiaTheme="minorEastAsia"/>
                <w:sz w:val="24"/>
                <w:szCs w:val="24"/>
              </w:rPr>
              <w:tab/>
            </w:r>
            <w:r>
              <w:rPr>
                <w:rStyle w:val="Czeindeksu"/>
                <w:rFonts w:eastAsia="" w:eastAsiaTheme="majorEastAsia"/>
                <w:sz w:val="24"/>
                <w:szCs w:val="24"/>
              </w:rPr>
              <w:t>Wykonywanie obmiaru robót</w:t>
            </w:r>
            <w:r>
              <w:rPr>
                <w:webHidden/>
              </w:rPr>
              <w:fldChar w:fldCharType="begin"/>
            </w:r>
            <w:r>
              <w:rPr>
                <w:webHidden/>
              </w:rPr>
              <w:instrText xml:space="preserve">PAGEREF _Toc115621718 \h</w:instrText>
            </w:r>
            <w:r>
              <w:rPr>
                <w:webHidden/>
              </w:rPr>
              <w:fldChar w:fldCharType="separate"/>
            </w:r>
            <w:r>
              <w:rPr>
                <w:rStyle w:val="Czeindeksu"/>
                <w:vanish w:val="false"/>
                <w:sz w:val="24"/>
                <w:szCs w:val="24"/>
              </w:rPr>
              <w:t>30</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19">
            <w:r>
              <w:rPr>
                <w:webHidden/>
                <w:rStyle w:val="Czeindeksu"/>
                <w:rFonts w:eastAsia="" w:eastAsiaTheme="majorEastAsia"/>
                <w:vanish w:val="false"/>
                <w:sz w:val="24"/>
                <w:szCs w:val="24"/>
              </w:rPr>
              <w:t>8.7.</w:t>
            </w:r>
            <w:r>
              <w:rPr>
                <w:rStyle w:val="Czeindeksu"/>
                <w:rFonts w:eastAsia="" w:eastAsiaTheme="minorEastAsia"/>
                <w:sz w:val="24"/>
                <w:szCs w:val="24"/>
              </w:rPr>
              <w:tab/>
            </w:r>
            <w:r>
              <w:rPr>
                <w:rStyle w:val="Czeindeksu"/>
                <w:rFonts w:eastAsia="" w:eastAsiaTheme="majorEastAsia"/>
                <w:sz w:val="24"/>
                <w:szCs w:val="24"/>
              </w:rPr>
              <w:t>Dokumenty budowy</w:t>
            </w:r>
            <w:r>
              <w:rPr>
                <w:webHidden/>
              </w:rPr>
              <w:fldChar w:fldCharType="begin"/>
            </w:r>
            <w:r>
              <w:rPr>
                <w:webHidden/>
              </w:rPr>
              <w:instrText xml:space="preserve">PAGEREF _Toc115621719 \h</w:instrText>
            </w:r>
            <w:r>
              <w:rPr>
                <w:webHidden/>
              </w:rPr>
              <w:fldChar w:fldCharType="separate"/>
            </w:r>
            <w:r>
              <w:rPr>
                <w:rStyle w:val="Czeindeksu"/>
                <w:vanish w:val="false"/>
                <w:sz w:val="24"/>
                <w:szCs w:val="24"/>
              </w:rPr>
              <w:t>30</w:t>
            </w:r>
            <w:r>
              <w:rPr>
                <w:webHidden/>
              </w:rPr>
              <w:fldChar w:fldCharType="end"/>
            </w:r>
          </w:hyperlink>
        </w:p>
        <w:p>
          <w:pPr>
            <w:pStyle w:val="TOC1"/>
            <w:tabs>
              <w:tab w:val="clear" w:pos="708"/>
              <w:tab w:val="left" w:pos="400" w:leader="none"/>
              <w:tab w:val="right" w:pos="9060" w:leader="dot"/>
            </w:tabs>
            <w:rPr>
              <w:rFonts w:eastAsia="" w:eastAsiaTheme="minorEastAsia"/>
              <w:sz w:val="24"/>
              <w:szCs w:val="24"/>
            </w:rPr>
          </w:pPr>
          <w:hyperlink w:anchor="_Toc115621720">
            <w:r>
              <w:rPr>
                <w:webHidden/>
                <w:rStyle w:val="Czeindeksu"/>
                <w:rFonts w:eastAsia="" w:eastAsiaTheme="majorEastAsia"/>
                <w:vanish w:val="false"/>
                <w:sz w:val="24"/>
                <w:szCs w:val="24"/>
              </w:rPr>
              <w:t>9.</w:t>
            </w:r>
            <w:r>
              <w:rPr>
                <w:rStyle w:val="Czeindeksu"/>
                <w:rFonts w:eastAsia="" w:eastAsiaTheme="minorEastAsia"/>
                <w:sz w:val="24"/>
                <w:szCs w:val="24"/>
              </w:rPr>
              <w:tab/>
            </w:r>
            <w:r>
              <w:rPr>
                <w:rStyle w:val="Czeindeksu"/>
                <w:rFonts w:eastAsia="" w:eastAsiaTheme="majorEastAsia"/>
                <w:sz w:val="24"/>
                <w:szCs w:val="24"/>
              </w:rPr>
              <w:t>ODBIÓR ROBÓT</w:t>
            </w:r>
            <w:r>
              <w:rPr>
                <w:webHidden/>
              </w:rPr>
              <w:fldChar w:fldCharType="begin"/>
            </w:r>
            <w:r>
              <w:rPr>
                <w:webHidden/>
              </w:rPr>
              <w:instrText xml:space="preserve">PAGEREF _Toc115621720 \h</w:instrText>
            </w:r>
            <w:r>
              <w:rPr>
                <w:webHidden/>
              </w:rPr>
              <w:fldChar w:fldCharType="separate"/>
            </w:r>
            <w:r>
              <w:rPr>
                <w:rStyle w:val="Czeindeksu"/>
                <w:vanish w:val="false"/>
                <w:sz w:val="24"/>
                <w:szCs w:val="24"/>
              </w:rPr>
              <w:t>32</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22">
            <w:r>
              <w:rPr>
                <w:webHidden/>
                <w:rStyle w:val="Czeindeksu"/>
                <w:rFonts w:eastAsia="" w:eastAsiaTheme="majorEastAsia"/>
                <w:vanish w:val="false"/>
                <w:sz w:val="24"/>
                <w:szCs w:val="24"/>
              </w:rPr>
              <w:t>9.1.</w:t>
            </w:r>
            <w:r>
              <w:rPr>
                <w:rStyle w:val="Czeindeksu"/>
                <w:rFonts w:eastAsia="" w:eastAsiaTheme="minorEastAsia"/>
                <w:sz w:val="24"/>
                <w:szCs w:val="24"/>
              </w:rPr>
              <w:tab/>
            </w:r>
            <w:r>
              <w:rPr>
                <w:rStyle w:val="Czeindeksu"/>
                <w:rFonts w:eastAsia="" w:eastAsiaTheme="majorEastAsia"/>
                <w:sz w:val="24"/>
                <w:szCs w:val="24"/>
              </w:rPr>
              <w:t>Ogólne zasady odbioru robót podano w ST „Wymagania ogólne"</w:t>
            </w:r>
            <w:r>
              <w:rPr>
                <w:webHidden/>
              </w:rPr>
              <w:fldChar w:fldCharType="begin"/>
            </w:r>
            <w:r>
              <w:rPr>
                <w:webHidden/>
              </w:rPr>
              <w:instrText xml:space="preserve">PAGEREF _Toc115621722 \h</w:instrText>
            </w:r>
            <w:r>
              <w:rPr>
                <w:webHidden/>
              </w:rPr>
              <w:fldChar w:fldCharType="separate"/>
            </w:r>
            <w:r>
              <w:rPr>
                <w:rStyle w:val="Czeindeksu"/>
                <w:vanish w:val="false"/>
                <w:sz w:val="24"/>
                <w:szCs w:val="24"/>
              </w:rPr>
              <w:t>32</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23">
            <w:r>
              <w:rPr>
                <w:webHidden/>
                <w:rStyle w:val="Czeindeksu"/>
                <w:rFonts w:eastAsia="" w:eastAsiaTheme="majorEastAsia"/>
                <w:vanish w:val="false"/>
                <w:sz w:val="24"/>
                <w:szCs w:val="24"/>
              </w:rPr>
              <w:t>9.2.</w:t>
            </w:r>
            <w:r>
              <w:rPr>
                <w:rStyle w:val="Czeindeksu"/>
                <w:rFonts w:eastAsia="" w:eastAsiaTheme="minorEastAsia"/>
                <w:sz w:val="24"/>
                <w:szCs w:val="24"/>
              </w:rPr>
              <w:tab/>
            </w:r>
            <w:r>
              <w:rPr>
                <w:rStyle w:val="Czeindeksu"/>
                <w:rFonts w:eastAsia="" w:eastAsiaTheme="majorEastAsia"/>
                <w:sz w:val="24"/>
                <w:szCs w:val="24"/>
              </w:rPr>
              <w:t>Odbiór robót zanikających i ulegających zakryciu</w:t>
            </w:r>
            <w:r>
              <w:rPr>
                <w:webHidden/>
              </w:rPr>
              <w:fldChar w:fldCharType="begin"/>
            </w:r>
            <w:r>
              <w:rPr>
                <w:webHidden/>
              </w:rPr>
              <w:instrText xml:space="preserve">PAGEREF _Toc115621723 \h</w:instrText>
            </w:r>
            <w:r>
              <w:rPr>
                <w:webHidden/>
              </w:rPr>
              <w:fldChar w:fldCharType="separate"/>
            </w:r>
            <w:r>
              <w:rPr>
                <w:rStyle w:val="Czeindeksu"/>
                <w:vanish w:val="false"/>
                <w:sz w:val="24"/>
                <w:szCs w:val="24"/>
              </w:rPr>
              <w:t>32</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24">
            <w:r>
              <w:rPr>
                <w:webHidden/>
                <w:rStyle w:val="Czeindeksu"/>
                <w:rFonts w:eastAsia="" w:eastAsiaTheme="majorEastAsia"/>
                <w:vanish w:val="false"/>
                <w:sz w:val="24"/>
                <w:szCs w:val="24"/>
              </w:rPr>
              <w:t>9.3.</w:t>
            </w:r>
            <w:r>
              <w:rPr>
                <w:rStyle w:val="Czeindeksu"/>
                <w:rFonts w:eastAsia="" w:eastAsiaTheme="minorEastAsia"/>
                <w:sz w:val="24"/>
                <w:szCs w:val="24"/>
              </w:rPr>
              <w:tab/>
            </w:r>
            <w:r>
              <w:rPr>
                <w:rStyle w:val="Czeindeksu"/>
                <w:rFonts w:eastAsia="" w:eastAsiaTheme="majorEastAsia"/>
                <w:sz w:val="24"/>
                <w:szCs w:val="24"/>
              </w:rPr>
              <w:t>Warunki odbioru instalacji i urządzeń zasilających</w:t>
            </w:r>
            <w:r>
              <w:rPr>
                <w:webHidden/>
              </w:rPr>
              <w:fldChar w:fldCharType="begin"/>
            </w:r>
            <w:r>
              <w:rPr>
                <w:webHidden/>
              </w:rPr>
              <w:instrText xml:space="preserve">PAGEREF _Toc115621724 \h</w:instrText>
            </w:r>
            <w:r>
              <w:rPr>
                <w:webHidden/>
              </w:rPr>
              <w:fldChar w:fldCharType="separate"/>
            </w:r>
            <w:r>
              <w:rPr>
                <w:rStyle w:val="Czeindeksu"/>
                <w:vanish w:val="false"/>
                <w:sz w:val="24"/>
                <w:szCs w:val="24"/>
              </w:rPr>
              <w:t>33</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725">
            <w:r>
              <w:rPr>
                <w:webHidden/>
                <w:rStyle w:val="Czeindeksu"/>
                <w:rFonts w:eastAsia="" w:eastAsiaTheme="majorEastAsia"/>
                <w:vanish w:val="false"/>
                <w:sz w:val="24"/>
                <w:szCs w:val="24"/>
              </w:rPr>
              <w:t>9.3.1.</w:t>
            </w:r>
            <w:r>
              <w:rPr>
                <w:rStyle w:val="Czeindeksu"/>
                <w:rFonts w:eastAsia="" w:eastAsiaTheme="minorEastAsia"/>
                <w:sz w:val="24"/>
                <w:szCs w:val="24"/>
              </w:rPr>
              <w:tab/>
            </w:r>
            <w:r>
              <w:rPr>
                <w:rStyle w:val="Czeindeksu"/>
                <w:rFonts w:eastAsia="" w:eastAsiaTheme="majorEastAsia"/>
                <w:sz w:val="24"/>
                <w:szCs w:val="24"/>
              </w:rPr>
              <w:t>Odbiór międzyoperacyjny</w:t>
            </w:r>
            <w:r>
              <w:rPr>
                <w:webHidden/>
              </w:rPr>
              <w:fldChar w:fldCharType="begin"/>
            </w:r>
            <w:r>
              <w:rPr>
                <w:webHidden/>
              </w:rPr>
              <w:instrText xml:space="preserve">PAGEREF _Toc115621725 \h</w:instrText>
            </w:r>
            <w:r>
              <w:rPr>
                <w:webHidden/>
              </w:rPr>
              <w:fldChar w:fldCharType="separate"/>
            </w:r>
            <w:r>
              <w:rPr>
                <w:rStyle w:val="Czeindeksu"/>
                <w:vanish w:val="false"/>
                <w:sz w:val="24"/>
                <w:szCs w:val="24"/>
              </w:rPr>
              <w:t>33</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726">
            <w:r>
              <w:rPr>
                <w:webHidden/>
                <w:rStyle w:val="Czeindeksu"/>
                <w:rFonts w:eastAsia="" w:eastAsiaTheme="majorEastAsia"/>
                <w:b/>
                <w:bCs/>
                <w:vanish w:val="false"/>
                <w:sz w:val="24"/>
                <w:szCs w:val="24"/>
              </w:rPr>
              <w:t>9.3.2.</w:t>
            </w:r>
            <w:r>
              <w:rPr>
                <w:rStyle w:val="Czeindeksu"/>
                <w:rFonts w:eastAsia="" w:eastAsiaTheme="minorEastAsia"/>
                <w:sz w:val="24"/>
                <w:szCs w:val="24"/>
              </w:rPr>
              <w:tab/>
            </w:r>
            <w:r>
              <w:rPr>
                <w:rStyle w:val="Czeindeksu"/>
                <w:rFonts w:eastAsia="" w:eastAsiaTheme="majorEastAsia"/>
                <w:sz w:val="24"/>
                <w:szCs w:val="24"/>
              </w:rPr>
              <w:t>Odbiór częściowy</w:t>
            </w:r>
            <w:r>
              <w:rPr>
                <w:webHidden/>
              </w:rPr>
              <w:fldChar w:fldCharType="begin"/>
            </w:r>
            <w:r>
              <w:rPr>
                <w:webHidden/>
              </w:rPr>
              <w:instrText xml:space="preserve">PAGEREF _Toc115621726 \h</w:instrText>
            </w:r>
            <w:r>
              <w:rPr>
                <w:webHidden/>
              </w:rPr>
              <w:fldChar w:fldCharType="separate"/>
            </w:r>
            <w:r>
              <w:rPr>
                <w:rStyle w:val="Czeindeksu"/>
                <w:vanish w:val="false"/>
                <w:sz w:val="24"/>
                <w:szCs w:val="24"/>
              </w:rPr>
              <w:t>33</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727">
            <w:r>
              <w:rPr>
                <w:webHidden/>
                <w:rStyle w:val="Czeindeksu"/>
                <w:rFonts w:eastAsia="" w:eastAsiaTheme="majorEastAsia"/>
                <w:vanish w:val="false"/>
                <w:sz w:val="24"/>
                <w:szCs w:val="24"/>
              </w:rPr>
              <w:t>9.3.3.</w:t>
            </w:r>
            <w:r>
              <w:rPr>
                <w:rStyle w:val="Czeindeksu"/>
                <w:rFonts w:eastAsia="" w:eastAsiaTheme="minorEastAsia"/>
                <w:sz w:val="24"/>
                <w:szCs w:val="24"/>
              </w:rPr>
              <w:tab/>
            </w:r>
            <w:r>
              <w:rPr>
                <w:rStyle w:val="Czeindeksu"/>
                <w:rFonts w:eastAsia="" w:eastAsiaTheme="majorEastAsia"/>
                <w:sz w:val="24"/>
                <w:szCs w:val="24"/>
              </w:rPr>
              <w:t>Odbiór końcowy</w:t>
            </w:r>
            <w:r>
              <w:rPr>
                <w:webHidden/>
              </w:rPr>
              <w:fldChar w:fldCharType="begin"/>
            </w:r>
            <w:r>
              <w:rPr>
                <w:webHidden/>
              </w:rPr>
              <w:instrText xml:space="preserve">PAGEREF _Toc115621727 \h</w:instrText>
            </w:r>
            <w:r>
              <w:rPr>
                <w:webHidden/>
              </w:rPr>
              <w:fldChar w:fldCharType="separate"/>
            </w:r>
            <w:r>
              <w:rPr>
                <w:rStyle w:val="Czeindeksu"/>
                <w:vanish w:val="false"/>
                <w:sz w:val="24"/>
                <w:szCs w:val="24"/>
              </w:rPr>
              <w:t>33</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728">
            <w:r>
              <w:rPr>
                <w:webHidden/>
                <w:rStyle w:val="Czeindeksu"/>
                <w:rFonts w:eastAsia="" w:eastAsiaTheme="majorEastAsia"/>
                <w:vanish w:val="false"/>
                <w:sz w:val="24"/>
                <w:szCs w:val="24"/>
              </w:rPr>
              <w:t>9.3.4.</w:t>
            </w:r>
            <w:r>
              <w:rPr>
                <w:rStyle w:val="Czeindeksu"/>
                <w:rFonts w:eastAsia="" w:eastAsiaTheme="minorEastAsia"/>
                <w:sz w:val="24"/>
                <w:szCs w:val="24"/>
              </w:rPr>
              <w:tab/>
            </w:r>
            <w:r>
              <w:rPr>
                <w:rStyle w:val="Czeindeksu"/>
                <w:rFonts w:eastAsia="" w:eastAsiaTheme="majorEastAsia"/>
                <w:sz w:val="24"/>
                <w:szCs w:val="24"/>
              </w:rPr>
              <w:t>Odbiór pogwarancyjny</w:t>
            </w:r>
            <w:r>
              <w:rPr>
                <w:webHidden/>
              </w:rPr>
              <w:fldChar w:fldCharType="begin"/>
            </w:r>
            <w:r>
              <w:rPr>
                <w:webHidden/>
              </w:rPr>
              <w:instrText xml:space="preserve">PAGEREF _Toc115621728 \h</w:instrText>
            </w:r>
            <w:r>
              <w:rPr>
                <w:webHidden/>
              </w:rPr>
              <w:fldChar w:fldCharType="separate"/>
            </w:r>
            <w:r>
              <w:rPr>
                <w:rStyle w:val="Czeindeksu"/>
                <w:vanish w:val="false"/>
                <w:sz w:val="24"/>
                <w:szCs w:val="24"/>
              </w:rPr>
              <w:t>34</w:t>
            </w:r>
            <w:r>
              <w:rPr>
                <w:webHidden/>
              </w:rPr>
              <w:fldChar w:fldCharType="end"/>
            </w:r>
          </w:hyperlink>
        </w:p>
        <w:p>
          <w:pPr>
            <w:pStyle w:val="TOC3"/>
            <w:tabs>
              <w:tab w:val="clear" w:pos="708"/>
              <w:tab w:val="left" w:pos="1320" w:leader="none"/>
              <w:tab w:val="right" w:pos="9060" w:leader="dot"/>
            </w:tabs>
            <w:rPr>
              <w:rFonts w:eastAsia="" w:eastAsiaTheme="minorEastAsia"/>
              <w:sz w:val="24"/>
              <w:szCs w:val="24"/>
            </w:rPr>
          </w:pPr>
          <w:hyperlink w:anchor="_Toc115621729">
            <w:r>
              <w:rPr>
                <w:webHidden/>
                <w:rStyle w:val="Czeindeksu"/>
                <w:rFonts w:eastAsia="" w:eastAsiaTheme="majorEastAsia"/>
                <w:vanish w:val="false"/>
                <w:sz w:val="24"/>
                <w:szCs w:val="24"/>
              </w:rPr>
              <w:t>9.3.5.</w:t>
            </w:r>
            <w:r>
              <w:rPr>
                <w:rStyle w:val="Czeindeksu"/>
                <w:rFonts w:eastAsia="" w:eastAsiaTheme="minorEastAsia"/>
                <w:sz w:val="24"/>
                <w:szCs w:val="24"/>
              </w:rPr>
              <w:tab/>
            </w:r>
            <w:r>
              <w:rPr>
                <w:rStyle w:val="Czeindeksu"/>
                <w:rFonts w:eastAsia="" w:eastAsiaTheme="majorEastAsia"/>
                <w:sz w:val="24"/>
                <w:szCs w:val="24"/>
              </w:rPr>
              <w:t>Dokumenty odbioru ostatecznego</w:t>
            </w:r>
            <w:r>
              <w:rPr>
                <w:webHidden/>
              </w:rPr>
              <w:fldChar w:fldCharType="begin"/>
            </w:r>
            <w:r>
              <w:rPr>
                <w:webHidden/>
              </w:rPr>
              <w:instrText xml:space="preserve">PAGEREF _Toc115621729 \h</w:instrText>
            </w:r>
            <w:r>
              <w:rPr>
                <w:webHidden/>
              </w:rPr>
              <w:fldChar w:fldCharType="separate"/>
            </w:r>
            <w:r>
              <w:rPr>
                <w:rStyle w:val="Czeindeksu"/>
                <w:vanish w:val="false"/>
                <w:sz w:val="24"/>
                <w:szCs w:val="24"/>
              </w:rPr>
              <w:t>34</w:t>
            </w:r>
            <w:r>
              <w:rPr>
                <w:webHidden/>
              </w:rPr>
              <w:fldChar w:fldCharType="end"/>
            </w:r>
          </w:hyperlink>
        </w:p>
        <w:p>
          <w:pPr>
            <w:pStyle w:val="TOC1"/>
            <w:tabs>
              <w:tab w:val="clear" w:pos="708"/>
              <w:tab w:val="left" w:pos="660" w:leader="none"/>
              <w:tab w:val="right" w:pos="9060" w:leader="dot"/>
            </w:tabs>
            <w:rPr>
              <w:rFonts w:eastAsia="" w:eastAsiaTheme="minorEastAsia"/>
              <w:sz w:val="24"/>
              <w:szCs w:val="24"/>
            </w:rPr>
          </w:pPr>
          <w:hyperlink w:anchor="_Toc115621730">
            <w:r>
              <w:rPr>
                <w:webHidden/>
                <w:rStyle w:val="Czeindeksu"/>
                <w:rFonts w:eastAsia="" w:eastAsiaTheme="majorEastAsia"/>
                <w:vanish w:val="false"/>
                <w:sz w:val="24"/>
                <w:szCs w:val="24"/>
              </w:rPr>
              <w:t>10.</w:t>
            </w:r>
            <w:r>
              <w:rPr>
                <w:rStyle w:val="Czeindeksu"/>
                <w:rFonts w:eastAsia="" w:eastAsiaTheme="minorEastAsia"/>
                <w:sz w:val="24"/>
                <w:szCs w:val="24"/>
              </w:rPr>
              <w:tab/>
            </w:r>
            <w:r>
              <w:rPr>
                <w:rStyle w:val="Czeindeksu"/>
                <w:rFonts w:eastAsia="" w:eastAsiaTheme="majorEastAsia"/>
                <w:sz w:val="24"/>
                <w:szCs w:val="24"/>
              </w:rPr>
              <w:t>PODSTAWA ROZLICZENIA ROBOT</w:t>
            </w:r>
            <w:r>
              <w:rPr>
                <w:webHidden/>
              </w:rPr>
              <w:fldChar w:fldCharType="begin"/>
            </w:r>
            <w:r>
              <w:rPr>
                <w:webHidden/>
              </w:rPr>
              <w:instrText xml:space="preserve">PAGEREF _Toc115621730 \h</w:instrText>
            </w:r>
            <w:r>
              <w:rPr>
                <w:webHidden/>
              </w:rPr>
              <w:fldChar w:fldCharType="separate"/>
            </w:r>
            <w:r>
              <w:rPr>
                <w:rStyle w:val="Czeindeksu"/>
                <w:vanish w:val="false"/>
                <w:sz w:val="24"/>
                <w:szCs w:val="24"/>
              </w:rPr>
              <w:t>35</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43">
            <w:r>
              <w:rPr>
                <w:webHidden/>
                <w:rStyle w:val="Czeindeksu"/>
                <w:rFonts w:eastAsia="" w:eastAsiaTheme="majorEastAsia"/>
                <w:vanish w:val="false"/>
                <w:sz w:val="24"/>
                <w:szCs w:val="24"/>
              </w:rPr>
              <w:t>10.1.</w:t>
            </w:r>
            <w:r>
              <w:rPr>
                <w:rStyle w:val="Czeindeksu"/>
                <w:rFonts w:eastAsia="" w:eastAsiaTheme="minorEastAsia"/>
                <w:sz w:val="24"/>
                <w:szCs w:val="24"/>
              </w:rPr>
              <w:tab/>
            </w:r>
            <w:r>
              <w:rPr>
                <w:rStyle w:val="Czeindeksu"/>
                <w:rFonts w:eastAsia="" w:eastAsiaTheme="majorEastAsia"/>
                <w:sz w:val="24"/>
                <w:szCs w:val="24"/>
              </w:rPr>
              <w:t>Zasady rozliczenia i płatności</w:t>
            </w:r>
            <w:r>
              <w:rPr>
                <w:webHidden/>
              </w:rPr>
              <w:fldChar w:fldCharType="begin"/>
            </w:r>
            <w:r>
              <w:rPr>
                <w:webHidden/>
              </w:rPr>
              <w:instrText xml:space="preserve">PAGEREF _Toc115621743 \h</w:instrText>
            </w:r>
            <w:r>
              <w:rPr>
                <w:webHidden/>
              </w:rPr>
              <w:fldChar w:fldCharType="separate"/>
            </w:r>
            <w:r>
              <w:rPr>
                <w:rStyle w:val="Czeindeksu"/>
                <w:vanish w:val="false"/>
                <w:sz w:val="24"/>
                <w:szCs w:val="24"/>
              </w:rPr>
              <w:t>35</w:t>
            </w:r>
            <w:r>
              <w:rPr>
                <w:webHidden/>
              </w:rPr>
              <w:fldChar w:fldCharType="end"/>
            </w:r>
          </w:hyperlink>
        </w:p>
        <w:p>
          <w:pPr>
            <w:pStyle w:val="TOC1"/>
            <w:tabs>
              <w:tab w:val="clear" w:pos="708"/>
              <w:tab w:val="left" w:pos="660" w:leader="none"/>
              <w:tab w:val="right" w:pos="9060" w:leader="dot"/>
            </w:tabs>
            <w:rPr>
              <w:rFonts w:eastAsia="" w:eastAsiaTheme="minorEastAsia"/>
              <w:sz w:val="24"/>
              <w:szCs w:val="24"/>
            </w:rPr>
          </w:pPr>
          <w:hyperlink w:anchor="_Toc115621744">
            <w:r>
              <w:rPr>
                <w:webHidden/>
                <w:rStyle w:val="Czeindeksu"/>
                <w:rFonts w:eastAsia="" w:eastAsiaTheme="majorEastAsia"/>
                <w:vanish w:val="false"/>
                <w:sz w:val="24"/>
                <w:szCs w:val="24"/>
              </w:rPr>
              <w:t>11.</w:t>
            </w:r>
            <w:r>
              <w:rPr>
                <w:rStyle w:val="Czeindeksu"/>
                <w:rFonts w:eastAsia="" w:eastAsiaTheme="minorEastAsia"/>
                <w:sz w:val="24"/>
                <w:szCs w:val="24"/>
              </w:rPr>
              <w:tab/>
            </w:r>
            <w:r>
              <w:rPr>
                <w:rStyle w:val="Czeindeksu"/>
                <w:rFonts w:eastAsia="" w:eastAsiaTheme="majorEastAsia"/>
                <w:sz w:val="24"/>
                <w:szCs w:val="24"/>
              </w:rPr>
              <w:t>DOKUMENTY</w:t>
            </w:r>
            <w:r>
              <w:rPr>
                <w:webHidden/>
              </w:rPr>
              <w:fldChar w:fldCharType="begin"/>
            </w:r>
            <w:r>
              <w:rPr>
                <w:webHidden/>
              </w:rPr>
              <w:instrText xml:space="preserve">PAGEREF _Toc115621744 \h</w:instrText>
            </w:r>
            <w:r>
              <w:rPr>
                <w:webHidden/>
              </w:rPr>
              <w:fldChar w:fldCharType="separate"/>
            </w:r>
            <w:r>
              <w:rPr>
                <w:rStyle w:val="Czeindeksu"/>
                <w:vanish w:val="false"/>
                <w:sz w:val="24"/>
                <w:szCs w:val="24"/>
              </w:rPr>
              <w:t>36</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58">
            <w:r>
              <w:rPr>
                <w:webHidden/>
                <w:rStyle w:val="Czeindeksu"/>
                <w:rFonts w:eastAsia="" w:eastAsiaTheme="majorEastAsia"/>
                <w:vanish w:val="false"/>
                <w:sz w:val="24"/>
                <w:szCs w:val="24"/>
              </w:rPr>
              <w:t>11.1.</w:t>
            </w:r>
            <w:r>
              <w:rPr>
                <w:rStyle w:val="Czeindeksu"/>
                <w:rFonts w:eastAsia="" w:eastAsiaTheme="minorEastAsia"/>
                <w:sz w:val="24"/>
                <w:szCs w:val="24"/>
              </w:rPr>
              <w:tab/>
            </w:r>
            <w:r>
              <w:rPr>
                <w:rStyle w:val="Czeindeksu"/>
                <w:rFonts w:eastAsia="" w:eastAsiaTheme="majorEastAsia"/>
                <w:sz w:val="24"/>
                <w:szCs w:val="24"/>
              </w:rPr>
              <w:t>Normy</w:t>
            </w:r>
            <w:r>
              <w:rPr>
                <w:webHidden/>
              </w:rPr>
              <w:fldChar w:fldCharType="begin"/>
            </w:r>
            <w:r>
              <w:rPr>
                <w:webHidden/>
              </w:rPr>
              <w:instrText xml:space="preserve">PAGEREF _Toc115621758 \h</w:instrText>
            </w:r>
            <w:r>
              <w:rPr>
                <w:webHidden/>
              </w:rPr>
              <w:fldChar w:fldCharType="separate"/>
            </w:r>
            <w:r>
              <w:rPr>
                <w:rStyle w:val="Czeindeksu"/>
                <w:vanish w:val="false"/>
                <w:sz w:val="24"/>
                <w:szCs w:val="24"/>
              </w:rPr>
              <w:t>36</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59">
            <w:r>
              <w:rPr>
                <w:webHidden/>
                <w:rStyle w:val="Czeindeksu"/>
                <w:rFonts w:eastAsia="" w:eastAsiaTheme="majorEastAsia"/>
                <w:vanish w:val="false"/>
                <w:sz w:val="24"/>
                <w:szCs w:val="24"/>
              </w:rPr>
              <w:t>11.2.</w:t>
            </w:r>
            <w:r>
              <w:rPr>
                <w:rStyle w:val="Czeindeksu"/>
                <w:rFonts w:eastAsia="" w:eastAsiaTheme="minorEastAsia"/>
                <w:sz w:val="24"/>
                <w:szCs w:val="24"/>
              </w:rPr>
              <w:tab/>
            </w:r>
            <w:r>
              <w:rPr>
                <w:rStyle w:val="Czeindeksu"/>
                <w:rFonts w:eastAsia="" w:eastAsiaTheme="majorEastAsia"/>
                <w:sz w:val="24"/>
                <w:szCs w:val="24"/>
              </w:rPr>
              <w:t>Ustawy</w:t>
            </w:r>
            <w:r>
              <w:rPr>
                <w:webHidden/>
              </w:rPr>
              <w:fldChar w:fldCharType="begin"/>
            </w:r>
            <w:r>
              <w:rPr>
                <w:webHidden/>
              </w:rPr>
              <w:instrText xml:space="preserve">PAGEREF _Toc115621759 \h</w:instrText>
            </w:r>
            <w:r>
              <w:rPr>
                <w:webHidden/>
              </w:rPr>
              <w:fldChar w:fldCharType="separate"/>
            </w:r>
            <w:r>
              <w:rPr>
                <w:rStyle w:val="Czeindeksu"/>
                <w:vanish w:val="false"/>
                <w:sz w:val="24"/>
                <w:szCs w:val="24"/>
              </w:rPr>
              <w:t>39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60">
            <w:r>
              <w:rPr>
                <w:webHidden/>
                <w:rStyle w:val="Czeindeksu"/>
                <w:rFonts w:eastAsia="" w:eastAsiaTheme="majorEastAsia"/>
                <w:vanish w:val="false"/>
                <w:sz w:val="24"/>
                <w:szCs w:val="24"/>
              </w:rPr>
              <w:t>11.3.</w:t>
            </w:r>
            <w:r>
              <w:rPr>
                <w:rStyle w:val="Czeindeksu"/>
                <w:rFonts w:eastAsia="" w:eastAsiaTheme="minorEastAsia"/>
                <w:sz w:val="24"/>
                <w:szCs w:val="24"/>
              </w:rPr>
              <w:tab/>
            </w:r>
            <w:r>
              <w:rPr>
                <w:rStyle w:val="Czeindeksu"/>
                <w:rFonts w:eastAsia="" w:eastAsiaTheme="majorEastAsia"/>
                <w:sz w:val="24"/>
                <w:szCs w:val="24"/>
              </w:rPr>
              <w:t>Rozporządzenia</w:t>
            </w:r>
            <w:r>
              <w:rPr>
                <w:webHidden/>
              </w:rPr>
              <w:fldChar w:fldCharType="begin"/>
            </w:r>
            <w:r>
              <w:rPr>
                <w:webHidden/>
              </w:rPr>
              <w:instrText xml:space="preserve">PAGEREF _Toc115621760 \h</w:instrText>
            </w:r>
            <w:r>
              <w:rPr>
                <w:webHidden/>
              </w:rPr>
              <w:fldChar w:fldCharType="separate"/>
            </w:r>
            <w:r>
              <w:rPr>
                <w:rStyle w:val="Czeindeksu"/>
                <w:vanish w:val="false"/>
                <w:sz w:val="24"/>
                <w:szCs w:val="24"/>
              </w:rPr>
              <w:t>39</w:t>
            </w:r>
            <w:r>
              <w:rPr>
                <w:webHidden/>
              </w:rPr>
              <w:fldChar w:fldCharType="end"/>
            </w:r>
          </w:hyperlink>
        </w:p>
        <w:p>
          <w:pPr>
            <w:pStyle w:val="TOC2"/>
            <w:tabs>
              <w:tab w:val="clear" w:pos="708"/>
              <w:tab w:val="left" w:pos="880" w:leader="none"/>
              <w:tab w:val="right" w:pos="9060" w:leader="dot"/>
            </w:tabs>
            <w:rPr>
              <w:rFonts w:eastAsia="" w:eastAsiaTheme="minorEastAsia"/>
              <w:sz w:val="24"/>
              <w:szCs w:val="24"/>
            </w:rPr>
          </w:pPr>
          <w:hyperlink w:anchor="_Toc115621761">
            <w:r>
              <w:rPr>
                <w:webHidden/>
                <w:rStyle w:val="Czeindeksu"/>
                <w:rFonts w:eastAsia="" w:eastAsiaTheme="majorEastAsia"/>
                <w:vanish w:val="false"/>
                <w:sz w:val="24"/>
                <w:szCs w:val="24"/>
              </w:rPr>
              <w:t>11.4.</w:t>
            </w:r>
            <w:r>
              <w:rPr>
                <w:rStyle w:val="Czeindeksu"/>
                <w:rFonts w:eastAsia="" w:eastAsiaTheme="minorEastAsia"/>
                <w:sz w:val="24"/>
                <w:szCs w:val="24"/>
              </w:rPr>
              <w:tab/>
            </w:r>
            <w:r>
              <w:rPr>
                <w:rStyle w:val="Czeindeksu"/>
                <w:rFonts w:eastAsia="" w:eastAsiaTheme="majorEastAsia"/>
                <w:sz w:val="24"/>
                <w:szCs w:val="24"/>
              </w:rPr>
              <w:t>Inne dokumenty i instrukcje</w:t>
            </w:r>
            <w:r>
              <w:rPr>
                <w:webHidden/>
              </w:rPr>
              <w:fldChar w:fldCharType="begin"/>
            </w:r>
            <w:r>
              <w:rPr>
                <w:webHidden/>
              </w:rPr>
              <w:instrText xml:space="preserve">PAGEREF _Toc115621761 \h</w:instrText>
            </w:r>
            <w:r>
              <w:rPr>
                <w:webHidden/>
              </w:rPr>
              <w:fldChar w:fldCharType="separate"/>
            </w:r>
            <w:r>
              <w:rPr>
                <w:rStyle w:val="Czeindeksu"/>
                <w:vanish w:val="false"/>
                <w:sz w:val="24"/>
                <w:szCs w:val="24"/>
              </w:rPr>
              <w:t>39</w:t>
            </w:r>
            <w:r>
              <w:rPr>
                <w:webHidden/>
              </w:rPr>
              <w:fldChar w:fldCharType="end"/>
            </w:r>
          </w:hyperlink>
          <w:r>
            <w:rPr>
              <w:rStyle w:val="Czeindeksu"/>
              <w:sz w:val="24"/>
              <w:szCs w:val="24"/>
              <w:vanish w:val="false"/>
            </w:rPr>
            <w:fldChar w:fldCharType="end"/>
          </w:r>
        </w:p>
      </w:sdtContent>
    </w:sdt>
    <w:p>
      <w:pPr>
        <w:pStyle w:val="Normal"/>
        <w:shd w:fill="FFFFFF" w:val="clear"/>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Normal"/>
        <w:shd w:val="clear" w:color="auto" w:fill="FFFFFF"/>
        <w:ind w:start="426" w:end="423"/>
        <w:jc w:val="both"/>
        <w:rPr>
          <w:sz w:val="24"/>
          <w:szCs w:val="24"/>
        </w:rPr>
      </w:pPr>
      <w:r>
        <w:rPr>
          <w:sz w:val="24"/>
          <w:szCs w:val="24"/>
        </w:rPr>
      </w:r>
    </w:p>
    <w:p>
      <w:pPr>
        <w:pStyle w:val="Heading1"/>
        <w:numPr>
          <w:ilvl w:val="0"/>
          <w:numId w:val="13"/>
        </w:numPr>
        <w:ind w:hanging="360" w:start="426" w:end="423"/>
        <w:rPr>
          <w:rFonts w:ascii="Arial" w:hAnsi="Arial" w:cs="Arial"/>
          <w:sz w:val="24"/>
          <w:szCs w:val="24"/>
        </w:rPr>
      </w:pPr>
      <w:bookmarkStart w:id="4" w:name="_Toc115621659"/>
      <w:bookmarkStart w:id="5" w:name="_Toc535218182"/>
      <w:bookmarkEnd w:id="5"/>
      <w:r>
        <w:rPr>
          <w:rFonts w:cs="Arial" w:ascii="Arial" w:hAnsi="Arial"/>
          <w:sz w:val="24"/>
          <w:szCs w:val="24"/>
        </w:rPr>
        <w:t>CZĘŚĆ OGÓLNA</w:t>
      </w:r>
      <w:bookmarkEnd w:id="4"/>
    </w:p>
    <w:p>
      <w:pPr>
        <w:pStyle w:val="Heading2"/>
        <w:numPr>
          <w:ilvl w:val="1"/>
          <w:numId w:val="14"/>
        </w:numPr>
        <w:ind w:hanging="432" w:start="426" w:end="423"/>
        <w:rPr>
          <w:rFonts w:ascii="Arial" w:hAnsi="Arial" w:cs="Arial"/>
          <w:sz w:val="24"/>
          <w:szCs w:val="24"/>
        </w:rPr>
      </w:pPr>
      <w:bookmarkStart w:id="6" w:name="_Toc115621660"/>
      <w:bookmarkStart w:id="7" w:name="_Toc535218183"/>
      <w:bookmarkEnd w:id="7"/>
      <w:r>
        <w:rPr>
          <w:rFonts w:cs="Arial" w:ascii="Arial" w:hAnsi="Arial"/>
          <w:sz w:val="24"/>
          <w:szCs w:val="24"/>
        </w:rPr>
        <w:t>Przedmiot ST</w:t>
      </w:r>
      <w:bookmarkEnd w:id="6"/>
    </w:p>
    <w:p>
      <w:pPr>
        <w:pStyle w:val="Normal"/>
        <w:ind w:firstLine="282" w:start="426" w:end="423"/>
        <w:rPr>
          <w:sz w:val="24"/>
          <w:szCs w:val="24"/>
        </w:rPr>
      </w:pPr>
      <w:r>
        <w:rPr>
          <w:sz w:val="24"/>
          <w:szCs w:val="24"/>
        </w:rPr>
        <w:t>Przedmiotem niniejszej specyfikacji technicznej (ST) są wymagania dotyczące wykonania i odbioru robót związanych z układaniem i montażem elementów instalacji elektrycznej i teletechnicznej (układanie kabli i przewodów, montaż osprzętu i opraw, instalacji teletechnicznej)</w:t>
      </w:r>
    </w:p>
    <w:p>
      <w:pPr>
        <w:pStyle w:val="Heading2"/>
        <w:numPr>
          <w:ilvl w:val="1"/>
          <w:numId w:val="14"/>
        </w:numPr>
        <w:ind w:hanging="432" w:start="426" w:end="423"/>
        <w:rPr>
          <w:rFonts w:ascii="Arial" w:hAnsi="Arial" w:cs="Arial"/>
          <w:sz w:val="24"/>
          <w:szCs w:val="24"/>
        </w:rPr>
      </w:pPr>
      <w:bookmarkStart w:id="8" w:name="_Toc115621661"/>
      <w:r>
        <w:rPr>
          <w:rFonts w:cs="Arial" w:ascii="Arial" w:hAnsi="Arial"/>
          <w:sz w:val="24"/>
          <w:szCs w:val="24"/>
        </w:rPr>
        <w:t>Zakres stosowania ST</w:t>
      </w:r>
      <w:bookmarkEnd w:id="8"/>
    </w:p>
    <w:p>
      <w:pPr>
        <w:pStyle w:val="Normal"/>
        <w:ind w:firstLine="282" w:start="426" w:end="423"/>
        <w:rPr>
          <w:sz w:val="24"/>
          <w:szCs w:val="24"/>
        </w:rPr>
      </w:pPr>
      <w:r>
        <w:rPr>
          <w:sz w:val="24"/>
          <w:szCs w:val="24"/>
        </w:rPr>
        <w:t>Specyfikacja techniczna stanowi podstawę jako dokument przetargowy i kontraktowy przy zlecaniu i realizacji robót wymienionych w pkt. 1.1.</w:t>
      </w:r>
    </w:p>
    <w:p>
      <w:pPr>
        <w:pStyle w:val="Normal"/>
        <w:ind w:start="426" w:end="423"/>
        <w:rPr>
          <w:sz w:val="24"/>
          <w:szCs w:val="24"/>
        </w:rPr>
      </w:pPr>
      <w:r>
        <w:rPr>
          <w:spacing w:val="2"/>
          <w:sz w:val="24"/>
          <w:szCs w:val="24"/>
        </w:rPr>
        <w:t xml:space="preserve">Odstępstwa od wymagań podanych w niniejszej specyfikacji mogą mieć miejsce tylko </w:t>
      </w:r>
      <w:r>
        <w:rPr>
          <w:sz w:val="24"/>
          <w:szCs w:val="24"/>
        </w:rPr>
        <w:t>w przypadkach prostych robót o niewielkim znaczeniu, dla których istnieje pewność, że podstawowe wymagania będą spełnione przy zastosowaniu metod wykonania wynikających z doświadczenia oraz uznanych reguł i zasad sztuki budowlanej.</w:t>
      </w:r>
    </w:p>
    <w:p>
      <w:pPr>
        <w:pStyle w:val="Heading2"/>
        <w:numPr>
          <w:ilvl w:val="1"/>
          <w:numId w:val="14"/>
        </w:numPr>
        <w:ind w:hanging="432" w:start="426" w:end="423"/>
        <w:rPr>
          <w:rFonts w:ascii="Arial" w:hAnsi="Arial" w:cs="Arial"/>
          <w:sz w:val="24"/>
          <w:szCs w:val="24"/>
        </w:rPr>
      </w:pPr>
      <w:bookmarkStart w:id="9" w:name="_Toc115621662"/>
      <w:bookmarkStart w:id="10" w:name="_Toc535218185"/>
      <w:bookmarkEnd w:id="10"/>
      <w:r>
        <w:rPr>
          <w:rFonts w:cs="Arial" w:ascii="Arial" w:hAnsi="Arial"/>
          <w:sz w:val="24"/>
          <w:szCs w:val="24"/>
        </w:rPr>
        <w:t>Przedmiot i zakres robót objętych ST</w:t>
      </w:r>
      <w:bookmarkEnd w:id="9"/>
    </w:p>
    <w:p>
      <w:pPr>
        <w:pStyle w:val="Normal"/>
        <w:shd w:val="clear" w:color="auto" w:fill="FFFFFF"/>
        <w:ind w:firstLine="282" w:start="426" w:end="423"/>
        <w:rPr>
          <w:sz w:val="24"/>
          <w:szCs w:val="24"/>
        </w:rPr>
      </w:pPr>
      <w:r>
        <w:rPr>
          <w:color w:val="000000"/>
          <w:spacing w:val="3"/>
          <w:sz w:val="24"/>
          <w:szCs w:val="24"/>
        </w:rPr>
        <w:t xml:space="preserve">Ustalenia zawarte w niniejszej specyfikacji technicznej (ST) dotyczą zasad wykonywania </w:t>
      </w:r>
      <w:r>
        <w:rPr>
          <w:color w:val="000000"/>
          <w:spacing w:val="-1"/>
          <w:sz w:val="24"/>
          <w:szCs w:val="24"/>
        </w:rPr>
        <w:t>i odbioru robót związanych z:</w:t>
      </w:r>
    </w:p>
    <w:p>
      <w:pPr>
        <w:pStyle w:val="Normal"/>
        <w:numPr>
          <w:ilvl w:val="0"/>
          <w:numId w:val="1"/>
        </w:numPr>
        <w:shd w:val="clear" w:color="auto" w:fill="FFFFFF"/>
        <w:ind w:hanging="281" w:start="426" w:end="423"/>
        <w:rPr>
          <w:sz w:val="24"/>
          <w:szCs w:val="24"/>
        </w:rPr>
      </w:pPr>
      <w:r>
        <w:rPr>
          <w:color w:val="000000"/>
          <w:spacing w:val="4"/>
          <w:sz w:val="24"/>
          <w:szCs w:val="24"/>
        </w:rPr>
        <w:t>układaniem kabli i przewodów elektrycznych</w:t>
      </w:r>
    </w:p>
    <w:p>
      <w:pPr>
        <w:pStyle w:val="Normal"/>
        <w:numPr>
          <w:ilvl w:val="0"/>
          <w:numId w:val="1"/>
        </w:numPr>
        <w:shd w:val="clear" w:color="auto" w:fill="FFFFFF"/>
        <w:ind w:start="426" w:end="423"/>
        <w:rPr>
          <w:sz w:val="24"/>
          <w:szCs w:val="24"/>
        </w:rPr>
      </w:pPr>
      <w:r>
        <w:rPr>
          <w:color w:val="000000"/>
          <w:spacing w:val="-1"/>
          <w:sz w:val="24"/>
          <w:szCs w:val="24"/>
        </w:rPr>
        <w:t>montażem opraw, osprzętu, urządzeń i odbiorników energii elektrycznej,</w:t>
      </w:r>
    </w:p>
    <w:p>
      <w:pPr>
        <w:pStyle w:val="Normal"/>
        <w:numPr>
          <w:ilvl w:val="0"/>
          <w:numId w:val="1"/>
        </w:numPr>
        <w:shd w:val="clear" w:color="auto" w:fill="FFFFFF"/>
        <w:ind w:start="426" w:end="423"/>
        <w:rPr>
          <w:sz w:val="24"/>
          <w:szCs w:val="24"/>
        </w:rPr>
      </w:pPr>
      <w:r>
        <w:rPr>
          <w:color w:val="000000"/>
          <w:sz w:val="24"/>
          <w:szCs w:val="24"/>
        </w:rPr>
        <w:t>wykonanie instalacji odgromowej i uziemiającej</w:t>
      </w:r>
    </w:p>
    <w:p>
      <w:pPr>
        <w:pStyle w:val="Normal"/>
        <w:numPr>
          <w:ilvl w:val="0"/>
          <w:numId w:val="1"/>
        </w:numPr>
        <w:shd w:val="clear" w:color="auto" w:fill="FFFFFF"/>
        <w:ind w:start="426" w:end="423"/>
        <w:rPr>
          <w:sz w:val="24"/>
          <w:szCs w:val="24"/>
        </w:rPr>
      </w:pPr>
      <w:r>
        <w:rPr>
          <w:color w:val="000000"/>
          <w:sz w:val="24"/>
          <w:szCs w:val="24"/>
        </w:rPr>
        <w:t>kompletowanie oraz montaż tablic i rozdzielnic elektrycznych</w:t>
      </w:r>
    </w:p>
    <w:p>
      <w:pPr>
        <w:pStyle w:val="Normal"/>
        <w:shd w:val="clear" w:color="auto" w:fill="FFFFFF"/>
        <w:ind w:start="426" w:end="423"/>
        <w:rPr>
          <w:sz w:val="24"/>
          <w:szCs w:val="24"/>
        </w:rPr>
      </w:pPr>
      <w:r>
        <w:rPr>
          <w:color w:val="000000"/>
          <w:spacing w:val="2"/>
          <w:sz w:val="24"/>
          <w:szCs w:val="24"/>
        </w:rPr>
        <w:t>wraz z przygotowaniem podłoża i robotami towarzyszącymi,</w:t>
      </w:r>
      <w:r>
        <w:rPr>
          <w:color w:val="000000"/>
          <w:sz w:val="24"/>
          <w:szCs w:val="24"/>
        </w:rPr>
        <w:t xml:space="preserve"> dotyczy wszystkich czynności mających na celu wykonanie robót związanych z:</w:t>
      </w:r>
    </w:p>
    <w:p>
      <w:pPr>
        <w:pStyle w:val="Normal"/>
        <w:numPr>
          <w:ilvl w:val="0"/>
          <w:numId w:val="1"/>
        </w:numPr>
        <w:shd w:val="clear" w:color="auto" w:fill="FFFFFF"/>
        <w:ind w:start="426" w:end="423"/>
        <w:rPr>
          <w:sz w:val="24"/>
          <w:szCs w:val="24"/>
        </w:rPr>
      </w:pPr>
      <w:r>
        <w:rPr>
          <w:color w:val="000000"/>
          <w:sz w:val="24"/>
          <w:szCs w:val="24"/>
        </w:rPr>
        <w:t>kompletowaniem wszystkich materiałów potrzebnych do wykonania podanych wyżej prac,</w:t>
      </w:r>
    </w:p>
    <w:p>
      <w:pPr>
        <w:pStyle w:val="Normal"/>
        <w:numPr>
          <w:ilvl w:val="0"/>
          <w:numId w:val="1"/>
        </w:numPr>
        <w:shd w:val="clear" w:color="auto" w:fill="FFFFFF"/>
        <w:ind w:hanging="281" w:start="426" w:end="423"/>
        <w:rPr>
          <w:sz w:val="24"/>
          <w:szCs w:val="24"/>
        </w:rPr>
      </w:pPr>
      <w:r>
        <w:rPr>
          <w:color w:val="000000"/>
          <w:sz w:val="24"/>
          <w:szCs w:val="24"/>
        </w:rPr>
        <w:t>wykonaniem wszelkich robót pomocniczych w celu przygotowania podłoża (w szczegól</w:t>
      </w:r>
      <w:r>
        <w:rPr>
          <w:color w:val="000000"/>
          <w:spacing w:val="1"/>
          <w:sz w:val="24"/>
          <w:szCs w:val="24"/>
        </w:rPr>
        <w:t>ności montaż elementów osprzętu instalacyj</w:t>
      </w:r>
      <w:r>
        <w:rPr>
          <w:color w:val="000000"/>
          <w:spacing w:val="-1"/>
          <w:sz w:val="24"/>
          <w:szCs w:val="24"/>
        </w:rPr>
        <w:t>nego itp.),</w:t>
      </w:r>
    </w:p>
    <w:p>
      <w:pPr>
        <w:pStyle w:val="Normal"/>
        <w:numPr>
          <w:ilvl w:val="0"/>
          <w:numId w:val="1"/>
        </w:numPr>
        <w:shd w:val="clear" w:color="auto" w:fill="FFFFFF"/>
        <w:ind w:start="426" w:end="423"/>
        <w:rPr>
          <w:sz w:val="24"/>
          <w:szCs w:val="24"/>
        </w:rPr>
      </w:pPr>
      <w:r>
        <w:rPr>
          <w:color w:val="000000"/>
          <w:spacing w:val="-6"/>
          <w:sz w:val="24"/>
          <w:szCs w:val="24"/>
        </w:rPr>
        <w:t>ułożeniem wszystkich materiałów w sposób i w miejscu zgodnym z dokumentacją techniczną,</w:t>
      </w:r>
    </w:p>
    <w:p>
      <w:pPr>
        <w:pStyle w:val="Normal"/>
        <w:numPr>
          <w:ilvl w:val="0"/>
          <w:numId w:val="2"/>
        </w:numPr>
        <w:shd w:val="clear" w:color="auto" w:fill="FFFFFF"/>
        <w:ind w:hanging="270" w:start="426" w:end="423"/>
        <w:rPr>
          <w:sz w:val="24"/>
          <w:szCs w:val="24"/>
        </w:rPr>
      </w:pPr>
      <w:r>
        <w:rPr>
          <w:color w:val="000000"/>
          <w:sz w:val="24"/>
          <w:szCs w:val="24"/>
        </w:rPr>
        <w:t>wykonaniem oznakowania zgodnego z dokumentacją techniczną wszystkich elementów wyznaczonych w dokumentacji,</w:t>
      </w:r>
    </w:p>
    <w:p>
      <w:pPr>
        <w:pStyle w:val="Normal"/>
        <w:numPr>
          <w:ilvl w:val="0"/>
          <w:numId w:val="2"/>
        </w:numPr>
        <w:shd w:val="clear" w:color="auto" w:fill="FFFFFF"/>
        <w:ind w:hanging="270" w:start="426" w:end="423"/>
        <w:rPr>
          <w:sz w:val="24"/>
          <w:szCs w:val="24"/>
        </w:rPr>
      </w:pPr>
      <w:r>
        <w:rPr>
          <w:color w:val="000000"/>
          <w:sz w:val="24"/>
          <w:szCs w:val="24"/>
        </w:rPr>
        <w:t>wykonaniem oznakowania zgodnego z dokumentacją techniczną wszystkich wyznaczo</w:t>
      </w:r>
      <w:r>
        <w:rPr>
          <w:color w:val="000000"/>
          <w:spacing w:val="-1"/>
          <w:sz w:val="24"/>
          <w:szCs w:val="24"/>
        </w:rPr>
        <w:t>nych kabli i przewodów,</w:t>
      </w:r>
    </w:p>
    <w:p>
      <w:pPr>
        <w:pStyle w:val="Normal"/>
        <w:numPr>
          <w:ilvl w:val="0"/>
          <w:numId w:val="2"/>
        </w:numPr>
        <w:shd w:val="clear" w:color="auto" w:fill="FFFFFF"/>
        <w:ind w:hanging="270" w:start="426" w:end="423"/>
        <w:rPr>
          <w:sz w:val="24"/>
          <w:szCs w:val="24"/>
        </w:rPr>
      </w:pPr>
      <w:r>
        <w:rPr>
          <w:color w:val="000000"/>
          <w:sz w:val="24"/>
          <w:szCs w:val="24"/>
        </w:rPr>
        <w:t>przeprowadzeniem wymaganych prób i badań oraz potwierdzenie protokołami kwalifikującymi montowany element instalacji elektrycznej.</w:t>
      </w:r>
    </w:p>
    <w:p>
      <w:pPr>
        <w:pStyle w:val="Heading2"/>
        <w:numPr>
          <w:ilvl w:val="1"/>
          <w:numId w:val="14"/>
        </w:numPr>
        <w:shd w:val="clear" w:color="auto" w:fill="FFFFFF"/>
        <w:ind w:hanging="432" w:start="426" w:end="423"/>
        <w:rPr>
          <w:rFonts w:ascii="Arial" w:hAnsi="Arial" w:cs="Arial"/>
          <w:sz w:val="24"/>
          <w:szCs w:val="24"/>
        </w:rPr>
      </w:pPr>
      <w:bookmarkStart w:id="11" w:name="_Toc115621663"/>
      <w:bookmarkStart w:id="12" w:name="_Toc535218186"/>
      <w:bookmarkEnd w:id="12"/>
      <w:r>
        <w:rPr>
          <w:rFonts w:cs="Arial" w:ascii="Arial" w:hAnsi="Arial"/>
          <w:color w:val="365F91"/>
          <w:sz w:val="24"/>
          <w:szCs w:val="24"/>
        </w:rPr>
        <w:t>Zakres robót objętych SST</w:t>
      </w:r>
      <w:bookmarkEnd w:id="11"/>
    </w:p>
    <w:p>
      <w:pPr>
        <w:pStyle w:val="Normal"/>
        <w:shd w:val="clear" w:color="auto" w:fill="FFFFFF"/>
        <w:ind w:firstLine="282" w:start="426" w:end="423"/>
        <w:rPr>
          <w:sz w:val="24"/>
          <w:szCs w:val="24"/>
        </w:rPr>
      </w:pPr>
      <w:r>
        <w:rPr>
          <w:color w:val="000000"/>
          <w:spacing w:val="1"/>
          <w:sz w:val="24"/>
          <w:szCs w:val="24"/>
        </w:rPr>
        <w:t xml:space="preserve">Ustalenia zawarte w niniejszej specyfikacji obejmują wymagania ogólne wspólne dla robot objętych specyfikacjami technicznymi </w:t>
      </w:r>
    </w:p>
    <w:p>
      <w:pPr>
        <w:pStyle w:val="Heading2"/>
        <w:numPr>
          <w:ilvl w:val="1"/>
          <w:numId w:val="14"/>
        </w:numPr>
        <w:ind w:hanging="432" w:start="426" w:end="423"/>
        <w:rPr>
          <w:rFonts w:ascii="Arial" w:hAnsi="Arial" w:cs="Arial"/>
          <w:sz w:val="24"/>
          <w:szCs w:val="24"/>
        </w:rPr>
      </w:pPr>
      <w:bookmarkStart w:id="13" w:name="_Toc115621664"/>
      <w:bookmarkStart w:id="14" w:name="_Toc535218187"/>
      <w:bookmarkEnd w:id="14"/>
      <w:r>
        <w:rPr>
          <w:rFonts w:cs="Arial" w:ascii="Arial" w:hAnsi="Arial"/>
          <w:sz w:val="24"/>
          <w:szCs w:val="24"/>
        </w:rPr>
        <w:t>Określenia podstawowe, definicje</w:t>
      </w:r>
      <w:bookmarkEnd w:id="13"/>
    </w:p>
    <w:p>
      <w:pPr>
        <w:pStyle w:val="Normal"/>
        <w:shd w:val="clear" w:color="auto" w:fill="FFFFFF"/>
        <w:ind w:firstLine="282" w:start="426" w:end="423"/>
        <w:rPr>
          <w:sz w:val="24"/>
          <w:szCs w:val="24"/>
        </w:rPr>
      </w:pPr>
      <w:r>
        <w:rPr>
          <w:color w:val="000000"/>
          <w:spacing w:val="1"/>
          <w:sz w:val="24"/>
          <w:szCs w:val="24"/>
        </w:rPr>
        <w:t xml:space="preserve">Określenia podane w niniejszej specyfikacji technicznej (ST) są zgodne z odpowiednimi </w:t>
      </w:r>
      <w:r>
        <w:rPr>
          <w:color w:val="000000"/>
          <w:spacing w:val="3"/>
          <w:sz w:val="24"/>
          <w:szCs w:val="24"/>
        </w:rPr>
        <w:t xml:space="preserve">normami oraz określeniami podanymi w ST „Wymagania ogólne" Kod CPV 45000000-7, </w:t>
      </w:r>
      <w:r>
        <w:rPr>
          <w:color w:val="000000"/>
          <w:spacing w:val="-1"/>
          <w:sz w:val="24"/>
          <w:szCs w:val="24"/>
        </w:rPr>
        <w:t>pkt 1.4. a także podanymi poniżej:</w:t>
      </w:r>
    </w:p>
    <w:p>
      <w:pPr>
        <w:pStyle w:val="Normal"/>
        <w:shd w:val="clear" w:color="auto" w:fill="FFFFFF"/>
        <w:ind w:start="426" w:end="423"/>
        <w:rPr>
          <w:sz w:val="24"/>
          <w:szCs w:val="24"/>
        </w:rPr>
      </w:pPr>
      <w:r>
        <w:rPr>
          <w:b/>
          <w:bCs/>
          <w:color w:val="000000"/>
          <w:sz w:val="24"/>
          <w:szCs w:val="24"/>
        </w:rPr>
        <w:t xml:space="preserve">Specyfikacja techniczna </w:t>
      </w:r>
      <w:r>
        <w:rPr>
          <w:color w:val="000000"/>
          <w:sz w:val="24"/>
          <w:szCs w:val="24"/>
        </w:rPr>
        <w:t>-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pPr>
        <w:pStyle w:val="Normal"/>
        <w:shd w:val="clear" w:color="auto" w:fill="FFFFFF"/>
        <w:ind w:start="426" w:end="423"/>
        <w:rPr>
          <w:sz w:val="24"/>
          <w:szCs w:val="24"/>
        </w:rPr>
      </w:pPr>
      <w:r>
        <w:rPr>
          <w:b/>
          <w:bCs/>
          <w:color w:val="000000"/>
          <w:sz w:val="24"/>
          <w:szCs w:val="24"/>
        </w:rPr>
        <w:t xml:space="preserve">Aprobata techniczna </w:t>
      </w:r>
      <w:r>
        <w:rPr>
          <w:color w:val="000000"/>
          <w:sz w:val="24"/>
          <w:szCs w:val="24"/>
        </w:rPr>
        <w:t>- dokument stwierdzający przydatność, dane wyrobu do określonego obszaru zastosowania. Zawiera ustalenia techniczne co do wymagań podstawowych wyrobu oraz metodykę badań dla potwierdzenia tych wymagań.</w:t>
      </w:r>
    </w:p>
    <w:p>
      <w:pPr>
        <w:pStyle w:val="Normal"/>
        <w:shd w:val="clear" w:color="auto" w:fill="FFFFFF"/>
        <w:ind w:start="426" w:end="423"/>
        <w:rPr>
          <w:sz w:val="24"/>
          <w:szCs w:val="24"/>
        </w:rPr>
      </w:pPr>
      <w:r>
        <w:rPr>
          <w:b/>
          <w:bCs/>
          <w:color w:val="000000"/>
          <w:sz w:val="24"/>
          <w:szCs w:val="24"/>
        </w:rPr>
        <w:t xml:space="preserve">Deklaracja zgodności </w:t>
      </w:r>
      <w:r>
        <w:rPr>
          <w:color w:val="000000"/>
          <w:sz w:val="24"/>
          <w:szCs w:val="24"/>
        </w:rPr>
        <w:t xml:space="preserve">- dokument w formie oświadczenia wydany przez producenta, </w:t>
      </w:r>
      <w:r>
        <w:rPr>
          <w:color w:val="000000"/>
          <w:spacing w:val="-1"/>
          <w:sz w:val="24"/>
          <w:szCs w:val="24"/>
        </w:rPr>
        <w:t xml:space="preserve">stwierdzający zgodność z kryteriami określonymi odpowiednimi aktami prawnymi, normami, </w:t>
      </w:r>
      <w:r>
        <w:rPr>
          <w:color w:val="000000"/>
          <w:sz w:val="24"/>
          <w:szCs w:val="24"/>
        </w:rPr>
        <w:t>przepisami, wymogami lub specyfikacją techniczną dla danego materiału lub wyrobu.</w:t>
      </w:r>
    </w:p>
    <w:p>
      <w:pPr>
        <w:pStyle w:val="Normal"/>
        <w:shd w:val="clear" w:color="auto" w:fill="FFFFFF"/>
        <w:ind w:start="426" w:end="423"/>
        <w:rPr>
          <w:sz w:val="24"/>
          <w:szCs w:val="24"/>
        </w:rPr>
      </w:pPr>
      <w:r>
        <w:rPr>
          <w:b/>
          <w:bCs/>
          <w:color w:val="000000"/>
          <w:spacing w:val="-2"/>
          <w:sz w:val="24"/>
          <w:szCs w:val="24"/>
        </w:rPr>
        <w:t xml:space="preserve">Certyfikat zgodności </w:t>
      </w:r>
      <w:r>
        <w:rPr>
          <w:color w:val="000000"/>
          <w:spacing w:val="-2"/>
          <w:sz w:val="24"/>
          <w:szCs w:val="24"/>
        </w:rPr>
        <w:t>- dokument wydany przez upoważnioną jednostkę badającą (certyfiku</w:t>
        <w:softHyphen/>
      </w:r>
      <w:r>
        <w:rPr>
          <w:color w:val="000000"/>
          <w:spacing w:val="-1"/>
          <w:sz w:val="24"/>
          <w:szCs w:val="24"/>
        </w:rPr>
        <w:t>jącą), stwierdzający zgodność z kryteriami określonymi odpowiednimi aktami prawnymi, nor</w:t>
        <w:softHyphen/>
      </w:r>
      <w:r>
        <w:rPr>
          <w:color w:val="000000"/>
          <w:spacing w:val="-3"/>
          <w:sz w:val="24"/>
          <w:szCs w:val="24"/>
        </w:rPr>
        <w:t>mami, przepisami, wymogami lub specyfikacją techniczną dla badanego materiału lub wyrobu.</w:t>
      </w:r>
    </w:p>
    <w:p>
      <w:pPr>
        <w:pStyle w:val="Normal"/>
        <w:shd w:val="clear" w:color="auto" w:fill="FFFFFF"/>
        <w:ind w:start="426" w:end="423"/>
        <w:rPr>
          <w:sz w:val="24"/>
          <w:szCs w:val="24"/>
        </w:rPr>
      </w:pPr>
      <w:r>
        <w:rPr>
          <w:b/>
          <w:bCs/>
          <w:color w:val="000000"/>
          <w:spacing w:val="-6"/>
          <w:sz w:val="24"/>
          <w:szCs w:val="24"/>
        </w:rPr>
        <w:t xml:space="preserve">Część czynna </w:t>
      </w:r>
      <w:r>
        <w:rPr>
          <w:color w:val="000000"/>
          <w:spacing w:val="-6"/>
          <w:sz w:val="24"/>
          <w:szCs w:val="24"/>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pPr>
        <w:pStyle w:val="Normal"/>
        <w:shd w:val="clear" w:color="auto" w:fill="FFFFFF"/>
        <w:ind w:start="426" w:end="423"/>
        <w:rPr>
          <w:sz w:val="24"/>
          <w:szCs w:val="24"/>
        </w:rPr>
      </w:pPr>
      <w:r>
        <w:rPr>
          <w:b/>
          <w:bCs/>
          <w:color w:val="000000"/>
          <w:sz w:val="24"/>
          <w:szCs w:val="24"/>
        </w:rPr>
        <w:t xml:space="preserve">Połączenia wyrównawcze </w:t>
      </w:r>
      <w:r>
        <w:rPr>
          <w:color w:val="000000"/>
          <w:sz w:val="24"/>
          <w:szCs w:val="24"/>
        </w:rPr>
        <w:t>- elektryczne połączenie części przewodzących dostępnych lub obcych w celu wyrównania potencjału.</w:t>
      </w:r>
    </w:p>
    <w:p>
      <w:pPr>
        <w:pStyle w:val="Normal"/>
        <w:shd w:val="clear" w:color="auto" w:fill="FFFFFF"/>
        <w:ind w:start="426" w:end="423"/>
        <w:rPr>
          <w:sz w:val="24"/>
          <w:szCs w:val="24"/>
        </w:rPr>
      </w:pPr>
      <w:r>
        <w:rPr>
          <w:b/>
          <w:bCs/>
          <w:color w:val="000000"/>
          <w:sz w:val="24"/>
          <w:szCs w:val="24"/>
        </w:rPr>
        <w:t xml:space="preserve">Kable i przewody </w:t>
      </w:r>
      <w:r>
        <w:rPr>
          <w:color w:val="000000"/>
          <w:sz w:val="24"/>
          <w:szCs w:val="24"/>
        </w:rPr>
        <w:t>- materiały służące do dostarczania energii elektrycznej, sygnałów, impulsów elektrycznych w wybrane miejsce.</w:t>
      </w:r>
    </w:p>
    <w:p>
      <w:pPr>
        <w:pStyle w:val="Normal"/>
        <w:shd w:val="clear" w:color="auto" w:fill="FFFFFF"/>
        <w:ind w:start="426" w:end="423"/>
        <w:rPr>
          <w:sz w:val="24"/>
          <w:szCs w:val="24"/>
        </w:rPr>
      </w:pPr>
      <w:r>
        <w:rPr>
          <w:b/>
          <w:bCs/>
          <w:color w:val="000000"/>
          <w:spacing w:val="-2"/>
          <w:sz w:val="24"/>
          <w:szCs w:val="24"/>
        </w:rPr>
        <w:t xml:space="preserve">Osprzęt instalacyjny do kabli i przewodów </w:t>
      </w:r>
      <w:r>
        <w:rPr>
          <w:color w:val="000000"/>
          <w:spacing w:val="-2"/>
          <w:sz w:val="24"/>
          <w:szCs w:val="24"/>
        </w:rPr>
        <w:t>- zespół materiałów dodatkowych, stosowanych przy układaniu przewodów, ułatwiający ich montaż oraz dotarcie w przypadku awarii, zabezpieczający przed uszkodzeniami, wytyczający trasy ciągów równoległych przewodów itp.</w:t>
      </w:r>
    </w:p>
    <w:p>
      <w:pPr>
        <w:pStyle w:val="Normal"/>
        <w:shd w:val="clear" w:color="auto" w:fill="FFFFFF"/>
        <w:ind w:start="426" w:end="423"/>
        <w:rPr>
          <w:sz w:val="24"/>
          <w:szCs w:val="24"/>
        </w:rPr>
      </w:pPr>
      <w:r>
        <w:rPr>
          <w:color w:val="000000"/>
          <w:sz w:val="24"/>
          <w:szCs w:val="24"/>
        </w:rPr>
        <w:t>Grupy materiałów stanowiących osprzęt instalacyjny do kabli i przewodów:</w:t>
      </w:r>
    </w:p>
    <w:p>
      <w:pPr>
        <w:pStyle w:val="Normal"/>
        <w:numPr>
          <w:ilvl w:val="0"/>
          <w:numId w:val="3"/>
        </w:numPr>
        <w:shd w:val="clear" w:color="auto" w:fill="FFFFFF"/>
        <w:ind w:start="426" w:end="423"/>
        <w:rPr>
          <w:sz w:val="24"/>
          <w:szCs w:val="24"/>
        </w:rPr>
      </w:pPr>
      <w:r>
        <w:rPr>
          <w:color w:val="000000"/>
          <w:sz w:val="24"/>
          <w:szCs w:val="24"/>
        </w:rPr>
        <w:t>przepusty kablowe i osłony krawędzi,</w:t>
      </w:r>
    </w:p>
    <w:p>
      <w:pPr>
        <w:pStyle w:val="Normal"/>
        <w:numPr>
          <w:ilvl w:val="0"/>
          <w:numId w:val="3"/>
        </w:numPr>
        <w:shd w:val="clear" w:color="auto" w:fill="FFFFFF"/>
        <w:ind w:start="426" w:end="423"/>
        <w:rPr>
          <w:sz w:val="24"/>
          <w:szCs w:val="24"/>
        </w:rPr>
      </w:pPr>
      <w:r>
        <w:rPr>
          <w:color w:val="000000"/>
          <w:spacing w:val="-1"/>
          <w:sz w:val="24"/>
          <w:szCs w:val="24"/>
        </w:rPr>
        <w:t>drabinki instalacyjne,</w:t>
      </w:r>
    </w:p>
    <w:p>
      <w:pPr>
        <w:pStyle w:val="Normal"/>
        <w:numPr>
          <w:ilvl w:val="0"/>
          <w:numId w:val="3"/>
        </w:numPr>
        <w:shd w:val="clear" w:color="auto" w:fill="FFFFFF"/>
        <w:ind w:start="426" w:end="423"/>
        <w:rPr>
          <w:sz w:val="24"/>
          <w:szCs w:val="24"/>
        </w:rPr>
      </w:pPr>
      <w:r>
        <w:rPr>
          <w:color w:val="000000"/>
          <w:sz w:val="24"/>
          <w:szCs w:val="24"/>
        </w:rPr>
        <w:t>koryta i korytka instalacyjne,</w:t>
      </w:r>
    </w:p>
    <w:p>
      <w:pPr>
        <w:pStyle w:val="Normal"/>
        <w:numPr>
          <w:ilvl w:val="0"/>
          <w:numId w:val="3"/>
        </w:numPr>
        <w:shd w:val="clear" w:color="auto" w:fill="FFFFFF"/>
        <w:ind w:start="426" w:end="423"/>
        <w:rPr>
          <w:sz w:val="24"/>
          <w:szCs w:val="24"/>
        </w:rPr>
      </w:pPr>
      <w:r>
        <w:rPr>
          <w:color w:val="000000"/>
          <w:sz w:val="24"/>
          <w:szCs w:val="24"/>
        </w:rPr>
        <w:t>kanały i listwy instalacyjne,</w:t>
      </w:r>
    </w:p>
    <w:p>
      <w:pPr>
        <w:pStyle w:val="Normal"/>
        <w:numPr>
          <w:ilvl w:val="0"/>
          <w:numId w:val="3"/>
        </w:numPr>
        <w:shd w:val="clear" w:color="auto" w:fill="FFFFFF"/>
        <w:ind w:start="426" w:end="423"/>
        <w:rPr>
          <w:sz w:val="24"/>
          <w:szCs w:val="24"/>
        </w:rPr>
      </w:pPr>
      <w:r>
        <w:rPr>
          <w:color w:val="000000"/>
          <w:spacing w:val="-1"/>
          <w:sz w:val="24"/>
          <w:szCs w:val="24"/>
        </w:rPr>
        <w:t>rury instalacyjne,</w:t>
      </w:r>
    </w:p>
    <w:p>
      <w:pPr>
        <w:pStyle w:val="Normal"/>
        <w:numPr>
          <w:ilvl w:val="0"/>
          <w:numId w:val="3"/>
        </w:numPr>
        <w:shd w:val="clear" w:color="auto" w:fill="FFFFFF"/>
        <w:ind w:start="426" w:end="423"/>
        <w:rPr>
          <w:sz w:val="24"/>
          <w:szCs w:val="24"/>
        </w:rPr>
      </w:pPr>
      <w:r>
        <w:rPr>
          <w:color w:val="000000"/>
          <w:spacing w:val="-1"/>
          <w:sz w:val="24"/>
          <w:szCs w:val="24"/>
        </w:rPr>
        <w:t>kanały podłogowe,</w:t>
      </w:r>
    </w:p>
    <w:p>
      <w:pPr>
        <w:pStyle w:val="Normal"/>
        <w:numPr>
          <w:ilvl w:val="0"/>
          <w:numId w:val="3"/>
        </w:numPr>
        <w:shd w:val="clear" w:color="auto" w:fill="FFFFFF"/>
        <w:ind w:start="426" w:end="423"/>
        <w:rPr>
          <w:sz w:val="24"/>
          <w:szCs w:val="24"/>
        </w:rPr>
      </w:pPr>
      <w:r>
        <w:rPr>
          <w:color w:val="000000"/>
          <w:spacing w:val="-1"/>
          <w:sz w:val="24"/>
          <w:szCs w:val="24"/>
        </w:rPr>
        <w:t>systemy mocujące,</w:t>
      </w:r>
    </w:p>
    <w:p>
      <w:pPr>
        <w:pStyle w:val="Normal"/>
        <w:numPr>
          <w:ilvl w:val="0"/>
          <w:numId w:val="3"/>
        </w:numPr>
        <w:shd w:val="clear" w:color="auto" w:fill="FFFFFF"/>
        <w:ind w:start="426" w:end="423"/>
        <w:rPr>
          <w:sz w:val="24"/>
          <w:szCs w:val="24"/>
        </w:rPr>
      </w:pPr>
      <w:r>
        <w:rPr>
          <w:color w:val="000000"/>
          <w:sz w:val="24"/>
          <w:szCs w:val="24"/>
        </w:rPr>
        <w:t>puszki elektroinstalacyjne,</w:t>
      </w:r>
    </w:p>
    <w:p>
      <w:pPr>
        <w:pStyle w:val="Normal"/>
        <w:numPr>
          <w:ilvl w:val="0"/>
          <w:numId w:val="3"/>
        </w:numPr>
        <w:shd w:val="clear" w:color="auto" w:fill="FFFFFF"/>
        <w:ind w:start="426" w:end="423"/>
        <w:rPr>
          <w:sz w:val="24"/>
          <w:szCs w:val="24"/>
        </w:rPr>
      </w:pPr>
      <w:r>
        <w:rPr>
          <w:color w:val="000000"/>
          <w:sz w:val="24"/>
          <w:szCs w:val="24"/>
        </w:rPr>
        <w:t>końcówki kablowe, zaciski i konektory,</w:t>
      </w:r>
    </w:p>
    <w:p>
      <w:pPr>
        <w:pStyle w:val="Normal"/>
        <w:numPr>
          <w:ilvl w:val="0"/>
          <w:numId w:val="3"/>
        </w:numPr>
        <w:shd w:val="clear" w:color="auto" w:fill="FFFFFF"/>
        <w:ind w:hanging="284" w:start="426" w:end="423"/>
        <w:rPr>
          <w:sz w:val="24"/>
          <w:szCs w:val="24"/>
        </w:rPr>
      </w:pPr>
      <w:r>
        <w:rPr>
          <w:color w:val="000000"/>
          <w:spacing w:val="3"/>
          <w:sz w:val="24"/>
          <w:szCs w:val="24"/>
        </w:rPr>
        <w:t xml:space="preserve">pozostały osprzęt (oznaczniki przewodów, linki nośne i systemy naciągowe, dławice, </w:t>
      </w:r>
      <w:r>
        <w:rPr>
          <w:color w:val="000000"/>
          <w:sz w:val="24"/>
          <w:szCs w:val="24"/>
        </w:rPr>
        <w:t>złączki i szyny, zaciski ochronne itp.).</w:t>
      </w:r>
    </w:p>
    <w:p>
      <w:pPr>
        <w:pStyle w:val="Normal"/>
        <w:shd w:val="clear" w:color="auto" w:fill="FFFFFF"/>
        <w:ind w:start="426" w:end="423"/>
        <w:rPr>
          <w:sz w:val="24"/>
          <w:szCs w:val="24"/>
        </w:rPr>
      </w:pPr>
      <w:r>
        <w:rPr>
          <w:b/>
          <w:bCs/>
          <w:color w:val="000000"/>
          <w:sz w:val="24"/>
          <w:szCs w:val="24"/>
        </w:rPr>
        <w:t xml:space="preserve">Urządzenia elektryczne </w:t>
      </w:r>
      <w:r>
        <w:rPr>
          <w:color w:val="000000"/>
          <w:sz w:val="24"/>
          <w:szCs w:val="24"/>
        </w:rPr>
        <w:t xml:space="preserve">- wszelkie urządzenia i elementy instalacji elektrycznej przeznaczone do wytwarzania, przekształcania, przesyłania, rozdziału lub wykorzystania energii </w:t>
      </w:r>
      <w:r>
        <w:rPr>
          <w:color w:val="000000"/>
          <w:spacing w:val="-1"/>
          <w:sz w:val="24"/>
          <w:szCs w:val="24"/>
        </w:rPr>
        <w:t>elektrycznej.</w:t>
      </w:r>
    </w:p>
    <w:p>
      <w:pPr>
        <w:pStyle w:val="Normal"/>
        <w:shd w:val="clear" w:color="auto" w:fill="FFFFFF"/>
        <w:ind w:start="426" w:end="423"/>
        <w:rPr>
          <w:sz w:val="24"/>
          <w:szCs w:val="24"/>
        </w:rPr>
      </w:pPr>
      <w:r>
        <w:rPr>
          <w:b/>
          <w:bCs/>
          <w:color w:val="000000"/>
          <w:spacing w:val="-1"/>
          <w:sz w:val="24"/>
          <w:szCs w:val="24"/>
        </w:rPr>
        <w:t xml:space="preserve">Odbiorniki energii elektrycznej </w:t>
      </w:r>
      <w:r>
        <w:rPr>
          <w:color w:val="000000"/>
          <w:spacing w:val="-1"/>
          <w:sz w:val="24"/>
          <w:szCs w:val="24"/>
        </w:rPr>
        <w:t>- urządzenia przeznaczone do przetwarzania energii elek</w:t>
      </w:r>
      <w:r>
        <w:rPr>
          <w:color w:val="000000"/>
          <w:sz w:val="24"/>
          <w:szCs w:val="24"/>
        </w:rPr>
        <w:t>trycznej w inną formę energii (światło, ciepło, energię mechaniczną itp.).</w:t>
      </w:r>
    </w:p>
    <w:p>
      <w:pPr>
        <w:pStyle w:val="Normal"/>
        <w:shd w:val="clear" w:color="auto" w:fill="FFFFFF"/>
        <w:ind w:start="426" w:end="423"/>
        <w:rPr>
          <w:sz w:val="24"/>
          <w:szCs w:val="24"/>
        </w:rPr>
      </w:pPr>
      <w:r>
        <w:rPr>
          <w:b/>
          <w:bCs/>
          <w:color w:val="000000"/>
          <w:spacing w:val="1"/>
          <w:sz w:val="24"/>
          <w:szCs w:val="24"/>
        </w:rPr>
        <w:t xml:space="preserve">Klasa ochronności </w:t>
      </w:r>
      <w:r>
        <w:rPr>
          <w:color w:val="000000"/>
          <w:spacing w:val="1"/>
          <w:sz w:val="24"/>
          <w:szCs w:val="24"/>
        </w:rPr>
        <w:t xml:space="preserve">- umowne oznaczenie, określające możliwości ochronne urządzenia, </w:t>
      </w:r>
      <w:r>
        <w:rPr>
          <w:color w:val="000000"/>
          <w:sz w:val="24"/>
          <w:szCs w:val="24"/>
        </w:rPr>
        <w:t>ze względu na jego cechy budowy, przy bezpośrednim dotyku.</w:t>
      </w:r>
    </w:p>
    <w:p>
      <w:pPr>
        <w:pStyle w:val="Normal"/>
        <w:shd w:val="clear" w:color="auto" w:fill="FFFFFF"/>
        <w:ind w:start="426" w:end="423"/>
        <w:rPr>
          <w:sz w:val="24"/>
          <w:szCs w:val="24"/>
        </w:rPr>
      </w:pPr>
      <w:r>
        <w:rPr>
          <w:b/>
          <w:bCs/>
          <w:color w:val="000000"/>
          <w:spacing w:val="2"/>
          <w:sz w:val="24"/>
          <w:szCs w:val="24"/>
        </w:rPr>
        <w:t xml:space="preserve">Oprawa oświetleniowa (elektryczna) </w:t>
      </w:r>
      <w:r>
        <w:rPr>
          <w:color w:val="000000"/>
          <w:spacing w:val="2"/>
          <w:sz w:val="24"/>
          <w:szCs w:val="24"/>
        </w:rPr>
        <w:t>- kompletne urządzenie służące do przymocowa</w:t>
      </w:r>
      <w:r>
        <w:rPr>
          <w:color w:val="000000"/>
          <w:spacing w:val="1"/>
          <w:sz w:val="24"/>
          <w:szCs w:val="24"/>
        </w:rPr>
        <w:t>nia i połączenia z instalacją elektryczną jednego lub kilku źródeł światła, ochrony źródeł światła przed wpływami zewnętrznymi i ochrony środowiska przed szkodliwym działaniem źródła światła a także do uzyskania odpowiednich parametrów świetlnych (bryła fotome</w:t>
      </w:r>
      <w:r>
        <w:rPr>
          <w:color w:val="000000"/>
          <w:spacing w:val="2"/>
          <w:sz w:val="24"/>
          <w:szCs w:val="24"/>
        </w:rPr>
        <w:t>tryczna, luminacja), ułatwia właściwe umiejscowienie i bezpieczną wymianę źródeł świa</w:t>
      </w:r>
      <w:r>
        <w:rPr>
          <w:color w:val="000000"/>
          <w:spacing w:val="1"/>
          <w:sz w:val="24"/>
          <w:szCs w:val="24"/>
        </w:rPr>
        <w:t xml:space="preserve">tła, tworzy estetyczne formy wymagane dla danego typu pomieszczenia. Elementami </w:t>
      </w:r>
      <w:r>
        <w:rPr>
          <w:color w:val="000000"/>
          <w:spacing w:val="2"/>
          <w:sz w:val="24"/>
          <w:szCs w:val="24"/>
        </w:rPr>
        <w:t>dodatkowymi są osłony lub elementy ukierunkowania źródeł światła w formie: klosza, odbłyśnika, rastra, abażuru.</w:t>
      </w:r>
    </w:p>
    <w:p>
      <w:pPr>
        <w:pStyle w:val="Normal"/>
        <w:shd w:val="clear" w:color="auto" w:fill="FFFFFF"/>
        <w:ind w:start="426" w:end="423"/>
        <w:rPr>
          <w:sz w:val="24"/>
          <w:szCs w:val="24"/>
        </w:rPr>
      </w:pPr>
      <w:r>
        <w:rPr>
          <w:b/>
          <w:bCs/>
          <w:color w:val="000000"/>
          <w:spacing w:val="-1"/>
          <w:sz w:val="24"/>
          <w:szCs w:val="24"/>
        </w:rPr>
        <w:t xml:space="preserve">Stopień ochrony IP </w:t>
      </w:r>
      <w:r>
        <w:rPr>
          <w:color w:val="000000"/>
          <w:spacing w:val="-1"/>
          <w:sz w:val="24"/>
          <w:szCs w:val="24"/>
        </w:rPr>
        <w:t xml:space="preserve">- określona w PN-EN 60529:2003, umowna miara ochrony przed dotykiem elementów instalacji elektrycznej oraz przed przedostaniem się ciał stałych, wnikaniem </w:t>
      </w:r>
      <w:r>
        <w:rPr>
          <w:color w:val="000000"/>
          <w:sz w:val="24"/>
          <w:szCs w:val="24"/>
        </w:rPr>
        <w:t>cieczy (szczególnie wody) i gazów, a którą zapewnia odpowiednia obudowa.</w:t>
      </w:r>
    </w:p>
    <w:p>
      <w:pPr>
        <w:pStyle w:val="Normal"/>
        <w:shd w:val="clear" w:color="auto" w:fill="FFFFFF"/>
        <w:ind w:start="426" w:end="423"/>
        <w:rPr>
          <w:sz w:val="24"/>
          <w:szCs w:val="24"/>
        </w:rPr>
      </w:pPr>
      <w:r>
        <w:rPr>
          <w:b/>
          <w:bCs/>
          <w:color w:val="000000"/>
          <w:sz w:val="24"/>
          <w:szCs w:val="24"/>
        </w:rPr>
        <w:t xml:space="preserve">Obwód instalacji elektrycznej </w:t>
      </w:r>
      <w:r>
        <w:rPr>
          <w:color w:val="000000"/>
          <w:sz w:val="24"/>
          <w:szCs w:val="24"/>
        </w:rPr>
        <w:t>-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pPr>
        <w:pStyle w:val="Normal"/>
        <w:shd w:val="clear" w:color="auto" w:fill="FFFFFF"/>
        <w:ind w:start="426" w:end="423"/>
        <w:rPr>
          <w:sz w:val="24"/>
          <w:szCs w:val="24"/>
        </w:rPr>
      </w:pPr>
      <w:r>
        <w:rPr>
          <w:b/>
          <w:bCs/>
          <w:color w:val="000000"/>
          <w:spacing w:val="6"/>
          <w:sz w:val="24"/>
          <w:szCs w:val="24"/>
        </w:rPr>
        <w:t xml:space="preserve">Przygotowanie podłoża </w:t>
      </w:r>
      <w:r>
        <w:rPr>
          <w:color w:val="000000"/>
          <w:spacing w:val="6"/>
          <w:sz w:val="24"/>
          <w:szCs w:val="24"/>
        </w:rPr>
        <w:t xml:space="preserve">- zespół czynności wykonywanych przed zamocowaniem </w:t>
      </w:r>
      <w:r>
        <w:rPr>
          <w:color w:val="000000"/>
          <w:spacing w:val="2"/>
          <w:sz w:val="24"/>
          <w:szCs w:val="24"/>
        </w:rPr>
        <w:t>osprzętu instalacyjnego, urządzenia elektrycznego, odbiornika energii elektrycznej, ukła</w:t>
      </w:r>
      <w:r>
        <w:rPr>
          <w:color w:val="000000"/>
          <w:spacing w:val="4"/>
          <w:sz w:val="24"/>
          <w:szCs w:val="24"/>
        </w:rPr>
        <w:t xml:space="preserve">daniem kabli i przewodów mający na celu zapewnienie możliwości ich zamocowania </w:t>
      </w:r>
      <w:r>
        <w:rPr>
          <w:color w:val="000000"/>
          <w:spacing w:val="2"/>
          <w:sz w:val="24"/>
          <w:szCs w:val="24"/>
        </w:rPr>
        <w:t>zgodnie z dokumentacją.</w:t>
      </w:r>
    </w:p>
    <w:p>
      <w:pPr>
        <w:pStyle w:val="Normal"/>
        <w:shd w:val="clear" w:color="auto" w:fill="FFFFFF"/>
        <w:ind w:start="426" w:end="423"/>
        <w:rPr>
          <w:sz w:val="24"/>
          <w:szCs w:val="24"/>
        </w:rPr>
      </w:pPr>
      <w:r>
        <w:rPr>
          <w:color w:val="000000"/>
          <w:spacing w:val="-1"/>
          <w:sz w:val="24"/>
          <w:szCs w:val="24"/>
        </w:rPr>
        <w:t>Do prac przygotowawczych zalicza się następujące grupy czynności:</w:t>
      </w:r>
    </w:p>
    <w:p>
      <w:pPr>
        <w:pStyle w:val="Normal"/>
        <w:numPr>
          <w:ilvl w:val="0"/>
          <w:numId w:val="3"/>
        </w:numPr>
        <w:shd w:val="clear" w:color="auto" w:fill="FFFFFF"/>
        <w:ind w:start="426" w:end="423"/>
        <w:rPr>
          <w:sz w:val="24"/>
          <w:szCs w:val="24"/>
        </w:rPr>
      </w:pPr>
      <w:r>
        <w:rPr>
          <w:color w:val="000000"/>
          <w:sz w:val="24"/>
          <w:szCs w:val="24"/>
        </w:rPr>
        <w:t>wiercenie i przebijanie otworów przelotowych i nieprzelotowych,</w:t>
      </w:r>
    </w:p>
    <w:p>
      <w:pPr>
        <w:pStyle w:val="Normal"/>
        <w:numPr>
          <w:ilvl w:val="0"/>
          <w:numId w:val="3"/>
        </w:numPr>
        <w:shd w:val="clear" w:color="auto" w:fill="FFFFFF"/>
        <w:ind w:start="426" w:end="423"/>
        <w:rPr>
          <w:sz w:val="24"/>
          <w:szCs w:val="24"/>
        </w:rPr>
      </w:pPr>
      <w:r>
        <w:rPr>
          <w:color w:val="000000"/>
          <w:spacing w:val="-1"/>
          <w:sz w:val="24"/>
          <w:szCs w:val="24"/>
        </w:rPr>
        <w:t>kucie bruzd i</w:t>
      </w:r>
      <w:r>
        <w:rPr>
          <w:b/>
          <w:bCs/>
          <w:color w:val="000000"/>
          <w:spacing w:val="-1"/>
          <w:sz w:val="24"/>
          <w:szCs w:val="24"/>
        </w:rPr>
        <w:t xml:space="preserve"> </w:t>
      </w:r>
      <w:r>
        <w:rPr>
          <w:color w:val="000000"/>
          <w:spacing w:val="-1"/>
          <w:sz w:val="24"/>
          <w:szCs w:val="24"/>
        </w:rPr>
        <w:t>wnęk,</w:t>
      </w:r>
    </w:p>
    <w:p>
      <w:pPr>
        <w:pStyle w:val="Normal"/>
        <w:numPr>
          <w:ilvl w:val="0"/>
          <w:numId w:val="3"/>
        </w:numPr>
        <w:shd w:val="clear" w:color="auto" w:fill="FFFFFF"/>
        <w:ind w:start="426" w:end="423"/>
        <w:rPr>
          <w:sz w:val="24"/>
          <w:szCs w:val="24"/>
        </w:rPr>
      </w:pPr>
      <w:r>
        <w:rPr>
          <w:color w:val="000000"/>
          <w:sz w:val="24"/>
          <w:szCs w:val="24"/>
        </w:rPr>
        <w:t>osadzanie kołków w podłożu, w tym ich wstrzeliwanie,</w:t>
      </w:r>
    </w:p>
    <w:p>
      <w:pPr>
        <w:pStyle w:val="Normal"/>
        <w:numPr>
          <w:ilvl w:val="0"/>
          <w:numId w:val="4"/>
        </w:numPr>
        <w:shd w:val="clear" w:color="auto" w:fill="FFFFFF"/>
        <w:ind w:start="426" w:end="423"/>
        <w:rPr>
          <w:sz w:val="24"/>
          <w:szCs w:val="24"/>
        </w:rPr>
      </w:pPr>
      <w:r>
        <w:rPr>
          <w:color w:val="000000"/>
          <w:spacing w:val="-1"/>
          <w:sz w:val="24"/>
          <w:szCs w:val="24"/>
        </w:rPr>
        <w:t>montaż uchwytów do rur i przewodów,</w:t>
      </w:r>
    </w:p>
    <w:p>
      <w:pPr>
        <w:pStyle w:val="Normal"/>
        <w:numPr>
          <w:ilvl w:val="0"/>
          <w:numId w:val="4"/>
        </w:numPr>
        <w:shd w:val="clear" w:color="auto" w:fill="FFFFFF"/>
        <w:ind w:hanging="288" w:start="426" w:end="423"/>
        <w:rPr>
          <w:sz w:val="24"/>
          <w:szCs w:val="24"/>
        </w:rPr>
      </w:pPr>
      <w:r>
        <w:rPr>
          <w:color w:val="000000"/>
          <w:sz w:val="24"/>
          <w:szCs w:val="24"/>
        </w:rPr>
        <w:t>montaż konstrukcji wsporczych do korytek, drabinek, instalacji wiązkowych, szynoprze</w:t>
      </w:r>
      <w:r>
        <w:rPr>
          <w:color w:val="000000"/>
          <w:spacing w:val="-4"/>
          <w:sz w:val="24"/>
          <w:szCs w:val="24"/>
        </w:rPr>
        <w:t>wodów,</w:t>
      </w:r>
    </w:p>
    <w:p>
      <w:pPr>
        <w:pStyle w:val="Normal"/>
        <w:numPr>
          <w:ilvl w:val="0"/>
          <w:numId w:val="4"/>
        </w:numPr>
        <w:shd w:val="clear" w:color="auto" w:fill="FFFFFF"/>
        <w:ind w:start="426" w:end="423"/>
        <w:rPr>
          <w:sz w:val="24"/>
          <w:szCs w:val="24"/>
        </w:rPr>
      </w:pPr>
      <w:r>
        <w:rPr>
          <w:color w:val="000000"/>
          <w:spacing w:val="-1"/>
          <w:sz w:val="24"/>
          <w:szCs w:val="24"/>
        </w:rPr>
        <w:t>montaż korytek, drabinek, listew i rur instalacyjnych,</w:t>
      </w:r>
    </w:p>
    <w:p>
      <w:pPr>
        <w:pStyle w:val="Normal"/>
        <w:numPr>
          <w:ilvl w:val="0"/>
          <w:numId w:val="4"/>
        </w:numPr>
        <w:shd w:val="clear" w:color="auto" w:fill="FFFFFF"/>
        <w:ind w:start="426" w:end="423"/>
        <w:rPr>
          <w:sz w:val="24"/>
          <w:szCs w:val="24"/>
        </w:rPr>
      </w:pPr>
      <w:r>
        <w:rPr>
          <w:color w:val="000000"/>
          <w:sz w:val="24"/>
          <w:szCs w:val="24"/>
        </w:rPr>
        <w:t>oczyszczenie podłoża - przygotowanie do klejenia.</w:t>
      </w:r>
    </w:p>
    <w:p>
      <w:pPr>
        <w:pStyle w:val="Normal"/>
        <w:shd w:val="clear" w:color="auto" w:fill="FFFFFF"/>
        <w:ind w:start="426" w:end="423"/>
        <w:rPr>
          <w:sz w:val="24"/>
          <w:szCs w:val="24"/>
        </w:rPr>
      </w:pPr>
      <w:r>
        <w:rPr>
          <w:b/>
          <w:bCs/>
          <w:color w:val="000000"/>
          <w:spacing w:val="1"/>
          <w:sz w:val="24"/>
          <w:szCs w:val="24"/>
        </w:rPr>
        <w:t xml:space="preserve">Część dostępna </w:t>
      </w:r>
      <w:r>
        <w:rPr>
          <w:color w:val="000000"/>
          <w:spacing w:val="1"/>
          <w:sz w:val="24"/>
          <w:szCs w:val="24"/>
        </w:rPr>
        <w:t xml:space="preserve">- przewodząca część urządzenia elektroenergetycznego lub innego </w:t>
      </w:r>
      <w:r>
        <w:rPr>
          <w:color w:val="000000"/>
          <w:sz w:val="24"/>
          <w:szCs w:val="24"/>
        </w:rPr>
        <w:t>przedmiotu, będąca w zasięgu ręki ze stanowiska dostępnego (tj. takiego, na którym człowiek o przeciętnej sprawności fizycznej może się znaleźć bez korzystania ze środków po</w:t>
      </w:r>
      <w:r>
        <w:rPr>
          <w:color w:val="000000"/>
          <w:spacing w:val="-1"/>
          <w:sz w:val="24"/>
          <w:szCs w:val="24"/>
        </w:rPr>
        <w:t>mocniczych np. drabiny, słupołazów itp.), która podczas normalnej pracy nie jest pod napięciem, jednak może się pod nim znaleźć w momencie zakłócenia (uszkodzenia lub niezamie</w:t>
      </w:r>
      <w:r>
        <w:rPr>
          <w:color w:val="000000"/>
          <w:sz w:val="24"/>
          <w:szCs w:val="24"/>
        </w:rPr>
        <w:t>rzonej zmiany instalacji elektroenergetycznej, parametrów, charakterystyk lub układu pracy urządzenia np. zwarcia, wyniesienia potencjału, uszkodzenia izolacji itp.).</w:t>
      </w:r>
    </w:p>
    <w:p>
      <w:pPr>
        <w:pStyle w:val="Normal"/>
        <w:shd w:val="clear" w:color="auto" w:fill="FFFFFF"/>
        <w:ind w:start="426" w:end="423"/>
        <w:rPr>
          <w:sz w:val="24"/>
          <w:szCs w:val="24"/>
        </w:rPr>
      </w:pPr>
      <w:r>
        <w:rPr>
          <w:b/>
          <w:bCs/>
          <w:color w:val="000000"/>
          <w:spacing w:val="2"/>
          <w:sz w:val="24"/>
          <w:szCs w:val="24"/>
        </w:rPr>
        <w:t xml:space="preserve">Miejsce wydzielone </w:t>
      </w:r>
      <w:r>
        <w:rPr>
          <w:color w:val="000000"/>
          <w:spacing w:val="2"/>
          <w:sz w:val="24"/>
          <w:szCs w:val="24"/>
        </w:rPr>
        <w:t>- zamykana przestrzeń lub miejsce eksploatacji instalacji lub urzą</w:t>
      </w:r>
      <w:r>
        <w:rPr>
          <w:color w:val="000000"/>
          <w:spacing w:val="-1"/>
          <w:sz w:val="24"/>
          <w:szCs w:val="24"/>
        </w:rPr>
        <w:t>dzeń, do którego dostęp posiadają jedynie osoby upoważnione.</w:t>
      </w:r>
    </w:p>
    <w:p>
      <w:pPr>
        <w:pStyle w:val="Normal"/>
        <w:shd w:val="clear" w:color="auto" w:fill="FFFFFF"/>
        <w:ind w:start="426" w:end="423"/>
        <w:rPr>
          <w:sz w:val="24"/>
          <w:szCs w:val="24"/>
        </w:rPr>
      </w:pPr>
      <w:r>
        <w:rPr>
          <w:b/>
          <w:bCs/>
          <w:color w:val="000000"/>
          <w:spacing w:val="1"/>
          <w:sz w:val="24"/>
          <w:szCs w:val="24"/>
        </w:rPr>
        <w:t xml:space="preserve">Napięcie dotykowe Ud </w:t>
      </w:r>
      <w:r>
        <w:rPr>
          <w:b/>
          <w:bCs/>
          <w:i/>
          <w:iCs/>
          <w:color w:val="000000"/>
          <w:spacing w:val="1"/>
          <w:sz w:val="24"/>
          <w:szCs w:val="24"/>
        </w:rPr>
        <w:t xml:space="preserve">(źródłowe przy dotyku) </w:t>
      </w:r>
      <w:r>
        <w:rPr>
          <w:i/>
          <w:iCs/>
          <w:color w:val="000000"/>
          <w:spacing w:val="1"/>
          <w:sz w:val="24"/>
          <w:szCs w:val="24"/>
        </w:rPr>
        <w:t xml:space="preserve">- </w:t>
      </w:r>
      <w:r>
        <w:rPr>
          <w:color w:val="000000"/>
          <w:spacing w:val="1"/>
          <w:sz w:val="24"/>
          <w:szCs w:val="24"/>
        </w:rPr>
        <w:t xml:space="preserve">napięcie pojawiające się przy zwarciu </w:t>
      </w:r>
      <w:r>
        <w:rPr>
          <w:color w:val="000000"/>
          <w:spacing w:val="-1"/>
          <w:sz w:val="24"/>
          <w:szCs w:val="24"/>
        </w:rPr>
        <w:t>doziemnym pomiędzy przewodzącą częścią, która może być (nie jest) dotknięta przez człowieka a miejscem na ziemi, na którym znajdują się stopy.</w:t>
      </w:r>
    </w:p>
    <w:p>
      <w:pPr>
        <w:pStyle w:val="Normal"/>
        <w:shd w:val="clear" w:color="auto" w:fill="FFFFFF"/>
        <w:ind w:start="426" w:end="423"/>
        <w:rPr>
          <w:sz w:val="24"/>
          <w:szCs w:val="24"/>
        </w:rPr>
      </w:pPr>
      <w:r>
        <w:rPr>
          <w:b/>
          <w:bCs/>
          <w:color w:val="000000"/>
          <w:spacing w:val="7"/>
          <w:sz w:val="24"/>
          <w:szCs w:val="24"/>
        </w:rPr>
        <w:t xml:space="preserve">Osłona izolacyjna </w:t>
      </w:r>
      <w:r>
        <w:rPr>
          <w:color w:val="000000"/>
          <w:spacing w:val="7"/>
          <w:sz w:val="24"/>
          <w:szCs w:val="24"/>
        </w:rPr>
        <w:t xml:space="preserve">- osłona wykonana w celu uniemożliwienia dotknięcia elementów </w:t>
      </w:r>
      <w:r>
        <w:rPr>
          <w:color w:val="000000"/>
          <w:sz w:val="24"/>
          <w:szCs w:val="24"/>
        </w:rPr>
        <w:t xml:space="preserve">w części dostępnej, na których może się pojawić niebezpieczne napięcie np. na pancerzu </w:t>
      </w:r>
      <w:r>
        <w:rPr>
          <w:color w:val="000000"/>
          <w:spacing w:val="-2"/>
          <w:sz w:val="24"/>
          <w:szCs w:val="24"/>
        </w:rPr>
        <w:t>metalowym kabla.</w:t>
      </w:r>
    </w:p>
    <w:p>
      <w:pPr>
        <w:pStyle w:val="Normal"/>
        <w:shd w:val="clear" w:color="auto" w:fill="FFFFFF"/>
        <w:ind w:start="426" w:end="423"/>
        <w:rPr>
          <w:sz w:val="24"/>
          <w:szCs w:val="24"/>
        </w:rPr>
      </w:pPr>
      <w:r>
        <w:rPr>
          <w:b/>
          <w:bCs/>
          <w:color w:val="000000"/>
          <w:spacing w:val="-1"/>
          <w:sz w:val="24"/>
          <w:szCs w:val="24"/>
        </w:rPr>
        <w:t xml:space="preserve">Ziemia odniesienia </w:t>
      </w:r>
      <w:r>
        <w:rPr>
          <w:color w:val="000000"/>
          <w:spacing w:val="-1"/>
          <w:sz w:val="24"/>
          <w:szCs w:val="24"/>
        </w:rPr>
        <w:t>- miejsce w którym prąd uziemienia nie powoduje zauważalnej różnicy potencjałów pomiędzy dwoma dowolnymi punktami.</w:t>
      </w:r>
    </w:p>
    <w:p>
      <w:pPr>
        <w:pStyle w:val="Normal"/>
        <w:shd w:val="clear" w:color="auto" w:fill="FFFFFF"/>
        <w:ind w:start="426" w:end="423"/>
        <w:rPr>
          <w:sz w:val="24"/>
          <w:szCs w:val="24"/>
        </w:rPr>
      </w:pPr>
      <w:r>
        <w:rPr>
          <w:b/>
          <w:bCs/>
          <w:color w:val="000000"/>
          <w:sz w:val="24"/>
          <w:szCs w:val="24"/>
        </w:rPr>
        <w:t xml:space="preserve">Przewód uziemiający </w:t>
      </w:r>
      <w:r>
        <w:rPr>
          <w:color w:val="000000"/>
          <w:sz w:val="24"/>
          <w:szCs w:val="24"/>
        </w:rPr>
        <w:t xml:space="preserve">- przewodnik łączący uziemiany element z uziomem, umieszczony </w:t>
      </w:r>
      <w:r>
        <w:rPr>
          <w:color w:val="000000"/>
          <w:spacing w:val="-1"/>
          <w:sz w:val="24"/>
          <w:szCs w:val="24"/>
        </w:rPr>
        <w:t>poza ziemią lub izolowany od ziemi i wody, jeśli się w tym środowisku znajduje.</w:t>
      </w:r>
    </w:p>
    <w:p>
      <w:pPr>
        <w:pStyle w:val="Normal"/>
        <w:shd w:val="clear" w:color="auto" w:fill="FFFFFF"/>
        <w:ind w:start="426" w:end="423"/>
        <w:rPr>
          <w:sz w:val="24"/>
          <w:szCs w:val="24"/>
        </w:rPr>
      </w:pPr>
      <w:r>
        <w:rPr>
          <w:b/>
          <w:bCs/>
          <w:color w:val="000000"/>
          <w:sz w:val="24"/>
          <w:szCs w:val="24"/>
        </w:rPr>
        <w:t xml:space="preserve">Uziemienie </w:t>
      </w:r>
      <w:r>
        <w:rPr>
          <w:color w:val="000000"/>
          <w:sz w:val="24"/>
          <w:szCs w:val="24"/>
        </w:rPr>
        <w:t>- zespół środków i urządzeń służących połączeniu przewodzącej części z zie</w:t>
      </w:r>
      <w:r>
        <w:rPr>
          <w:color w:val="000000"/>
          <w:spacing w:val="-1"/>
          <w:sz w:val="24"/>
          <w:szCs w:val="24"/>
        </w:rPr>
        <w:t>mią poprzez odpowiednią instalację.</w:t>
      </w:r>
    </w:p>
    <w:p>
      <w:pPr>
        <w:pStyle w:val="Normal"/>
        <w:shd w:val="clear" w:color="auto" w:fill="FFFFFF"/>
        <w:ind w:start="426" w:end="423"/>
        <w:rPr>
          <w:sz w:val="24"/>
          <w:szCs w:val="24"/>
        </w:rPr>
      </w:pPr>
      <w:r>
        <w:rPr>
          <w:b/>
          <w:bCs/>
          <w:color w:val="000000"/>
          <w:spacing w:val="2"/>
          <w:sz w:val="24"/>
          <w:szCs w:val="24"/>
        </w:rPr>
        <w:t xml:space="preserve">Uziom </w:t>
      </w:r>
      <w:r>
        <w:rPr>
          <w:color w:val="000000"/>
          <w:spacing w:val="2"/>
          <w:sz w:val="24"/>
          <w:szCs w:val="24"/>
        </w:rPr>
        <w:t xml:space="preserve">- przewodnik umieszczony w ziemi lub betonie o odpowiednio dużej powierzchni </w:t>
      </w:r>
      <w:r>
        <w:rPr>
          <w:color w:val="000000"/>
          <w:spacing w:val="-1"/>
          <w:sz w:val="24"/>
          <w:szCs w:val="24"/>
        </w:rPr>
        <w:t>styku w celu zapewnienia dobrego połączenia elektrycznego.</w:t>
      </w:r>
    </w:p>
    <w:p>
      <w:pPr>
        <w:pStyle w:val="Normal"/>
        <w:shd w:val="clear" w:color="auto" w:fill="FFFFFF"/>
        <w:ind w:start="426" w:end="423"/>
        <w:rPr>
          <w:sz w:val="24"/>
          <w:szCs w:val="24"/>
        </w:rPr>
      </w:pPr>
      <w:r>
        <w:rPr>
          <w:color w:val="000000"/>
          <w:spacing w:val="-1"/>
          <w:sz w:val="24"/>
          <w:szCs w:val="24"/>
        </w:rPr>
        <w:t>Może występować jako:</w:t>
      </w:r>
    </w:p>
    <w:p>
      <w:pPr>
        <w:pStyle w:val="Normal"/>
        <w:numPr>
          <w:ilvl w:val="0"/>
          <w:numId w:val="10"/>
        </w:numPr>
        <w:shd w:val="clear" w:color="auto" w:fill="FFFFFF"/>
        <w:tabs>
          <w:tab w:val="clear" w:pos="708"/>
          <w:tab w:val="left" w:pos="283" w:leader="none"/>
        </w:tabs>
        <w:ind w:start="426" w:end="423"/>
        <w:rPr>
          <w:sz w:val="24"/>
          <w:szCs w:val="24"/>
        </w:rPr>
      </w:pPr>
      <w:r>
        <w:rPr>
          <w:b/>
          <w:bCs/>
          <w:i/>
          <w:iCs/>
          <w:color w:val="000000"/>
          <w:spacing w:val="-1"/>
          <w:sz w:val="24"/>
          <w:szCs w:val="24"/>
        </w:rPr>
        <w:t xml:space="preserve">naturalny </w:t>
      </w:r>
      <w:r>
        <w:rPr>
          <w:color w:val="000000"/>
          <w:spacing w:val="-1"/>
          <w:sz w:val="24"/>
          <w:szCs w:val="24"/>
        </w:rPr>
        <w:t>(wykonany w innym celu, a używany do uziemienia),</w:t>
      </w:r>
    </w:p>
    <w:p>
      <w:pPr>
        <w:pStyle w:val="Normal"/>
        <w:numPr>
          <w:ilvl w:val="0"/>
          <w:numId w:val="10"/>
        </w:numPr>
        <w:shd w:val="clear" w:color="auto" w:fill="FFFFFF"/>
        <w:tabs>
          <w:tab w:val="clear" w:pos="708"/>
          <w:tab w:val="left" w:pos="283" w:leader="none"/>
        </w:tabs>
        <w:ind w:start="426" w:end="423"/>
        <w:rPr>
          <w:sz w:val="24"/>
          <w:szCs w:val="24"/>
        </w:rPr>
      </w:pPr>
      <w:r>
        <w:rPr>
          <w:b/>
          <w:bCs/>
          <w:i/>
          <w:iCs/>
          <w:color w:val="000000"/>
          <w:spacing w:val="-1"/>
          <w:sz w:val="24"/>
          <w:szCs w:val="24"/>
        </w:rPr>
        <w:t xml:space="preserve">sztuczny </w:t>
      </w:r>
      <w:r>
        <w:rPr>
          <w:color w:val="000000"/>
          <w:spacing w:val="-1"/>
          <w:sz w:val="24"/>
          <w:szCs w:val="24"/>
        </w:rPr>
        <w:t>(wykonany w celu uziemienia),</w:t>
      </w:r>
    </w:p>
    <w:p>
      <w:pPr>
        <w:pStyle w:val="Normal"/>
        <w:shd w:val="clear" w:color="auto" w:fill="FFFFFF"/>
        <w:ind w:firstLine="266" w:start="426" w:end="423"/>
        <w:rPr>
          <w:sz w:val="24"/>
          <w:szCs w:val="24"/>
        </w:rPr>
      </w:pPr>
      <w:r>
        <w:rPr>
          <w:color w:val="000000"/>
          <w:spacing w:val="1"/>
          <w:sz w:val="24"/>
          <w:szCs w:val="24"/>
        </w:rPr>
        <w:t xml:space="preserve">Jako podstawę przyjmuje się wykorzystanie uziomów naturalnych, jednak w przypadku </w:t>
      </w:r>
      <w:r>
        <w:rPr>
          <w:color w:val="000000"/>
          <w:spacing w:val="-1"/>
          <w:sz w:val="24"/>
          <w:szCs w:val="24"/>
        </w:rPr>
        <w:t>braku możliwości lub nieopłacalności ich zastosowania, wykonuje się uziomy sztuczne.</w:t>
      </w:r>
    </w:p>
    <w:p>
      <w:pPr>
        <w:pStyle w:val="Normal"/>
        <w:shd w:val="clear" w:color="auto" w:fill="FFFFFF"/>
        <w:ind w:start="426" w:end="423"/>
        <w:rPr>
          <w:sz w:val="24"/>
          <w:szCs w:val="24"/>
        </w:rPr>
      </w:pPr>
      <w:r>
        <w:rPr>
          <w:color w:val="000000"/>
          <w:spacing w:val="-1"/>
          <w:sz w:val="24"/>
          <w:szCs w:val="24"/>
        </w:rPr>
        <w:t>Materiały stosowane na uziomy sztuczne:</w:t>
      </w:r>
    </w:p>
    <w:p>
      <w:pPr>
        <w:pStyle w:val="Normal"/>
        <w:numPr>
          <w:ilvl w:val="0"/>
          <w:numId w:val="10"/>
        </w:numPr>
        <w:shd w:val="clear" w:color="auto" w:fill="FFFFFF"/>
        <w:tabs>
          <w:tab w:val="clear" w:pos="708"/>
          <w:tab w:val="left" w:pos="283" w:leader="none"/>
        </w:tabs>
        <w:ind w:start="426" w:end="423"/>
        <w:rPr>
          <w:sz w:val="24"/>
          <w:szCs w:val="24"/>
        </w:rPr>
      </w:pPr>
      <w:r>
        <w:rPr>
          <w:color w:val="000000"/>
          <w:spacing w:val="-1"/>
          <w:sz w:val="24"/>
          <w:szCs w:val="24"/>
        </w:rPr>
        <w:t>Stal ocynkowana na gorąco oraz pokryta miedzią galwanicznie lub platerowana</w:t>
      </w:r>
    </w:p>
    <w:p>
      <w:pPr>
        <w:pStyle w:val="Normal"/>
        <w:numPr>
          <w:ilvl w:val="0"/>
          <w:numId w:val="10"/>
        </w:numPr>
        <w:shd w:val="clear" w:color="auto" w:fill="FFFFFF"/>
        <w:tabs>
          <w:tab w:val="clear" w:pos="708"/>
          <w:tab w:val="left" w:pos="283" w:leader="none"/>
        </w:tabs>
        <w:ind w:start="426" w:end="423"/>
        <w:rPr>
          <w:sz w:val="24"/>
          <w:szCs w:val="24"/>
        </w:rPr>
      </w:pPr>
      <w:r>
        <w:rPr>
          <w:color w:val="000000"/>
          <w:spacing w:val="-1"/>
          <w:sz w:val="24"/>
          <w:szCs w:val="24"/>
        </w:rPr>
        <w:t>Miedź goła a także pokryta cyną lub ocynkowana</w:t>
      </w:r>
    </w:p>
    <w:p>
      <w:pPr>
        <w:pStyle w:val="Normal"/>
        <w:shd w:val="clear" w:color="auto" w:fill="FFFFFF"/>
        <w:ind w:start="426" w:end="423"/>
        <w:rPr>
          <w:sz w:val="24"/>
          <w:szCs w:val="24"/>
        </w:rPr>
      </w:pPr>
      <w:r>
        <w:rPr>
          <w:b/>
          <w:bCs/>
          <w:color w:val="000000"/>
          <w:spacing w:val="-2"/>
          <w:sz w:val="24"/>
          <w:szCs w:val="24"/>
        </w:rPr>
        <w:t xml:space="preserve">Zwody </w:t>
      </w:r>
      <w:r>
        <w:rPr>
          <w:color w:val="000000"/>
          <w:spacing w:val="-2"/>
          <w:sz w:val="24"/>
          <w:szCs w:val="24"/>
        </w:rPr>
        <w:t>- górna część urządzenia piorunochronnego przeznaczona do przechwytywania ude</w:t>
      </w:r>
      <w:r>
        <w:rPr>
          <w:color w:val="000000"/>
          <w:spacing w:val="-4"/>
          <w:sz w:val="24"/>
          <w:szCs w:val="24"/>
        </w:rPr>
        <w:t>rzenia pioruna.</w:t>
      </w:r>
    </w:p>
    <w:p>
      <w:pPr>
        <w:pStyle w:val="BodyTextIndent"/>
        <w:spacing w:lineRule="auto" w:line="240"/>
        <w:ind w:firstLine="266" w:start="426" w:end="423"/>
        <w:rPr>
          <w:rFonts w:ascii="Arial" w:hAnsi="Arial" w:cs="Arial"/>
          <w:sz w:val="24"/>
          <w:szCs w:val="24"/>
        </w:rPr>
      </w:pPr>
      <w:r>
        <w:rPr>
          <w:rFonts w:cs="Arial" w:ascii="Arial" w:hAnsi="Arial"/>
          <w:sz w:val="24"/>
          <w:szCs w:val="24"/>
        </w:rPr>
        <w:t>Jako zwody, ze względów ekonomicznych i zgodnie z zaleceniami normy, wykorzystuje się metalowe lub żelbetowe elementy dachu (szczególnie te, które wystają ponad dach).</w:t>
      </w:r>
    </w:p>
    <w:p>
      <w:pPr>
        <w:pStyle w:val="Normal"/>
        <w:shd w:val="clear" w:color="auto" w:fill="FFFFFF"/>
        <w:ind w:start="426" w:end="423"/>
        <w:rPr>
          <w:sz w:val="24"/>
          <w:szCs w:val="24"/>
        </w:rPr>
      </w:pPr>
      <w:r>
        <w:rPr>
          <w:color w:val="000000"/>
          <w:spacing w:val="-2"/>
          <w:sz w:val="24"/>
          <w:szCs w:val="24"/>
        </w:rPr>
        <w:t>Rodzaje zwodów:</w:t>
      </w:r>
    </w:p>
    <w:p>
      <w:pPr>
        <w:pStyle w:val="Normal"/>
        <w:shd w:val="clear" w:color="auto" w:fill="FFFFFF"/>
        <w:tabs>
          <w:tab w:val="clear" w:pos="708"/>
          <w:tab w:val="left" w:pos="283" w:leader="none"/>
        </w:tabs>
        <w:ind w:hanging="284" w:start="426" w:end="423"/>
        <w:rPr>
          <w:sz w:val="24"/>
          <w:szCs w:val="24"/>
        </w:rPr>
      </w:pPr>
      <w:r>
        <w:rPr>
          <w:color w:val="000000"/>
          <w:sz w:val="24"/>
          <w:szCs w:val="24"/>
        </w:rPr>
        <w:t>-</w:t>
        <w:tab/>
      </w:r>
      <w:r>
        <w:rPr>
          <w:b/>
          <w:bCs/>
          <w:i/>
          <w:iCs/>
          <w:color w:val="000000"/>
          <w:sz w:val="24"/>
          <w:szCs w:val="24"/>
        </w:rPr>
        <w:t xml:space="preserve">Zwody naturalne </w:t>
      </w:r>
      <w:r>
        <w:rPr>
          <w:color w:val="000000"/>
          <w:sz w:val="24"/>
          <w:szCs w:val="24"/>
        </w:rPr>
        <w:t>- zewnętrzne lub wewnętrzne metalowe pokrycia i konstrukcje nośne dachów, a ich zastosowanie dotyczy wszystkich rodzajów ochrony obiektów (podstawo</w:t>
      </w:r>
      <w:r>
        <w:rPr>
          <w:color w:val="000000"/>
          <w:spacing w:val="2"/>
          <w:sz w:val="24"/>
          <w:szCs w:val="24"/>
        </w:rPr>
        <w:t xml:space="preserve">wej, obostrzonej i specjalnej). Wykorzystanie elementów dachu jako zwody naturalne </w:t>
      </w:r>
      <w:r>
        <w:rPr>
          <w:color w:val="000000"/>
          <w:sz w:val="24"/>
          <w:szCs w:val="24"/>
        </w:rPr>
        <w:t>jest możliwe jeśli spełnione są dodatkowe warunki:</w:t>
      </w:r>
    </w:p>
    <w:p>
      <w:pPr>
        <w:pStyle w:val="Normal"/>
        <w:shd w:val="clear" w:color="auto" w:fill="FFFFFF"/>
        <w:ind w:hanging="278" w:start="426" w:end="423"/>
        <w:rPr>
          <w:sz w:val="24"/>
          <w:szCs w:val="24"/>
        </w:rPr>
      </w:pPr>
      <w:r>
        <w:rPr>
          <w:i/>
          <w:iCs/>
          <w:color w:val="000000"/>
          <w:spacing w:val="2"/>
          <w:sz w:val="24"/>
          <w:szCs w:val="24"/>
        </w:rPr>
        <w:t>1</w:t>
      </w:r>
      <w:r>
        <w:rPr>
          <w:color w:val="000000"/>
          <w:spacing w:val="2"/>
          <w:sz w:val="24"/>
          <w:szCs w:val="24"/>
        </w:rPr>
        <w:t xml:space="preserve">. </w:t>
      </w:r>
      <w:r>
        <w:rPr>
          <w:i/>
          <w:iCs/>
          <w:color w:val="000000"/>
          <w:spacing w:val="2"/>
          <w:sz w:val="24"/>
          <w:szCs w:val="24"/>
        </w:rPr>
        <w:t xml:space="preserve">grubość blachy elementu musi być większa od 0,5 mm dla stali, cynku i miedzi oraz </w:t>
      </w:r>
      <w:r>
        <w:rPr>
          <w:i/>
          <w:iCs/>
          <w:color w:val="000000"/>
          <w:spacing w:val="-2"/>
          <w:sz w:val="24"/>
          <w:szCs w:val="24"/>
        </w:rPr>
        <w:t>1 mm dla aluminium</w:t>
      </w:r>
    </w:p>
    <w:p>
      <w:pPr>
        <w:pStyle w:val="Normal"/>
        <w:shd w:val="clear" w:color="auto" w:fill="FFFFFF"/>
        <w:ind w:firstLine="65" w:start="426" w:end="423"/>
        <w:rPr>
          <w:sz w:val="24"/>
          <w:szCs w:val="24"/>
        </w:rPr>
      </w:pPr>
      <w:r>
        <w:rPr>
          <w:i/>
          <w:iCs/>
          <w:color w:val="000000"/>
          <w:spacing w:val="-1"/>
          <w:sz w:val="24"/>
          <w:szCs w:val="24"/>
        </w:rPr>
        <w:t>2</w:t>
      </w:r>
      <w:r>
        <w:rPr>
          <w:color w:val="000000"/>
          <w:spacing w:val="-1"/>
          <w:sz w:val="24"/>
          <w:szCs w:val="24"/>
        </w:rPr>
        <w:t xml:space="preserve">. </w:t>
      </w:r>
      <w:r>
        <w:rPr>
          <w:i/>
          <w:iCs/>
          <w:color w:val="000000"/>
          <w:spacing w:val="-1"/>
          <w:sz w:val="24"/>
          <w:szCs w:val="24"/>
        </w:rPr>
        <w:t>krople metalu wytopione przez piorun nie mogą przedostać się do wnętrza budynku,</w:t>
      </w:r>
    </w:p>
    <w:p>
      <w:pPr>
        <w:pStyle w:val="Normal"/>
        <w:numPr>
          <w:ilvl w:val="0"/>
          <w:numId w:val="10"/>
        </w:numPr>
        <w:shd w:val="clear" w:color="auto" w:fill="FFFFFF"/>
        <w:tabs>
          <w:tab w:val="clear" w:pos="708"/>
          <w:tab w:val="left" w:pos="283" w:leader="none"/>
        </w:tabs>
        <w:ind w:hanging="284" w:start="426" w:end="423"/>
        <w:rPr>
          <w:sz w:val="24"/>
          <w:szCs w:val="24"/>
        </w:rPr>
      </w:pPr>
      <w:r>
        <w:rPr>
          <w:b/>
          <w:bCs/>
          <w:i/>
          <w:iCs/>
          <w:color w:val="000000"/>
          <w:spacing w:val="1"/>
          <w:sz w:val="24"/>
          <w:szCs w:val="24"/>
        </w:rPr>
        <w:t xml:space="preserve">Zwody sztuczne </w:t>
      </w:r>
      <w:r>
        <w:rPr>
          <w:color w:val="000000"/>
          <w:spacing w:val="1"/>
          <w:sz w:val="24"/>
          <w:szCs w:val="24"/>
        </w:rPr>
        <w:t>- wykonywane w przypadku braku możliwości zastosowania elemen</w:t>
      </w:r>
      <w:r>
        <w:rPr>
          <w:color w:val="000000"/>
          <w:spacing w:val="3"/>
          <w:sz w:val="24"/>
          <w:szCs w:val="24"/>
        </w:rPr>
        <w:t xml:space="preserve">tów dachu jako zwody naturalne, ze względu na konstrukcję dachu lub konieczności </w:t>
      </w:r>
      <w:r>
        <w:rPr>
          <w:color w:val="000000"/>
          <w:sz w:val="24"/>
          <w:szCs w:val="24"/>
        </w:rPr>
        <w:t>spełnienia warunków dodatkowych. Zwody montowane bezpośrednio na obiekcie określa się jako nieizolowane, natomiast montowane obok lub nad obiektem nazywa się izo</w:t>
      </w:r>
      <w:r>
        <w:rPr>
          <w:color w:val="000000"/>
          <w:spacing w:val="4"/>
          <w:sz w:val="24"/>
          <w:szCs w:val="24"/>
        </w:rPr>
        <w:t xml:space="preserve">lowanym. Rozróżnia się zwody poziome (niskie, podwyższone i wysokie) i pionowe. </w:t>
      </w:r>
      <w:r>
        <w:rPr>
          <w:color w:val="000000"/>
          <w:sz w:val="24"/>
          <w:szCs w:val="24"/>
        </w:rPr>
        <w:t xml:space="preserve">Ochronę odgromową z zastosowaniem zwodów poziomych niskich lub podwyższonych </w:t>
      </w:r>
      <w:r>
        <w:rPr>
          <w:color w:val="000000"/>
          <w:spacing w:val="1"/>
          <w:sz w:val="24"/>
          <w:szCs w:val="24"/>
        </w:rPr>
        <w:t>nazwano ochroną klatkową, natomiast z zastosowaniem zwodów pionowych lub pozio</w:t>
      </w:r>
      <w:r>
        <w:rPr>
          <w:color w:val="000000"/>
          <w:spacing w:val="-1"/>
          <w:sz w:val="24"/>
          <w:szCs w:val="24"/>
        </w:rPr>
        <w:t xml:space="preserve">mych wysokich nazwano ochroną strefową. Ochrona strefowa wymaga takiego dobrania </w:t>
      </w:r>
      <w:r>
        <w:rPr>
          <w:color w:val="000000"/>
          <w:spacing w:val="2"/>
          <w:sz w:val="24"/>
          <w:szCs w:val="24"/>
        </w:rPr>
        <w:t xml:space="preserve">wysokości montażu zwodów, aby cały chroniony obiekt znalazł się w strefie ochronnej </w:t>
      </w:r>
      <w:r>
        <w:rPr>
          <w:color w:val="000000"/>
          <w:spacing w:val="-1"/>
          <w:sz w:val="24"/>
          <w:szCs w:val="24"/>
        </w:rPr>
        <w:t>(wyznaczonej przez zwód i jego kąt ochronny).</w:t>
      </w:r>
    </w:p>
    <w:p>
      <w:pPr>
        <w:pStyle w:val="Normal"/>
        <w:shd w:val="clear" w:color="auto" w:fill="FFFFFF"/>
        <w:ind w:start="426" w:end="423"/>
        <w:rPr>
          <w:sz w:val="24"/>
          <w:szCs w:val="24"/>
        </w:rPr>
      </w:pPr>
      <w:r>
        <w:rPr>
          <w:b/>
          <w:bCs/>
          <w:color w:val="000000"/>
          <w:sz w:val="24"/>
          <w:szCs w:val="24"/>
        </w:rPr>
        <w:t xml:space="preserve">Ochrona wewnętrzna </w:t>
      </w:r>
      <w:r>
        <w:rPr>
          <w:color w:val="000000"/>
          <w:sz w:val="24"/>
          <w:szCs w:val="24"/>
        </w:rPr>
        <w:t xml:space="preserve">- zespół działań i urządzeń zapewniający bezpieczeństwo i ochronę </w:t>
      </w:r>
      <w:r>
        <w:rPr>
          <w:color w:val="000000"/>
          <w:spacing w:val="-1"/>
          <w:sz w:val="24"/>
          <w:szCs w:val="24"/>
        </w:rPr>
        <w:t xml:space="preserve">przed skutkami wyładowań piorunowych, ludziom znajdującym się w budynku. Realizowana </w:t>
      </w:r>
      <w:r>
        <w:rPr>
          <w:color w:val="000000"/>
          <w:sz w:val="24"/>
          <w:szCs w:val="24"/>
        </w:rPr>
        <w:t xml:space="preserve">jest poprzez: wykonanie ekwipotencjalizacji wszystkich urządzeń i elementów metalowych, zachowanie odpowiednich odstępów izolacyjnych lub stosowanie dodatkowych środków </w:t>
      </w:r>
      <w:r>
        <w:rPr>
          <w:color w:val="000000"/>
          <w:spacing w:val="-3"/>
          <w:sz w:val="24"/>
          <w:szCs w:val="24"/>
        </w:rPr>
        <w:t>ochrony</w:t>
      </w:r>
    </w:p>
    <w:p>
      <w:pPr>
        <w:pStyle w:val="Heading1"/>
        <w:numPr>
          <w:ilvl w:val="0"/>
          <w:numId w:val="13"/>
        </w:numPr>
        <w:ind w:hanging="360" w:start="426" w:end="423"/>
        <w:rPr>
          <w:rFonts w:ascii="Arial" w:hAnsi="Arial" w:cs="Arial"/>
          <w:sz w:val="24"/>
          <w:szCs w:val="24"/>
        </w:rPr>
      </w:pPr>
      <w:bookmarkStart w:id="15" w:name="_Toc115621665"/>
      <w:bookmarkStart w:id="16" w:name="_Toc535218188"/>
      <w:bookmarkEnd w:id="16"/>
      <w:r>
        <w:rPr>
          <w:rFonts w:cs="Arial" w:ascii="Arial" w:hAnsi="Arial"/>
          <w:sz w:val="24"/>
          <w:szCs w:val="24"/>
        </w:rPr>
        <w:t>Ogólne wymagania dotyczące robót</w:t>
      </w:r>
      <w:bookmarkEnd w:id="15"/>
    </w:p>
    <w:p>
      <w:pPr>
        <w:pStyle w:val="Normal"/>
        <w:shd w:val="clear" w:color="auto" w:fill="FFFFFF"/>
        <w:ind w:firstLine="282" w:start="426" w:end="423"/>
        <w:rPr>
          <w:sz w:val="24"/>
          <w:szCs w:val="24"/>
        </w:rPr>
      </w:pPr>
      <w:r>
        <w:rPr>
          <w:color w:val="000000"/>
          <w:spacing w:val="-3"/>
          <w:sz w:val="24"/>
          <w:szCs w:val="24"/>
        </w:rPr>
        <w:t>Wykonawca robót jest odpowiedzialny za jakość ich wykonania oraz za zgodność z dokumen</w:t>
      </w:r>
      <w:r>
        <w:rPr>
          <w:color w:val="000000"/>
          <w:spacing w:val="-2"/>
          <w:sz w:val="24"/>
          <w:szCs w:val="24"/>
        </w:rPr>
        <w:t xml:space="preserve">tacją projektową, specyfikacjami technicznymi i poleceniami Inspektora nadzoru. </w:t>
      </w:r>
    </w:p>
    <w:p>
      <w:pPr>
        <w:pStyle w:val="ListParagraph"/>
        <w:keepNext w:val="true"/>
        <w:keepLines/>
        <w:numPr>
          <w:ilvl w:val="0"/>
          <w:numId w:val="14"/>
        </w:numPr>
        <w:spacing w:before="40" w:after="0"/>
        <w:ind w:hanging="360" w:start="426" w:end="423"/>
        <w:contextualSpacing/>
        <w:outlineLvl w:val="1"/>
        <w:rPr>
          <w:rFonts w:eastAsia="" w:eastAsiaTheme="majorEastAsia"/>
          <w:vanish/>
          <w:color w:themeColor="accent1" w:themeShade="bf" w:val="365F91"/>
          <w:sz w:val="24"/>
          <w:szCs w:val="24"/>
        </w:rPr>
      </w:pPr>
      <w:r>
        <w:rPr>
          <w:rFonts w:eastAsia="" w:eastAsiaTheme="majorEastAsia"/>
          <w:vanish/>
          <w:color w:themeColor="accent1" w:themeShade="bf" w:val="365F91"/>
          <w:sz w:val="24"/>
          <w:szCs w:val="24"/>
        </w:rPr>
      </w:r>
      <w:bookmarkStart w:id="17" w:name="_Toc535218189"/>
      <w:bookmarkStart w:id="18" w:name="_Toc521263901"/>
      <w:bookmarkStart w:id="19" w:name="_Toc521263796"/>
      <w:bookmarkStart w:id="20" w:name="_Toc521263589"/>
      <w:bookmarkStart w:id="21" w:name="_Toc521263349"/>
      <w:bookmarkStart w:id="22" w:name="_Toc500006551"/>
      <w:bookmarkStart w:id="23" w:name="_Toc500062297"/>
      <w:bookmarkStart w:id="24" w:name="_Toc500062406"/>
      <w:bookmarkStart w:id="25" w:name="_Toc51793573"/>
      <w:bookmarkStart w:id="26" w:name="_Toc115621666"/>
      <w:bookmarkStart w:id="27" w:name="_Toc535218189"/>
      <w:bookmarkStart w:id="28" w:name="_Toc521263901"/>
      <w:bookmarkStart w:id="29" w:name="_Toc521263796"/>
      <w:bookmarkStart w:id="30" w:name="_Toc521263589"/>
      <w:bookmarkStart w:id="31" w:name="_Toc521263349"/>
      <w:bookmarkStart w:id="32" w:name="_Toc500006551"/>
      <w:bookmarkStart w:id="33" w:name="_Toc500062297"/>
      <w:bookmarkStart w:id="34" w:name="_Toc500062406"/>
      <w:bookmarkStart w:id="35" w:name="_Toc51793573"/>
      <w:bookmarkStart w:id="36" w:name="_Toc115621666"/>
      <w:bookmarkEnd w:id="27"/>
      <w:bookmarkEnd w:id="28"/>
      <w:bookmarkEnd w:id="29"/>
      <w:bookmarkEnd w:id="30"/>
      <w:bookmarkEnd w:id="31"/>
      <w:bookmarkEnd w:id="32"/>
      <w:bookmarkEnd w:id="33"/>
      <w:bookmarkEnd w:id="34"/>
      <w:bookmarkEnd w:id="35"/>
      <w:bookmarkEnd w:id="36"/>
    </w:p>
    <w:p>
      <w:pPr>
        <w:pStyle w:val="Heading2"/>
        <w:numPr>
          <w:ilvl w:val="1"/>
          <w:numId w:val="14"/>
        </w:numPr>
        <w:ind w:hanging="432" w:start="426" w:end="423"/>
        <w:rPr>
          <w:rFonts w:ascii="Arial" w:hAnsi="Arial" w:cs="Arial"/>
          <w:sz w:val="24"/>
          <w:szCs w:val="24"/>
        </w:rPr>
      </w:pPr>
      <w:bookmarkStart w:id="37" w:name="_Toc115621667"/>
      <w:bookmarkStart w:id="38" w:name="_Toc535218190"/>
      <w:bookmarkEnd w:id="38"/>
      <w:r>
        <w:rPr>
          <w:rFonts w:cs="Arial" w:ascii="Arial" w:hAnsi="Arial"/>
          <w:sz w:val="24"/>
          <w:szCs w:val="24"/>
        </w:rPr>
        <w:t>Dokumentacja robót montażowych</w:t>
      </w:r>
      <w:bookmarkEnd w:id="37"/>
    </w:p>
    <w:p>
      <w:pPr>
        <w:pStyle w:val="Normal"/>
        <w:shd w:val="clear" w:color="auto" w:fill="FFFFFF"/>
        <w:ind w:firstLine="282" w:start="426" w:end="423"/>
        <w:rPr>
          <w:sz w:val="24"/>
          <w:szCs w:val="24"/>
        </w:rPr>
      </w:pPr>
      <w:r>
        <w:rPr>
          <w:color w:val="000000"/>
          <w:sz w:val="24"/>
          <w:szCs w:val="24"/>
        </w:rPr>
        <w:t>Dokumentację robót montażowych elementów instalacji elektrycznej stanowią:</w:t>
      </w:r>
    </w:p>
    <w:p>
      <w:pPr>
        <w:pStyle w:val="Normal"/>
        <w:numPr>
          <w:ilvl w:val="0"/>
          <w:numId w:val="4"/>
        </w:numPr>
        <w:shd w:val="clear" w:color="auto" w:fill="FFFFFF"/>
        <w:ind w:hanging="288" w:start="426" w:end="423"/>
        <w:rPr>
          <w:sz w:val="24"/>
          <w:szCs w:val="24"/>
        </w:rPr>
      </w:pPr>
      <w:r>
        <w:rPr>
          <w:color w:val="000000"/>
          <w:spacing w:val="-2"/>
          <w:sz w:val="24"/>
          <w:szCs w:val="24"/>
        </w:rPr>
        <w:t>projekt budowlany i wykonawczy w zakresie wynikającym z rozporządzenia Ministra Infra</w:t>
      </w:r>
      <w:r>
        <w:rPr>
          <w:color w:val="000000"/>
          <w:spacing w:val="-1"/>
          <w:sz w:val="24"/>
          <w:szCs w:val="24"/>
        </w:rPr>
        <w:t>struktury z 02.09.2004 r. w sprawie szczegółowego zakresu i formy dokumentacji projek</w:t>
      </w:r>
      <w:r>
        <w:rPr>
          <w:color w:val="000000"/>
          <w:sz w:val="24"/>
          <w:szCs w:val="24"/>
        </w:rPr>
        <w:t xml:space="preserve">towej, specyfikacji technicznych wykonania i odbioru robót budowlanych oraz programu </w:t>
      </w:r>
      <w:r>
        <w:rPr>
          <w:color w:val="000000"/>
          <w:spacing w:val="-3"/>
          <w:sz w:val="24"/>
          <w:szCs w:val="24"/>
        </w:rPr>
        <w:t xml:space="preserve">funkcjonalno-użytkowego (Dz. U. z 2004 r. Nr 202, poz. 2072 zmian Dz. U. z 2005 r. Nr 75, </w:t>
      </w:r>
      <w:r>
        <w:rPr>
          <w:color w:val="000000"/>
          <w:spacing w:val="-4"/>
          <w:sz w:val="24"/>
          <w:szCs w:val="24"/>
        </w:rPr>
        <w:t>poz. 664),</w:t>
      </w:r>
    </w:p>
    <w:p>
      <w:pPr>
        <w:pStyle w:val="Normal"/>
        <w:numPr>
          <w:ilvl w:val="0"/>
          <w:numId w:val="4"/>
        </w:numPr>
        <w:shd w:val="clear" w:color="auto" w:fill="FFFFFF"/>
        <w:ind w:hanging="288" w:start="426" w:end="423"/>
        <w:rPr>
          <w:sz w:val="24"/>
          <w:szCs w:val="24"/>
        </w:rPr>
      </w:pPr>
      <w:r>
        <w:rPr>
          <w:color w:val="000000"/>
          <w:spacing w:val="-1"/>
          <w:sz w:val="24"/>
          <w:szCs w:val="24"/>
        </w:rPr>
        <w:t xml:space="preserve">specyfikacje techniczne wykonania i odbioru robót (obligatoryjne w przypadku zamówień </w:t>
      </w:r>
      <w:r>
        <w:rPr>
          <w:color w:val="000000"/>
          <w:spacing w:val="3"/>
          <w:sz w:val="24"/>
          <w:szCs w:val="24"/>
        </w:rPr>
        <w:t xml:space="preserve">publicznych), sporządzone zgodnie z rozporządzeniem Ministra Infrastruktury z dnia </w:t>
      </w:r>
      <w:r>
        <w:rPr>
          <w:color w:val="000000"/>
          <w:sz w:val="24"/>
          <w:szCs w:val="24"/>
        </w:rPr>
        <w:t>02.09.2004 r. w sprawie szczegółowego zakresu i formy dokumentacji projektowej, spe</w:t>
      </w:r>
      <w:r>
        <w:rPr>
          <w:color w:val="000000"/>
          <w:spacing w:val="2"/>
          <w:sz w:val="24"/>
          <w:szCs w:val="24"/>
        </w:rPr>
        <w:t>cyfikacji technicznych wykonania i odbioru robót budowlanych oraz programu funkcjo</w:t>
      </w:r>
      <w:r>
        <w:rPr>
          <w:color w:val="000000"/>
          <w:spacing w:val="4"/>
          <w:sz w:val="24"/>
          <w:szCs w:val="24"/>
        </w:rPr>
        <w:t xml:space="preserve">nalno-użytkowego (Dz. U. z 2004 r. Nr 202, poz. 2072 zmian Dz. U. z 2005 r. Nr 75, </w:t>
      </w:r>
      <w:r>
        <w:rPr>
          <w:color w:val="000000"/>
          <w:spacing w:val="-2"/>
          <w:sz w:val="24"/>
          <w:szCs w:val="24"/>
        </w:rPr>
        <w:t>poz. 664),</w:t>
      </w:r>
    </w:p>
    <w:p>
      <w:pPr>
        <w:pStyle w:val="Normal"/>
        <w:numPr>
          <w:ilvl w:val="0"/>
          <w:numId w:val="4"/>
        </w:numPr>
        <w:shd w:val="clear" w:color="auto" w:fill="FFFFFF"/>
        <w:ind w:hanging="288" w:start="426" w:end="423"/>
        <w:rPr>
          <w:sz w:val="24"/>
          <w:szCs w:val="24"/>
        </w:rPr>
      </w:pPr>
      <w:r>
        <w:rPr>
          <w:color w:val="000000"/>
          <w:spacing w:val="1"/>
          <w:sz w:val="24"/>
          <w:szCs w:val="24"/>
        </w:rPr>
        <w:t xml:space="preserve">dziennik budowy prowadzony zgodnie z rozporządzeniem Ministra Infrastruktury z dnia </w:t>
      </w:r>
      <w:r>
        <w:rPr>
          <w:color w:val="000000"/>
          <w:sz w:val="24"/>
          <w:szCs w:val="24"/>
        </w:rPr>
        <w:t>26 czerwca 2002 r. w sprawie dziennika budowy, montażu i rozbiórki, tablicy informacyj</w:t>
      </w:r>
      <w:r>
        <w:rPr>
          <w:color w:val="000000"/>
          <w:spacing w:val="4"/>
          <w:sz w:val="24"/>
          <w:szCs w:val="24"/>
        </w:rPr>
        <w:t xml:space="preserve">nej oraz ogłoszenia zawierającego dane dotyczące bezpieczeństwa pracy i ochrony </w:t>
      </w:r>
      <w:r>
        <w:rPr>
          <w:color w:val="000000"/>
          <w:sz w:val="24"/>
          <w:szCs w:val="24"/>
        </w:rPr>
        <w:t>zdrowia (Dz. U. z 2002 r. Nr 108, poz. 953 z późniejszymi zmianami),</w:t>
      </w:r>
    </w:p>
    <w:p>
      <w:pPr>
        <w:pStyle w:val="Normal"/>
        <w:numPr>
          <w:ilvl w:val="0"/>
          <w:numId w:val="4"/>
        </w:numPr>
        <w:shd w:val="clear" w:color="auto" w:fill="FFFFFF"/>
        <w:ind w:hanging="288" w:start="426" w:end="423"/>
        <w:rPr>
          <w:sz w:val="24"/>
          <w:szCs w:val="24"/>
        </w:rPr>
      </w:pPr>
      <w:r>
        <w:rPr>
          <w:color w:val="000000"/>
          <w:spacing w:val="2"/>
          <w:sz w:val="24"/>
          <w:szCs w:val="24"/>
        </w:rPr>
        <w:t xml:space="preserve">dokumenty świadczące o dopuszczeniu do obrotu i powszechnego lub jednostkowego </w:t>
      </w:r>
      <w:r>
        <w:rPr>
          <w:color w:val="000000"/>
          <w:spacing w:val="3"/>
          <w:sz w:val="24"/>
          <w:szCs w:val="24"/>
        </w:rPr>
        <w:t xml:space="preserve">zastosowania użytych wyrobów budowlanych, zgodnie z ustawą z 16 kwietnia 2004 r. </w:t>
      </w:r>
      <w:r>
        <w:rPr>
          <w:color w:val="000000"/>
          <w:spacing w:val="1"/>
          <w:sz w:val="24"/>
          <w:szCs w:val="24"/>
        </w:rPr>
        <w:t xml:space="preserve">o wyrobach budowlanych (Dz. U. z 2004 r. Nr 92, poz. 881), karty techniczne wyrobów </w:t>
      </w:r>
      <w:r>
        <w:rPr>
          <w:color w:val="000000"/>
          <w:spacing w:val="-1"/>
          <w:sz w:val="24"/>
          <w:szCs w:val="24"/>
        </w:rPr>
        <w:t>lub zalecenia producentów dotyczące stosowania wyrobów,</w:t>
      </w:r>
    </w:p>
    <w:p>
      <w:pPr>
        <w:pStyle w:val="Normal"/>
        <w:numPr>
          <w:ilvl w:val="0"/>
          <w:numId w:val="4"/>
        </w:numPr>
        <w:shd w:val="clear" w:color="auto" w:fill="FFFFFF"/>
        <w:ind w:hanging="288" w:start="426" w:end="423"/>
        <w:rPr>
          <w:sz w:val="24"/>
          <w:szCs w:val="24"/>
        </w:rPr>
      </w:pPr>
      <w:r>
        <w:rPr>
          <w:color w:val="000000"/>
          <w:spacing w:val="1"/>
          <w:sz w:val="24"/>
          <w:szCs w:val="24"/>
        </w:rPr>
        <w:t>protokoły odbiorów częściowych, końcowych oraz robót zanikających i ulegających za</w:t>
      </w:r>
      <w:r>
        <w:rPr>
          <w:color w:val="000000"/>
          <w:spacing w:val="-1"/>
          <w:sz w:val="24"/>
          <w:szCs w:val="24"/>
        </w:rPr>
        <w:t>kryciu z załączonymi protokołami z badań kontrolnych,</w:t>
      </w:r>
    </w:p>
    <w:p>
      <w:pPr>
        <w:pStyle w:val="Normal"/>
        <w:numPr>
          <w:ilvl w:val="0"/>
          <w:numId w:val="4"/>
        </w:numPr>
        <w:shd w:val="clear" w:color="auto" w:fill="FFFFFF"/>
        <w:ind w:hanging="288" w:start="426" w:end="423"/>
        <w:rPr>
          <w:sz w:val="24"/>
          <w:szCs w:val="24"/>
        </w:rPr>
      </w:pPr>
      <w:r>
        <w:rPr>
          <w:color w:val="000000"/>
          <w:spacing w:val="1"/>
          <w:sz w:val="24"/>
          <w:szCs w:val="24"/>
        </w:rPr>
        <w:t xml:space="preserve">dokumentacja powykonawcza (zgodnie z art. 3, pkt 14 ustawy Prawo budowlane z dnia </w:t>
      </w:r>
      <w:r>
        <w:rPr>
          <w:color w:val="000000"/>
          <w:sz w:val="24"/>
          <w:szCs w:val="24"/>
        </w:rPr>
        <w:t>7 lipca 1994 r. - Dz. U. z 2003 r. Nr 207, poz. 2016 z późniejszymi zmianami).</w:t>
      </w:r>
    </w:p>
    <w:p>
      <w:pPr>
        <w:pStyle w:val="Normal"/>
        <w:shd w:val="clear" w:color="auto" w:fill="FFFFFF"/>
        <w:ind w:start="426" w:end="423"/>
        <w:rPr>
          <w:sz w:val="24"/>
          <w:szCs w:val="24"/>
        </w:rPr>
      </w:pPr>
      <w:r>
        <w:rPr>
          <w:color w:val="000000"/>
          <w:spacing w:val="-1"/>
          <w:sz w:val="24"/>
          <w:szCs w:val="24"/>
        </w:rPr>
        <w:t xml:space="preserve">Montaż elementów instalacji elektrycznej należy wykonywać na podstawie dokumentacji projektowej i szczegółowej specyfikacji technicznej wykonania i odbioru robót montażowych, </w:t>
      </w:r>
      <w:r>
        <w:rPr>
          <w:color w:val="000000"/>
          <w:sz w:val="24"/>
          <w:szCs w:val="24"/>
        </w:rPr>
        <w:t>opracowanych dla konkretnego przedmiotu zamówienia.</w:t>
      </w:r>
    </w:p>
    <w:p>
      <w:pPr>
        <w:pStyle w:val="SpecyfikacjaSSTpodstawowy"/>
        <w:ind w:start="426" w:end="423"/>
        <w:jc w:val="start"/>
        <w:rPr>
          <w:rFonts w:ascii="Arial" w:hAnsi="Arial" w:cs="Arial"/>
        </w:rPr>
      </w:pPr>
      <w:r>
        <w:rPr>
          <w:rFonts w:cs="Arial" w:ascii="Arial" w:hAnsi="Arial"/>
        </w:rPr>
        <w:t>Przekazana dokumentacja projektowa ma zawierać:</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opis,</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 xml:space="preserve">część graficzną </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wszystkie dokumenty, zgodne z wykazem podanym w szczegółowych warunkach umowy.</w:t>
      </w:r>
    </w:p>
    <w:p>
      <w:pPr>
        <w:pStyle w:val="SpecyfikacjaSSTpodstawowy"/>
        <w:ind w:start="426" w:end="423"/>
        <w:jc w:val="start"/>
        <w:rPr>
          <w:rFonts w:ascii="Arial" w:hAnsi="Arial" w:cs="Arial"/>
        </w:rPr>
      </w:pPr>
      <w:r>
        <w:rPr>
          <w:rFonts w:cs="Arial" w:ascii="Arial" w:hAnsi="Arial"/>
        </w:rPr>
        <w:t>Wykonawca sporządza dokumentację powykonawczą oraz dokumentacją wykonawczą technologiczną dla poszczególnych elementów wyposażenia podlegającego odbiorze np. windy, pomiary, odbiory, próby szczelności.</w:t>
      </w:r>
    </w:p>
    <w:p>
      <w:pPr>
        <w:pStyle w:val="Heading2"/>
        <w:numPr>
          <w:ilvl w:val="1"/>
          <w:numId w:val="14"/>
        </w:numPr>
        <w:ind w:hanging="432" w:start="426" w:end="423"/>
        <w:rPr>
          <w:rFonts w:ascii="Arial" w:hAnsi="Arial" w:cs="Arial"/>
          <w:sz w:val="24"/>
          <w:szCs w:val="24"/>
        </w:rPr>
      </w:pPr>
      <w:bookmarkStart w:id="39" w:name="_Toc115621668"/>
      <w:bookmarkStart w:id="40" w:name="_Toc432063601"/>
      <w:bookmarkStart w:id="41" w:name="_Toc178478192"/>
      <w:bookmarkStart w:id="42" w:name="_Toc535218191"/>
      <w:bookmarkEnd w:id="40"/>
      <w:bookmarkEnd w:id="41"/>
      <w:bookmarkEnd w:id="42"/>
      <w:r>
        <w:rPr>
          <w:rFonts w:cs="Arial" w:ascii="Arial" w:hAnsi="Arial"/>
          <w:sz w:val="24"/>
          <w:szCs w:val="24"/>
        </w:rPr>
        <w:t>Teren budowy</w:t>
      </w:r>
      <w:bookmarkEnd w:id="39"/>
    </w:p>
    <w:p>
      <w:pPr>
        <w:pStyle w:val="SpecyfikacjaSSTpodkrelenie"/>
        <w:ind w:start="426" w:end="423"/>
        <w:rPr>
          <w:rFonts w:ascii="Arial" w:hAnsi="Arial" w:cs="Arial"/>
          <w:sz w:val="24"/>
          <w:szCs w:val="24"/>
        </w:rPr>
      </w:pPr>
      <w:r>
        <w:rPr>
          <w:rFonts w:cs="Arial" w:ascii="Arial" w:hAnsi="Arial"/>
          <w:sz w:val="24"/>
          <w:szCs w:val="24"/>
        </w:rPr>
        <w:t>Przekazanie terenu budowy</w:t>
      </w:r>
    </w:p>
    <w:p>
      <w:pPr>
        <w:pStyle w:val="SpecyfikacjaSSTpodstawowy"/>
        <w:ind w:firstLine="282" w:start="426" w:end="423"/>
        <w:jc w:val="start"/>
        <w:rPr>
          <w:rFonts w:ascii="Arial" w:hAnsi="Arial" w:cs="Arial"/>
        </w:rPr>
      </w:pPr>
      <w:r>
        <w:rPr>
          <w:rFonts w:cs="Arial" w:ascii="Arial" w:hAnsi="Arial"/>
        </w:rPr>
        <w:t>Wykonawca dostarczy Inwestorowi, w ciągu 14 dni, przed ustalonym w umowie terminem przekazania terenu budowy następujące dokumenty: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oświadczenia osób funkcyjnych o przyjęciu obowiązków na budowie (kierownik, budowy, kierownicy robót),</w:t>
      </w:r>
    </w:p>
    <w:p>
      <w:pPr>
        <w:pStyle w:val="SpecyfikacjaSSTpodstawowy"/>
        <w:ind w:start="426" w:end="423"/>
        <w:jc w:val="start"/>
        <w:rPr>
          <w:rFonts w:ascii="Arial" w:hAnsi="Arial" w:cs="Arial"/>
        </w:rPr>
      </w:pPr>
      <w:r>
        <w:rPr>
          <w:rFonts w:cs="Arial" w:ascii="Arial" w:hAnsi="Arial"/>
        </w:rPr>
        <w:t>Inwestor przekaże teren budowy wykonawcy w terminie ustalonym umową.</w:t>
      </w:r>
    </w:p>
    <w:p>
      <w:pPr>
        <w:pStyle w:val="SpecyfikacjaSSTpodstawowy"/>
        <w:ind w:start="426" w:end="423"/>
        <w:jc w:val="start"/>
        <w:rPr>
          <w:rFonts w:ascii="Arial" w:hAnsi="Arial" w:cs="Arial"/>
        </w:rPr>
      </w:pPr>
      <w:r>
        <w:rPr>
          <w:rFonts w:cs="Arial" w:ascii="Arial" w:hAnsi="Arial"/>
        </w:rPr>
        <w:t>W dniu przekazania placu budowy Inwestor przekaże Wykonawcy dzienniki budowy wraz ze wszystkimi uzgodnieniami prawnymi i administracyjnymi. Wskaże punkt poboru wody i energii elektrycznej, punkty osnowy geodezyjnej. Wykonawca wykona z materiałów własnych i usunie nieodpłatnie opomiarowanie punktów poboru mediów w sposób uzgodniony z dostawcą (użytkownikiem obiektu).</w:t>
      </w:r>
    </w:p>
    <w:p>
      <w:pPr>
        <w:pStyle w:val="NormalWeb"/>
        <w:spacing w:before="120" w:after="60"/>
        <w:ind w:firstLine="705" w:start="426" w:end="423"/>
        <w:rPr>
          <w:rFonts w:ascii="Arial" w:hAnsi="Arial" w:cs="Arial"/>
          <w:sz w:val="24"/>
          <w:szCs w:val="24"/>
        </w:rPr>
      </w:pPr>
      <w:r>
        <w:rPr>
          <w:rFonts w:eastAsia="Calibri" w:cs="Arial" w:ascii="Arial" w:hAnsi="Arial" w:eastAsiaTheme="minorHAnsi"/>
          <w:bCs/>
          <w:color w:val="000000"/>
          <w:sz w:val="24"/>
          <w:szCs w:val="24"/>
          <w:lang w:eastAsia="en-US"/>
        </w:rPr>
        <w:t>Wykonawca będzie zobowiązany do przyjęcia odpowiedzialności od następstw i za wyniki działalności w zakresie:</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organizacji robót budowlanych,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zabezpieczenia interesów osób trzecich,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ochrony środowiska,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 xml:space="preserve">warunków bezpieczeństwa pracy, </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warunków bezpieczeństwa ruchu drogowego,</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zaplecza dla potrzeb wykonawcy</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warunków organizacji ruchu</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zabezpieczenia robót przed dostępem osób trzecich,</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zabezpieczenia chodników i jezdni</w:t>
      </w:r>
    </w:p>
    <w:p>
      <w:pPr>
        <w:pStyle w:val="NormalWeb"/>
        <w:numPr>
          <w:ilvl w:val="0"/>
          <w:numId w:val="17"/>
        </w:numPr>
        <w:spacing w:before="120" w:after="60"/>
        <w:ind w:hanging="360" w:start="426" w:end="423"/>
        <w:rPr>
          <w:rFonts w:ascii="Arial" w:hAnsi="Arial" w:cs="Arial"/>
          <w:sz w:val="24"/>
          <w:szCs w:val="24"/>
        </w:rPr>
      </w:pPr>
      <w:r>
        <w:rPr>
          <w:rFonts w:eastAsia="Calibri" w:cs="Arial" w:ascii="Arial" w:hAnsi="Arial" w:eastAsiaTheme="minorHAnsi"/>
          <w:bCs/>
          <w:color w:val="000000"/>
          <w:sz w:val="24"/>
          <w:szCs w:val="24"/>
          <w:lang w:eastAsia="en-US"/>
        </w:rPr>
        <w:t>ogrodzenia</w:t>
      </w:r>
    </w:p>
    <w:p>
      <w:pPr>
        <w:pStyle w:val="SpecyfikacjaSSTpodkrelenie"/>
        <w:ind w:start="426" w:end="423"/>
        <w:rPr>
          <w:rFonts w:ascii="Arial" w:hAnsi="Arial" w:cs="Arial"/>
          <w:sz w:val="24"/>
          <w:szCs w:val="24"/>
        </w:rPr>
      </w:pPr>
      <w:r>
        <w:rPr>
          <w:rFonts w:cs="Arial" w:ascii="Arial" w:hAnsi="Arial"/>
          <w:sz w:val="24"/>
          <w:szCs w:val="24"/>
        </w:rPr>
        <w:t>Zabezpieczenie terenu budowy</w:t>
      </w:r>
    </w:p>
    <w:p>
      <w:pPr>
        <w:pStyle w:val="SpecyfikacjaSSTpodstawowy"/>
        <w:ind w:start="426" w:end="423"/>
        <w:jc w:val="start"/>
        <w:rPr>
          <w:rFonts w:ascii="Arial" w:hAnsi="Arial" w:cs="Arial"/>
        </w:rPr>
      </w:pPr>
      <w:r>
        <w:rPr>
          <w:rFonts w:cs="Arial" w:ascii="Arial" w:hAnsi="Arial"/>
        </w:rPr>
        <w:t>Fakt przystąpienia i prowadzenie robót Wykonawca obwieści publicznie w sposób uzgodniony z Inspektorem nadzoru oraz przez umieszczenie, w miejscach i ilościach określonych przez Inspektora nadzoru, tablic informacyjnych i ostrzegawczych - w miarę potrzeb podświetlanych. Inspektor nadzoru określi niezbędny sposób ogrodzenia terenu budowy. Koszt zabezpieczenia terenu budowy nie podlega odrębnej zapłacie i przyjmuje się, że jest włączony w cenę umowną.</w:t>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Ochrona i utrzymanie robót</w:t>
      </w:r>
    </w:p>
    <w:p>
      <w:pPr>
        <w:pStyle w:val="SpecyfikacjaSSTpodstawowy"/>
        <w:ind w:firstLine="282" w:start="426" w:end="423"/>
        <w:jc w:val="start"/>
        <w:rPr>
          <w:rFonts w:ascii="Arial" w:hAnsi="Arial" w:cs="Arial"/>
        </w:rPr>
      </w:pPr>
      <w:r>
        <w:rPr>
          <w:rFonts w:cs="Arial" w:ascii="Arial" w:hAnsi="Arial"/>
        </w:rPr>
        <w:t>Wykonawca będzie odpowiedzialny za ochronę robót i za wszelkie materiały i urządzenia używane do robót od daty rozpoczęcia do daty zakończenia robót i przekazanie obiektu Inwestorowi. Wykonawca będzie utrzymywać roboty do czasu odbioru ostatecznego. Utrzymanie powinno być prowadzone w taki sposób, aby obiekt lub jego elementy były w zadowalającym stanie przez cały czas, do momentu odbioru ostatecznego.</w:t>
      </w:r>
    </w:p>
    <w:p>
      <w:pPr>
        <w:pStyle w:val="SpecyfikacjaSSTpodstawowy"/>
        <w:ind w:start="426" w:end="423"/>
        <w:jc w:val="start"/>
        <w:rPr>
          <w:rFonts w:ascii="Arial" w:hAnsi="Arial" w:cs="Arial"/>
        </w:rPr>
      </w:pPr>
      <w:r>
        <w:rPr>
          <w:rFonts w:cs="Arial" w:ascii="Arial" w:hAnsi="Arial"/>
        </w:rPr>
        <w:t>Jeśli Wykonawca w jakimkolwiek czasie zaniedba utrzymanie, to na polecenie Inspektora Nadzoru powinien rozpocząć roboty utrzymaniowe nie później niż w 24 godziny po otrzymaniu tego polecenia, pod rygorem wstrzymania robót z winy Wykonawcy. Wykonawca dostarczy i zainstaluje niezbędne urządzenia zabezpieczające jak : ogrodzenie, oświetlenie ,znaki ostrzegawcze, dozorców itp. Koszt zabezpieczenia placu budowy nie podlega odrębnej zapłacie i przyjmuje sie że został włączony w cenę umowną.</w:t>
      </w:r>
    </w:p>
    <w:p>
      <w:pPr>
        <w:pStyle w:val="SpecyfikacjaSSTpodkrelenie"/>
        <w:ind w:start="426" w:end="423"/>
        <w:rPr>
          <w:rFonts w:ascii="Arial" w:hAnsi="Arial" w:cs="Arial"/>
          <w:sz w:val="24"/>
          <w:szCs w:val="24"/>
        </w:rPr>
      </w:pPr>
      <w:r>
        <w:rPr>
          <w:rFonts w:cs="Arial" w:ascii="Arial" w:hAnsi="Arial"/>
          <w:sz w:val="24"/>
          <w:szCs w:val="24"/>
        </w:rPr>
      </w:r>
    </w:p>
    <w:p>
      <w:pPr>
        <w:pStyle w:val="SpecyfikacjaSSTpodkrelenie"/>
        <w:ind w:start="426" w:end="423"/>
        <w:rPr>
          <w:rFonts w:ascii="Arial" w:hAnsi="Arial" w:cs="Arial"/>
          <w:sz w:val="24"/>
          <w:szCs w:val="24"/>
        </w:rPr>
      </w:pPr>
      <w:r>
        <w:rPr>
          <w:rFonts w:cs="Arial" w:ascii="Arial" w:hAnsi="Arial"/>
          <w:sz w:val="24"/>
          <w:szCs w:val="24"/>
        </w:rPr>
        <w:t>Zgodność robót z dokumentacją projektową i SST</w:t>
      </w:r>
    </w:p>
    <w:p>
      <w:pPr>
        <w:pStyle w:val="SpecyfikacjaSSTpodkrelenie"/>
        <w:ind w:firstLine="282" w:start="426" w:end="423"/>
        <w:rPr>
          <w:rFonts w:ascii="Arial" w:hAnsi="Arial" w:cs="Arial"/>
          <w:sz w:val="24"/>
          <w:szCs w:val="24"/>
        </w:rPr>
      </w:pPr>
      <w:r>
        <w:rPr>
          <w:rFonts w:eastAsia="Times New Roman" w:cs="Arial" w:ascii="Arial" w:hAnsi="Arial"/>
          <w:sz w:val="24"/>
          <w:szCs w:val="24"/>
          <w:u w:val="none"/>
          <w:lang w:eastAsia="pl-PL"/>
        </w:rPr>
        <w:t>Dokumentacja projektowa, SST ,dodatkowe dokumenty przekazane Wykonawcy stanowią załączniki do  umowy, a wymagania wyszczególnione w choćby jednym w nich są obowiązujące dla Wykonawcy tak, jakby zawarte były w całej dokumentacji. Wykonawca nie może wykorzystywać błędów lub opuszczeń w dokumentach  kontraktowych a o ich  wykryciu winien być powiadomiony Inspektor nadzoru który dokona odpowiednich zmian. Wszystkie wykonane roboty i dostarczone materiały mają być zgodne z dokumentacja projektową i SST. Wielkości określone w dokumentacji projektowej i SST będą uważane za wartości docelowe z uwzględnieniem odchylenia w ramach określonego przedziału tolerancji. W przypadku gdy dostarczone materiały lub wykonane roboty nie będą zgodne z dokumentacją projektową lub SST i mają wpływ na niezadowalającą jakość elementu budynku, to takie materiały zostaną zastąpione innymi a elementy budynku rozebrane i wykonane ponownie na koszt Wykonawcy.</w:t>
      </w:r>
    </w:p>
    <w:p>
      <w:pPr>
        <w:pStyle w:val="Heading2"/>
        <w:numPr>
          <w:ilvl w:val="1"/>
          <w:numId w:val="14"/>
        </w:numPr>
        <w:ind w:hanging="432" w:start="426" w:end="423"/>
        <w:rPr>
          <w:rFonts w:ascii="Arial" w:hAnsi="Arial" w:cs="Arial"/>
          <w:sz w:val="24"/>
          <w:szCs w:val="24"/>
        </w:rPr>
      </w:pPr>
      <w:bookmarkStart w:id="43" w:name="_Toc115621669"/>
      <w:bookmarkStart w:id="44" w:name="_Toc432063602"/>
      <w:bookmarkStart w:id="45" w:name="_Toc178478193"/>
      <w:bookmarkStart w:id="46" w:name="_Toc535218192"/>
      <w:bookmarkEnd w:id="44"/>
      <w:bookmarkEnd w:id="45"/>
      <w:bookmarkEnd w:id="46"/>
      <w:r>
        <w:rPr>
          <w:rFonts w:cs="Arial" w:ascii="Arial" w:hAnsi="Arial"/>
          <w:sz w:val="24"/>
          <w:szCs w:val="24"/>
        </w:rPr>
        <w:t>Powiązania prawne i odpowiedzialność prawna</w:t>
      </w:r>
      <w:bookmarkEnd w:id="43"/>
    </w:p>
    <w:p>
      <w:pPr>
        <w:pStyle w:val="SpecyfikacjaSSTpodkrelenie"/>
        <w:ind w:start="426" w:end="423"/>
        <w:rPr>
          <w:rFonts w:ascii="Arial" w:hAnsi="Arial" w:cs="Arial"/>
          <w:sz w:val="24"/>
          <w:szCs w:val="24"/>
        </w:rPr>
      </w:pPr>
      <w:r>
        <w:rPr>
          <w:rFonts w:cs="Arial" w:ascii="Arial" w:hAnsi="Arial"/>
          <w:sz w:val="24"/>
          <w:szCs w:val="24"/>
        </w:rPr>
        <w:t>Stosowanie się do ustaleń prawa i innych przepisów</w:t>
      </w:r>
    </w:p>
    <w:p>
      <w:pPr>
        <w:pStyle w:val="SpecyfikacjaSSTpodstawowy"/>
        <w:ind w:firstLine="282" w:start="426" w:end="423"/>
        <w:jc w:val="start"/>
        <w:rPr>
          <w:rFonts w:ascii="Arial" w:hAnsi="Arial" w:cs="Arial"/>
        </w:rPr>
      </w:pPr>
      <w:r>
        <w:rPr>
          <w:rFonts w:cs="Arial" w:ascii="Arial" w:hAnsi="Arial"/>
        </w:rPr>
        <w:t>Wykonawca zobowiązany jest znać i stosować wszystkie przepisy powszechnie obowiązujące oraz przepisy (wydane przez odpowiednie władze miejscowe), które są w jakichkolwiek sposób związane z robotami oraz musi być w pełni odpowiedzialny za ich przestrzeganie podczas prowadzenia budowy.</w:t>
      </w:r>
    </w:p>
    <w:p>
      <w:pPr>
        <w:pStyle w:val="SpecyfikacjaSSTpodstawowy"/>
        <w:ind w:start="426" w:end="423"/>
        <w:jc w:val="start"/>
        <w:rPr>
          <w:rFonts w:ascii="Arial" w:hAnsi="Arial" w:cs="Arial"/>
        </w:rPr>
      </w:pPr>
      <w:r>
        <w:rPr>
          <w:rFonts w:cs="Arial" w:ascii="Arial" w:hAnsi="Arial"/>
        </w:rPr>
        <w:t>Wykonawca będzie przestrzegać praw patentowych lub innych praw własności i będzie w pełni odpowiedzialny za wypełnienie wszystkich wymagań prawnych dotyczących wykorzystania opatentowanych rozwiązań projektowych, urządzeń, materiałów lub metod. W sposób ciągły powinien informować Inspektora o swoich działaniach, przedstawiając kopie zezwoleń i inne odnośne dokumenty.</w:t>
      </w:r>
    </w:p>
    <w:p>
      <w:pPr>
        <w:pStyle w:val="SpecyfikacjaSSTpodstawowy"/>
        <w:ind w:start="426" w:end="423"/>
        <w:jc w:val="start"/>
        <w:rPr>
          <w:rFonts w:ascii="Arial" w:hAnsi="Arial" w:cs="Arial"/>
        </w:rPr>
      </w:pPr>
      <w:r>
        <w:rPr>
          <w:rFonts w:cs="Arial" w:ascii="Arial" w:hAnsi="Arial"/>
        </w:rPr>
        <w:t>Jeśli nie dotrzymanie w/w wymagań spowoduje następstwa finansowe lub prawne to w całości obciążą one Wykonawcę.</w:t>
      </w:r>
    </w:p>
    <w:p>
      <w:pPr>
        <w:pStyle w:val="SpecyfikacjaSSTpodkrelenie"/>
        <w:ind w:start="426" w:end="423"/>
        <w:rPr>
          <w:rFonts w:ascii="Arial" w:hAnsi="Arial" w:cs="Arial"/>
          <w:sz w:val="24"/>
          <w:szCs w:val="24"/>
        </w:rPr>
      </w:pPr>
      <w:r>
        <w:rPr>
          <w:rFonts w:cs="Arial" w:ascii="Arial" w:hAnsi="Arial"/>
          <w:sz w:val="24"/>
          <w:szCs w:val="24"/>
        </w:rPr>
        <w:t>Ochrona własności publicznej i prywatnej</w:t>
      </w:r>
    </w:p>
    <w:p>
      <w:pPr>
        <w:pStyle w:val="SpecyfikacjaSSTpodstawowy"/>
        <w:ind w:firstLine="282" w:start="426" w:end="423"/>
        <w:jc w:val="start"/>
        <w:rPr>
          <w:rFonts w:ascii="Arial" w:hAnsi="Arial" w:cs="Arial"/>
        </w:rPr>
      </w:pPr>
      <w:r>
        <w:rPr>
          <w:rFonts w:cs="Arial" w:ascii="Arial" w:hAnsi="Arial"/>
        </w:rPr>
        <w:t>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a naprawionej własności powinien być nie gorszy niż przed powstaniem uszkodzenia.</w:t>
      </w:r>
    </w:p>
    <w:p>
      <w:pPr>
        <w:pStyle w:val="SpecyfikacjaSSTpodstawowy"/>
        <w:ind w:start="426" w:end="423"/>
        <w:jc w:val="start"/>
        <w:rPr>
          <w:rFonts w:ascii="Arial" w:hAnsi="Arial" w:cs="Arial"/>
        </w:rPr>
      </w:pPr>
      <w:r>
        <w:rPr>
          <w:rFonts w:cs="Arial" w:ascii="Arial" w:hAnsi="Arial"/>
        </w:rPr>
        <w:t>Wykonawca odpowiada za ochronę instalacji na powierzchni ziemi i za urządzenia podziemne oraz musi uzyskać od odpowiednich władz, będących właścicielami tych urządzeń, potwierdzenie informacji o ich lokalizacji (dostarczone przez Inwestora).</w:t>
      </w:r>
    </w:p>
    <w:p>
      <w:pPr>
        <w:pStyle w:val="SpecyfikacjaSSTpodstawowy"/>
        <w:ind w:start="426" w:end="423"/>
        <w:jc w:val="start"/>
        <w:rPr>
          <w:rFonts w:ascii="Arial" w:hAnsi="Arial" w:cs="Arial"/>
        </w:rPr>
      </w:pPr>
      <w:r>
        <w:rPr>
          <w:rFonts w:cs="Arial" w:ascii="Arial" w:hAnsi="Arial"/>
        </w:rPr>
        <w:t>Wykonawca zapewni w czasie trwania robót właściwe oznakowanie i zabezpieczenie przed uszkodzeniem tych instalacji i urządzeń.</w:t>
      </w:r>
    </w:p>
    <w:p>
      <w:pPr>
        <w:pStyle w:val="SpecyfikacjaSSTpodstawowy"/>
        <w:ind w:start="426" w:end="423"/>
        <w:jc w:val="start"/>
        <w:rPr>
          <w:rFonts w:ascii="Arial" w:hAnsi="Arial" w:cs="Arial"/>
        </w:rPr>
      </w:pPr>
      <w:r>
        <w:rPr>
          <w:rFonts w:cs="Arial" w:ascii="Arial" w:hAnsi="Arial"/>
        </w:rPr>
        <w:t>O fakcie przypadkowego uszkodzenia tych instalacji Wykonawca bezzwłocznie powiadomi Inspektora nadzoru i zainteresowanych użytkowników oraz będzie z nimi współpracował, dostarczając wszelkiej pomocy potrzebnej przy dokonywaniu napraw.</w:t>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Ochrona środowiska w czasie wykonywania robót</w:t>
      </w:r>
    </w:p>
    <w:p>
      <w:pPr>
        <w:pStyle w:val="SpecyfikacjaSSTpodstawowy"/>
        <w:ind w:firstLine="282" w:start="426" w:end="423"/>
        <w:jc w:val="start"/>
        <w:rPr>
          <w:rFonts w:ascii="Arial" w:hAnsi="Arial" w:cs="Arial"/>
        </w:rPr>
      </w:pPr>
      <w:r>
        <w:rPr>
          <w:rFonts w:cs="Arial" w:ascii="Arial" w:hAnsi="Arial"/>
        </w:rPr>
        <w:t>Wykonawca ma obowiązek znać i stosować, w czasie prowadzenia robót, wszelkie przepisy ochrony środowiska naturalnego.</w:t>
      </w:r>
    </w:p>
    <w:p>
      <w:pPr>
        <w:pStyle w:val="SpecyfikacjaSSTpodstawowy"/>
        <w:ind w:start="426" w:end="423"/>
        <w:jc w:val="start"/>
        <w:rPr>
          <w:rFonts w:ascii="Arial" w:hAnsi="Arial" w:cs="Arial"/>
        </w:rPr>
      </w:pPr>
      <w:r>
        <w:rPr>
          <w:rFonts w:cs="Arial" w:ascii="Arial" w:hAnsi="Arial"/>
        </w:rPr>
        <w:t>W okresie trwania robót Wykonawca będzie: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utrzymywać teren budowy i wykopy w stanie bez wody stojącej,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pPr>
        <w:pStyle w:val="SpecyfikacjaSSTpodstawowy"/>
        <w:ind w:start="426" w:end="423"/>
        <w:jc w:val="start"/>
        <w:rPr>
          <w:rFonts w:ascii="Arial" w:hAnsi="Arial" w:cs="Arial"/>
        </w:rPr>
      </w:pPr>
      <w:r>
        <w:rPr>
          <w:rFonts w:cs="Arial" w:ascii="Arial" w:hAnsi="Arial"/>
        </w:rPr>
        <w:t>Stosując się do tych wymagań, Wykonawca będzie miał szczególny wzgląd na: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lokalizację baz, warsztatów, magazynów, składowisk, ukopów i dróg dojazdowych,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środki ostrożności i zabezpieczenia przed:</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zanieczyszczeniem zbiorników i cieków wodnych pyłami lub substancjami toksycznymi,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zanieczyszczeniem powietrza pyłami i gazami,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możliwością powstania pożaru.</w:t>
      </w:r>
    </w:p>
    <w:p>
      <w:pPr>
        <w:pStyle w:val="SpecyfikacjaSSTpodstawowy"/>
        <w:ind w:start="426" w:end="423"/>
        <w:jc w:val="start"/>
        <w:rPr>
          <w:rFonts w:ascii="Arial" w:hAnsi="Arial" w:cs="Arial"/>
        </w:rPr>
      </w:pPr>
      <w:r>
        <w:rPr>
          <w:rFonts w:cs="Arial" w:ascii="Arial" w:hAnsi="Arial"/>
        </w:rPr>
        <w:t>Opłaty i kary za przekroczenia w trakcie realizacji robót norm, określonych w odpowiednich przepisach dotyczących ochrony środowiska, obciążają wykonawcę.</w:t>
      </w:r>
    </w:p>
    <w:p>
      <w:pPr>
        <w:pStyle w:val="SpecyfikacjaSSTpodstawowy"/>
        <w:ind w:start="426" w:end="423"/>
        <w:jc w:val="start"/>
        <w:rPr>
          <w:rFonts w:ascii="Arial" w:hAnsi="Arial" w:cs="Arial"/>
        </w:rPr>
      </w:pPr>
      <w:r>
        <w:rPr>
          <w:rFonts w:cs="Arial" w:ascii="Arial" w:hAnsi="Arial"/>
        </w:rPr>
        <w:t>Utylizacja ewentualnych materiałów szkodliwych należy do Wykonawcy i nie podlega dodatkowej opłacie.</w:t>
      </w:r>
    </w:p>
    <w:p>
      <w:pPr>
        <w:pStyle w:val="SpecyfikacjaSSTpodkrelenie"/>
        <w:ind w:start="426" w:end="423"/>
        <w:rPr>
          <w:rFonts w:ascii="Arial" w:hAnsi="Arial" w:cs="Arial"/>
          <w:sz w:val="24"/>
          <w:szCs w:val="24"/>
        </w:rPr>
      </w:pPr>
      <w:r>
        <w:rPr>
          <w:rFonts w:cs="Arial" w:ascii="Arial" w:hAnsi="Arial"/>
          <w:sz w:val="24"/>
          <w:szCs w:val="24"/>
        </w:rPr>
        <w:t>Ochrona przeciwpożarowa</w:t>
      </w:r>
    </w:p>
    <w:p>
      <w:pPr>
        <w:pStyle w:val="SpecyfikacjaSSTpodstawowy"/>
        <w:ind w:firstLine="282" w:start="426" w:end="423"/>
        <w:jc w:val="start"/>
        <w:rPr>
          <w:rFonts w:ascii="Arial" w:hAnsi="Arial" w:cs="Arial"/>
        </w:rPr>
      </w:pPr>
      <w:r>
        <w:rPr>
          <w:rFonts w:cs="Arial" w:ascii="Arial" w:hAnsi="Arial"/>
        </w:rPr>
        <w:t>Wykonawca będzie przestrzegać przepisów ochrony przeciwpożarowej.</w:t>
      </w:r>
    </w:p>
    <w:p>
      <w:pPr>
        <w:pStyle w:val="SpecyfikacjaSSTpodstawowy"/>
        <w:ind w:start="426" w:end="423"/>
        <w:jc w:val="start"/>
        <w:rPr>
          <w:rFonts w:ascii="Arial" w:hAnsi="Arial" w:cs="Arial"/>
        </w:rPr>
      </w:pPr>
      <w:r>
        <w:rPr>
          <w:rFonts w:cs="Arial" w:ascii="Arial" w:hAnsi="Arial"/>
        </w:rPr>
        <w:t>Sprawny sprzęt przeciwpożarowy, wymagany przez odpowiednie przepisy, Wykonawca rozmieści na terenie budowy, w pomieszczeniach biurowych i magazynowych oraz przy maszynach i w pojazdach mechanicznych. Materiały łatwopalne będą składane w sposób zgodny z odpowiednimi przepisami i zabezpieczone przed dostępem osób trzecich.</w:t>
      </w:r>
    </w:p>
    <w:p>
      <w:pPr>
        <w:pStyle w:val="SpecyfikacjaSSTpodstawowy"/>
        <w:ind w:start="426" w:end="423"/>
        <w:jc w:val="start"/>
        <w:rPr>
          <w:rFonts w:ascii="Arial" w:hAnsi="Arial" w:cs="Arial"/>
        </w:rPr>
      </w:pPr>
      <w:r>
        <w:rPr>
          <w:rFonts w:cs="Arial" w:ascii="Arial" w:hAnsi="Arial"/>
        </w:rPr>
        <w:t>Prace pożarowo niebezpieczne wykonywane będą na zasadach uzgodnionych z przedstawicielami użytkownika nieruchomości.</w:t>
      </w:r>
    </w:p>
    <w:p>
      <w:pPr>
        <w:pStyle w:val="SpecyfikacjaSSTpodstawowy"/>
        <w:ind w:start="426" w:end="423"/>
        <w:jc w:val="start"/>
        <w:rPr>
          <w:rFonts w:ascii="Arial" w:hAnsi="Arial" w:cs="Arial"/>
        </w:rPr>
      </w:pPr>
      <w:r>
        <w:rPr>
          <w:rFonts w:cs="Arial" w:ascii="Arial" w:hAnsi="Arial"/>
        </w:rPr>
        <w:t>Wykonawca będzie odpowiedzialny za wszystkie straty powodowane pożarem wywołanym jego działalnością przy realizacji robót przez personel Wykonawcy.</w:t>
      </w:r>
    </w:p>
    <w:p>
      <w:pPr>
        <w:pStyle w:val="SpecyfikacjaSSTpodstawowy"/>
        <w:ind w:start="426" w:end="423"/>
        <w:jc w:val="start"/>
        <w:rPr>
          <w:rFonts w:ascii="Arial" w:hAnsi="Arial" w:cs="Arial"/>
        </w:rPr>
      </w:pPr>
      <w:r>
        <w:rPr>
          <w:rFonts w:cs="Arial" w:ascii="Arial" w:hAnsi="Arial"/>
        </w:rPr>
        <w:t>Wykonawca odpowiadać będzie za straty spowodowane przez pożar wywołany przez osoby trzecie powstały w wyniku zaniedbań w zabezpieczeniu budowy i materiałów niebezpiecznych.</w:t>
      </w:r>
    </w:p>
    <w:p>
      <w:pPr>
        <w:pStyle w:val="SpecyfikacjaSSTpodkrelenie"/>
        <w:ind w:start="426" w:end="423"/>
        <w:rPr>
          <w:rFonts w:ascii="Arial" w:hAnsi="Arial" w:cs="Arial"/>
          <w:sz w:val="24"/>
          <w:szCs w:val="24"/>
        </w:rPr>
      </w:pPr>
      <w:r>
        <w:rPr>
          <w:rFonts w:cs="Arial" w:ascii="Arial" w:hAnsi="Arial"/>
          <w:sz w:val="24"/>
          <w:szCs w:val="24"/>
        </w:rPr>
        <w:t>Bezpieczeństwo i higiena pracy (bhp.)</w:t>
      </w:r>
    </w:p>
    <w:p>
      <w:pPr>
        <w:pStyle w:val="SpecyfikacjaSSTpodstawowy"/>
        <w:ind w:firstLine="282" w:start="426" w:end="423"/>
        <w:jc w:val="start"/>
        <w:rPr>
          <w:rFonts w:ascii="Arial" w:hAnsi="Arial" w:cs="Arial"/>
        </w:rPr>
      </w:pPr>
      <w:r>
        <w:rPr>
          <w:rFonts w:cs="Arial" w:ascii="Arial" w:hAnsi="Arial"/>
        </w:rPr>
        <w:t>Podczas realizacji robót Wykonawca przestrzegać będzie przepisów dotyczących bhp. W szczególności Wykonawca ma obowiązek zadbać, aby personel nie wykonywał pracy w warunkach niebezpiecznych, szkodliwych dla zdrowia oraz nie spełniających odpowiednich wymagań sanitarnych.</w:t>
      </w:r>
    </w:p>
    <w:p>
      <w:pPr>
        <w:pStyle w:val="SpecyfikacjaSSTpodstawowy"/>
        <w:ind w:start="426" w:end="423"/>
        <w:jc w:val="start"/>
        <w:rPr>
          <w:rFonts w:ascii="Arial" w:hAnsi="Arial" w:cs="Arial"/>
        </w:rPr>
      </w:pPr>
      <w:r>
        <w:rPr>
          <w:rFonts w:cs="Arial" w:ascii="Arial" w:hAnsi="Arial"/>
        </w:rPr>
        <w:t>Wykonawca zapewni i będzie utrzymywał wszelkie urządzenia zabezpieczające, socjalne oraz sprzęt i odpowiednią odzież dla ochrony życia i zdrowie osób zatrudnionych na budowie oraz dla zapewnienia bezpieczeństwa publicznego. Uznaje się, że wszystkie koszty związane z wypełnieniem wymagań określonych powyżej nie podlegają odrębnej zapłacie i są uwzględnione w cenie kosztorysowej.</w:t>
      </w:r>
    </w:p>
    <w:p>
      <w:pPr>
        <w:pStyle w:val="SpecyfikacjaSSTpodkrelenie"/>
        <w:ind w:firstLine="282" w:start="426" w:end="423"/>
        <w:rPr>
          <w:rFonts w:ascii="Arial" w:hAnsi="Arial" w:cs="Arial"/>
          <w:sz w:val="24"/>
          <w:szCs w:val="24"/>
        </w:rPr>
      </w:pPr>
      <w:r>
        <w:rPr>
          <w:rFonts w:cs="Arial" w:ascii="Arial" w:hAnsi="Arial"/>
          <w:sz w:val="24"/>
          <w:szCs w:val="24"/>
        </w:rPr>
        <w:t>Ograniczenie obciążeń osi pojazdów</w:t>
      </w:r>
    </w:p>
    <w:p>
      <w:pPr>
        <w:pStyle w:val="SpecyfikacjaSSTpodstawowy"/>
        <w:ind w:start="426" w:end="423"/>
        <w:jc w:val="start"/>
        <w:rPr>
          <w:rFonts w:ascii="Arial" w:hAnsi="Arial" w:cs="Arial"/>
        </w:rPr>
      </w:pPr>
      <w:r>
        <w:rPr>
          <w:rFonts w:cs="Arial" w:ascii="Arial" w:hAnsi="Arial"/>
        </w:rP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pPr>
        <w:pStyle w:val="Heading1"/>
        <w:numPr>
          <w:ilvl w:val="0"/>
          <w:numId w:val="13"/>
        </w:numPr>
        <w:ind w:hanging="360" w:start="426" w:end="423"/>
        <w:rPr>
          <w:rFonts w:ascii="Arial" w:hAnsi="Arial" w:cs="Arial"/>
          <w:sz w:val="24"/>
          <w:szCs w:val="24"/>
        </w:rPr>
      </w:pPr>
      <w:bookmarkStart w:id="47" w:name="_Toc115621670"/>
      <w:bookmarkStart w:id="48" w:name="_Toc535218193"/>
      <w:bookmarkEnd w:id="48"/>
      <w:r>
        <w:rPr>
          <w:rFonts w:cs="Arial" w:ascii="Arial" w:hAnsi="Arial"/>
          <w:sz w:val="24"/>
          <w:szCs w:val="24"/>
        </w:rPr>
        <w:t>WYMAGANIA DOTYCZĄCE WŁAŚCIWOŚCI MATERIAŁÓW</w:t>
      </w:r>
      <w:bookmarkEnd w:id="47"/>
    </w:p>
    <w:p>
      <w:pPr>
        <w:pStyle w:val="Normal"/>
        <w:shd w:val="clear" w:color="auto" w:fill="FFFFFF"/>
        <w:ind w:firstLine="282" w:start="426" w:end="423"/>
        <w:rPr>
          <w:sz w:val="24"/>
          <w:szCs w:val="24"/>
        </w:rPr>
      </w:pPr>
      <w:r>
        <w:rPr>
          <w:color w:val="000000"/>
          <w:sz w:val="24"/>
          <w:szCs w:val="24"/>
        </w:rPr>
        <w:t>Wszelkie nazwy własne produktów i materiałów przywołane w specyfikacji służą ustaleniu pożądanego standardu wykonania i określenia właściwości i wymogów technicznych założonych w dokumentacji technicznej dla projektowanych rozwiązań.</w:t>
      </w:r>
    </w:p>
    <w:p>
      <w:pPr>
        <w:pStyle w:val="Normal"/>
        <w:shd w:val="clear" w:color="auto" w:fill="FFFFFF"/>
        <w:ind w:start="426" w:end="423"/>
        <w:rPr>
          <w:sz w:val="24"/>
          <w:szCs w:val="24"/>
        </w:rPr>
      </w:pPr>
      <w:r>
        <w:rPr>
          <w:color w:val="000000"/>
          <w:spacing w:val="1"/>
          <w:sz w:val="24"/>
          <w:szCs w:val="24"/>
        </w:rPr>
        <w:t>Dopuszcza się zamieszczenie rozwiązań w oparciu o produkty (wyroby) innych produ</w:t>
      </w:r>
      <w:r>
        <w:rPr>
          <w:color w:val="000000"/>
          <w:sz w:val="24"/>
          <w:szCs w:val="24"/>
        </w:rPr>
        <w:t>centów pod warunkiem:</w:t>
      </w:r>
    </w:p>
    <w:p>
      <w:pPr>
        <w:pStyle w:val="Normal"/>
        <w:numPr>
          <w:ilvl w:val="0"/>
          <w:numId w:val="5"/>
        </w:numPr>
        <w:shd w:val="clear" w:color="auto" w:fill="FFFFFF"/>
        <w:ind w:start="426" w:end="423"/>
        <w:rPr>
          <w:sz w:val="24"/>
          <w:szCs w:val="24"/>
        </w:rPr>
      </w:pPr>
      <w:r>
        <w:rPr>
          <w:color w:val="000000"/>
          <w:sz w:val="24"/>
          <w:szCs w:val="24"/>
        </w:rPr>
        <w:t>spełniania tych samych właściwości technicznych,</w:t>
      </w:r>
    </w:p>
    <w:p>
      <w:pPr>
        <w:pStyle w:val="Normal"/>
        <w:numPr>
          <w:ilvl w:val="0"/>
          <w:numId w:val="5"/>
        </w:numPr>
        <w:shd w:val="clear" w:color="auto" w:fill="FFFFFF"/>
        <w:ind w:hanging="281" w:start="426" w:end="423"/>
        <w:rPr>
          <w:sz w:val="24"/>
          <w:szCs w:val="24"/>
        </w:rPr>
      </w:pPr>
      <w:r>
        <w:rPr>
          <w:color w:val="000000"/>
          <w:spacing w:val="1"/>
          <w:sz w:val="24"/>
          <w:szCs w:val="24"/>
        </w:rPr>
        <w:t>przedstawienia zamiennych rozwiązań na piśmie (dane techniczne, atesty, dopuszcze</w:t>
      </w:r>
      <w:r>
        <w:rPr>
          <w:color w:val="000000"/>
          <w:sz w:val="24"/>
          <w:szCs w:val="24"/>
        </w:rPr>
        <w:t>nia do stosowania, uzyskanie akceptacji projektanta).</w:t>
      </w:r>
    </w:p>
    <w:p>
      <w:pPr>
        <w:pStyle w:val="SpecyfikacjaSSTpodkrelenie"/>
        <w:ind w:start="426" w:end="423"/>
        <w:rPr>
          <w:rFonts w:ascii="Arial" w:hAnsi="Arial" w:cs="Arial"/>
          <w:sz w:val="24"/>
          <w:szCs w:val="24"/>
        </w:rPr>
      </w:pPr>
      <w:r>
        <w:rPr>
          <w:rFonts w:cs="Arial" w:ascii="Arial" w:hAnsi="Arial"/>
          <w:sz w:val="24"/>
          <w:szCs w:val="24"/>
        </w:rPr>
        <w:t>Akceptowanie użytych materiałów</w:t>
      </w:r>
    </w:p>
    <w:p>
      <w:pPr>
        <w:pStyle w:val="SpecyfikacjaSSTpodstawowy"/>
        <w:ind w:firstLine="282" w:start="426" w:end="423"/>
        <w:jc w:val="start"/>
        <w:rPr>
          <w:rFonts w:ascii="Arial" w:hAnsi="Arial" w:cs="Arial"/>
        </w:rPr>
      </w:pPr>
      <w:r>
        <w:rPr>
          <w:rFonts w:cs="Arial" w:ascii="Arial" w:hAnsi="Arial"/>
        </w:rPr>
        <w:t>Co najmniej na trzy tygodnie przed zaplanowanym wykorzystaniem jakichkolwiek materiałów przeznaczonych do robót Wykonawca przedstawi szczegółowe informacje dotyczące proponowanego źródła wytwarzania, zamawiania oraz odpowiednie świadectwa badania jakości w celu zatwierdzenia przez Inspektora Nadzoru. Zatwierdzenie jednego materiału z danego źródła nie oznacza automatycznego zatwierdzenia pozostałych materiałów z tego źródła.</w:t>
      </w:r>
    </w:p>
    <w:p>
      <w:pPr>
        <w:pStyle w:val="SpecyfikacjaSSTpodstawowy"/>
        <w:ind w:start="426" w:end="423"/>
        <w:jc w:val="start"/>
        <w:rPr>
          <w:rFonts w:ascii="Arial" w:hAnsi="Arial" w:cs="Arial"/>
        </w:rPr>
      </w:pPr>
      <w:r>
        <w:rPr>
          <w:rFonts w:cs="Arial" w:ascii="Arial" w:hAnsi="Arial"/>
        </w:rPr>
        <w:t>Wykonawca zobowiązany jest do prowadzenia badań w celu udokumentowania, że materiały uzyskane z dopuszczalnego źródła w sposób ciągły spełniają wymagania ST w czasie prowadzenia robót.</w:t>
      </w:r>
    </w:p>
    <w:p>
      <w:pPr>
        <w:pStyle w:val="SpecyfikacjaSSTpodstawowy"/>
        <w:ind w:start="426" w:end="423"/>
        <w:jc w:val="start"/>
        <w:rPr>
          <w:rFonts w:ascii="Arial" w:hAnsi="Arial" w:cs="Arial"/>
        </w:rPr>
      </w:pPr>
      <w:r>
        <w:rPr>
          <w:rFonts w:cs="Arial" w:ascii="Arial" w:hAnsi="Arial"/>
        </w:rPr>
        <w:t>Jeżeli materiały z akceptowanego źródła są niejednorodne lub nie zadawalającej jakości, Wykonawca powinien zmienić źródło zaopatrywania w materiały.</w:t>
      </w:r>
    </w:p>
    <w:p>
      <w:pPr>
        <w:pStyle w:val="SpecyfikacjaSSTpodstawowy"/>
        <w:ind w:start="426" w:end="423"/>
        <w:jc w:val="start"/>
        <w:rPr>
          <w:rFonts w:ascii="Arial" w:hAnsi="Arial" w:cs="Arial"/>
        </w:rPr>
      </w:pPr>
      <w:r>
        <w:rPr>
          <w:rFonts w:cs="Arial" w:ascii="Arial" w:hAnsi="Arial"/>
        </w:rPr>
        <w:t>Materiały wykończeniowe stosowane na płaszczyznach widocznych z jednego miejsca powinny być z tej samej partii materiału w celu zachowania tych samych właściwości kolorystycznych w czasie całego procesu eksploatacji.</w:t>
      </w:r>
    </w:p>
    <w:p>
      <w:pPr>
        <w:pStyle w:val="SpecyfikacjaSSTpodkrelenie"/>
        <w:ind w:start="426" w:end="423"/>
        <w:rPr>
          <w:rFonts w:ascii="Arial" w:hAnsi="Arial" w:cs="Arial"/>
          <w:sz w:val="24"/>
          <w:szCs w:val="24"/>
        </w:rPr>
      </w:pPr>
      <w:bookmarkStart w:id="49" w:name="_Toc125436463"/>
      <w:bookmarkEnd w:id="49"/>
      <w:r>
        <w:rPr>
          <w:rFonts w:cs="Arial" w:ascii="Arial" w:hAnsi="Arial"/>
          <w:sz w:val="24"/>
          <w:szCs w:val="24"/>
        </w:rPr>
        <w:t>Pozyskiwanie materiałów miejscowych</w:t>
      </w:r>
    </w:p>
    <w:p>
      <w:pPr>
        <w:pStyle w:val="SpecyfikacjaSSTpodstawowy"/>
        <w:ind w:firstLine="282" w:start="426" w:end="423"/>
        <w:jc w:val="start"/>
        <w:rPr>
          <w:rFonts w:ascii="Arial" w:hAnsi="Arial" w:cs="Arial"/>
        </w:rPr>
      </w:pPr>
      <w:r>
        <w:rPr>
          <w:rFonts w:cs="Arial" w:ascii="Arial" w:hAnsi="Arial"/>
        </w:rPr>
        <w:t>Wykonawca odpowiada za uzyskanie pozwoleń od właścicieli i odnośnych władz na pozyskanie materiałów z jakichkolwiek źródeł miejscowych włączając w to źródła wskazane przez Inwestora i jest zobowiązany dostarczyć Inspektorowi Nadzoru wymagane dokumenty przed rozpoczęciem eksploatacji źródła.</w:t>
      </w:r>
    </w:p>
    <w:p>
      <w:pPr>
        <w:pStyle w:val="SpecyfikacjaSSTpodstawowy"/>
        <w:ind w:start="426" w:end="423"/>
        <w:jc w:val="start"/>
        <w:rPr>
          <w:rFonts w:ascii="Arial" w:hAnsi="Arial" w:cs="Arial"/>
        </w:rPr>
      </w:pPr>
      <w:r>
        <w:rPr>
          <w:rFonts w:cs="Arial" w:ascii="Arial" w:hAnsi="Arial"/>
        </w:rPr>
        <w:t>Wykonawca przedstawi dokumentację zawierającą raporty z badań terenowych i laboratoryjnych oraz proponowaną przez siebie metodę wydobycia i selekcji do zatwierdzenia Inspektorowi Nadzoru.</w:t>
      </w:r>
    </w:p>
    <w:p>
      <w:pPr>
        <w:pStyle w:val="SpecyfikacjaSSTpodstawowy"/>
        <w:ind w:start="426" w:end="423"/>
        <w:jc w:val="start"/>
        <w:rPr>
          <w:rFonts w:ascii="Arial" w:hAnsi="Arial" w:cs="Arial"/>
        </w:rPr>
      </w:pPr>
      <w:r>
        <w:rPr>
          <w:rFonts w:cs="Arial" w:ascii="Arial" w:hAnsi="Arial"/>
        </w:rPr>
        <w:t>Wykonawca ponosi odpowiedzialność za spełnienie wymagań ilościowych i jakościowych materiałów z jakiegokolwiek źródła.</w:t>
      </w:r>
    </w:p>
    <w:p>
      <w:pPr>
        <w:pStyle w:val="SpecyfikacjaSSTpodstawowy"/>
        <w:ind w:start="426" w:end="423"/>
        <w:jc w:val="start"/>
        <w:rPr>
          <w:rFonts w:ascii="Arial" w:hAnsi="Arial" w:cs="Arial"/>
        </w:rPr>
      </w:pPr>
      <w:r>
        <w:rPr>
          <w:rFonts w:cs="Arial" w:ascii="Arial" w:hAnsi="Arial"/>
        </w:rPr>
        <w:t>Wykonawca poniesie wszystkie koszty, a w tym: opłaty, wynagrodzenia i jakiekolwiek inne koszty związane z dostarczeniem materiałów do robót.</w:t>
      </w:r>
    </w:p>
    <w:p>
      <w:pPr>
        <w:pStyle w:val="SpecyfikacjaSSTpodstawowy"/>
        <w:ind w:start="426" w:end="423"/>
        <w:jc w:val="start"/>
        <w:rPr>
          <w:rFonts w:ascii="Arial" w:hAnsi="Arial" w:cs="Arial"/>
        </w:rPr>
      </w:pPr>
      <w:r>
        <w:rPr>
          <w:rFonts w:cs="Arial" w:ascii="Arial" w:hAnsi="Arial"/>
        </w:rPr>
        <w:t>Humus i nadkład czasowo zdjęte z terenu wykopów, ukopów i miejsc pozyskania piasku i żwiru będą formowane w hałdy i wykorzystane przy zasypce i rekultywacji terenu po ukończeniu robót.</w:t>
      </w:r>
    </w:p>
    <w:p>
      <w:pPr>
        <w:pStyle w:val="SpecyfikacjaSSTpodstawowy"/>
        <w:ind w:start="426" w:end="423"/>
        <w:jc w:val="start"/>
        <w:rPr>
          <w:rFonts w:ascii="Arial" w:hAnsi="Arial" w:cs="Arial"/>
        </w:rPr>
      </w:pPr>
      <w:r>
        <w:rPr>
          <w:rFonts w:cs="Arial" w:ascii="Arial" w:hAnsi="Arial"/>
        </w:rPr>
        <w:t>Wszystkie odpowiednie materiały pozyskane z wykopów na terenie budowy lub z innych miejsc wskazanych w dokumentach Umowy będą wykorzystane do robót lub odwiezione na odkład odpowiednio do wymagań Umowy lub wskazań Inspektora Nadzoru.</w:t>
      </w:r>
    </w:p>
    <w:p>
      <w:pPr>
        <w:pStyle w:val="SpecyfikacjaSSTpodstawowy"/>
        <w:ind w:start="426" w:end="423"/>
        <w:jc w:val="start"/>
        <w:rPr>
          <w:rFonts w:ascii="Arial" w:hAnsi="Arial" w:cs="Arial"/>
        </w:rPr>
      </w:pPr>
      <w:r>
        <w:rPr>
          <w:rFonts w:cs="Arial" w:ascii="Arial" w:hAnsi="Arial"/>
        </w:rPr>
        <w:t>Eksploatacja źródeł materiałów będzie zgodna z wszelkimi regulacjami prawnymi obowiązującymi na danym obszarze.</w:t>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Materiały nie odpowiadające wymaganiom</w:t>
      </w:r>
    </w:p>
    <w:p>
      <w:pPr>
        <w:pStyle w:val="SpecyfikacjaSSTpodstawowy"/>
        <w:ind w:firstLine="282" w:start="426" w:end="423"/>
        <w:jc w:val="start"/>
        <w:rPr>
          <w:rFonts w:ascii="Arial" w:hAnsi="Arial" w:cs="Arial"/>
        </w:rPr>
      </w:pPr>
      <w:r>
        <w:rPr>
          <w:rFonts w:cs="Arial" w:ascii="Arial" w:hAnsi="Arial"/>
        </w:rPr>
        <w:t>Materiały nie odpowiadające wymaganiom zostaną przez Wykonawcę wywiezione z terenu budowy. Każdy rodzaj robót, w którym znajdują się nie zbadane i nie zaakceptowane materiały, Wykonawca wykonuje na własne ryzyko licząc się z tym, że roboty nie zostaną przyjęte i nie będą zapłacone.</w:t>
      </w:r>
    </w:p>
    <w:p>
      <w:pPr>
        <w:pStyle w:val="SpecyfikacjaSSTpodkrelenie"/>
        <w:ind w:start="426" w:end="423"/>
        <w:rPr>
          <w:rFonts w:ascii="Arial" w:hAnsi="Arial" w:cs="Arial"/>
          <w:sz w:val="24"/>
          <w:szCs w:val="24"/>
        </w:rPr>
      </w:pPr>
      <w:r>
        <w:rPr>
          <w:rFonts w:cs="Arial" w:ascii="Arial" w:hAnsi="Arial"/>
          <w:sz w:val="24"/>
          <w:szCs w:val="24"/>
        </w:rPr>
        <w:t>Przechowywanie i składowanie materiałów</w:t>
      </w:r>
    </w:p>
    <w:p>
      <w:pPr>
        <w:pStyle w:val="SpecyfikacjaSSTpodstawowy"/>
        <w:ind w:firstLine="282" w:start="426" w:end="423"/>
        <w:jc w:val="start"/>
        <w:rPr>
          <w:rFonts w:ascii="Arial" w:hAnsi="Arial" w:cs="Arial"/>
        </w:rPr>
      </w:pPr>
      <w:r>
        <w:rPr>
          <w:rFonts w:cs="Arial" w:ascii="Arial" w:hAnsi="Arial"/>
        </w:rPr>
        <w:t>Wykonawca zapewni, aby tymczasowo składowane materiały, (do czasu, gdy będą one potrzebne do wbudowania) były zabezpieczone przed zniszczeniem, zachowały swoją jakość i właściwości oraz były dostępne do kontroli przez Inspektora Nadzoru. Przechowywanie materiałów musi się odbywać na zasadach i w warunkach odpowiednich dla danego materiału oraz w sposób skutecznie zabezpieczający przed dostępem osób trzecich.</w:t>
      </w:r>
    </w:p>
    <w:p>
      <w:pPr>
        <w:pStyle w:val="SpecyfikacjaSSTpodstawowy"/>
        <w:ind w:start="426" w:end="423"/>
        <w:jc w:val="start"/>
        <w:rPr>
          <w:rFonts w:ascii="Arial" w:hAnsi="Arial" w:cs="Arial"/>
        </w:rPr>
      </w:pPr>
      <w:r>
        <w:rPr>
          <w:rFonts w:cs="Arial" w:ascii="Arial" w:hAnsi="Arial"/>
        </w:rPr>
        <w:t>Wszystkie miejsca czasowego składowania materiałów powinny być po zakończeniu robót doprowadzone przez Wykonawcę do ich pierwotnego stanu.</w:t>
      </w:r>
    </w:p>
    <w:p>
      <w:pPr>
        <w:pStyle w:val="SpecyfikacjaSSTpodkrelenie"/>
        <w:ind w:start="426" w:end="423"/>
        <w:rPr>
          <w:rFonts w:ascii="Arial" w:hAnsi="Arial" w:cs="Arial"/>
          <w:sz w:val="24"/>
          <w:szCs w:val="24"/>
        </w:rPr>
      </w:pPr>
      <w:bookmarkStart w:id="50" w:name="_Toc125436467"/>
      <w:bookmarkEnd w:id="50"/>
      <w:r>
        <w:rPr>
          <w:rFonts w:cs="Arial" w:ascii="Arial" w:hAnsi="Arial"/>
          <w:sz w:val="24"/>
          <w:szCs w:val="24"/>
        </w:rPr>
        <w:t>Wariantowe stosowanie materiałów</w:t>
      </w:r>
    </w:p>
    <w:p>
      <w:pPr>
        <w:pStyle w:val="SpecyfikacjaSSTpodstawowy"/>
        <w:ind w:firstLine="282" w:start="426" w:end="423"/>
        <w:jc w:val="start"/>
        <w:rPr>
          <w:rFonts w:ascii="Arial" w:hAnsi="Arial" w:cs="Arial"/>
        </w:rPr>
      </w:pPr>
      <w:r>
        <w:rPr>
          <w:rFonts w:cs="Arial" w:ascii="Arial" w:hAnsi="Arial"/>
        </w:rPr>
        <w:t xml:space="preserve">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 </w:t>
      </w:r>
    </w:p>
    <w:p>
      <w:pPr>
        <w:pStyle w:val="SpecyfikacjaSSTpodstawowy"/>
        <w:ind w:start="426" w:end="423"/>
        <w:jc w:val="start"/>
        <w:rPr>
          <w:rFonts w:ascii="Arial" w:hAnsi="Arial" w:cs="Arial"/>
        </w:rPr>
      </w:pPr>
      <w:r>
        <w:rPr>
          <w:rFonts w:cs="Arial" w:ascii="Arial" w:hAnsi="Arial"/>
        </w:rPr>
        <w:t>Proponowane materiały zamienne muszą charakteryzować się parametrami techniczno-użytkowymi nie gorszymi od materiałów wskazanych w projekcie, a Wykonawca zobowiązany jest na życzenie Inspektora Nadzoru przedstawić specyfikację techniczną materiałów zamiennych popartą wynikami badań niezależnych certyfikowanych laboratoriów technologicznych. Wszystkie materiały o nazwach własnych wskazane w dokumentacji projektowej i SST należy traktować jako standardy określające wymagania jakościowe i techniczne zdefiniowane przez projektanta.</w:t>
      </w:r>
    </w:p>
    <w:p>
      <w:pPr>
        <w:pStyle w:val="Normal"/>
        <w:shd w:val="clear" w:color="auto" w:fill="FFFFFF"/>
        <w:ind w:start="426" w:end="423"/>
        <w:rPr>
          <w:color w:val="000000"/>
          <w:sz w:val="24"/>
          <w:szCs w:val="24"/>
        </w:rPr>
      </w:pPr>
      <w:r>
        <w:rPr>
          <w:color w:val="000000"/>
          <w:sz w:val="24"/>
          <w:szCs w:val="24"/>
        </w:rPr>
      </w:r>
    </w:p>
    <w:p>
      <w:pPr>
        <w:pStyle w:val="Heading2"/>
        <w:numPr>
          <w:ilvl w:val="1"/>
          <w:numId w:val="13"/>
        </w:numPr>
        <w:ind w:hanging="432" w:start="426" w:end="423"/>
        <w:rPr>
          <w:rFonts w:ascii="Arial" w:hAnsi="Arial" w:cs="Arial"/>
          <w:sz w:val="24"/>
          <w:szCs w:val="24"/>
        </w:rPr>
      </w:pPr>
      <w:bookmarkStart w:id="51" w:name="_Toc535218194"/>
      <w:bookmarkStart w:id="52" w:name="_Toc115621671"/>
      <w:r>
        <w:rPr>
          <w:rFonts w:cs="Arial" w:ascii="Arial" w:hAnsi="Arial"/>
          <w:sz w:val="24"/>
          <w:szCs w:val="24"/>
        </w:rPr>
        <w:t>Ogólne wymagania dotyczące właściwości materiałów, ich pozyskiwania i składowania podano w ST „Wymagania ogólne"</w:t>
      </w:r>
      <w:bookmarkEnd w:id="51"/>
      <w:bookmarkEnd w:id="52"/>
      <w:r>
        <w:rPr>
          <w:rFonts w:cs="Arial" w:ascii="Arial" w:hAnsi="Arial"/>
          <w:sz w:val="24"/>
          <w:szCs w:val="24"/>
        </w:rPr>
        <w:t xml:space="preserve"> </w:t>
      </w:r>
    </w:p>
    <w:p>
      <w:pPr>
        <w:pStyle w:val="Normal"/>
        <w:shd w:val="clear" w:color="auto" w:fill="FFFFFF"/>
        <w:ind w:firstLine="282" w:start="426" w:end="423"/>
        <w:rPr>
          <w:sz w:val="24"/>
          <w:szCs w:val="24"/>
        </w:rPr>
      </w:pPr>
      <w:r>
        <w:rPr>
          <w:color w:val="000000"/>
          <w:sz w:val="24"/>
          <w:szCs w:val="24"/>
        </w:rPr>
        <w:t>Do wykonania i montażu instalacji, urządzeń elektrycznych i odbiorników energii elektrycz</w:t>
      </w:r>
      <w:r>
        <w:rPr>
          <w:color w:val="000000"/>
          <w:spacing w:val="4"/>
          <w:sz w:val="24"/>
          <w:szCs w:val="24"/>
        </w:rPr>
        <w:t xml:space="preserve">nej należy stosować przewody, kable, osprzęt oraz aparaturę </w:t>
      </w:r>
      <w:r>
        <w:rPr>
          <w:color w:val="000000"/>
          <w:spacing w:val="-1"/>
          <w:sz w:val="24"/>
          <w:szCs w:val="24"/>
        </w:rPr>
        <w:t>i urządzenia elektryczne posiadające dopuszczenie do stosowania w budownictwie.</w:t>
      </w:r>
    </w:p>
    <w:p>
      <w:pPr>
        <w:pStyle w:val="Normal"/>
        <w:shd w:val="clear" w:color="auto" w:fill="FFFFFF"/>
        <w:ind w:start="426" w:end="423"/>
        <w:rPr>
          <w:sz w:val="24"/>
          <w:szCs w:val="24"/>
        </w:rPr>
      </w:pPr>
      <w:r>
        <w:rPr>
          <w:color w:val="000000"/>
          <w:spacing w:val="-1"/>
          <w:sz w:val="24"/>
          <w:szCs w:val="24"/>
        </w:rPr>
        <w:t>Za dopuszczone do obrotu i stosowania uznaje się wyroby, dla których producent lub je</w:t>
      </w:r>
      <w:r>
        <w:rPr>
          <w:color w:val="000000"/>
          <w:sz w:val="24"/>
          <w:szCs w:val="24"/>
        </w:rPr>
        <w:t>go upoważniony przedstawiciel:</w:t>
      </w:r>
    </w:p>
    <w:p>
      <w:pPr>
        <w:pStyle w:val="Normal"/>
        <w:numPr>
          <w:ilvl w:val="0"/>
          <w:numId w:val="5"/>
        </w:numPr>
        <w:shd w:val="clear" w:color="auto" w:fill="FFFFFF"/>
        <w:ind w:hanging="281" w:start="426" w:end="423"/>
        <w:rPr>
          <w:sz w:val="24"/>
          <w:szCs w:val="24"/>
        </w:rPr>
      </w:pPr>
      <w:r>
        <w:rPr>
          <w:color w:val="000000"/>
          <w:spacing w:val="1"/>
          <w:sz w:val="24"/>
          <w:szCs w:val="24"/>
        </w:rPr>
        <w:t xml:space="preserve">dokonał oceny zgodności z wymaganiami dokumentu odniesienia według określonego </w:t>
      </w:r>
      <w:r>
        <w:rPr>
          <w:color w:val="000000"/>
          <w:spacing w:val="-1"/>
          <w:sz w:val="24"/>
          <w:szCs w:val="24"/>
        </w:rPr>
        <w:t>systemu oceny zgodności,</w:t>
      </w:r>
    </w:p>
    <w:p>
      <w:pPr>
        <w:pStyle w:val="Normal"/>
        <w:numPr>
          <w:ilvl w:val="0"/>
          <w:numId w:val="5"/>
        </w:numPr>
        <w:shd w:val="clear" w:color="auto" w:fill="FFFFFF"/>
        <w:ind w:hanging="281" w:start="426" w:end="423"/>
        <w:rPr>
          <w:sz w:val="24"/>
          <w:szCs w:val="24"/>
        </w:rPr>
      </w:pPr>
      <w:r>
        <w:rPr>
          <w:color w:val="000000"/>
          <w:spacing w:val="3"/>
          <w:sz w:val="24"/>
          <w:szCs w:val="24"/>
        </w:rPr>
        <w:t xml:space="preserve">wydał deklarację zgodności z dokumentami odniesienia, takimi jak: zharmonizowane </w:t>
      </w:r>
      <w:r>
        <w:rPr>
          <w:color w:val="000000"/>
          <w:spacing w:val="2"/>
          <w:sz w:val="24"/>
          <w:szCs w:val="24"/>
        </w:rPr>
        <w:t xml:space="preserve">specyfikacje techniczne, normy opracowane przez Międzynarodową Komisję Elektrotechniczną (IEC) i wprowadzone do zbioru Polskich Norm, normy krajowe opracowane </w:t>
      </w:r>
      <w:r>
        <w:rPr>
          <w:color w:val="000000"/>
          <w:spacing w:val="1"/>
          <w:sz w:val="24"/>
          <w:szCs w:val="24"/>
        </w:rPr>
        <w:t xml:space="preserve">z uwzględnieniem przepisów bezpieczeństwa Międzynarodowej Komisji ds. Przepisów </w:t>
      </w:r>
      <w:r>
        <w:rPr>
          <w:color w:val="000000"/>
          <w:spacing w:val="-1"/>
          <w:sz w:val="24"/>
          <w:szCs w:val="24"/>
        </w:rPr>
        <w:t>Dotyczących Zatwierdzenia Sprzętu Elektrycznego (CEE), aprobaty techniczne,</w:t>
      </w:r>
    </w:p>
    <w:p>
      <w:pPr>
        <w:pStyle w:val="Normal"/>
        <w:numPr>
          <w:ilvl w:val="0"/>
          <w:numId w:val="5"/>
        </w:numPr>
        <w:shd w:val="clear" w:color="auto" w:fill="FFFFFF"/>
        <w:ind w:hanging="281" w:start="426" w:end="423"/>
        <w:rPr>
          <w:sz w:val="24"/>
          <w:szCs w:val="24"/>
        </w:rPr>
      </w:pPr>
      <w:r>
        <w:rPr>
          <w:color w:val="000000"/>
          <w:spacing w:val="1"/>
          <w:sz w:val="24"/>
          <w:szCs w:val="24"/>
        </w:rPr>
        <w:t xml:space="preserve">oznakował wyroby znakiem CE lub znakiem budowlanym B zgodnie z obowiązującymi </w:t>
      </w:r>
      <w:r>
        <w:rPr>
          <w:color w:val="000000"/>
          <w:spacing w:val="-2"/>
          <w:sz w:val="24"/>
          <w:szCs w:val="24"/>
        </w:rPr>
        <w:t>przepisami,</w:t>
      </w:r>
    </w:p>
    <w:p>
      <w:pPr>
        <w:pStyle w:val="Normal"/>
        <w:numPr>
          <w:ilvl w:val="0"/>
          <w:numId w:val="5"/>
        </w:numPr>
        <w:shd w:val="clear" w:color="auto" w:fill="FFFFFF"/>
        <w:ind w:hanging="281" w:start="426" w:end="423"/>
        <w:rPr>
          <w:sz w:val="24"/>
          <w:szCs w:val="24"/>
        </w:rPr>
      </w:pPr>
      <w:r>
        <w:rPr>
          <w:color w:val="000000"/>
          <w:sz w:val="24"/>
          <w:szCs w:val="24"/>
        </w:rPr>
        <w:t>wydał deklarację zgodności z uznanymi regułami sztuki budowlanej, dla wyrobu umiesz</w:t>
      </w:r>
      <w:r>
        <w:rPr>
          <w:color w:val="000000"/>
          <w:spacing w:val="-1"/>
          <w:sz w:val="24"/>
          <w:szCs w:val="24"/>
        </w:rPr>
        <w:t xml:space="preserve">czonego w określonym przez Komisję Europejską wykazie wyrobów mających niewielkie </w:t>
      </w:r>
      <w:r>
        <w:rPr>
          <w:color w:val="000000"/>
          <w:sz w:val="24"/>
          <w:szCs w:val="24"/>
        </w:rPr>
        <w:t>znaczenie dla zdrowia i bezpieczeństwa,</w:t>
      </w:r>
    </w:p>
    <w:p>
      <w:pPr>
        <w:pStyle w:val="Normal"/>
        <w:numPr>
          <w:ilvl w:val="0"/>
          <w:numId w:val="5"/>
        </w:numPr>
        <w:shd w:val="clear" w:color="auto" w:fill="FFFFFF"/>
        <w:ind w:hanging="281" w:start="426" w:end="423"/>
        <w:rPr>
          <w:sz w:val="24"/>
          <w:szCs w:val="24"/>
        </w:rPr>
      </w:pPr>
      <w:r>
        <w:rPr>
          <w:color w:val="000000"/>
          <w:sz w:val="24"/>
          <w:szCs w:val="24"/>
        </w:rPr>
        <w:t>wydał oświadczenie, że zapewniono zgodność wyrobu budowlanego, dopuszczonego do jednostkowego zastosowania w obiekcie budowlanym, z indywidualną dokumentacją projektową, sporządzoną przez projektanta obiektu lub z nim uzgodnioną.</w:t>
      </w:r>
    </w:p>
    <w:p>
      <w:pPr>
        <w:pStyle w:val="Normal"/>
        <w:shd w:val="clear" w:color="auto" w:fill="FFFFFF"/>
        <w:ind w:start="426" w:end="423"/>
        <w:rPr>
          <w:sz w:val="24"/>
          <w:szCs w:val="24"/>
        </w:rPr>
      </w:pPr>
      <w:r>
        <w:rPr>
          <w:color w:val="000000"/>
          <w:sz w:val="24"/>
          <w:szCs w:val="24"/>
        </w:rPr>
        <w:t xml:space="preserve">Zastosowanie innych wyrobów, wyżej nie wymienionych, jest możliwe pod warunkiem </w:t>
      </w:r>
      <w:r>
        <w:rPr>
          <w:color w:val="000000"/>
          <w:spacing w:val="5"/>
          <w:sz w:val="24"/>
          <w:szCs w:val="24"/>
        </w:rPr>
        <w:t xml:space="preserve">posiadania przez nie dopuszczenia do stosowania w budownictwie i uwzględnienia ich </w:t>
      </w:r>
      <w:r>
        <w:rPr>
          <w:color w:val="000000"/>
          <w:sz w:val="24"/>
          <w:szCs w:val="24"/>
        </w:rPr>
        <w:t>w zatwierdzonym projekcie dotyczącym montażu urządzeń elektroenergetycznych w obiek</w:t>
      </w:r>
      <w:r>
        <w:rPr>
          <w:color w:val="000000"/>
          <w:spacing w:val="-1"/>
          <w:sz w:val="24"/>
          <w:szCs w:val="24"/>
        </w:rPr>
        <w:t>cie budowlanym.</w:t>
      </w:r>
    </w:p>
    <w:p>
      <w:pPr>
        <w:pStyle w:val="Heading2"/>
        <w:numPr>
          <w:ilvl w:val="1"/>
          <w:numId w:val="13"/>
        </w:numPr>
        <w:ind w:hanging="432" w:start="426" w:end="423"/>
        <w:rPr>
          <w:rFonts w:ascii="Arial" w:hAnsi="Arial" w:cs="Arial"/>
          <w:sz w:val="24"/>
          <w:szCs w:val="24"/>
        </w:rPr>
      </w:pPr>
      <w:bookmarkStart w:id="53" w:name="_Toc115621672"/>
      <w:bookmarkStart w:id="54" w:name="_Toc535218195"/>
      <w:bookmarkEnd w:id="54"/>
      <w:r>
        <w:rPr>
          <w:rFonts w:cs="Arial" w:ascii="Arial" w:hAnsi="Arial"/>
          <w:sz w:val="24"/>
          <w:szCs w:val="24"/>
        </w:rPr>
        <w:t>Rodzaje materiałów</w:t>
      </w:r>
      <w:bookmarkEnd w:id="53"/>
    </w:p>
    <w:p>
      <w:pPr>
        <w:pStyle w:val="Normal"/>
        <w:shd w:val="clear" w:color="auto" w:fill="FFFFFF"/>
        <w:ind w:start="426" w:end="423"/>
        <w:rPr>
          <w:sz w:val="24"/>
          <w:szCs w:val="24"/>
        </w:rPr>
      </w:pPr>
      <w:r>
        <w:rPr>
          <w:color w:val="000000"/>
          <w:spacing w:val="-1"/>
          <w:sz w:val="24"/>
          <w:szCs w:val="24"/>
        </w:rPr>
        <w:t xml:space="preserve">Wszystkie materiały do wykonania instalacji elektrycznej powinny odpowiadać wymaganiom </w:t>
      </w:r>
      <w:r>
        <w:rPr>
          <w:color w:val="000000"/>
          <w:sz w:val="24"/>
          <w:szCs w:val="24"/>
        </w:rPr>
        <w:t>zawartym w dokumentach odniesienia (normach, aprobatach technicznych).</w:t>
      </w:r>
    </w:p>
    <w:p>
      <w:pPr>
        <w:pStyle w:val="Heading3"/>
        <w:numPr>
          <w:ilvl w:val="2"/>
          <w:numId w:val="13"/>
        </w:numPr>
        <w:ind w:hanging="504" w:start="426" w:end="423"/>
        <w:rPr>
          <w:rFonts w:ascii="Arial" w:hAnsi="Arial" w:cs="Arial"/>
        </w:rPr>
      </w:pPr>
      <w:bookmarkStart w:id="55" w:name="_Toc115621673"/>
      <w:bookmarkStart w:id="56" w:name="_Toc535218196"/>
      <w:bookmarkEnd w:id="56"/>
      <w:r>
        <w:rPr>
          <w:rFonts w:cs="Arial" w:ascii="Arial" w:hAnsi="Arial"/>
        </w:rPr>
        <w:t>Kable i przewody</w:t>
      </w:r>
      <w:bookmarkEnd w:id="55"/>
    </w:p>
    <w:p>
      <w:pPr>
        <w:pStyle w:val="Normal"/>
        <w:shd w:val="clear" w:color="auto" w:fill="FFFFFF"/>
        <w:ind w:firstLine="282" w:start="426" w:end="423"/>
        <w:rPr>
          <w:sz w:val="24"/>
          <w:szCs w:val="24"/>
        </w:rPr>
      </w:pPr>
      <w:r>
        <w:rPr>
          <w:color w:val="000000"/>
          <w:spacing w:val="-1"/>
          <w:sz w:val="24"/>
          <w:szCs w:val="24"/>
        </w:rPr>
        <w:t xml:space="preserve">Zaleca się, aby kable energetyczne układane w budynkach posiadały izolację wg wymogów </w:t>
      </w:r>
      <w:r>
        <w:rPr>
          <w:color w:val="000000"/>
          <w:sz w:val="24"/>
          <w:szCs w:val="24"/>
        </w:rPr>
        <w:t>dla rodzaju pomieszczenia i powłokę ochronną.</w:t>
      </w:r>
    </w:p>
    <w:p>
      <w:pPr>
        <w:pStyle w:val="Normal"/>
        <w:shd w:val="clear" w:color="auto" w:fill="FFFFFF"/>
        <w:ind w:start="426" w:end="423"/>
        <w:rPr>
          <w:sz w:val="24"/>
          <w:szCs w:val="24"/>
        </w:rPr>
      </w:pPr>
      <w:r>
        <w:rPr>
          <w:color w:val="000000"/>
          <w:sz w:val="24"/>
          <w:szCs w:val="24"/>
        </w:rPr>
        <w:t xml:space="preserve">Jako materiały przewodzące można stosować miedź i aluminium, liczba żył: </w:t>
      </w:r>
      <w:r>
        <w:rPr>
          <w:color w:val="000000"/>
          <w:spacing w:val="15"/>
          <w:sz w:val="24"/>
          <w:szCs w:val="24"/>
        </w:rPr>
        <w:t>1,3,4,</w:t>
      </w:r>
      <w:r>
        <w:rPr>
          <w:color w:val="000000"/>
          <w:sz w:val="24"/>
          <w:szCs w:val="24"/>
        </w:rPr>
        <w:t xml:space="preserve"> 5.</w:t>
      </w:r>
    </w:p>
    <w:p>
      <w:pPr>
        <w:pStyle w:val="Normal"/>
        <w:shd w:val="clear" w:color="auto" w:fill="FFFFFF"/>
        <w:ind w:start="426" w:end="423"/>
        <w:rPr>
          <w:sz w:val="24"/>
          <w:szCs w:val="24"/>
        </w:rPr>
      </w:pPr>
      <w:r>
        <w:rPr>
          <w:color w:val="000000"/>
          <w:sz w:val="24"/>
          <w:szCs w:val="24"/>
        </w:rPr>
        <w:t xml:space="preserve">Przewody instalacyjne należy stosować izolowane lub z izolacją i powłoką ochronną do układania na stałe, w osłonach lub bez, klejonych bezpośrednio do podłoża lub układanych </w:t>
      </w:r>
      <w:r>
        <w:rPr>
          <w:color w:val="000000"/>
          <w:spacing w:val="-1"/>
          <w:sz w:val="24"/>
          <w:szCs w:val="24"/>
        </w:rPr>
        <w:t>na linkach nośnych, a także natynkowo, wtynkowo lub pod tynkiem; ilość żył zależy od przeznaczenia danego przewodu.</w:t>
      </w:r>
    </w:p>
    <w:p>
      <w:pPr>
        <w:pStyle w:val="Normal"/>
        <w:shd w:val="clear" w:color="auto" w:fill="FFFFFF"/>
        <w:ind w:start="426" w:end="423"/>
        <w:rPr>
          <w:sz w:val="24"/>
          <w:szCs w:val="24"/>
        </w:rPr>
      </w:pPr>
      <w:r>
        <w:rPr>
          <w:color w:val="000000"/>
          <w:sz w:val="24"/>
          <w:szCs w:val="24"/>
        </w:rPr>
        <w:t>Napięcie znamionowe izolacji 750V.</w:t>
      </w:r>
    </w:p>
    <w:p>
      <w:pPr>
        <w:pStyle w:val="Normal"/>
        <w:shd w:val="clear" w:color="auto" w:fill="FFFFFF"/>
        <w:ind w:start="426" w:end="423"/>
        <w:rPr>
          <w:sz w:val="24"/>
          <w:szCs w:val="24"/>
        </w:rPr>
      </w:pPr>
      <w:r>
        <w:rPr>
          <w:color w:val="000000"/>
          <w:spacing w:val="-1"/>
          <w:sz w:val="24"/>
          <w:szCs w:val="24"/>
        </w:rPr>
        <w:t>Jako materiały przewodzące można stosować miedź i aluminium, przy czym dla przekroju żył do 10 mm</w:t>
      </w:r>
      <w:r>
        <w:rPr>
          <w:color w:val="000000"/>
          <w:spacing w:val="-1"/>
          <w:sz w:val="24"/>
          <w:szCs w:val="24"/>
          <w:vertAlign w:val="superscript"/>
        </w:rPr>
        <w:t>2</w:t>
      </w:r>
      <w:r>
        <w:rPr>
          <w:color w:val="000000"/>
          <w:spacing w:val="-1"/>
          <w:sz w:val="24"/>
          <w:szCs w:val="24"/>
        </w:rPr>
        <w:t xml:space="preserve"> należy stosować obowiązkowo przewody miedziane.</w:t>
      </w:r>
    </w:p>
    <w:p>
      <w:pPr>
        <w:pStyle w:val="Heading3"/>
        <w:numPr>
          <w:ilvl w:val="2"/>
          <w:numId w:val="13"/>
        </w:numPr>
        <w:ind w:hanging="504" w:start="426" w:end="423"/>
        <w:rPr>
          <w:rFonts w:ascii="Arial" w:hAnsi="Arial" w:cs="Arial"/>
        </w:rPr>
      </w:pPr>
      <w:bookmarkStart w:id="57" w:name="_Toc115621674"/>
      <w:bookmarkStart w:id="58" w:name="_Toc535218197"/>
      <w:bookmarkEnd w:id="58"/>
      <w:r>
        <w:rPr>
          <w:rFonts w:cs="Arial" w:ascii="Arial" w:hAnsi="Arial"/>
        </w:rPr>
        <w:t>Osprzęt instalacyjny do kabli i przewodów</w:t>
      </w:r>
      <w:bookmarkEnd w:id="57"/>
    </w:p>
    <w:p>
      <w:pPr>
        <w:pStyle w:val="Normal"/>
        <w:shd w:val="clear" w:color="auto" w:fill="FFFFFF"/>
        <w:ind w:firstLine="282" w:start="426" w:end="423"/>
        <w:rPr>
          <w:sz w:val="24"/>
          <w:szCs w:val="24"/>
        </w:rPr>
      </w:pPr>
      <w:r>
        <w:rPr>
          <w:b/>
          <w:bCs/>
          <w:color w:val="000000"/>
          <w:sz w:val="24"/>
          <w:szCs w:val="24"/>
        </w:rPr>
        <w:t xml:space="preserve">Przepusty kablowe i osłony krawędzi </w:t>
      </w:r>
      <w:r>
        <w:rPr>
          <w:color w:val="000000"/>
          <w:sz w:val="24"/>
          <w:szCs w:val="24"/>
        </w:rPr>
        <w:t xml:space="preserve">- Kable i przewody układane bezpośrednio na podłodze należy chronić poprzez stosowanie </w:t>
      </w:r>
      <w:r>
        <w:rPr>
          <w:color w:val="000000"/>
          <w:spacing w:val="-1"/>
          <w:sz w:val="24"/>
          <w:szCs w:val="24"/>
        </w:rPr>
        <w:t>osłon (rury instalacyjne, listwy podłogowe).</w:t>
      </w:r>
    </w:p>
    <w:p>
      <w:pPr>
        <w:pStyle w:val="Normal"/>
        <w:shd w:val="clear" w:color="auto" w:fill="FFFFFF"/>
        <w:ind w:firstLine="282" w:start="426" w:end="423"/>
        <w:rPr>
          <w:sz w:val="24"/>
          <w:szCs w:val="24"/>
        </w:rPr>
      </w:pPr>
      <w:r>
        <w:rPr>
          <w:b/>
          <w:bCs/>
          <w:color w:val="000000"/>
          <w:spacing w:val="2"/>
          <w:sz w:val="24"/>
          <w:szCs w:val="24"/>
        </w:rPr>
        <w:t xml:space="preserve">Rury instalacyjne wraz z osprzętem </w:t>
      </w:r>
      <w:r>
        <w:rPr>
          <w:color w:val="000000"/>
          <w:spacing w:val="2"/>
          <w:sz w:val="24"/>
          <w:szCs w:val="24"/>
        </w:rPr>
        <w:t xml:space="preserve">(rozgałęzienia, tuleje, łączniki, uchwyty) wykonane z tworzyw sztucznych albo metalowe, głównie stalowe - zasadą jest używanie materiałów </w:t>
      </w:r>
      <w:r>
        <w:rPr>
          <w:color w:val="000000"/>
          <w:sz w:val="24"/>
          <w:szCs w:val="24"/>
        </w:rPr>
        <w:t>o wytrzymałości elektrycznej powyżej 2 kV, niepalnych lub trudnozapalnych, które nie pod</w:t>
      </w:r>
      <w:r>
        <w:rPr>
          <w:color w:val="000000"/>
          <w:spacing w:val="-1"/>
          <w:sz w:val="24"/>
          <w:szCs w:val="24"/>
        </w:rPr>
        <w:t xml:space="preserve">trzymują płomienia, a wydzielane przez rury w wysokiej temperaturze gazy nie są szkodliwe dla człowieka. Rurowe instalacje wnętrzowe powinny być odporne na temperaturę otoczenia </w:t>
      </w:r>
      <w:r>
        <w:rPr>
          <w:color w:val="000000"/>
          <w:spacing w:val="3"/>
          <w:sz w:val="24"/>
          <w:szCs w:val="24"/>
        </w:rPr>
        <w:t>w zakresie od - 5 do + 60</w:t>
      </w:r>
      <w:r>
        <w:rPr>
          <w:color w:val="000000"/>
          <w:sz w:val="24"/>
          <w:szCs w:val="24"/>
          <w:vertAlign w:val="superscript"/>
        </w:rPr>
        <w:t>°</w:t>
      </w:r>
      <w:r>
        <w:rPr>
          <w:color w:val="000000"/>
          <w:spacing w:val="3"/>
          <w:sz w:val="24"/>
          <w:szCs w:val="24"/>
        </w:rPr>
        <w:t xml:space="preserve">C, a ze względu na wytrzymałość, wymagają stosowania rur </w:t>
      </w:r>
      <w:r>
        <w:rPr>
          <w:color w:val="000000"/>
          <w:spacing w:val="-1"/>
          <w:sz w:val="24"/>
          <w:szCs w:val="24"/>
        </w:rPr>
        <w:t xml:space="preserve">z tworzyw sztucznych lekkich i średnich. </w:t>
      </w:r>
    </w:p>
    <w:p>
      <w:pPr>
        <w:pStyle w:val="Normal"/>
        <w:shd w:val="clear" w:color="auto" w:fill="FFFFFF"/>
        <w:ind w:firstLine="282" w:start="426" w:end="423"/>
        <w:rPr>
          <w:sz w:val="24"/>
          <w:szCs w:val="24"/>
        </w:rPr>
      </w:pPr>
      <w:r>
        <w:rPr>
          <w:b/>
          <w:bCs/>
          <w:color w:val="000000"/>
          <w:spacing w:val="-1"/>
          <w:sz w:val="24"/>
          <w:szCs w:val="24"/>
        </w:rPr>
        <w:t>Systemy mocujące przewody, kable, instalacje wiązkowe i osprzęt</w:t>
      </w:r>
    </w:p>
    <w:p>
      <w:pPr>
        <w:pStyle w:val="Normal"/>
        <w:shd w:val="clear" w:color="auto" w:fill="FFFFFF"/>
        <w:ind w:start="426" w:end="423"/>
        <w:rPr>
          <w:sz w:val="24"/>
          <w:szCs w:val="24"/>
        </w:rPr>
      </w:pPr>
      <w:r>
        <w:rPr>
          <w:b/>
          <w:bCs/>
          <w:color w:val="000000"/>
          <w:sz w:val="24"/>
          <w:szCs w:val="24"/>
        </w:rPr>
        <w:t xml:space="preserve">Uchwyty do mocowania kabli i przewodów </w:t>
      </w:r>
      <w:r>
        <w:rPr>
          <w:color w:val="000000"/>
          <w:sz w:val="24"/>
          <w:szCs w:val="24"/>
        </w:rPr>
        <w:t>- klinowane w otworze z elementem trzyma</w:t>
      </w:r>
      <w:r>
        <w:rPr>
          <w:color w:val="000000"/>
          <w:spacing w:val="-1"/>
          <w:sz w:val="24"/>
          <w:szCs w:val="24"/>
        </w:rPr>
        <w:t>jącym stałym lub zaciskowym, wbijane i mocowane do innych elementów np. paski zacisko</w:t>
      </w:r>
      <w:r>
        <w:rPr>
          <w:color w:val="000000"/>
          <w:sz w:val="24"/>
          <w:szCs w:val="24"/>
        </w:rPr>
        <w:t xml:space="preserve">we lub uchwyty kablowe przykręcane; stosowane głównie z tworzyw sztucznych (niektóre </w:t>
      </w:r>
      <w:r>
        <w:rPr>
          <w:color w:val="000000"/>
          <w:spacing w:val="-1"/>
          <w:sz w:val="24"/>
          <w:szCs w:val="24"/>
        </w:rPr>
        <w:t>elementy mogą być wykonane także z metali).</w:t>
      </w:r>
    </w:p>
    <w:p>
      <w:pPr>
        <w:pStyle w:val="Normal"/>
        <w:shd w:val="clear" w:color="auto" w:fill="FFFFFF"/>
        <w:ind w:firstLine="282" w:start="426" w:end="423"/>
        <w:rPr>
          <w:sz w:val="24"/>
          <w:szCs w:val="24"/>
        </w:rPr>
      </w:pPr>
      <w:r>
        <w:rPr>
          <w:b/>
          <w:bCs/>
          <w:color w:val="000000"/>
          <w:spacing w:val="-1"/>
          <w:sz w:val="24"/>
          <w:szCs w:val="24"/>
        </w:rPr>
        <w:t xml:space="preserve">Uchwyty do rur instalacyjnych </w:t>
      </w:r>
      <w:r>
        <w:rPr>
          <w:color w:val="000000"/>
          <w:spacing w:val="-1"/>
          <w:sz w:val="24"/>
          <w:szCs w:val="24"/>
        </w:rPr>
        <w:t xml:space="preserve">- wykonane z tworzyw i w typowielkościach takich jak rury </w:t>
      </w:r>
      <w:r>
        <w:rPr>
          <w:color w:val="000000"/>
          <w:sz w:val="24"/>
          <w:szCs w:val="24"/>
        </w:rPr>
        <w:t>instalacyjne - mocowanie rury poprzez wciskanie lub przykręcanie (otwarte lub zamykane).</w:t>
      </w:r>
    </w:p>
    <w:p>
      <w:pPr>
        <w:pStyle w:val="Normal"/>
        <w:shd w:val="clear" w:color="auto" w:fill="FFFFFF"/>
        <w:ind w:start="426" w:end="423"/>
        <w:rPr>
          <w:sz w:val="24"/>
          <w:szCs w:val="24"/>
        </w:rPr>
      </w:pPr>
      <w:r>
        <w:rPr>
          <w:b/>
          <w:bCs/>
          <w:color w:val="000000"/>
          <w:sz w:val="24"/>
          <w:szCs w:val="24"/>
        </w:rPr>
        <w:t xml:space="preserve">Puszki elektroinstalacyjne </w:t>
      </w:r>
      <w:r>
        <w:rPr>
          <w:color w:val="000000"/>
          <w:sz w:val="24"/>
          <w:szCs w:val="24"/>
        </w:rPr>
        <w:t xml:space="preserve">mogą być standardowe i do ścian pustych, służą do montażu </w:t>
      </w:r>
      <w:r>
        <w:rPr>
          <w:color w:val="000000"/>
          <w:spacing w:val="-1"/>
          <w:sz w:val="24"/>
          <w:szCs w:val="24"/>
        </w:rPr>
        <w:t>gniazd i</w:t>
      </w:r>
      <w:r>
        <w:rPr>
          <w:b/>
          <w:bCs/>
          <w:color w:val="000000"/>
          <w:spacing w:val="-1"/>
          <w:sz w:val="24"/>
          <w:szCs w:val="24"/>
        </w:rPr>
        <w:t xml:space="preserve"> </w:t>
      </w:r>
      <w:r>
        <w:rPr>
          <w:color w:val="000000"/>
          <w:spacing w:val="-1"/>
          <w:sz w:val="24"/>
          <w:szCs w:val="24"/>
        </w:rPr>
        <w:t>łączników instalacyjnych, występują jako łączące, przelotowe, odgałęźne lub podło</w:t>
      </w:r>
      <w:r>
        <w:rPr>
          <w:color w:val="000000"/>
          <w:sz w:val="24"/>
          <w:szCs w:val="24"/>
        </w:rPr>
        <w:t xml:space="preserve">gowe i sufitowe. Wykonane są z materiałów o wytrzymałości elektrycznej powyżej 2 kV, niepalnych lub trudnozapalnych, które nie podtrzymują płomienia, a wydzielane w wysokiej temperaturze przez puszkę gazy nie są szkodliwe dla człowieka, jednocześnie zapewniają </w:t>
      </w:r>
      <w:r>
        <w:rPr>
          <w:color w:val="000000"/>
          <w:spacing w:val="-1"/>
          <w:sz w:val="24"/>
          <w:szCs w:val="24"/>
        </w:rPr>
        <w:t>stopień ochrony minimalny IP 2X. Dobór typu puszki uzależniony jest od systemu instalacyj</w:t>
      </w:r>
      <w:r>
        <w:rPr>
          <w:color w:val="000000"/>
          <w:sz w:val="24"/>
          <w:szCs w:val="24"/>
        </w:rPr>
        <w:t xml:space="preserve">nego. Ze względu na system montażu - występują puszki natynkowe, podtynkowe, natynkowo - wtynkowe, podłogowe. W zależności od przeznaczenia puszki muszą spełniać następujące wymagania co do ich wielkości: puszka sprzętowa </w:t>
      </w:r>
      <w:r>
        <w:rPr>
          <w:rFonts w:eastAsia="Symbol"/>
          <w:color w:val="000000"/>
          <w:spacing w:val="6"/>
          <w:sz w:val="24"/>
          <w:szCs w:val="24"/>
        </w:rPr>
        <w:t></w:t>
      </w:r>
      <w:r>
        <w:rPr>
          <w:color w:val="000000"/>
          <w:sz w:val="24"/>
          <w:szCs w:val="24"/>
        </w:rPr>
        <w:t xml:space="preserve"> 60 mm, sufitowa lub końco</w:t>
      </w:r>
      <w:r>
        <w:rPr>
          <w:color w:val="000000"/>
          <w:spacing w:val="3"/>
          <w:sz w:val="24"/>
          <w:szCs w:val="24"/>
        </w:rPr>
        <w:t xml:space="preserve">wa </w:t>
      </w:r>
      <w:r>
        <w:rPr>
          <w:rFonts w:eastAsia="Symbol"/>
          <w:color w:val="000000"/>
          <w:spacing w:val="6"/>
          <w:sz w:val="24"/>
          <w:szCs w:val="24"/>
        </w:rPr>
        <w:t></w:t>
      </w:r>
      <w:r>
        <w:rPr>
          <w:color w:val="000000"/>
          <w:spacing w:val="3"/>
          <w:sz w:val="24"/>
          <w:szCs w:val="24"/>
        </w:rPr>
        <w:t xml:space="preserve"> 60 mm lub 60x60 mm, rozgałęźna lub przelotowa </w:t>
      </w:r>
      <w:r>
        <w:rPr>
          <w:rFonts w:eastAsia="Symbol"/>
          <w:color w:val="000000"/>
          <w:spacing w:val="6"/>
          <w:sz w:val="24"/>
          <w:szCs w:val="24"/>
        </w:rPr>
        <w:t></w:t>
      </w:r>
      <w:r>
        <w:rPr>
          <w:color w:val="000000"/>
          <w:spacing w:val="3"/>
          <w:sz w:val="24"/>
          <w:szCs w:val="24"/>
        </w:rPr>
        <w:t xml:space="preserve"> 70 mm lub 75 x 75 mm - dwu-</w:t>
      </w:r>
      <w:r>
        <w:rPr>
          <w:color w:val="000000"/>
          <w:spacing w:val="-1"/>
          <w:sz w:val="24"/>
          <w:szCs w:val="24"/>
        </w:rPr>
        <w:t>trzy- lub czterowejściowa dla przewodów o przekroju żyły do 6 mm</w:t>
      </w:r>
      <w:r>
        <w:rPr>
          <w:color w:val="000000"/>
          <w:spacing w:val="-1"/>
          <w:sz w:val="24"/>
          <w:szCs w:val="24"/>
          <w:vertAlign w:val="superscript"/>
        </w:rPr>
        <w:t>2</w:t>
      </w:r>
      <w:r>
        <w:rPr>
          <w:color w:val="000000"/>
          <w:spacing w:val="-1"/>
          <w:sz w:val="24"/>
          <w:szCs w:val="24"/>
        </w:rPr>
        <w:t>. Puszki elektroinstala</w:t>
      </w:r>
      <w:r>
        <w:rPr>
          <w:color w:val="000000"/>
          <w:sz w:val="24"/>
          <w:szCs w:val="24"/>
        </w:rPr>
        <w:t>cyjne do montażu gniazd i łączników instalacyjnych powinny być przystosowane do moco</w:t>
      </w:r>
      <w:r>
        <w:rPr>
          <w:color w:val="000000"/>
          <w:spacing w:val="-1"/>
          <w:sz w:val="24"/>
          <w:szCs w:val="24"/>
        </w:rPr>
        <w:t>wania osprzętu za pomocą „pazurków" i / lub wkrętów.</w:t>
      </w:r>
    </w:p>
    <w:p>
      <w:pPr>
        <w:pStyle w:val="Normal"/>
        <w:shd w:val="clear" w:color="auto" w:fill="FFFFFF"/>
        <w:ind w:firstLine="282" w:start="426" w:end="423"/>
        <w:rPr>
          <w:sz w:val="24"/>
          <w:szCs w:val="24"/>
        </w:rPr>
      </w:pPr>
      <w:r>
        <w:rPr>
          <w:b/>
          <w:bCs/>
          <w:color w:val="000000"/>
          <w:spacing w:val="1"/>
          <w:sz w:val="24"/>
          <w:szCs w:val="24"/>
        </w:rPr>
        <w:t>Korytka kablowe -</w:t>
      </w:r>
      <w:r>
        <w:rPr>
          <w:color w:val="000000"/>
          <w:spacing w:val="-1"/>
          <w:sz w:val="24"/>
          <w:szCs w:val="24"/>
        </w:rPr>
        <w:t xml:space="preserve"> Przy wykonywaniu tras prowadzenia kabli i przewodów zaleca się stosowanie systemowych korytek metalowych, ocynkowanych. Korytka kablowe i konstrukcje wsporcze powinny być dostosowane do ilości i ciężaru kabli i przewodów, które są przewidziane dla danej trasy. Konstrukcje wsporcze powinny być dostosowane do sposobu montażu na obiekcie. Listwy elektroinstalacyjne wykonane z tworzyw sztucznych z twardego PVC, nie rozprzestrzeniającego płomienia, do średnich narażeń mechanicznych i właściwościach izolacyjnych spełniające wymagania PN-IEC 1084. Wielkość ich powinna być dostosowana do ilości i średnic przewodów, które są przewidziane dla danej trasy. </w:t>
      </w:r>
    </w:p>
    <w:p>
      <w:pPr>
        <w:pStyle w:val="Normal"/>
        <w:shd w:val="clear" w:color="auto" w:fill="FFFFFF"/>
        <w:ind w:firstLine="282" w:start="426" w:end="423"/>
        <w:rPr>
          <w:sz w:val="24"/>
          <w:szCs w:val="24"/>
        </w:rPr>
      </w:pPr>
      <w:r>
        <w:rPr>
          <w:b/>
          <w:bCs/>
          <w:color w:val="000000"/>
          <w:spacing w:val="1"/>
          <w:sz w:val="24"/>
          <w:szCs w:val="24"/>
        </w:rPr>
        <w:t xml:space="preserve">Pozostały osprzęt </w:t>
      </w:r>
      <w:r>
        <w:rPr>
          <w:color w:val="000000"/>
          <w:spacing w:val="1"/>
          <w:sz w:val="24"/>
          <w:szCs w:val="24"/>
        </w:rPr>
        <w:t xml:space="preserve">- ułatwia montaż i zwiększa bezpieczeństwo obsługi; wyróżnić można </w:t>
      </w:r>
      <w:r>
        <w:rPr>
          <w:color w:val="000000"/>
          <w:spacing w:val="-1"/>
          <w:sz w:val="24"/>
          <w:szCs w:val="24"/>
        </w:rPr>
        <w:t>kilka grup materiałów: oznaczniki przewodów, dławnice, złączki i szyny, zaciski ochronne itp.</w:t>
      </w:r>
    </w:p>
    <w:p>
      <w:pPr>
        <w:pStyle w:val="Normal"/>
        <w:shd w:val="clear" w:color="auto" w:fill="FFFFFF"/>
        <w:ind w:start="426" w:end="423"/>
        <w:rPr>
          <w:color w:val="000000"/>
          <w:spacing w:val="-1"/>
          <w:sz w:val="24"/>
          <w:szCs w:val="24"/>
        </w:rPr>
      </w:pPr>
      <w:r>
        <w:rPr>
          <w:color w:val="000000"/>
          <w:spacing w:val="-1"/>
          <w:sz w:val="24"/>
          <w:szCs w:val="24"/>
        </w:rPr>
      </w:r>
    </w:p>
    <w:p>
      <w:pPr>
        <w:pStyle w:val="Heading3"/>
        <w:numPr>
          <w:ilvl w:val="2"/>
          <w:numId w:val="13"/>
        </w:numPr>
        <w:ind w:hanging="504" w:start="426" w:end="423"/>
        <w:rPr>
          <w:rFonts w:ascii="Arial" w:hAnsi="Arial" w:cs="Arial"/>
        </w:rPr>
      </w:pPr>
      <w:bookmarkStart w:id="59" w:name="_Toc115621675"/>
      <w:bookmarkStart w:id="60" w:name="_Toc535218198"/>
      <w:bookmarkEnd w:id="60"/>
      <w:r>
        <w:rPr>
          <w:rFonts w:cs="Arial" w:ascii="Arial" w:hAnsi="Arial"/>
        </w:rPr>
        <w:t>Osprzęt instalacyjny</w:t>
      </w:r>
      <w:bookmarkEnd w:id="59"/>
    </w:p>
    <w:p>
      <w:pPr>
        <w:pStyle w:val="Normal"/>
        <w:shd w:val="clear" w:color="auto" w:fill="FFFFFF"/>
        <w:ind w:firstLine="282" w:start="426" w:end="423"/>
        <w:rPr>
          <w:sz w:val="24"/>
          <w:szCs w:val="24"/>
        </w:rPr>
      </w:pPr>
      <w:r>
        <w:rPr>
          <w:color w:val="000000"/>
          <w:sz w:val="24"/>
          <w:szCs w:val="24"/>
        </w:rPr>
        <w:t>Łączniki</w:t>
      </w:r>
      <w:r>
        <w:rPr>
          <w:b/>
          <w:bCs/>
          <w:color w:val="000000"/>
          <w:sz w:val="24"/>
          <w:szCs w:val="24"/>
        </w:rPr>
        <w:t xml:space="preserve"> </w:t>
      </w:r>
      <w:r>
        <w:rPr>
          <w:color w:val="000000"/>
          <w:sz w:val="24"/>
          <w:szCs w:val="24"/>
        </w:rPr>
        <w:t>ogólnego przeznaczenia wykonane dla potrzeb instalacji podtynkowych, natyn</w:t>
      </w:r>
      <w:r>
        <w:rPr>
          <w:color w:val="000000"/>
          <w:spacing w:val="-1"/>
          <w:sz w:val="24"/>
          <w:szCs w:val="24"/>
        </w:rPr>
        <w:t>kowych i natynkowo-wtynkowych:</w:t>
      </w:r>
    </w:p>
    <w:p>
      <w:pPr>
        <w:pStyle w:val="Normal"/>
        <w:numPr>
          <w:ilvl w:val="0"/>
          <w:numId w:val="6"/>
        </w:numPr>
        <w:shd w:val="clear" w:color="auto" w:fill="FFFFFF"/>
        <w:ind w:hanging="274" w:start="426" w:end="423"/>
        <w:rPr>
          <w:sz w:val="24"/>
          <w:szCs w:val="24"/>
        </w:rPr>
      </w:pPr>
      <w:r>
        <w:rPr>
          <w:color w:val="000000"/>
          <w:spacing w:val="7"/>
          <w:sz w:val="24"/>
          <w:szCs w:val="24"/>
        </w:rPr>
        <w:t xml:space="preserve">Łączniki podtynkowe powinny być przystosowane do instalowania w puszkach </w:t>
      </w:r>
      <w:r>
        <w:rPr>
          <w:rFonts w:eastAsia="Symbol"/>
          <w:color w:val="000000"/>
          <w:spacing w:val="6"/>
          <w:sz w:val="24"/>
          <w:szCs w:val="24"/>
        </w:rPr>
        <w:t>fi</w:t>
      </w:r>
      <w:r>
        <w:rPr>
          <w:color w:val="000000"/>
          <w:spacing w:val="3"/>
          <w:sz w:val="24"/>
          <w:szCs w:val="24"/>
        </w:rPr>
        <w:t xml:space="preserve"> 60 mm za pomocą wkrętów lub „pazurków".</w:t>
      </w:r>
    </w:p>
    <w:p>
      <w:pPr>
        <w:pStyle w:val="Normal"/>
        <w:numPr>
          <w:ilvl w:val="0"/>
          <w:numId w:val="6"/>
        </w:numPr>
        <w:shd w:val="clear" w:color="auto" w:fill="FFFFFF"/>
        <w:ind w:hanging="274" w:start="426" w:end="423"/>
        <w:rPr>
          <w:sz w:val="24"/>
          <w:szCs w:val="24"/>
        </w:rPr>
      </w:pPr>
      <w:r>
        <w:rPr>
          <w:color w:val="000000"/>
          <w:sz w:val="24"/>
          <w:szCs w:val="24"/>
        </w:rPr>
        <w:t>Łączniki natynkowe i natynkowo-wtynkowe przygotowane są do instalowania bezpo</w:t>
      </w:r>
      <w:r>
        <w:rPr>
          <w:color w:val="000000"/>
          <w:spacing w:val="-1"/>
          <w:sz w:val="24"/>
          <w:szCs w:val="24"/>
        </w:rPr>
        <w:t>średnio na podłożu (ścianie) za pomocą wkrętów lub przyklejane.</w:t>
      </w:r>
    </w:p>
    <w:p>
      <w:pPr>
        <w:pStyle w:val="Normal"/>
        <w:numPr>
          <w:ilvl w:val="0"/>
          <w:numId w:val="6"/>
        </w:numPr>
        <w:shd w:val="clear" w:color="auto" w:fill="FFFFFF"/>
        <w:ind w:hanging="274" w:start="426" w:end="423"/>
        <w:rPr>
          <w:sz w:val="24"/>
          <w:szCs w:val="24"/>
        </w:rPr>
      </w:pPr>
      <w:r>
        <w:rPr>
          <w:color w:val="000000"/>
          <w:spacing w:val="2"/>
          <w:sz w:val="24"/>
          <w:szCs w:val="24"/>
        </w:rPr>
        <w:t>Zaciski do łączenia przewodów winny umożliwiać wprowadzenie przewodu o prze</w:t>
      </w:r>
      <w:r>
        <w:rPr>
          <w:color w:val="000000"/>
          <w:spacing w:val="-5"/>
          <w:sz w:val="24"/>
          <w:szCs w:val="24"/>
        </w:rPr>
        <w:t>kroju 1,0÷2,5 mm</w:t>
      </w:r>
      <w:r>
        <w:rPr>
          <w:color w:val="000000"/>
          <w:spacing w:val="-5"/>
          <w:sz w:val="24"/>
          <w:szCs w:val="24"/>
          <w:vertAlign w:val="superscript"/>
        </w:rPr>
        <w:t>2</w:t>
      </w:r>
      <w:r>
        <w:rPr>
          <w:color w:val="000000"/>
          <w:spacing w:val="-5"/>
          <w:sz w:val="24"/>
          <w:szCs w:val="24"/>
        </w:rPr>
        <w:t>.</w:t>
      </w:r>
    </w:p>
    <w:p>
      <w:pPr>
        <w:pStyle w:val="Normal"/>
        <w:numPr>
          <w:ilvl w:val="0"/>
          <w:numId w:val="6"/>
        </w:numPr>
        <w:shd w:val="clear" w:color="auto" w:fill="FFFFFF"/>
        <w:ind w:hanging="274" w:start="426" w:end="423"/>
        <w:rPr>
          <w:sz w:val="24"/>
          <w:szCs w:val="24"/>
        </w:rPr>
      </w:pPr>
      <w:r>
        <w:rPr>
          <w:color w:val="000000"/>
          <w:sz w:val="24"/>
          <w:szCs w:val="24"/>
        </w:rPr>
        <w:t>Obudowy łączników powinny być wykonane z materiałów niepalnych lub niepodtrzy</w:t>
      </w:r>
      <w:r>
        <w:rPr>
          <w:color w:val="000000"/>
          <w:spacing w:val="-1"/>
          <w:sz w:val="24"/>
          <w:szCs w:val="24"/>
        </w:rPr>
        <w:t>mujących płomienia.</w:t>
      </w:r>
    </w:p>
    <w:p>
      <w:pPr>
        <w:pStyle w:val="Normal"/>
        <w:numPr>
          <w:ilvl w:val="0"/>
          <w:numId w:val="6"/>
        </w:numPr>
        <w:shd w:val="clear" w:color="auto" w:fill="FFFFFF"/>
        <w:ind w:start="426" w:end="423"/>
        <w:rPr>
          <w:sz w:val="24"/>
          <w:szCs w:val="24"/>
        </w:rPr>
      </w:pPr>
      <w:r>
        <w:rPr>
          <w:color w:val="000000"/>
          <w:spacing w:val="-1"/>
          <w:sz w:val="24"/>
          <w:szCs w:val="24"/>
        </w:rPr>
        <w:t>Podstawowe dane techniczne:</w:t>
      </w:r>
    </w:p>
    <w:p>
      <w:pPr>
        <w:pStyle w:val="Normal"/>
        <w:numPr>
          <w:ilvl w:val="0"/>
          <w:numId w:val="7"/>
        </w:numPr>
        <w:shd w:val="clear" w:color="auto" w:fill="FFFFFF"/>
        <w:ind w:hanging="283" w:start="426" w:end="423"/>
        <w:rPr>
          <w:sz w:val="24"/>
          <w:szCs w:val="24"/>
        </w:rPr>
      </w:pPr>
      <w:r>
        <w:rPr>
          <w:color w:val="000000"/>
          <w:spacing w:val="-1"/>
          <w:sz w:val="24"/>
          <w:szCs w:val="24"/>
        </w:rPr>
        <w:t>napięcie znamionowe: 250V; 50 Hz,</w:t>
      </w:r>
    </w:p>
    <w:p>
      <w:pPr>
        <w:pStyle w:val="Normal"/>
        <w:numPr>
          <w:ilvl w:val="0"/>
          <w:numId w:val="7"/>
        </w:numPr>
        <w:shd w:val="clear" w:color="auto" w:fill="FFFFFF"/>
        <w:ind w:hanging="283" w:start="426" w:end="423"/>
        <w:rPr>
          <w:sz w:val="24"/>
          <w:szCs w:val="24"/>
        </w:rPr>
      </w:pPr>
      <w:r>
        <w:rPr>
          <w:color w:val="000000"/>
          <w:spacing w:val="-1"/>
          <w:sz w:val="24"/>
          <w:szCs w:val="24"/>
        </w:rPr>
        <w:t>prąd znamionowy: do 10 A,</w:t>
      </w:r>
    </w:p>
    <w:p>
      <w:pPr>
        <w:pStyle w:val="Normal"/>
        <w:numPr>
          <w:ilvl w:val="0"/>
          <w:numId w:val="7"/>
        </w:numPr>
        <w:shd w:val="clear" w:color="auto" w:fill="FFFFFF"/>
        <w:ind w:hanging="283" w:start="426" w:end="423"/>
        <w:rPr>
          <w:sz w:val="24"/>
          <w:szCs w:val="24"/>
        </w:rPr>
      </w:pPr>
      <w:r>
        <w:rPr>
          <w:color w:val="000000"/>
          <w:spacing w:val="-1"/>
          <w:sz w:val="24"/>
          <w:szCs w:val="24"/>
        </w:rPr>
        <w:t>stopień ochrony w wykonaniu zwykłym: minimum IP 2X,</w:t>
      </w:r>
    </w:p>
    <w:p>
      <w:pPr>
        <w:pStyle w:val="Normal"/>
        <w:numPr>
          <w:ilvl w:val="0"/>
          <w:numId w:val="7"/>
        </w:numPr>
        <w:shd w:val="clear" w:color="auto" w:fill="FFFFFF"/>
        <w:ind w:hanging="283" w:start="426" w:end="423"/>
        <w:rPr>
          <w:sz w:val="24"/>
          <w:szCs w:val="24"/>
        </w:rPr>
      </w:pPr>
      <w:r>
        <w:rPr>
          <w:color w:val="000000"/>
          <w:spacing w:val="-1"/>
          <w:sz w:val="24"/>
          <w:szCs w:val="24"/>
        </w:rPr>
        <w:t>stopień ochrony w wykonaniu szczelnym: minimum IP 44.</w:t>
      </w:r>
    </w:p>
    <w:p>
      <w:pPr>
        <w:pStyle w:val="Heading3"/>
        <w:numPr>
          <w:ilvl w:val="2"/>
          <w:numId w:val="13"/>
        </w:numPr>
        <w:ind w:hanging="504" w:start="426" w:end="423"/>
        <w:rPr>
          <w:rFonts w:ascii="Arial" w:hAnsi="Arial" w:cs="Arial"/>
        </w:rPr>
      </w:pPr>
      <w:bookmarkStart w:id="61" w:name="_Toc115621676"/>
      <w:bookmarkStart w:id="62" w:name="_Toc535218199"/>
      <w:bookmarkEnd w:id="62"/>
      <w:r>
        <w:rPr>
          <w:rFonts w:cs="Arial" w:ascii="Arial" w:hAnsi="Arial"/>
        </w:rPr>
        <w:t>Gniazda wtykowe ogólnego przeznaczenia do montażu w instalacjach podtynkowych, natynkowych i natynkowo-wtynkowych:</w:t>
      </w:r>
      <w:bookmarkEnd w:id="61"/>
    </w:p>
    <w:p>
      <w:pPr>
        <w:pStyle w:val="Normal"/>
        <w:numPr>
          <w:ilvl w:val="0"/>
          <w:numId w:val="6"/>
        </w:numPr>
        <w:shd w:val="clear" w:color="auto" w:fill="FFFFFF"/>
        <w:ind w:hanging="274" w:start="426" w:end="423"/>
        <w:rPr>
          <w:sz w:val="24"/>
          <w:szCs w:val="24"/>
        </w:rPr>
      </w:pPr>
      <w:r>
        <w:rPr>
          <w:color w:val="000000"/>
          <w:spacing w:val="1"/>
          <w:sz w:val="24"/>
          <w:szCs w:val="24"/>
        </w:rPr>
        <w:t>Gniazda podtynkowe 1-fazowe powinny zostać wyposażone w styk ochronny i przysto</w:t>
      </w:r>
      <w:r>
        <w:rPr>
          <w:color w:val="000000"/>
          <w:sz w:val="24"/>
          <w:szCs w:val="24"/>
        </w:rPr>
        <w:t xml:space="preserve">sowane do instalowania w puszkach </w:t>
      </w:r>
      <w:r>
        <w:rPr>
          <w:rFonts w:eastAsia="Symbol"/>
          <w:color w:val="000000"/>
          <w:spacing w:val="6"/>
          <w:sz w:val="24"/>
          <w:szCs w:val="24"/>
        </w:rPr>
        <w:t>fi</w:t>
      </w:r>
      <w:r>
        <w:rPr>
          <w:color w:val="000000"/>
          <w:sz w:val="24"/>
          <w:szCs w:val="24"/>
        </w:rPr>
        <w:t xml:space="preserve"> 60 mm za pomocą wkrętów lub „pazurków".</w:t>
      </w:r>
    </w:p>
    <w:p>
      <w:pPr>
        <w:pStyle w:val="Normal"/>
        <w:numPr>
          <w:ilvl w:val="0"/>
          <w:numId w:val="6"/>
        </w:numPr>
        <w:shd w:val="clear" w:color="auto" w:fill="FFFFFF"/>
        <w:ind w:hanging="274" w:start="426" w:end="423"/>
        <w:rPr>
          <w:sz w:val="24"/>
          <w:szCs w:val="24"/>
        </w:rPr>
      </w:pPr>
      <w:r>
        <w:rPr>
          <w:color w:val="000000"/>
          <w:spacing w:val="2"/>
          <w:sz w:val="24"/>
          <w:szCs w:val="24"/>
        </w:rPr>
        <w:t xml:space="preserve">Gniazda natynkowe i natynkowo-wtynkowe 1-fazowe powinny być wyposażone w styk </w:t>
      </w:r>
      <w:r>
        <w:rPr>
          <w:color w:val="000000"/>
          <w:spacing w:val="-1"/>
          <w:sz w:val="24"/>
          <w:szCs w:val="24"/>
        </w:rPr>
        <w:t>ochronny i przystosowane do instalowania bezpośredniego na podłożu za pomocą wkrę</w:t>
      </w:r>
      <w:r>
        <w:rPr>
          <w:color w:val="000000"/>
          <w:sz w:val="24"/>
          <w:szCs w:val="24"/>
        </w:rPr>
        <w:t>tów lub przyklejane.</w:t>
      </w:r>
    </w:p>
    <w:p>
      <w:pPr>
        <w:pStyle w:val="Normal"/>
        <w:shd w:val="clear" w:color="auto" w:fill="FFFFFF"/>
        <w:ind w:start="426" w:end="423"/>
        <w:rPr>
          <w:sz w:val="24"/>
          <w:szCs w:val="24"/>
        </w:rPr>
      </w:pPr>
      <w:r>
        <w:rPr>
          <w:color w:val="000000"/>
          <w:sz w:val="24"/>
          <w:szCs w:val="24"/>
        </w:rPr>
        <w:t>Gniazda natynkowe 3-fazowe muszą być przystosowane do 5-cio żyłowych przewodów, w tym do podłączenia styku ochronnego oraz neutralnego.</w:t>
      </w:r>
    </w:p>
    <w:p>
      <w:pPr>
        <w:pStyle w:val="Normal"/>
        <w:shd w:val="clear" w:color="auto" w:fill="FFFFFF"/>
        <w:ind w:start="426" w:end="423"/>
        <w:rPr>
          <w:sz w:val="24"/>
          <w:szCs w:val="24"/>
        </w:rPr>
      </w:pPr>
      <w:r>
        <w:rPr>
          <w:color w:val="000000"/>
          <w:spacing w:val="1"/>
          <w:sz w:val="24"/>
          <w:szCs w:val="24"/>
        </w:rPr>
        <w:t>Zaciski do połączenia przewodów winny umożliwiać wprowadzenie przewodów o prze</w:t>
      </w:r>
      <w:r>
        <w:rPr>
          <w:color w:val="000000"/>
          <w:spacing w:val="-1"/>
          <w:sz w:val="24"/>
          <w:szCs w:val="24"/>
        </w:rPr>
        <w:t>kroju od 1,5÷6,0 mm</w:t>
      </w:r>
      <w:r>
        <w:rPr>
          <w:color w:val="000000"/>
          <w:spacing w:val="-1"/>
          <w:sz w:val="24"/>
          <w:szCs w:val="24"/>
          <w:vertAlign w:val="superscript"/>
        </w:rPr>
        <w:t>2</w:t>
      </w:r>
      <w:r>
        <w:rPr>
          <w:color w:val="000000"/>
          <w:spacing w:val="-1"/>
          <w:sz w:val="24"/>
          <w:szCs w:val="24"/>
        </w:rPr>
        <w:t xml:space="preserve"> w zależności od zainstalowanej mocy i rodzaju gniazda wtykowego.</w:t>
      </w:r>
    </w:p>
    <w:p>
      <w:pPr>
        <w:pStyle w:val="Normal"/>
        <w:shd w:val="clear" w:color="auto" w:fill="FFFFFF"/>
        <w:ind w:start="426" w:end="423"/>
        <w:rPr>
          <w:sz w:val="24"/>
          <w:szCs w:val="24"/>
        </w:rPr>
      </w:pPr>
      <w:r>
        <w:rPr>
          <w:color w:val="000000"/>
          <w:spacing w:val="1"/>
          <w:sz w:val="24"/>
          <w:szCs w:val="24"/>
        </w:rPr>
        <w:t>Obudowy gniazd należy wykonać z materiałów niepalnych lub niepodtrzymujących pło</w:t>
      </w:r>
      <w:r>
        <w:rPr>
          <w:color w:val="000000"/>
          <w:spacing w:val="-4"/>
          <w:sz w:val="24"/>
          <w:szCs w:val="24"/>
        </w:rPr>
        <w:t>mienia.</w:t>
      </w:r>
    </w:p>
    <w:p>
      <w:pPr>
        <w:pStyle w:val="Normal"/>
        <w:shd w:val="clear" w:color="auto" w:fill="FFFFFF"/>
        <w:ind w:start="426" w:end="423"/>
        <w:rPr>
          <w:sz w:val="24"/>
          <w:szCs w:val="24"/>
        </w:rPr>
      </w:pPr>
      <w:r>
        <w:rPr>
          <w:color w:val="000000"/>
          <w:spacing w:val="-1"/>
          <w:sz w:val="24"/>
          <w:szCs w:val="24"/>
        </w:rPr>
        <w:t>Podstawowe dane techniczne gniazd:</w:t>
      </w:r>
    </w:p>
    <w:p>
      <w:pPr>
        <w:pStyle w:val="Normal"/>
        <w:numPr>
          <w:ilvl w:val="0"/>
          <w:numId w:val="3"/>
        </w:numPr>
        <w:shd w:val="clear" w:color="auto" w:fill="FFFFFF"/>
        <w:ind w:start="426" w:end="423"/>
        <w:rPr>
          <w:sz w:val="24"/>
          <w:szCs w:val="24"/>
        </w:rPr>
      </w:pPr>
      <w:r>
        <w:rPr>
          <w:color w:val="000000"/>
          <w:spacing w:val="-1"/>
          <w:sz w:val="24"/>
          <w:szCs w:val="24"/>
        </w:rPr>
        <w:t>napięcie znamionowe: 250V lub 250V/400V; 50 Hz,</w:t>
      </w:r>
    </w:p>
    <w:p>
      <w:pPr>
        <w:pStyle w:val="Normal"/>
        <w:numPr>
          <w:ilvl w:val="0"/>
          <w:numId w:val="3"/>
        </w:numPr>
        <w:shd w:val="clear" w:color="auto" w:fill="FFFFFF"/>
        <w:ind w:start="426" w:end="423"/>
        <w:rPr>
          <w:sz w:val="24"/>
          <w:szCs w:val="24"/>
        </w:rPr>
      </w:pPr>
      <w:r>
        <w:rPr>
          <w:color w:val="000000"/>
          <w:spacing w:val="-1"/>
          <w:sz w:val="24"/>
          <w:szCs w:val="24"/>
        </w:rPr>
        <w:t>prąd znamionowy: 10A, 16A dla gniazd 1-fazowych,</w:t>
      </w:r>
    </w:p>
    <w:p>
      <w:pPr>
        <w:pStyle w:val="Normal"/>
        <w:numPr>
          <w:ilvl w:val="0"/>
          <w:numId w:val="3"/>
        </w:numPr>
        <w:shd w:val="clear" w:color="auto" w:fill="FFFFFF"/>
        <w:ind w:start="426" w:end="423"/>
        <w:rPr>
          <w:sz w:val="24"/>
          <w:szCs w:val="24"/>
        </w:rPr>
      </w:pPr>
      <w:r>
        <w:rPr>
          <w:color w:val="000000"/>
          <w:spacing w:val="-1"/>
          <w:sz w:val="24"/>
          <w:szCs w:val="24"/>
        </w:rPr>
        <w:t>stopień ochrony w wykonaniu zwykłym: minimum IP 2X,</w:t>
      </w:r>
    </w:p>
    <w:p>
      <w:pPr>
        <w:pStyle w:val="Normal"/>
        <w:numPr>
          <w:ilvl w:val="0"/>
          <w:numId w:val="3"/>
        </w:numPr>
        <w:shd w:val="clear" w:color="auto" w:fill="FFFFFF"/>
        <w:ind w:start="426" w:end="423"/>
        <w:rPr>
          <w:sz w:val="24"/>
          <w:szCs w:val="24"/>
        </w:rPr>
      </w:pPr>
      <w:r>
        <w:rPr>
          <w:color w:val="000000"/>
          <w:spacing w:val="-1"/>
          <w:sz w:val="24"/>
          <w:szCs w:val="24"/>
        </w:rPr>
        <w:t>stopień ochrony w wykonaniu szczelnym: minimum IP 44.</w:t>
      </w:r>
    </w:p>
    <w:p>
      <w:pPr>
        <w:pStyle w:val="Heading3"/>
        <w:numPr>
          <w:ilvl w:val="2"/>
          <w:numId w:val="13"/>
        </w:numPr>
        <w:ind w:hanging="504" w:start="426" w:end="423"/>
        <w:rPr>
          <w:rFonts w:ascii="Arial" w:hAnsi="Arial" w:cs="Arial"/>
        </w:rPr>
      </w:pPr>
      <w:bookmarkStart w:id="63" w:name="_Toc115621677"/>
      <w:bookmarkStart w:id="64" w:name="_Toc535218200"/>
      <w:bookmarkEnd w:id="64"/>
      <w:r>
        <w:rPr>
          <w:rFonts w:cs="Arial" w:ascii="Arial" w:hAnsi="Arial"/>
        </w:rPr>
        <w:t>Osprzęt oświetleniowy</w:t>
      </w:r>
      <w:bookmarkEnd w:id="63"/>
    </w:p>
    <w:p>
      <w:pPr>
        <w:pStyle w:val="Normal"/>
        <w:shd w:val="clear" w:color="auto" w:fill="FFFFFF"/>
        <w:ind w:firstLine="282" w:start="426" w:end="423"/>
        <w:rPr>
          <w:sz w:val="24"/>
          <w:szCs w:val="24"/>
        </w:rPr>
      </w:pPr>
      <w:r>
        <w:rPr>
          <w:color w:val="000000"/>
          <w:spacing w:val="-1"/>
          <w:sz w:val="24"/>
          <w:szCs w:val="24"/>
        </w:rPr>
        <w:t>Wypusty sufitowe i ścienne powinny być przystosowane do instalowania opraw oświetle</w:t>
      </w:r>
      <w:r>
        <w:rPr>
          <w:color w:val="000000"/>
          <w:spacing w:val="6"/>
          <w:sz w:val="24"/>
          <w:szCs w:val="24"/>
        </w:rPr>
        <w:t xml:space="preserve">niowych, przy czym przekrój przewodów ułożonych na stałe nie może być mniejszy od </w:t>
      </w:r>
      <w:r>
        <w:rPr>
          <w:color w:val="000000"/>
          <w:spacing w:val="5"/>
          <w:sz w:val="24"/>
          <w:szCs w:val="24"/>
        </w:rPr>
        <w:t>1,5 mm</w:t>
      </w:r>
      <w:r>
        <w:rPr>
          <w:color w:val="000000"/>
          <w:spacing w:val="5"/>
          <w:sz w:val="24"/>
          <w:szCs w:val="24"/>
          <w:vertAlign w:val="superscript"/>
        </w:rPr>
        <w:t>2</w:t>
      </w:r>
      <w:r>
        <w:rPr>
          <w:color w:val="000000"/>
          <w:spacing w:val="5"/>
          <w:sz w:val="24"/>
          <w:szCs w:val="24"/>
        </w:rPr>
        <w:t xml:space="preserve">, a napięcie izolacji nie może być mniejsze od 750 V jeśli przewody układane są </w:t>
      </w:r>
      <w:r>
        <w:rPr>
          <w:color w:val="000000"/>
          <w:spacing w:val="2"/>
          <w:sz w:val="24"/>
          <w:szCs w:val="24"/>
        </w:rPr>
        <w:t xml:space="preserve">w rurkach stalowych lub otworach prefabrykowanych elementów budowlanych oraz 300 V </w:t>
      </w:r>
      <w:r>
        <w:rPr>
          <w:color w:val="000000"/>
          <w:spacing w:val="-1"/>
          <w:sz w:val="24"/>
          <w:szCs w:val="24"/>
        </w:rPr>
        <w:t>w pozostałych przypadkach.</w:t>
      </w:r>
    </w:p>
    <w:p>
      <w:pPr>
        <w:pStyle w:val="Normal"/>
        <w:shd w:val="clear" w:color="auto" w:fill="FFFFFF"/>
        <w:ind w:start="426" w:end="423"/>
        <w:rPr>
          <w:sz w:val="24"/>
          <w:szCs w:val="24"/>
        </w:rPr>
      </w:pPr>
      <w:r>
        <w:rPr>
          <w:color w:val="000000"/>
          <w:spacing w:val="-1"/>
          <w:sz w:val="24"/>
          <w:szCs w:val="24"/>
        </w:rPr>
        <w:t>Należy zastosować oprawy o parametrach wg dokumentacji projektowej.</w:t>
      </w:r>
    </w:p>
    <w:p>
      <w:pPr>
        <w:pStyle w:val="Heading3"/>
        <w:numPr>
          <w:ilvl w:val="2"/>
          <w:numId w:val="13"/>
        </w:numPr>
        <w:ind w:hanging="504" w:start="426" w:end="423"/>
        <w:rPr>
          <w:rFonts w:ascii="Arial" w:hAnsi="Arial" w:cs="Arial"/>
        </w:rPr>
      </w:pPr>
      <w:bookmarkStart w:id="65" w:name="_Toc115621678"/>
      <w:bookmarkStart w:id="66" w:name="_Toc535218201"/>
      <w:bookmarkStart w:id="67" w:name="_Toc535218202"/>
      <w:bookmarkEnd w:id="66"/>
      <w:bookmarkEnd w:id="67"/>
      <w:r>
        <w:rPr>
          <w:rFonts w:cs="Arial" w:ascii="Arial" w:hAnsi="Arial"/>
        </w:rPr>
        <w:t>Tablice rozdzielcze</w:t>
      </w:r>
      <w:bookmarkEnd w:id="65"/>
    </w:p>
    <w:p>
      <w:pPr>
        <w:pStyle w:val="Normal"/>
        <w:shd w:val="clear" w:color="auto" w:fill="FFFFFF"/>
        <w:ind w:firstLine="282" w:start="426" w:end="423"/>
        <w:rPr>
          <w:sz w:val="24"/>
          <w:szCs w:val="24"/>
        </w:rPr>
      </w:pPr>
      <w:r>
        <w:rPr>
          <w:color w:val="000000"/>
          <w:spacing w:val="-1"/>
          <w:sz w:val="24"/>
          <w:szCs w:val="24"/>
        </w:rPr>
        <w:t xml:space="preserve">Wszystkie materiały do prefabrykacji i montażu rozdzielnic powinny odpowiadać wymaganiom zawartym w dokumentach odniesienia (normach, aprobatach technicznych). </w:t>
      </w:r>
    </w:p>
    <w:p>
      <w:pPr>
        <w:pStyle w:val="Normal"/>
        <w:ind w:start="426" w:end="423"/>
        <w:rPr>
          <w:sz w:val="24"/>
          <w:szCs w:val="24"/>
        </w:rPr>
      </w:pPr>
      <w:r>
        <w:rPr>
          <w:color w:val="000000"/>
          <w:spacing w:val="-1"/>
          <w:sz w:val="24"/>
          <w:szCs w:val="24"/>
        </w:rPr>
        <w:t>W rozdzielnicach zainstalować aparaturę- w tym celu należy:</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zamocować profile szynowe TH-35 ( lub inne ) do mocowania aparatów i listew zaciskowych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zamontować listwy zaciskowe</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zamontować aparaty elektryczne przewidziane w projekcie instalacji</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oczyścić styki aparatów z konserwantów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połączenia przewodami między poszczególnymi aparatami i listwami zaciskowymi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oznaczniki na przewodach i oznaczenia na listwach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zgodnie z projektem opisy aparatury , tablic i szaf                                                              </w:t>
      </w:r>
    </w:p>
    <w:p>
      <w:pPr>
        <w:pStyle w:val="Normal"/>
        <w:numPr>
          <w:ilvl w:val="0"/>
          <w:numId w:val="12"/>
        </w:numPr>
        <w:tabs>
          <w:tab w:val="clear" w:pos="708"/>
          <w:tab w:val="left" w:pos="780" w:leader="none"/>
        </w:tabs>
        <w:ind w:hanging="360" w:start="426" w:end="423"/>
        <w:textAlignment w:val="baseline"/>
        <w:rPr>
          <w:sz w:val="24"/>
          <w:szCs w:val="24"/>
        </w:rPr>
      </w:pPr>
      <w:r>
        <w:rPr>
          <w:color w:val="000000"/>
          <w:spacing w:val="-1"/>
          <w:sz w:val="24"/>
          <w:szCs w:val="24"/>
        </w:rPr>
        <w:t xml:space="preserve">wykonać połączenie części metalowych obudów i konstrukcji z przewodem ochronnym PE             </w:t>
      </w:r>
    </w:p>
    <w:p>
      <w:pPr>
        <w:pStyle w:val="Normal"/>
        <w:ind w:start="426" w:end="423"/>
        <w:textAlignment w:val="baseline"/>
        <w:rPr>
          <w:sz w:val="24"/>
          <w:szCs w:val="24"/>
        </w:rPr>
      </w:pPr>
      <w:r>
        <w:rPr>
          <w:color w:val="000000"/>
          <w:spacing w:val="-1"/>
          <w:sz w:val="24"/>
          <w:szCs w:val="24"/>
        </w:rPr>
        <w:t xml:space="preserve">W ogólnie dostępnych instalacjach wnętrzowych należy montować aparaty zabezpieczające z pokrywami osłaniającymi części będące pod napięciem.  Aparaty zabezpieczające zainstalowane przed licznikiem należy osłonić pokrywą przystosowaną do plombowania. Wszystkie aparaty należy montować w położeniu przewidzianym przez producenta . Aparaty wydzielające dużo ciepła należy montować w odległości co najmniej 15-20 mm od innych aparatów .                                                                                                                                 </w:t>
        <w:br/>
        <w:t xml:space="preserve">Przewody w skrzynkach , szafkach , tablicach należy układać w wiązkach na uchwytach , korytkach lub luźno między zaciskami aparatów i listew.                                                    </w:t>
      </w:r>
    </w:p>
    <w:p>
      <w:pPr>
        <w:pStyle w:val="Normal"/>
        <w:ind w:start="426" w:end="423"/>
        <w:textAlignment w:val="baseline"/>
        <w:rPr>
          <w:sz w:val="24"/>
          <w:szCs w:val="24"/>
        </w:rPr>
      </w:pPr>
      <w:r>
        <w:rPr>
          <w:color w:val="000000"/>
          <w:spacing w:val="-1"/>
          <w:sz w:val="24"/>
          <w:szCs w:val="24"/>
        </w:rPr>
        <w:t xml:space="preserve">               </w:t>
      </w:r>
      <w:r>
        <w:rPr>
          <w:color w:val="000000"/>
          <w:spacing w:val="-1"/>
          <w:sz w:val="24"/>
          <w:szCs w:val="24"/>
        </w:rPr>
        <w:t>Przy montażu przewodów jednożyłowych o przekroju żyły powyżej 10 mm 2   należy stosować końcówki kablowe, przewody wielożyłowe należy po odizolowaniu ocynować i dla przewodów o przekroju żyły powyżej 6 mm zastosować końcówki.</w:t>
      </w:r>
    </w:p>
    <w:p>
      <w:pPr>
        <w:pStyle w:val="Heading2"/>
        <w:numPr>
          <w:ilvl w:val="1"/>
          <w:numId w:val="13"/>
        </w:numPr>
        <w:ind w:hanging="432" w:start="426" w:end="423"/>
        <w:rPr>
          <w:rFonts w:ascii="Arial" w:hAnsi="Arial" w:cs="Arial"/>
          <w:sz w:val="24"/>
          <w:szCs w:val="24"/>
        </w:rPr>
      </w:pPr>
      <w:bookmarkStart w:id="68" w:name="_Toc115621679"/>
      <w:bookmarkStart w:id="69" w:name="_Toc535218203"/>
      <w:bookmarkEnd w:id="69"/>
      <w:r>
        <w:rPr>
          <w:rFonts w:cs="Arial" w:ascii="Arial" w:hAnsi="Arial"/>
          <w:sz w:val="24"/>
          <w:szCs w:val="24"/>
        </w:rPr>
        <w:t>Warunki przyjęcia na budowę materiałów do robót montażowych</w:t>
      </w:r>
      <w:bookmarkEnd w:id="68"/>
    </w:p>
    <w:p>
      <w:pPr>
        <w:pStyle w:val="Normal"/>
        <w:shd w:val="clear" w:color="auto" w:fill="FFFFFF"/>
        <w:ind w:firstLine="282" w:start="708" w:end="423"/>
        <w:rPr>
          <w:sz w:val="24"/>
          <w:szCs w:val="24"/>
        </w:rPr>
      </w:pPr>
      <w:r>
        <w:rPr>
          <w:color w:val="000000"/>
          <w:spacing w:val="2"/>
          <w:sz w:val="24"/>
          <w:szCs w:val="24"/>
        </w:rPr>
        <w:t xml:space="preserve">Wyroby do robót montażowych mogą być przyjęte na budowę, jeśli spełniają następujące </w:t>
      </w:r>
      <w:r>
        <w:rPr>
          <w:color w:val="000000"/>
          <w:spacing w:val="-2"/>
          <w:sz w:val="24"/>
          <w:szCs w:val="24"/>
        </w:rPr>
        <w:t>warunki:</w:t>
      </w:r>
    </w:p>
    <w:p>
      <w:pPr>
        <w:pStyle w:val="Normal"/>
        <w:numPr>
          <w:ilvl w:val="0"/>
          <w:numId w:val="4"/>
        </w:numPr>
        <w:shd w:val="clear" w:color="auto" w:fill="FFFFFF"/>
        <w:ind w:hanging="288" w:start="426" w:end="423"/>
        <w:rPr>
          <w:sz w:val="24"/>
          <w:szCs w:val="24"/>
        </w:rPr>
      </w:pPr>
      <w:r>
        <w:rPr>
          <w:color w:val="000000"/>
          <w:sz w:val="24"/>
          <w:szCs w:val="24"/>
        </w:rPr>
        <w:t>są zgodne z ich wyszczególnieniem i charakterystyką podaną w dokumentacji projektowej i specyfikacji technicznej (szczegółowej) SST</w:t>
      </w:r>
    </w:p>
    <w:p>
      <w:pPr>
        <w:pStyle w:val="Normal"/>
        <w:numPr>
          <w:ilvl w:val="0"/>
          <w:numId w:val="4"/>
        </w:numPr>
        <w:shd w:val="clear" w:color="auto" w:fill="FFFFFF"/>
        <w:ind w:start="426" w:end="423"/>
        <w:rPr>
          <w:sz w:val="24"/>
          <w:szCs w:val="24"/>
        </w:rPr>
      </w:pPr>
      <w:r>
        <w:rPr>
          <w:color w:val="000000"/>
          <w:sz w:val="24"/>
          <w:szCs w:val="24"/>
        </w:rPr>
        <w:t>są właściwie oznakowane i opakowane</w:t>
      </w:r>
    </w:p>
    <w:p>
      <w:pPr>
        <w:pStyle w:val="Normal"/>
        <w:numPr>
          <w:ilvl w:val="0"/>
          <w:numId w:val="4"/>
        </w:numPr>
        <w:shd w:val="clear" w:color="auto" w:fill="FFFFFF"/>
        <w:ind w:start="426" w:end="423"/>
        <w:rPr>
          <w:sz w:val="24"/>
          <w:szCs w:val="24"/>
        </w:rPr>
      </w:pPr>
      <w:r>
        <w:rPr>
          <w:color w:val="000000"/>
          <w:sz w:val="24"/>
          <w:szCs w:val="24"/>
        </w:rPr>
        <w:t>spełniają wymagane właściwości wskazane odpowiednimi dokumentami odniesienia</w:t>
      </w:r>
    </w:p>
    <w:p>
      <w:pPr>
        <w:pStyle w:val="Normal"/>
        <w:numPr>
          <w:ilvl w:val="0"/>
          <w:numId w:val="4"/>
        </w:numPr>
        <w:shd w:val="clear" w:color="auto" w:fill="FFFFFF"/>
        <w:ind w:hanging="288" w:start="426" w:end="423"/>
        <w:rPr>
          <w:sz w:val="24"/>
          <w:szCs w:val="24"/>
        </w:rPr>
      </w:pPr>
      <w:r>
        <w:rPr>
          <w:color w:val="000000"/>
          <w:spacing w:val="1"/>
          <w:sz w:val="24"/>
          <w:szCs w:val="24"/>
        </w:rPr>
        <w:t>producent dostarczył dokumenty świadczące o dopuszczeniu do obrotu i powszechne</w:t>
      </w:r>
      <w:r>
        <w:rPr>
          <w:color w:val="000000"/>
          <w:spacing w:val="4"/>
          <w:sz w:val="24"/>
          <w:szCs w:val="24"/>
        </w:rPr>
        <w:t xml:space="preserve">go lub jednostkowego zastosowania, a w odniesieniu do fabrycznie przygotowanych prefabrykatów również karty katalogowe wyrobów lub firmowe wytyczne stosowania </w:t>
      </w:r>
      <w:r>
        <w:rPr>
          <w:color w:val="000000"/>
          <w:spacing w:val="-1"/>
          <w:sz w:val="24"/>
          <w:szCs w:val="24"/>
        </w:rPr>
        <w:t>wyrobów.</w:t>
      </w:r>
    </w:p>
    <w:p>
      <w:pPr>
        <w:pStyle w:val="Normal"/>
        <w:shd w:val="clear" w:color="auto" w:fill="FFFFFF"/>
        <w:ind w:start="426" w:end="423"/>
        <w:rPr>
          <w:sz w:val="24"/>
          <w:szCs w:val="24"/>
        </w:rPr>
      </w:pPr>
      <w:r>
        <w:rPr>
          <w:color w:val="000000"/>
          <w:sz w:val="24"/>
          <w:szCs w:val="24"/>
        </w:rPr>
        <w:t>Niedopuszczalne jest stosowanie do robót montażowych - wyrobów i materiałów nie</w:t>
      </w:r>
      <w:r>
        <w:rPr>
          <w:color w:val="000000"/>
          <w:spacing w:val="-1"/>
          <w:sz w:val="24"/>
          <w:szCs w:val="24"/>
        </w:rPr>
        <w:t>znanego pochodzenia.</w:t>
      </w:r>
    </w:p>
    <w:p>
      <w:pPr>
        <w:pStyle w:val="Normal"/>
        <w:shd w:val="clear" w:color="auto" w:fill="FFFFFF"/>
        <w:ind w:start="426" w:end="423"/>
        <w:rPr>
          <w:sz w:val="24"/>
          <w:szCs w:val="24"/>
        </w:rPr>
      </w:pPr>
      <w:r>
        <w:rPr>
          <w:color w:val="000000"/>
          <w:spacing w:val="2"/>
          <w:sz w:val="24"/>
          <w:szCs w:val="24"/>
        </w:rPr>
        <w:t xml:space="preserve">Przyjęcie materiałów i wyrobów na budowę powinno być potwierdzone wpisem do </w:t>
      </w:r>
      <w:r>
        <w:rPr>
          <w:color w:val="000000"/>
          <w:spacing w:val="-1"/>
          <w:sz w:val="24"/>
          <w:szCs w:val="24"/>
        </w:rPr>
        <w:t>dziennika budowy.</w:t>
      </w:r>
    </w:p>
    <w:p>
      <w:pPr>
        <w:pStyle w:val="Normal"/>
        <w:shd w:val="clear" w:color="auto" w:fill="FFFFFF"/>
        <w:ind w:start="426" w:end="423"/>
        <w:rPr>
          <w:sz w:val="24"/>
          <w:szCs w:val="24"/>
        </w:rPr>
      </w:pPr>
      <w:r>
        <w:rPr>
          <w:color w:val="000000"/>
          <w:spacing w:val="1"/>
          <w:sz w:val="24"/>
          <w:szCs w:val="24"/>
        </w:rPr>
        <w:t xml:space="preserve">Wszystkie materiały pakowane powinny być przechowywane i magazynowane zgodnie </w:t>
      </w:r>
      <w:r>
        <w:rPr>
          <w:color w:val="000000"/>
          <w:sz w:val="24"/>
          <w:szCs w:val="24"/>
        </w:rPr>
        <w:t>z instrukcją producenta oraz wymaganiami odpowiednich norm.</w:t>
      </w:r>
    </w:p>
    <w:p>
      <w:pPr>
        <w:pStyle w:val="Normal"/>
        <w:shd w:val="clear" w:color="auto" w:fill="FFFFFF"/>
        <w:ind w:start="426" w:end="423"/>
        <w:rPr>
          <w:sz w:val="24"/>
          <w:szCs w:val="24"/>
        </w:rPr>
      </w:pPr>
      <w:r>
        <w:rPr>
          <w:color w:val="000000"/>
          <w:spacing w:val="1"/>
          <w:sz w:val="24"/>
          <w:szCs w:val="24"/>
        </w:rPr>
        <w:t xml:space="preserve">W szczególności kable i przewody należy przechowywać na bębnach (oznaczenie „B") </w:t>
      </w:r>
      <w:r>
        <w:rPr>
          <w:color w:val="000000"/>
          <w:sz w:val="24"/>
          <w:szCs w:val="24"/>
        </w:rPr>
        <w:t>lub w krążkach (oznaczenie „K"), końce przewodów producent zabezpiecza przed przedostawaniem się wilgoci do wewnątrz i wyprowadza poza opakowanie dla ułatwienia kontroli parametrów (ciągłość żył, przekrój).</w:t>
      </w:r>
    </w:p>
    <w:p>
      <w:pPr>
        <w:pStyle w:val="Normal"/>
        <w:shd w:val="clear" w:color="auto" w:fill="FFFFFF"/>
        <w:ind w:start="426" w:end="423"/>
        <w:rPr>
          <w:sz w:val="24"/>
          <w:szCs w:val="24"/>
        </w:rPr>
      </w:pPr>
      <w:r>
        <w:rPr>
          <w:color w:val="000000"/>
          <w:spacing w:val="4"/>
          <w:sz w:val="24"/>
          <w:szCs w:val="24"/>
        </w:rPr>
        <w:t>Pozostały sprzęt, osprzęt i oprawy oświetleniowe wraz z osprzętem pomocniczym należy przechowywać w oryginalnych opakowaniach, kartonach, opakowaniach folio</w:t>
      </w:r>
      <w:r>
        <w:rPr>
          <w:color w:val="000000"/>
          <w:spacing w:val="5"/>
          <w:sz w:val="24"/>
          <w:szCs w:val="24"/>
        </w:rPr>
        <w:t>wych. Szczególnie należy chronić przed wpływami atmosferycznymi: deszczem, mro</w:t>
        <w:softHyphen/>
      </w:r>
      <w:r>
        <w:rPr>
          <w:color w:val="000000"/>
          <w:spacing w:val="3"/>
          <w:sz w:val="24"/>
          <w:szCs w:val="24"/>
        </w:rPr>
        <w:t>zem oraz zawilgoceniem.</w:t>
      </w:r>
    </w:p>
    <w:p>
      <w:pPr>
        <w:pStyle w:val="Normal"/>
        <w:shd w:val="clear" w:color="auto" w:fill="FFFFFF"/>
        <w:ind w:start="426" w:end="423"/>
        <w:rPr>
          <w:sz w:val="24"/>
          <w:szCs w:val="24"/>
        </w:rPr>
      </w:pPr>
      <w:r>
        <w:rPr>
          <w:color w:val="000000"/>
          <w:sz w:val="24"/>
          <w:szCs w:val="24"/>
        </w:rPr>
        <w:t>Pomieszczenie magazynowe do przechowywania wyrobów opakowanych powinno być suche i zabezpieczone przed zawilgoceniem.</w:t>
      </w:r>
    </w:p>
    <w:p>
      <w:pPr>
        <w:pStyle w:val="Heading2"/>
        <w:numPr>
          <w:ilvl w:val="1"/>
          <w:numId w:val="13"/>
        </w:numPr>
        <w:ind w:hanging="432" w:start="426" w:end="423"/>
        <w:rPr>
          <w:rFonts w:ascii="Arial" w:hAnsi="Arial" w:cs="Arial"/>
          <w:sz w:val="24"/>
          <w:szCs w:val="24"/>
        </w:rPr>
      </w:pPr>
      <w:bookmarkStart w:id="70" w:name="_Toc535218204"/>
      <w:bookmarkStart w:id="71" w:name="_Toc115621680"/>
      <w:r>
        <w:rPr>
          <w:rFonts w:cs="Arial" w:ascii="Arial" w:hAnsi="Arial"/>
          <w:sz w:val="24"/>
          <w:szCs w:val="24"/>
        </w:rPr>
        <w:t>Warunki przechowywania materiałów</w:t>
      </w:r>
      <w:bookmarkEnd w:id="70"/>
      <w:bookmarkEnd w:id="71"/>
      <w:r>
        <w:rPr>
          <w:rFonts w:cs="Arial" w:ascii="Arial" w:hAnsi="Arial"/>
          <w:sz w:val="24"/>
          <w:szCs w:val="24"/>
        </w:rPr>
        <w:t xml:space="preserve"> </w:t>
      </w:r>
    </w:p>
    <w:p>
      <w:pPr>
        <w:pStyle w:val="Normal"/>
        <w:shd w:val="clear" w:color="auto" w:fill="FFFFFF"/>
        <w:ind w:firstLine="272" w:start="426" w:end="423"/>
        <w:rPr>
          <w:sz w:val="24"/>
          <w:szCs w:val="24"/>
        </w:rPr>
      </w:pPr>
      <w:r>
        <w:rPr>
          <w:color w:val="000000"/>
          <w:spacing w:val="5"/>
          <w:sz w:val="24"/>
          <w:szCs w:val="24"/>
        </w:rPr>
        <w:t xml:space="preserve">Wszystkie materiały pakowane powinny być przechowywane i magazynowane zgodnie </w:t>
      </w:r>
      <w:r>
        <w:rPr>
          <w:color w:val="000000"/>
          <w:sz w:val="24"/>
          <w:szCs w:val="24"/>
        </w:rPr>
        <w:t>z instrukcją producenta oraz wymaganiami odpowiednich norm.</w:t>
      </w:r>
    </w:p>
    <w:p>
      <w:pPr>
        <w:pStyle w:val="Normal"/>
        <w:shd w:val="clear" w:color="auto" w:fill="FFFFFF"/>
        <w:ind w:firstLine="272" w:start="426" w:end="423"/>
        <w:rPr>
          <w:sz w:val="24"/>
          <w:szCs w:val="24"/>
        </w:rPr>
      </w:pPr>
      <w:r>
        <w:rPr>
          <w:color w:val="000000"/>
          <w:spacing w:val="1"/>
          <w:sz w:val="24"/>
          <w:szCs w:val="24"/>
        </w:rPr>
        <w:t xml:space="preserve">W szczególności kable i przewody należy przechowywać na bębnach (oznaczenie „B") </w:t>
      </w:r>
      <w:r>
        <w:rPr>
          <w:color w:val="000000"/>
          <w:sz w:val="24"/>
          <w:szCs w:val="24"/>
        </w:rPr>
        <w:t xml:space="preserve">lub w krążkach (oznaczenie „K"), końce przewodów producent zabezpiecza przed przedostawaniem się wilgoci do wewnątrz i wyprowadza poza opakowanie dla ułatwienia kontroli </w:t>
      </w:r>
      <w:r>
        <w:rPr>
          <w:color w:val="000000"/>
          <w:spacing w:val="-1"/>
          <w:sz w:val="24"/>
          <w:szCs w:val="24"/>
        </w:rPr>
        <w:t>parametrów (ciągłość żył, przekrój).</w:t>
      </w:r>
    </w:p>
    <w:p>
      <w:pPr>
        <w:pStyle w:val="Normal"/>
        <w:shd w:val="clear" w:color="auto" w:fill="FFFFFF"/>
        <w:ind w:firstLine="295" w:start="426" w:end="423"/>
        <w:rPr>
          <w:sz w:val="24"/>
          <w:szCs w:val="24"/>
        </w:rPr>
      </w:pPr>
      <w:r>
        <w:rPr>
          <w:color w:val="000000"/>
          <w:spacing w:val="-1"/>
          <w:sz w:val="24"/>
          <w:szCs w:val="24"/>
        </w:rPr>
        <w:t>Pozostały sprzęt, osprzęt wraz z osprzętem pomocniczym należy przechowywać w ory</w:t>
      </w:r>
      <w:r>
        <w:rPr>
          <w:color w:val="000000"/>
          <w:sz w:val="24"/>
          <w:szCs w:val="24"/>
        </w:rPr>
        <w:t xml:space="preserve">ginalnych opakowaniach, kartonach, opakowaniach foliowych. Szczególnie należy chronić </w:t>
      </w:r>
      <w:r>
        <w:rPr>
          <w:color w:val="000000"/>
          <w:spacing w:val="-1"/>
          <w:sz w:val="24"/>
          <w:szCs w:val="24"/>
        </w:rPr>
        <w:t>przed wpływami atmosferycznymi: deszcz, mróz oraz zawilgoceniem.</w:t>
      </w:r>
    </w:p>
    <w:p>
      <w:pPr>
        <w:pStyle w:val="Normal"/>
        <w:shd w:val="clear" w:color="auto" w:fill="FFFFFF"/>
        <w:ind w:firstLine="289" w:start="426" w:end="423"/>
        <w:rPr>
          <w:sz w:val="24"/>
          <w:szCs w:val="24"/>
        </w:rPr>
      </w:pPr>
      <w:r>
        <w:rPr>
          <w:color w:val="000000"/>
          <w:sz w:val="24"/>
          <w:szCs w:val="24"/>
        </w:rPr>
        <w:t xml:space="preserve">Pomieszczenie magazynowe do przechowywania wyrobów opakowanych powinno być </w:t>
      </w:r>
      <w:r>
        <w:rPr>
          <w:color w:val="000000"/>
          <w:spacing w:val="-1"/>
          <w:sz w:val="24"/>
          <w:szCs w:val="24"/>
        </w:rPr>
        <w:t>suche i zabezpieczone przed zawilgoceniem.</w:t>
      </w:r>
    </w:p>
    <w:p>
      <w:pPr>
        <w:pStyle w:val="Heading1"/>
        <w:numPr>
          <w:ilvl w:val="0"/>
          <w:numId w:val="13"/>
        </w:numPr>
        <w:ind w:hanging="360" w:start="426" w:end="423"/>
        <w:rPr>
          <w:rFonts w:ascii="Arial" w:hAnsi="Arial" w:cs="Arial"/>
          <w:sz w:val="24"/>
          <w:szCs w:val="24"/>
        </w:rPr>
      </w:pPr>
      <w:bookmarkStart w:id="72" w:name="_Toc115621681"/>
      <w:bookmarkStart w:id="73" w:name="_Toc535218205"/>
      <w:bookmarkEnd w:id="73"/>
      <w:r>
        <w:rPr>
          <w:rFonts w:cs="Arial" w:ascii="Arial" w:hAnsi="Arial"/>
          <w:sz w:val="24"/>
          <w:szCs w:val="24"/>
        </w:rPr>
        <w:t>WYMAGANIA DOTYCZĄCE SPRZĘTU, MASZYN I NARZĘDZI</w:t>
      </w:r>
      <w:bookmarkEnd w:id="72"/>
    </w:p>
    <w:p>
      <w:pPr>
        <w:pStyle w:val="Heading2"/>
        <w:numPr>
          <w:ilvl w:val="1"/>
          <w:numId w:val="13"/>
        </w:numPr>
        <w:ind w:hanging="432" w:start="426" w:end="423"/>
        <w:rPr>
          <w:rFonts w:ascii="Arial" w:hAnsi="Arial" w:cs="Arial"/>
          <w:sz w:val="24"/>
          <w:szCs w:val="24"/>
        </w:rPr>
      </w:pPr>
      <w:bookmarkStart w:id="74" w:name="_Toc535218206"/>
      <w:bookmarkStart w:id="75" w:name="_Toc115621682"/>
      <w:r>
        <w:rPr>
          <w:rFonts w:cs="Arial" w:ascii="Arial" w:hAnsi="Arial"/>
          <w:sz w:val="24"/>
          <w:szCs w:val="24"/>
        </w:rPr>
        <w:t>Ogólne wymagania dotyczące sprzętu podano w ST „Wymagania ogólne"</w:t>
      </w:r>
      <w:bookmarkEnd w:id="74"/>
      <w:bookmarkEnd w:id="75"/>
      <w:r>
        <w:rPr>
          <w:rFonts w:cs="Arial" w:ascii="Arial" w:hAnsi="Arial"/>
          <w:sz w:val="24"/>
          <w:szCs w:val="24"/>
        </w:rPr>
        <w:t xml:space="preserve"> </w:t>
      </w:r>
    </w:p>
    <w:p>
      <w:pPr>
        <w:pStyle w:val="Normal"/>
        <w:ind w:start="426" w:end="423"/>
        <w:rPr>
          <w:sz w:val="24"/>
          <w:szCs w:val="24"/>
        </w:rPr>
      </w:pPr>
      <w:r>
        <w:rPr>
          <w:sz w:val="24"/>
          <w:szCs w:val="24"/>
        </w:rPr>
      </w:r>
    </w:p>
    <w:p>
      <w:pPr>
        <w:pStyle w:val="SpecyfikacjaSSTpodstawowy"/>
        <w:ind w:firstLine="282" w:start="426" w:end="423"/>
        <w:jc w:val="start"/>
        <w:rPr>
          <w:rFonts w:ascii="Arial" w:hAnsi="Arial" w:cs="Arial"/>
        </w:rPr>
      </w:pPr>
      <w:r>
        <w:rPr>
          <w:rFonts w:cs="Arial" w:ascii="Arial" w:hAnsi="Arial"/>
        </w:rPr>
        <w:t>Wykonawca jest zobowiązany do używania jedynie takiego sprzętu, który nie spowoduje niekorzystnego wpływu na jakość wykonywanych robót i będzie gwarantować przeprowadzenie robót, zgodnie z zasadami określonymi w dokumentacji projektowej.</w:t>
      </w:r>
    </w:p>
    <w:p>
      <w:pPr>
        <w:pStyle w:val="SpecyfikacjaSSTpodstawowy"/>
        <w:ind w:start="426" w:end="423"/>
        <w:jc w:val="start"/>
        <w:rPr>
          <w:rFonts w:ascii="Arial" w:hAnsi="Arial" w:cs="Arial"/>
        </w:rPr>
      </w:pPr>
      <w:r>
        <w:rPr>
          <w:rFonts w:cs="Arial" w:ascii="Arial" w:hAnsi="Arial"/>
        </w:rPr>
        <w:t>W przypadku braku ustaleń w wymienionych dokumentach, zasady pracy sprzętu powinny być uzgodnione i zaakceptowane przez Inspektora nadzoru inwestorskiego.</w:t>
      </w:r>
    </w:p>
    <w:p>
      <w:pPr>
        <w:pStyle w:val="SpecyfikacjaSSTpodstawowy"/>
        <w:ind w:start="426" w:end="423"/>
        <w:jc w:val="start"/>
        <w:rPr>
          <w:rFonts w:ascii="Arial" w:hAnsi="Arial" w:cs="Arial"/>
        </w:rPr>
      </w:pPr>
      <w:r>
        <w:rPr>
          <w:rFonts w:cs="Arial" w:ascii="Arial" w:hAnsi="Arial"/>
        </w:rPr>
        <w:t>Sprzęt należący do Wykonawcy lub wynajęty do wykonania robót musi być utrzymany w dobrym stanie technicznym i w gotowości do pracy.</w:t>
      </w:r>
    </w:p>
    <w:p>
      <w:pPr>
        <w:pStyle w:val="SpecyfikacjaSSTpodstawowy"/>
        <w:ind w:start="426" w:end="423"/>
        <w:jc w:val="start"/>
        <w:rPr>
          <w:rFonts w:ascii="Arial" w:hAnsi="Arial" w:cs="Arial"/>
        </w:rPr>
      </w:pPr>
      <w:r>
        <w:rPr>
          <w:rFonts w:cs="Arial" w:ascii="Arial" w:hAnsi="Arial"/>
        </w:rPr>
        <w:t>Wykonawca dostarczy, na żądanie, Inspektorowi nadzoru kopie dokumentów potwierdzających dopuszczenie sprzętu do użytkowania, tam gdzie jest to wymagane przepisami. Jeżeli przewiduje się możliwość wariantowego użycia sprzętu przy wykonywanych robotach, Wykonawca powiadomi Inspektora nadzoru o swoim zamiarze wyboru i uzyska jego akceptację. Wybrany sprzęt po akceptacji, nie może być później zmieniany bez zgody Inspektora.</w:t>
      </w:r>
    </w:p>
    <w:p>
      <w:pPr>
        <w:pStyle w:val="SpecyfikacjaSSTpodstawowy"/>
        <w:ind w:start="426" w:end="423"/>
        <w:jc w:val="start"/>
        <w:rPr>
          <w:rFonts w:ascii="Arial" w:hAnsi="Arial" w:cs="Arial"/>
        </w:rPr>
      </w:pPr>
      <w:r>
        <w:rPr>
          <w:rFonts w:cs="Arial" w:ascii="Arial" w:hAnsi="Arial"/>
        </w:rPr>
        <w:t>Jakikolwiek sprzęt, maszyny, urządzenia i narzędzia nie gwarantujące zachowania warunków technologicznych, nie zostaną przez Inspektora nadzoru dopuszczone do robót.</w:t>
      </w:r>
    </w:p>
    <w:p>
      <w:pPr>
        <w:pStyle w:val="SpecyfikacjaSSTpodstawowy"/>
        <w:ind w:start="426" w:end="423"/>
        <w:jc w:val="start"/>
        <w:rPr>
          <w:rFonts w:ascii="Arial" w:hAnsi="Arial" w:cs="Arial"/>
        </w:rPr>
      </w:pPr>
      <w:r>
        <w:rPr>
          <w:rFonts w:cs="Arial" w:ascii="Arial" w:hAnsi="Arial"/>
        </w:rPr>
        <w:t>Wykonawca jest zobligowany do skalkulowania kosztów jednorazowych sprzętu w cenie jednostkowej robót, do których ten sprzęt jest przeznaczony. Koszty transportu sprzętu nie podlegają oddzielnej zapłacie.</w:t>
      </w:r>
    </w:p>
    <w:p>
      <w:pPr>
        <w:pStyle w:val="Normal"/>
        <w:ind w:start="426" w:end="423"/>
        <w:rPr>
          <w:sz w:val="24"/>
          <w:szCs w:val="24"/>
        </w:rPr>
      </w:pPr>
      <w:r>
        <w:rPr>
          <w:sz w:val="24"/>
          <w:szCs w:val="24"/>
        </w:rPr>
      </w:r>
    </w:p>
    <w:p>
      <w:pPr>
        <w:pStyle w:val="Normal"/>
        <w:shd w:val="clear" w:color="auto" w:fill="FFFFFF"/>
        <w:ind w:start="426" w:end="423"/>
        <w:rPr>
          <w:sz w:val="24"/>
          <w:szCs w:val="24"/>
        </w:rPr>
      </w:pPr>
      <w:r>
        <w:rPr>
          <w:color w:val="000000"/>
          <w:spacing w:val="-1"/>
          <w:sz w:val="24"/>
          <w:szCs w:val="24"/>
        </w:rPr>
        <w:t>Prace można wykonywać przy pomocy wszelkiego sprzętu zaakceptowanego przez Inspektora nadzoru, oraz który spełnia wszelkie wymagania przepisów i bhp.</w:t>
      </w:r>
    </w:p>
    <w:p>
      <w:pPr>
        <w:pStyle w:val="Heading1"/>
        <w:numPr>
          <w:ilvl w:val="0"/>
          <w:numId w:val="13"/>
        </w:numPr>
        <w:ind w:hanging="360" w:start="426" w:end="423"/>
        <w:rPr>
          <w:rFonts w:ascii="Arial" w:hAnsi="Arial" w:cs="Arial"/>
          <w:sz w:val="24"/>
          <w:szCs w:val="24"/>
        </w:rPr>
      </w:pPr>
      <w:bookmarkStart w:id="76" w:name="_Toc115621683"/>
      <w:bookmarkStart w:id="77" w:name="_Toc535218207"/>
      <w:bookmarkEnd w:id="77"/>
      <w:r>
        <w:rPr>
          <w:rFonts w:cs="Arial" w:ascii="Arial" w:hAnsi="Arial"/>
          <w:sz w:val="24"/>
          <w:szCs w:val="24"/>
        </w:rPr>
        <w:t>WYMAGANIA DOTYCZĄCE TRANSPORTU</w:t>
      </w:r>
      <w:bookmarkEnd w:id="76"/>
    </w:p>
    <w:p>
      <w:pPr>
        <w:pStyle w:val="Heading2"/>
        <w:numPr>
          <w:ilvl w:val="1"/>
          <w:numId w:val="13"/>
        </w:numPr>
        <w:ind w:hanging="432" w:start="426" w:end="423"/>
        <w:rPr>
          <w:rFonts w:ascii="Arial" w:hAnsi="Arial" w:cs="Arial"/>
          <w:sz w:val="24"/>
          <w:szCs w:val="24"/>
        </w:rPr>
      </w:pPr>
      <w:bookmarkStart w:id="78" w:name="_Toc535218208"/>
      <w:bookmarkStart w:id="79" w:name="_Toc115621684"/>
      <w:bookmarkStart w:id="80" w:name="_Toc498678654"/>
      <w:bookmarkStart w:id="81" w:name="_Toc498685962"/>
      <w:bookmarkEnd w:id="80"/>
      <w:bookmarkEnd w:id="81"/>
      <w:r>
        <w:rPr>
          <w:rFonts w:cs="Arial" w:ascii="Arial" w:hAnsi="Arial"/>
          <w:sz w:val="24"/>
          <w:szCs w:val="24"/>
        </w:rPr>
        <w:t>Ogólne wymagania dotyczące transportu podano w ST „Wymagania ogólne"</w:t>
      </w:r>
      <w:bookmarkEnd w:id="78"/>
      <w:bookmarkEnd w:id="79"/>
      <w:r>
        <w:rPr>
          <w:rFonts w:cs="Arial" w:ascii="Arial" w:hAnsi="Arial"/>
          <w:sz w:val="24"/>
          <w:szCs w:val="24"/>
        </w:rPr>
        <w:t xml:space="preserve"> </w:t>
      </w:r>
    </w:p>
    <w:p>
      <w:pPr>
        <w:pStyle w:val="SpecyfikacjaSSTpodstawowy"/>
        <w:ind w:firstLine="282" w:start="426" w:end="423"/>
        <w:jc w:val="start"/>
        <w:rPr>
          <w:rFonts w:ascii="Arial" w:hAnsi="Arial" w:cs="Arial"/>
        </w:rPr>
      </w:pPr>
      <w:r>
        <w:rPr>
          <w:rFonts w:cs="Arial" w:ascii="Arial" w:hAnsi="Arial"/>
        </w:rPr>
        <w:t>Wykonawca jest zobowiązany do stosowania jedynie takich środków transportu, które nie wpłyną niekorzystnie na jakość wykonywanych robót i na właściwości przewożonych materiałów.</w:t>
      </w:r>
    </w:p>
    <w:p>
      <w:pPr>
        <w:pStyle w:val="SpecyfikacjaSSTpodstawowy"/>
        <w:ind w:start="426" w:end="423"/>
        <w:jc w:val="start"/>
        <w:rPr>
          <w:rFonts w:ascii="Arial" w:hAnsi="Arial" w:cs="Arial"/>
        </w:rPr>
      </w:pPr>
      <w:r>
        <w:rPr>
          <w:rFonts w:cs="Arial" w:ascii="Arial" w:hAnsi="Arial"/>
        </w:rPr>
        <w:t>Liczba środków transportu będzie zapewniać prowadzenie robót zgodnie z zasadami określonymi w dokumentacji projektowej, SST i wskazaniach Inspektora Nadzoru w terminie przewidzianym w umowie.</w:t>
      </w:r>
    </w:p>
    <w:p>
      <w:pPr>
        <w:pStyle w:val="Heading2"/>
        <w:numPr>
          <w:ilvl w:val="1"/>
          <w:numId w:val="13"/>
        </w:numPr>
        <w:ind w:hanging="432" w:start="426" w:end="423"/>
        <w:rPr>
          <w:rFonts w:ascii="Arial" w:hAnsi="Arial" w:cs="Arial"/>
          <w:sz w:val="24"/>
          <w:szCs w:val="24"/>
        </w:rPr>
      </w:pPr>
      <w:bookmarkStart w:id="82" w:name="_Toc115621685"/>
      <w:bookmarkStart w:id="83" w:name="_Toc535218209"/>
      <w:bookmarkEnd w:id="83"/>
      <w:r>
        <w:rPr>
          <w:rFonts w:cs="Arial" w:ascii="Arial" w:hAnsi="Arial"/>
          <w:sz w:val="24"/>
          <w:szCs w:val="24"/>
        </w:rPr>
        <w:t>Transport materiałów</w:t>
      </w:r>
      <w:bookmarkEnd w:id="82"/>
    </w:p>
    <w:p>
      <w:pPr>
        <w:pStyle w:val="Normal"/>
        <w:shd w:val="clear" w:color="auto" w:fill="FFFFFF"/>
        <w:ind w:firstLine="282" w:start="426" w:end="423"/>
        <w:rPr>
          <w:sz w:val="24"/>
          <w:szCs w:val="24"/>
        </w:rPr>
      </w:pPr>
      <w:r>
        <w:rPr>
          <w:color w:val="000000"/>
          <w:sz w:val="24"/>
          <w:szCs w:val="24"/>
        </w:rPr>
        <w:t xml:space="preserve">Podczas transportu na budowę należy zachować ostrożność aby nie uszkodzić materiałów </w:t>
      </w:r>
      <w:r>
        <w:rPr>
          <w:color w:val="000000"/>
          <w:spacing w:val="2"/>
          <w:sz w:val="24"/>
          <w:szCs w:val="24"/>
        </w:rPr>
        <w:t>do montażu. Minimalne temperatury wykonywania transportu wynoszą dla bębnów: -</w:t>
      </w:r>
      <w:r>
        <w:rPr>
          <w:color w:val="000000"/>
          <w:sz w:val="24"/>
          <w:szCs w:val="24"/>
        </w:rPr>
        <w:t>i - 5°C dla krążków, ze względu na możliwość uszkodzenia izolacji.</w:t>
      </w:r>
    </w:p>
    <w:p>
      <w:pPr>
        <w:pStyle w:val="Normal"/>
        <w:shd w:val="clear" w:color="auto" w:fill="FFFFFF"/>
        <w:ind w:start="426" w:end="423"/>
        <w:rPr>
          <w:sz w:val="24"/>
          <w:szCs w:val="24"/>
        </w:rPr>
      </w:pPr>
      <w:r>
        <w:rPr>
          <w:color w:val="000000"/>
          <w:spacing w:val="-1"/>
          <w:sz w:val="24"/>
          <w:szCs w:val="24"/>
        </w:rPr>
        <w:t>Stosować dodatkowe opakowania w przypadku możliwości uszkodzeń transportowych.</w:t>
      </w:r>
    </w:p>
    <w:p>
      <w:pPr>
        <w:pStyle w:val="Heading1"/>
        <w:numPr>
          <w:ilvl w:val="0"/>
          <w:numId w:val="13"/>
        </w:numPr>
        <w:ind w:hanging="360" w:start="426" w:end="423"/>
        <w:rPr>
          <w:rFonts w:ascii="Arial" w:hAnsi="Arial" w:cs="Arial"/>
          <w:sz w:val="24"/>
          <w:szCs w:val="24"/>
        </w:rPr>
      </w:pPr>
      <w:bookmarkStart w:id="84" w:name="_Toc115621686"/>
      <w:bookmarkStart w:id="85" w:name="_Toc535218210"/>
      <w:bookmarkEnd w:id="85"/>
      <w:r>
        <w:rPr>
          <w:rFonts w:cs="Arial" w:ascii="Arial" w:hAnsi="Arial"/>
          <w:sz w:val="24"/>
          <w:szCs w:val="24"/>
        </w:rPr>
        <w:t>WYMAGANIA DOTYCZĄCE WYKONANIA ROBÓT</w:t>
      </w:r>
      <w:bookmarkEnd w:id="84"/>
    </w:p>
    <w:p>
      <w:pPr>
        <w:pStyle w:val="Heading2"/>
        <w:numPr>
          <w:ilvl w:val="1"/>
          <w:numId w:val="13"/>
        </w:numPr>
        <w:ind w:hanging="432" w:start="426" w:end="423"/>
        <w:rPr>
          <w:rFonts w:ascii="Arial" w:hAnsi="Arial" w:cs="Arial"/>
          <w:sz w:val="24"/>
          <w:szCs w:val="24"/>
        </w:rPr>
      </w:pPr>
      <w:bookmarkStart w:id="86" w:name="_Toc535218211"/>
      <w:bookmarkStart w:id="87" w:name="_Toc115621687"/>
      <w:bookmarkStart w:id="88" w:name="_Toc498678659"/>
      <w:bookmarkStart w:id="89" w:name="_Toc498685967"/>
      <w:bookmarkEnd w:id="88"/>
      <w:bookmarkEnd w:id="89"/>
      <w:r>
        <w:rPr>
          <w:rFonts w:cs="Arial" w:ascii="Arial" w:hAnsi="Arial"/>
          <w:sz w:val="24"/>
          <w:szCs w:val="24"/>
        </w:rPr>
        <w:t>Ogólne zasady wykonania robót podano w ST „Wymagania ogólne"</w:t>
      </w:r>
      <w:bookmarkEnd w:id="86"/>
      <w:bookmarkEnd w:id="87"/>
      <w:r>
        <w:rPr>
          <w:rFonts w:cs="Arial" w:ascii="Arial" w:hAnsi="Arial"/>
          <w:sz w:val="24"/>
          <w:szCs w:val="24"/>
        </w:rPr>
        <w:t xml:space="preserve"> </w:t>
      </w:r>
    </w:p>
    <w:p>
      <w:pPr>
        <w:pStyle w:val="SpecyfikacjaSSTpodstawowy"/>
        <w:ind w:start="426" w:end="423"/>
        <w:jc w:val="start"/>
        <w:rPr>
          <w:rFonts w:ascii="Arial" w:hAnsi="Arial" w:cs="Arial"/>
        </w:rPr>
      </w:pPr>
      <w:r>
        <w:rPr>
          <w:rFonts w:cs="Arial" w:ascii="Arial" w:hAnsi="Arial"/>
        </w:rPr>
        <w:t>Przed rozpoczęciem robót wykonawca opracuje: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projekt zagospodarowania placu budowy, który powinien składać się z części opisowej i graficznej,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plan bezpieczeństwa i ochrony zdrowia (plan bioz),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projekt organizacji budowy.</w:t>
      </w:r>
    </w:p>
    <w:p>
      <w:pPr>
        <w:pStyle w:val="SpecyfikacjaSSTpodstawowy"/>
        <w:ind w:start="426" w:end="423"/>
        <w:jc w:val="start"/>
        <w:rPr>
          <w:rFonts w:ascii="Arial" w:hAnsi="Arial" w:cs="Arial"/>
        </w:rPr>
      </w:pPr>
      <w:r>
        <w:rPr>
          <w:rFonts w:cs="Arial" w:ascii="Arial" w:hAnsi="Arial"/>
        </w:rPr>
        <w:t>Wykonawca odpowiedzialny jest za prowadzenie robót zgodne z umową oraz za jakość stosowanych materiałów i wykonywanych robót, za ich zgodność dokumentacją projektową, wymaganiami ST, programem zapewnienia jakości PZJ oraz poleceniami Inspektora Nadzoru.</w:t>
      </w:r>
    </w:p>
    <w:p>
      <w:pPr>
        <w:pStyle w:val="SpecyfikacjaSSTpodstawowy"/>
        <w:ind w:start="426" w:end="423"/>
        <w:jc w:val="start"/>
        <w:rPr>
          <w:rFonts w:ascii="Arial" w:hAnsi="Arial" w:cs="Arial"/>
        </w:rPr>
      </w:pPr>
      <w:r>
        <w:rPr>
          <w:rFonts w:cs="Arial" w:ascii="Arial" w:hAnsi="Arial"/>
        </w:rPr>
        <w:t>Wykonawca ponosi odpowiedzialność za pełną obsługę geodezyjną przy wykonywaniu wszystkich elementów robót określonych w dokumentacji projektowej lub przekazanych na piśmie przez Inspektora Nadzoru.</w:t>
      </w:r>
    </w:p>
    <w:p>
      <w:pPr>
        <w:pStyle w:val="SpecyfikacjaSSTpodstawowy"/>
        <w:ind w:start="426" w:end="423"/>
        <w:jc w:val="start"/>
        <w:rPr>
          <w:rFonts w:ascii="Arial" w:hAnsi="Arial" w:cs="Arial"/>
        </w:rPr>
      </w:pPr>
      <w:r>
        <w:rPr>
          <w:rFonts w:cs="Arial" w:ascii="Arial" w:hAnsi="Arial"/>
        </w:rPr>
        <w:t>Następstwa jakiegokolwiek błędu spowodowanego przez Wykonawcę w wytyczeniu i wykonywaniu robót zostaną, jeśli wymagać tego będzie Inspektor Nadzoru, poprawione przez Wykonawcę na własny koszt.</w:t>
      </w:r>
    </w:p>
    <w:p>
      <w:pPr>
        <w:pStyle w:val="SpecyfikacjaSSTpodstawowy"/>
        <w:ind w:start="426" w:end="423"/>
        <w:jc w:val="start"/>
        <w:rPr>
          <w:rFonts w:ascii="Arial" w:hAnsi="Arial" w:cs="Arial"/>
        </w:rPr>
      </w:pPr>
      <w:r>
        <w:rPr>
          <w:rFonts w:cs="Arial" w:ascii="Arial" w:hAnsi="Arial"/>
        </w:rPr>
        <w:t>Decyzje Inspektora Nadzoru dotyczące akceptacji lub odrzucenia materiałów i elementów robót będą oparte na wymaganiach sformułowanych w dokumentach umowy, dokumentacji projektowej i w SST, a także w normach i wytycznych.</w:t>
      </w:r>
    </w:p>
    <w:p>
      <w:pPr>
        <w:pStyle w:val="SpecyfikacjaSSTpodstawowy"/>
        <w:ind w:start="426" w:end="423"/>
        <w:jc w:val="start"/>
        <w:rPr>
          <w:rFonts w:ascii="Arial" w:hAnsi="Arial" w:cs="Arial"/>
        </w:rPr>
      </w:pPr>
      <w:r>
        <w:rPr>
          <w:rFonts w:cs="Arial" w:ascii="Arial" w:hAnsi="Arial"/>
        </w:rPr>
        <w:t>Polecenia Inspektora Nadzoru dotyczące realizacji robót będą wykonywane przez Wykonawcę nie później niż w czasie przez niego wyznaczonym, pod groźbą wstrzymania robót. Skutki finansowe z tytułu wstrzymania robót w takiej sytuacji ponosi Wykonawca.</w:t>
      </w:r>
    </w:p>
    <w:p>
      <w:pPr>
        <w:pStyle w:val="SpecyfikacjaSSTpodstawowy"/>
        <w:ind w:start="426" w:end="423"/>
        <w:jc w:val="start"/>
        <w:rPr>
          <w:rFonts w:ascii="Arial" w:hAnsi="Arial" w:cs="Arial"/>
        </w:rPr>
      </w:pPr>
      <w:r>
        <w:rPr>
          <w:rFonts w:cs="Arial" w:ascii="Arial" w:hAnsi="Arial"/>
        </w:rPr>
        <w:t>W przypadku opóźnień realizacyjnych budowy, stwarzających zagrożenie dla finalnego zakończenia robót, Inspektor ma prawo wprowadzić podwykonawcę na określone roboty na koszt Wykonawcy.</w:t>
      </w:r>
    </w:p>
    <w:p>
      <w:pPr>
        <w:pStyle w:val="Heading2"/>
        <w:numPr>
          <w:ilvl w:val="1"/>
          <w:numId w:val="13"/>
        </w:numPr>
        <w:ind w:hanging="432" w:start="426" w:end="423"/>
        <w:rPr>
          <w:rFonts w:ascii="Arial" w:hAnsi="Arial" w:cs="Arial"/>
          <w:sz w:val="24"/>
          <w:szCs w:val="24"/>
        </w:rPr>
      </w:pPr>
      <w:bookmarkStart w:id="90" w:name="_Toc115621688"/>
      <w:bookmarkStart w:id="91" w:name="_Toc535218212"/>
      <w:bookmarkEnd w:id="91"/>
      <w:r>
        <w:rPr>
          <w:rFonts w:cs="Arial" w:ascii="Arial" w:hAnsi="Arial"/>
          <w:sz w:val="24"/>
          <w:szCs w:val="24"/>
        </w:rPr>
        <w:t>Przygotowanie podłoża, montaż przewodów</w:t>
      </w:r>
      <w:bookmarkEnd w:id="90"/>
    </w:p>
    <w:p>
      <w:pPr>
        <w:pStyle w:val="Normal"/>
        <w:shd w:val="clear" w:color="auto" w:fill="FFFFFF"/>
        <w:ind w:firstLine="282" w:start="426" w:end="423"/>
        <w:rPr>
          <w:sz w:val="24"/>
          <w:szCs w:val="24"/>
        </w:rPr>
      </w:pPr>
      <w:r>
        <w:rPr>
          <w:color w:val="000000"/>
          <w:sz w:val="24"/>
          <w:szCs w:val="24"/>
        </w:rPr>
        <w:t>Przygotowanie podłoża - zespół czynności wykonywanych przed zamocowaniem osprzętu instalacyjnego, urządzenia elektrycznego, odbiornika energii elektrycznej, układaniem kabli i przewodów mających na celu zapewnienie możliwości ich zamocowania zgodnie z dokumentacja</w:t>
      </w:r>
    </w:p>
    <w:p>
      <w:pPr>
        <w:pStyle w:val="Normal"/>
        <w:shd w:val="clear" w:color="auto" w:fill="FFFFFF"/>
        <w:ind w:start="426" w:end="423"/>
        <w:rPr>
          <w:sz w:val="24"/>
          <w:szCs w:val="24"/>
        </w:rPr>
      </w:pPr>
      <w:r>
        <w:rPr>
          <w:color w:val="000000"/>
          <w:sz w:val="24"/>
          <w:szCs w:val="24"/>
        </w:rPr>
        <w:t>Do prac przygotowawczych tu zalicza się następujące grupy czynności:</w:t>
      </w:r>
    </w:p>
    <w:p>
      <w:pPr>
        <w:pStyle w:val="Normal"/>
        <w:shd w:val="clear" w:color="auto" w:fill="FFFFFF"/>
        <w:ind w:start="426" w:end="423"/>
        <w:rPr>
          <w:sz w:val="24"/>
          <w:szCs w:val="24"/>
        </w:rPr>
      </w:pPr>
      <w:r>
        <w:rPr>
          <w:color w:val="000000"/>
          <w:sz w:val="24"/>
          <w:szCs w:val="24"/>
        </w:rPr>
        <w:t xml:space="preserve">• </w:t>
      </w:r>
      <w:r>
        <w:rPr>
          <w:color w:val="000000"/>
          <w:sz w:val="24"/>
          <w:szCs w:val="24"/>
        </w:rPr>
        <w:t>Wiercenie i przebijanie otworów przelotowych i nieprzelotowych,</w:t>
      </w:r>
    </w:p>
    <w:p>
      <w:pPr>
        <w:pStyle w:val="Normal"/>
        <w:shd w:val="clear" w:color="auto" w:fill="FFFFFF"/>
        <w:ind w:start="426" w:end="423"/>
        <w:rPr>
          <w:sz w:val="24"/>
          <w:szCs w:val="24"/>
        </w:rPr>
      </w:pPr>
      <w:r>
        <w:rPr>
          <w:color w:val="000000"/>
          <w:sz w:val="24"/>
          <w:szCs w:val="24"/>
        </w:rPr>
        <w:t xml:space="preserve">• </w:t>
      </w:r>
      <w:r>
        <w:rPr>
          <w:color w:val="000000"/>
          <w:sz w:val="24"/>
          <w:szCs w:val="24"/>
        </w:rPr>
        <w:t>Kucie bruzd i wnęk,</w:t>
      </w:r>
    </w:p>
    <w:p>
      <w:pPr>
        <w:pStyle w:val="Normal"/>
        <w:shd w:val="clear" w:color="auto" w:fill="FFFFFF"/>
        <w:ind w:start="426" w:end="423"/>
        <w:rPr>
          <w:sz w:val="24"/>
          <w:szCs w:val="24"/>
        </w:rPr>
      </w:pPr>
      <w:r>
        <w:rPr>
          <w:color w:val="000000"/>
          <w:sz w:val="24"/>
          <w:szCs w:val="24"/>
        </w:rPr>
        <w:t xml:space="preserve">• </w:t>
      </w:r>
      <w:r>
        <w:rPr>
          <w:color w:val="000000"/>
          <w:sz w:val="24"/>
          <w:szCs w:val="24"/>
        </w:rPr>
        <w:t>Osadzanie kołków w podlotu, w tym ich wstrzeliwanie,</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uchwytów do rur i przewodów,</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konstrukcji wsporczych do korytek, drabinek, instalacji wiązkowych, szynoprzewodów,</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korytek, drabinek, listew i rur instalacyjnych,</w:t>
      </w:r>
    </w:p>
    <w:p>
      <w:pPr>
        <w:pStyle w:val="Normal"/>
        <w:shd w:val="clear" w:color="auto" w:fill="FFFFFF"/>
        <w:ind w:start="426" w:end="423"/>
        <w:rPr>
          <w:sz w:val="24"/>
          <w:szCs w:val="24"/>
        </w:rPr>
      </w:pPr>
      <w:r>
        <w:rPr>
          <w:color w:val="000000"/>
          <w:sz w:val="24"/>
          <w:szCs w:val="24"/>
        </w:rPr>
        <w:t xml:space="preserve">• </w:t>
      </w:r>
      <w:r>
        <w:rPr>
          <w:color w:val="000000"/>
          <w:sz w:val="24"/>
          <w:szCs w:val="24"/>
        </w:rPr>
        <w:t>Oczyszczenie podłoża - przygotowanie do klejenia.</w:t>
      </w:r>
    </w:p>
    <w:p>
      <w:pPr>
        <w:pStyle w:val="Normal"/>
        <w:shd w:val="clear" w:color="auto" w:fill="FFFFFF"/>
        <w:ind w:start="426" w:end="423"/>
        <w:rPr>
          <w:sz w:val="24"/>
          <w:szCs w:val="24"/>
        </w:rPr>
      </w:pPr>
      <w:r>
        <w:rPr>
          <w:color w:val="000000"/>
          <w:sz w:val="24"/>
          <w:szCs w:val="24"/>
        </w:rPr>
        <w:t xml:space="preserve">• </w:t>
      </w:r>
      <w:r>
        <w:rPr>
          <w:color w:val="000000"/>
          <w:sz w:val="24"/>
          <w:szCs w:val="24"/>
        </w:rPr>
        <w:t>Montaż rusztowań  w pomieszczeniach o wysokości powyżej 3,5m</w:t>
      </w:r>
    </w:p>
    <w:p>
      <w:pPr>
        <w:pStyle w:val="Normal"/>
        <w:shd w:val="clear" w:color="auto" w:fill="FFFFFF"/>
        <w:ind w:start="426" w:end="423"/>
        <w:rPr>
          <w:sz w:val="24"/>
          <w:szCs w:val="24"/>
        </w:rPr>
      </w:pPr>
      <w:r>
        <w:rPr>
          <w:color w:val="000000"/>
          <w:spacing w:val="-1"/>
          <w:sz w:val="24"/>
          <w:szCs w:val="24"/>
        </w:rPr>
        <w:t>Zakres robót obejmuje:</w:t>
      </w:r>
    </w:p>
    <w:p>
      <w:pPr>
        <w:pStyle w:val="Normal"/>
        <w:numPr>
          <w:ilvl w:val="0"/>
          <w:numId w:val="4"/>
        </w:numPr>
        <w:shd w:val="clear" w:color="auto" w:fill="FFFFFF"/>
        <w:ind w:start="426" w:end="423"/>
        <w:rPr>
          <w:sz w:val="24"/>
          <w:szCs w:val="24"/>
        </w:rPr>
      </w:pPr>
      <w:r>
        <w:rPr>
          <w:color w:val="000000"/>
          <w:spacing w:val="-1"/>
          <w:sz w:val="24"/>
          <w:szCs w:val="24"/>
        </w:rPr>
        <w:t>przemieszczenie w strefie montażowej,</w:t>
      </w:r>
    </w:p>
    <w:p>
      <w:pPr>
        <w:pStyle w:val="Normal"/>
        <w:numPr>
          <w:ilvl w:val="0"/>
          <w:numId w:val="4"/>
        </w:numPr>
        <w:shd w:val="clear" w:color="auto" w:fill="FFFFFF"/>
        <w:ind w:start="426" w:end="423"/>
        <w:rPr>
          <w:sz w:val="24"/>
          <w:szCs w:val="24"/>
        </w:rPr>
      </w:pPr>
      <w:r>
        <w:rPr>
          <w:color w:val="000000"/>
          <w:sz w:val="24"/>
          <w:szCs w:val="24"/>
        </w:rPr>
        <w:t>złożenie na miejscu montażu wg projektu,</w:t>
      </w:r>
    </w:p>
    <w:p>
      <w:pPr>
        <w:pStyle w:val="Normal"/>
        <w:numPr>
          <w:ilvl w:val="0"/>
          <w:numId w:val="4"/>
        </w:numPr>
        <w:shd w:val="clear" w:color="auto" w:fill="FFFFFF"/>
        <w:ind w:hanging="288" w:start="426" w:end="423"/>
        <w:rPr>
          <w:sz w:val="24"/>
          <w:szCs w:val="24"/>
        </w:rPr>
      </w:pPr>
      <w:r>
        <w:rPr>
          <w:color w:val="000000"/>
          <w:spacing w:val="-1"/>
          <w:sz w:val="24"/>
          <w:szCs w:val="24"/>
        </w:rPr>
        <w:t>wyznaczenie miejsca zainstalowania, trasowanie linii przebiegu instalacji i miejsc montażu osprzętu,</w:t>
      </w:r>
    </w:p>
    <w:p>
      <w:pPr>
        <w:pStyle w:val="Normal"/>
        <w:numPr>
          <w:ilvl w:val="0"/>
          <w:numId w:val="4"/>
        </w:numPr>
        <w:shd w:val="clear" w:color="auto" w:fill="FFFFFF"/>
        <w:ind w:hanging="288" w:start="426" w:end="423"/>
        <w:rPr>
          <w:sz w:val="24"/>
          <w:szCs w:val="24"/>
        </w:rPr>
      </w:pPr>
      <w:r>
        <w:rPr>
          <w:color w:val="000000"/>
          <w:spacing w:val="4"/>
          <w:sz w:val="24"/>
          <w:szCs w:val="24"/>
        </w:rPr>
        <w:t>roboty przygotowawcze o charakterze ogólnobudowlanym jak: kucie bruzd w podło</w:t>
      </w:r>
      <w:r>
        <w:rPr>
          <w:color w:val="000000"/>
          <w:spacing w:val="5"/>
          <w:sz w:val="24"/>
          <w:szCs w:val="24"/>
        </w:rPr>
        <w:t>żu, przekucia ścian i stropów, osadzenie przepustów, zdejmowanie przykryć kana</w:t>
      </w:r>
      <w:r>
        <w:rPr>
          <w:color w:val="000000"/>
          <w:spacing w:val="7"/>
          <w:sz w:val="24"/>
          <w:szCs w:val="24"/>
        </w:rPr>
        <w:t xml:space="preserve">łów instalacyjnych, wykonanie ślepych otworów poprzez podkucie we wnęce albo </w:t>
      </w:r>
      <w:r>
        <w:rPr>
          <w:color w:val="000000"/>
          <w:spacing w:val="3"/>
          <w:sz w:val="24"/>
          <w:szCs w:val="24"/>
        </w:rPr>
        <w:t xml:space="preserve">kucie ręczne lub mechaniczne, wiercenie mechaniczne otworów w sufitach, ścianach </w:t>
      </w:r>
      <w:r>
        <w:rPr>
          <w:color w:val="000000"/>
          <w:spacing w:val="2"/>
          <w:sz w:val="24"/>
          <w:szCs w:val="24"/>
        </w:rPr>
        <w:t>lub podłożach,</w:t>
      </w:r>
    </w:p>
    <w:p>
      <w:pPr>
        <w:pStyle w:val="Normal"/>
        <w:numPr>
          <w:ilvl w:val="0"/>
          <w:numId w:val="4"/>
        </w:numPr>
        <w:shd w:val="clear" w:color="auto" w:fill="FFFFFF"/>
        <w:ind w:hanging="288" w:start="426" w:end="423"/>
        <w:rPr>
          <w:sz w:val="24"/>
          <w:szCs w:val="24"/>
        </w:rPr>
      </w:pPr>
      <w:r>
        <w:rPr>
          <w:color w:val="000000"/>
          <w:spacing w:val="1"/>
          <w:sz w:val="24"/>
          <w:szCs w:val="24"/>
        </w:rPr>
        <w:t xml:space="preserve">osadzenie kołków osadczych plastikowych oraz dybli, śrub kotwiących lub wsporników, </w:t>
      </w:r>
      <w:r>
        <w:rPr>
          <w:color w:val="000000"/>
          <w:sz w:val="24"/>
          <w:szCs w:val="24"/>
        </w:rPr>
        <w:t>konsoli, wieszaków wraz z zabetonowaniem,</w:t>
      </w:r>
    </w:p>
    <w:p>
      <w:pPr>
        <w:pStyle w:val="Normal"/>
        <w:numPr>
          <w:ilvl w:val="0"/>
          <w:numId w:val="4"/>
        </w:numPr>
        <w:shd w:val="clear" w:color="auto" w:fill="FFFFFF"/>
        <w:ind w:hanging="288" w:start="426" w:end="423"/>
        <w:rPr>
          <w:sz w:val="24"/>
          <w:szCs w:val="24"/>
        </w:rPr>
      </w:pPr>
      <w:r>
        <w:rPr>
          <w:color w:val="000000"/>
          <w:spacing w:val="7"/>
          <w:sz w:val="24"/>
          <w:szCs w:val="24"/>
        </w:rPr>
        <w:t xml:space="preserve">montaż na gotowym podłożu elementów osprzętu instalacyjnego do montażu kabli </w:t>
      </w:r>
      <w:r>
        <w:rPr>
          <w:color w:val="000000"/>
          <w:spacing w:val="-1"/>
          <w:sz w:val="24"/>
          <w:szCs w:val="24"/>
        </w:rPr>
        <w:t>i przewodów (pkt 2.2.2.),</w:t>
      </w:r>
    </w:p>
    <w:p>
      <w:pPr>
        <w:pStyle w:val="Normal"/>
        <w:numPr>
          <w:ilvl w:val="0"/>
          <w:numId w:val="4"/>
        </w:numPr>
        <w:shd w:val="clear" w:color="auto" w:fill="FFFFFF"/>
        <w:ind w:hanging="288" w:start="426" w:end="423"/>
        <w:rPr>
          <w:sz w:val="24"/>
          <w:szCs w:val="24"/>
        </w:rPr>
      </w:pPr>
      <w:r>
        <w:rPr>
          <w:color w:val="000000"/>
          <w:sz w:val="24"/>
          <w:szCs w:val="24"/>
        </w:rPr>
        <w:t>łuki z rur sztywnych należy wykonywać przy użyciu gotowych kolanek lub przez wygina</w:t>
      </w:r>
      <w:r>
        <w:rPr>
          <w:color w:val="000000"/>
          <w:spacing w:val="1"/>
          <w:sz w:val="24"/>
          <w:szCs w:val="24"/>
        </w:rPr>
        <w:t xml:space="preserve">nie rur w trakcie ich układania. Przy kształtowaniu łuku spłaszczenie rury nie może być większe niż 15% wewnętrznej średnicy rury. Najmniejsze dopuszczalne promienie łuku </w:t>
      </w:r>
      <w:r>
        <w:rPr>
          <w:color w:val="000000"/>
          <w:sz w:val="24"/>
          <w:szCs w:val="24"/>
        </w:rPr>
        <w:t>podane są w tablicy poniżej.</w:t>
      </w:r>
    </w:p>
    <w:p>
      <w:pPr>
        <w:pStyle w:val="Normal"/>
        <w:shd w:val="clear" w:color="auto" w:fill="FFFFFF"/>
        <w:ind w:start="426" w:end="423"/>
        <w:rPr>
          <w:sz w:val="24"/>
          <w:szCs w:val="24"/>
        </w:rPr>
      </w:pPr>
      <w:r>
        <w:rPr>
          <w:b/>
          <w:bCs/>
          <w:color w:val="000000"/>
          <w:sz w:val="24"/>
          <w:szCs w:val="24"/>
        </w:rPr>
        <w:t>Najmniejsze dopuszczalne promienie łuku</w:t>
      </w:r>
    </w:p>
    <w:p>
      <w:pPr>
        <w:pStyle w:val="Normal"/>
        <w:shd w:val="clear" w:color="auto" w:fill="FFFFFF"/>
        <w:ind w:start="426" w:end="423"/>
        <w:rPr>
          <w:sz w:val="24"/>
          <w:szCs w:val="24"/>
        </w:rPr>
      </w:pPr>
      <w:r>
        <w:rPr>
          <w:color w:val="000000"/>
          <w:spacing w:val="1"/>
          <w:sz w:val="24"/>
          <w:szCs w:val="24"/>
        </w:rPr>
        <w:t>Należy stosować dodatkowe opakowania w przypadku możliwości uszkodzeń transpor</w:t>
      </w:r>
      <w:r>
        <w:rPr>
          <w:color w:val="000000"/>
          <w:spacing w:val="-2"/>
          <w:sz w:val="24"/>
          <w:szCs w:val="24"/>
        </w:rPr>
        <w:t>towych.</w:t>
      </w:r>
    </w:p>
    <w:p>
      <w:pPr>
        <w:pStyle w:val="Normal"/>
        <w:ind w:start="426" w:end="423"/>
        <w:rPr>
          <w:sz w:val="24"/>
          <w:szCs w:val="24"/>
        </w:rPr>
      </w:pPr>
      <w:r>
        <w:rPr>
          <w:sz w:val="24"/>
          <w:szCs w:val="24"/>
        </w:rPr>
        <mc:AlternateContent>
          <mc:Choice Requires="wps">
            <w:drawing>
              <wp:anchor behindDoc="0" distT="0" distB="0" distL="89535" distR="89535" simplePos="0" locked="0" layoutInCell="0" allowOverlap="1" relativeHeight="2">
                <wp:simplePos x="0" y="0"/>
                <wp:positionH relativeFrom="page">
                  <wp:posOffset>1491615</wp:posOffset>
                </wp:positionH>
                <wp:positionV relativeFrom="paragraph">
                  <wp:posOffset>99060</wp:posOffset>
                </wp:positionV>
                <wp:extent cx="4500880" cy="589915"/>
                <wp:effectExtent l="0" t="0" r="0" b="0"/>
                <wp:wrapSquare wrapText="bothSides"/>
                <wp:docPr id="1" name="Ramka1" title="Tabela - średnica i promień łuku rury osłonowej."/>
                <a:graphic xmlns:a="http://schemas.openxmlformats.org/drawingml/2006/main">
                  <a:graphicData uri="http://schemas.microsoft.com/office/word/2010/wordprocessingShape">
                    <wps:wsp>
                      <wps:cNvSpPr/>
                      <wps:spPr>
                        <a:xfrm>
                          <a:off x="0" y="0"/>
                          <a:ext cx="4500720" cy="590040"/>
                        </a:xfrm>
                        <a:prstGeom prst="rect">
                          <a:avLst/>
                        </a:prstGeom>
                        <a:noFill/>
                        <a:ln w="0">
                          <a:noFill/>
                        </a:ln>
                      </wps:spPr>
                      <wps:style>
                        <a:lnRef idx="0"/>
                        <a:fillRef idx="0"/>
                        <a:effectRef idx="0"/>
                        <a:fontRef idx="minor"/>
                      </wps:style>
                      <wps:txbx>
                        <w:txbxContent>
                          <w:tbl>
                            <w:tblPr>
                              <w:tblW w:w="7087" w:type="dxa"/>
                              <w:jc w:val="start"/>
                              <w:tblInd w:w="0" w:type="dxa"/>
                              <w:tblLayout w:type="fixed"/>
                              <w:tblCellMar>
                                <w:top w:w="0" w:type="dxa"/>
                                <w:start w:w="32" w:type="dxa"/>
                                <w:bottom w:w="0" w:type="dxa"/>
                                <w:end w:w="40" w:type="dxa"/>
                              </w:tblCellMar>
                              <w:tblLook w:firstRow="0" w:noVBand="0" w:lastRow="0" w:firstColumn="0" w:lastColumn="0" w:noHBand="0" w:val="0000"/>
                            </w:tblPr>
                            <w:tblGrid>
                              <w:gridCol w:w="3420"/>
                              <w:gridCol w:w="613"/>
                              <w:gridCol w:w="611"/>
                              <w:gridCol w:w="613"/>
                              <w:gridCol w:w="606"/>
                              <w:gridCol w:w="611"/>
                              <w:gridCol w:w="612"/>
                            </w:tblGrid>
                            <w:tr>
                              <w:trPr>
                                <w:trHeight w:val="338"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1"/>
                                    </w:rPr>
                                    <w:t>Średnica znamionowa rury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112"/>
                                    <w:jc w:val="both"/>
                                    <w:rPr>
                                      <w:rFonts w:ascii="Calibri" w:hAnsi="Calibri" w:cs="Times New Roman" w:asciiTheme="minorHAnsi" w:hAnsiTheme="minorHAnsi"/>
                                    </w:rPr>
                                  </w:pPr>
                                  <w:r>
                                    <w:rPr>
                                      <w:rFonts w:cs="Times New Roman" w:ascii="Calibri" w:hAnsi="Calibri" w:asciiTheme="minorHAnsi" w:hAnsiTheme="minorHAnsi"/>
                                      <w:color w:val="000000"/>
                                    </w:rPr>
                                    <w:t>18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21</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22</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4"/>
                                    <w:jc w:val="both"/>
                                    <w:rPr>
                                      <w:rFonts w:ascii="Calibri" w:hAnsi="Calibri" w:cs="Times New Roman" w:asciiTheme="minorHAnsi" w:hAnsiTheme="minorHAnsi"/>
                                    </w:rPr>
                                  </w:pPr>
                                  <w:r>
                                    <w:rPr>
                                      <w:rFonts w:cs="Times New Roman" w:ascii="Calibri" w:hAnsi="Calibri" w:asciiTheme="minorHAnsi" w:hAnsiTheme="minorHAnsi"/>
                                      <w:color w:val="000000"/>
                                    </w:rPr>
                                    <w:t>28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37</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83"/>
                                    <w:jc w:val="both"/>
                                    <w:rPr>
                                      <w:rFonts w:ascii="Calibri" w:hAnsi="Calibri" w:cs="Times New Roman" w:asciiTheme="minorHAnsi" w:hAnsiTheme="minorHAnsi"/>
                                    </w:rPr>
                                  </w:pPr>
                                  <w:r>
                                    <w:rPr>
                                      <w:rFonts w:cs="Times New Roman" w:ascii="Calibri" w:hAnsi="Calibri" w:asciiTheme="minorHAnsi" w:hAnsiTheme="minorHAnsi"/>
                                      <w:color w:val="000000"/>
                                    </w:rPr>
                                    <w:t>47</w:t>
                                  </w:r>
                                </w:p>
                              </w:tc>
                            </w:tr>
                            <w:tr>
                              <w:trPr>
                                <w:trHeight w:val="346"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2"/>
                                    </w:rPr>
                                    <w:t>Promień łuku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58"/>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61"/>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7"/>
                                    <w:jc w:val="both"/>
                                    <w:rPr>
                                      <w:rFonts w:ascii="Calibri" w:hAnsi="Calibri" w:cs="Times New Roman" w:asciiTheme="minorHAnsi" w:hAnsiTheme="minorHAnsi"/>
                                    </w:rPr>
                                  </w:pPr>
                                  <w:r>
                                    <w:rPr>
                                      <w:rFonts w:cs="Times New Roman" w:ascii="Calibri" w:hAnsi="Calibri" w:asciiTheme="minorHAnsi" w:hAnsiTheme="minorHAnsi"/>
                                      <w:color w:val="000000"/>
                                    </w:rPr>
                                    <w:t>350</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36"/>
                                    <w:jc w:val="both"/>
                                    <w:rPr>
                                      <w:rFonts w:ascii="Calibri" w:hAnsi="Calibri" w:cs="Times New Roman" w:asciiTheme="minorHAnsi" w:hAnsiTheme="minorHAnsi"/>
                                    </w:rPr>
                                  </w:pPr>
                                  <w:r>
                                    <w:rPr>
                                      <w:rFonts w:cs="Times New Roman" w:ascii="Calibri" w:hAnsi="Calibri" w:asciiTheme="minorHAnsi" w:hAnsiTheme="minorHAnsi"/>
                                      <w:color w:val="000000"/>
                                    </w:rPr>
                                    <w:t>450</w:t>
                                  </w:r>
                                </w:p>
                              </w:tc>
                            </w:tr>
                          </w:tbl>
                          <w:p>
                            <w:pPr>
                              <w:pStyle w:val="Zawartoramki"/>
                              <w:rPr>
                                <w:color w:val="000000"/>
                              </w:rPr>
                            </w:pPr>
                            <w:r>
                              <w:rPr>
                                <w:color w:val="000000"/>
                              </w:rPr>
                            </w:r>
                          </w:p>
                        </w:txbxContent>
                      </wps:txbx>
                      <wps:bodyPr lIns="0" rIns="0" tIns="0" bIns="0" anchor="t">
                        <a:noAutofit/>
                      </wps:bodyPr>
                    </wps:wsp>
                  </a:graphicData>
                </a:graphic>
              </wp:anchor>
            </w:drawing>
          </mc:Choice>
          <mc:Fallback>
            <w:pict>
              <v:rect id="shape_0" ID="Ramka1" path="m0,0l-2147483645,0l-2147483645,-2147483646l0,-2147483646xe" stroked="f" o:allowincell="f" style="position:absolute;margin-left:117.45pt;margin-top:7.8pt;width:354.35pt;height:46.4pt;mso-wrap-style:none;v-text-anchor:middle;mso-position-horizontal-relative:page">
                <v:fill o:detectmouseclick="t" on="false"/>
                <v:stroke color="#3465a4" joinstyle="round" endcap="flat"/>
                <v:textbox>
                  <w:txbxContent>
                    <w:tbl>
                      <w:tblPr>
                        <w:tblW w:w="7087" w:type="dxa"/>
                        <w:jc w:val="start"/>
                        <w:tblInd w:w="0" w:type="dxa"/>
                        <w:tblLayout w:type="fixed"/>
                        <w:tblCellMar>
                          <w:top w:w="0" w:type="dxa"/>
                          <w:start w:w="32" w:type="dxa"/>
                          <w:bottom w:w="0" w:type="dxa"/>
                          <w:end w:w="40" w:type="dxa"/>
                        </w:tblCellMar>
                        <w:tblLook w:firstRow="0" w:noVBand="0" w:lastRow="0" w:firstColumn="0" w:lastColumn="0" w:noHBand="0" w:val="0000"/>
                      </w:tblPr>
                      <w:tblGrid>
                        <w:gridCol w:w="3420"/>
                        <w:gridCol w:w="613"/>
                        <w:gridCol w:w="611"/>
                        <w:gridCol w:w="613"/>
                        <w:gridCol w:w="606"/>
                        <w:gridCol w:w="611"/>
                        <w:gridCol w:w="612"/>
                      </w:tblGrid>
                      <w:tr>
                        <w:trPr>
                          <w:trHeight w:val="338"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1"/>
                              </w:rPr>
                              <w:t>Średnica znamionowa rury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112"/>
                              <w:jc w:val="both"/>
                              <w:rPr>
                                <w:rFonts w:ascii="Calibri" w:hAnsi="Calibri" w:cs="Times New Roman" w:asciiTheme="minorHAnsi" w:hAnsiTheme="minorHAnsi"/>
                              </w:rPr>
                            </w:pPr>
                            <w:r>
                              <w:rPr>
                                <w:rFonts w:cs="Times New Roman" w:ascii="Calibri" w:hAnsi="Calibri" w:asciiTheme="minorHAnsi" w:hAnsiTheme="minorHAnsi"/>
                                <w:color w:val="000000"/>
                              </w:rPr>
                              <w:t>18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21</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22</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4"/>
                              <w:jc w:val="both"/>
                              <w:rPr>
                                <w:rFonts w:ascii="Calibri" w:hAnsi="Calibri" w:cs="Times New Roman" w:asciiTheme="minorHAnsi" w:hAnsiTheme="minorHAnsi"/>
                              </w:rPr>
                            </w:pPr>
                            <w:r>
                              <w:rPr>
                                <w:rFonts w:cs="Times New Roman" w:ascii="Calibri" w:hAnsi="Calibri" w:asciiTheme="minorHAnsi" w:hAnsiTheme="minorHAnsi"/>
                                <w:color w:val="000000"/>
                              </w:rPr>
                              <w:t>28</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97"/>
                              <w:jc w:val="both"/>
                              <w:rPr>
                                <w:rFonts w:ascii="Calibri" w:hAnsi="Calibri" w:cs="Times New Roman" w:asciiTheme="minorHAnsi" w:hAnsiTheme="minorHAnsi"/>
                              </w:rPr>
                            </w:pPr>
                            <w:r>
                              <w:rPr>
                                <w:rFonts w:cs="Times New Roman" w:ascii="Calibri" w:hAnsi="Calibri" w:asciiTheme="minorHAnsi" w:hAnsiTheme="minorHAnsi"/>
                                <w:color w:val="000000"/>
                              </w:rPr>
                              <w:t>37</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83"/>
                              <w:jc w:val="both"/>
                              <w:rPr>
                                <w:rFonts w:ascii="Calibri" w:hAnsi="Calibri" w:cs="Times New Roman" w:asciiTheme="minorHAnsi" w:hAnsiTheme="minorHAnsi"/>
                              </w:rPr>
                            </w:pPr>
                            <w:r>
                              <w:rPr>
                                <w:rFonts w:cs="Times New Roman" w:ascii="Calibri" w:hAnsi="Calibri" w:asciiTheme="minorHAnsi" w:hAnsiTheme="minorHAnsi"/>
                                <w:color w:val="000000"/>
                              </w:rPr>
                              <w:t>47</w:t>
                            </w:r>
                          </w:p>
                        </w:tc>
                      </w:tr>
                      <w:tr>
                        <w:trPr>
                          <w:trHeight w:val="346" w:hRule="exact"/>
                        </w:trPr>
                        <w:tc>
                          <w:tcPr>
                            <w:tcW w:w="3420"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jc w:val="both"/>
                              <w:rPr>
                                <w:rFonts w:ascii="Calibri" w:hAnsi="Calibri" w:cs="Times New Roman" w:asciiTheme="minorHAnsi" w:hAnsiTheme="minorHAnsi"/>
                              </w:rPr>
                            </w:pPr>
                            <w:r>
                              <w:rPr>
                                <w:rFonts w:cs="Times New Roman" w:ascii="Calibri" w:hAnsi="Calibri" w:asciiTheme="minorHAnsi" w:hAnsiTheme="minorHAnsi"/>
                                <w:color w:val="000000"/>
                                <w:spacing w:val="-2"/>
                              </w:rPr>
                              <w:t>Promień łuku (mm)</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58"/>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61"/>
                              <w:jc w:val="both"/>
                              <w:rPr>
                                <w:rFonts w:ascii="Calibri" w:hAnsi="Calibri" w:cs="Times New Roman" w:asciiTheme="minorHAnsi" w:hAnsiTheme="minorHAnsi"/>
                              </w:rPr>
                            </w:pPr>
                            <w:r>
                              <w:rPr>
                                <w:rFonts w:cs="Times New Roman" w:ascii="Calibri" w:hAnsi="Calibri" w:asciiTheme="minorHAnsi" w:hAnsiTheme="minorHAnsi"/>
                                <w:color w:val="000000"/>
                              </w:rPr>
                              <w:t>190</w:t>
                            </w:r>
                          </w:p>
                        </w:tc>
                        <w:tc>
                          <w:tcPr>
                            <w:tcW w:w="613"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06"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3"/>
                              <w:jc w:val="both"/>
                              <w:rPr>
                                <w:rFonts w:ascii="Calibri" w:hAnsi="Calibri" w:cs="Times New Roman" w:asciiTheme="minorHAnsi" w:hAnsiTheme="minorHAnsi"/>
                              </w:rPr>
                            </w:pPr>
                            <w:r>
                              <w:rPr>
                                <w:rFonts w:cs="Times New Roman" w:ascii="Calibri" w:hAnsi="Calibri" w:asciiTheme="minorHAnsi" w:hAnsiTheme="minorHAnsi"/>
                                <w:color w:val="000000"/>
                              </w:rPr>
                              <w:t>250</w:t>
                            </w:r>
                          </w:p>
                        </w:tc>
                        <w:tc>
                          <w:tcPr>
                            <w:tcW w:w="611"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47"/>
                              <w:jc w:val="both"/>
                              <w:rPr>
                                <w:rFonts w:ascii="Calibri" w:hAnsi="Calibri" w:cs="Times New Roman" w:asciiTheme="minorHAnsi" w:hAnsiTheme="minorHAnsi"/>
                              </w:rPr>
                            </w:pPr>
                            <w:r>
                              <w:rPr>
                                <w:rFonts w:cs="Times New Roman" w:ascii="Calibri" w:hAnsi="Calibri" w:asciiTheme="minorHAnsi" w:hAnsiTheme="minorHAnsi"/>
                                <w:color w:val="000000"/>
                              </w:rPr>
                              <w:t>350</w:t>
                            </w:r>
                          </w:p>
                        </w:tc>
                        <w:tc>
                          <w:tcPr>
                            <w:tcW w:w="612" w:type="dxa"/>
                            <w:tcBorders>
                              <w:top w:val="single" w:sz="6" w:space="0" w:color="00000A"/>
                              <w:start w:val="single" w:sz="6" w:space="0" w:color="00000A"/>
                              <w:bottom w:val="single" w:sz="6" w:space="0" w:color="00000A"/>
                              <w:end w:val="single" w:sz="6" w:space="0" w:color="00000A"/>
                            </w:tcBorders>
                            <w:shd w:color="auto" w:fill="FFFFFF" w:val="clear"/>
                          </w:tcPr>
                          <w:p>
                            <w:pPr>
                              <w:pStyle w:val="Zawartoramki"/>
                              <w:shd w:val="clear" w:color="auto" w:fill="FFFFFF"/>
                              <w:ind w:start="36"/>
                              <w:jc w:val="both"/>
                              <w:rPr>
                                <w:rFonts w:ascii="Calibri" w:hAnsi="Calibri" w:cs="Times New Roman" w:asciiTheme="minorHAnsi" w:hAnsiTheme="minorHAnsi"/>
                              </w:rPr>
                            </w:pPr>
                            <w:r>
                              <w:rPr>
                                <w:rFonts w:cs="Times New Roman" w:ascii="Calibri" w:hAnsi="Calibri" w:asciiTheme="minorHAnsi" w:hAnsiTheme="minorHAnsi"/>
                                <w:color w:val="000000"/>
                              </w:rPr>
                              <w:t>450</w:t>
                            </w:r>
                          </w:p>
                        </w:tc>
                      </w:tr>
                    </w:tbl>
                    <w:p>
                      <w:pPr>
                        <w:pStyle w:val="Zawartoramki"/>
                        <w:rPr>
                          <w:color w:val="000000"/>
                        </w:rPr>
                      </w:pPr>
                      <w:r>
                        <w:rPr>
                          <w:color w:val="000000"/>
                        </w:rPr>
                      </w:r>
                    </w:p>
                  </w:txbxContent>
                </v:textbox>
                <w10:wrap type="square"/>
              </v:rect>
            </w:pict>
          </mc:Fallback>
        </mc:AlternateContent>
      </w:r>
    </w:p>
    <w:p>
      <w:pPr>
        <w:pStyle w:val="Normal"/>
        <w:ind w:start="426" w:end="423"/>
        <w:rPr>
          <w:sz w:val="24"/>
          <w:szCs w:val="24"/>
        </w:rPr>
      </w:pPr>
      <w:r>
        <w:rPr>
          <w:sz w:val="24"/>
          <w:szCs w:val="24"/>
        </w:rPr>
      </w:r>
    </w:p>
    <w:p>
      <w:pPr>
        <w:pStyle w:val="Normal"/>
        <w:ind w:start="426" w:end="423"/>
        <w:rPr>
          <w:sz w:val="24"/>
          <w:szCs w:val="24"/>
        </w:rPr>
      </w:pPr>
      <w:r>
        <w:rPr>
          <w:sz w:val="24"/>
          <w:szCs w:val="24"/>
        </w:rPr>
      </w:r>
    </w:p>
    <w:p>
      <w:pPr>
        <w:pStyle w:val="Normal"/>
        <w:ind w:start="426" w:end="423"/>
        <w:rPr>
          <w:sz w:val="24"/>
          <w:szCs w:val="24"/>
        </w:rPr>
      </w:pPr>
      <w:r>
        <w:rPr>
          <w:sz w:val="24"/>
          <w:szCs w:val="24"/>
        </w:rPr>
      </w:r>
    </w:p>
    <w:p>
      <w:pPr>
        <w:pStyle w:val="Normal"/>
        <w:numPr>
          <w:ilvl w:val="0"/>
          <w:numId w:val="4"/>
        </w:numPr>
        <w:shd w:val="clear" w:color="auto" w:fill="FFFFFF"/>
        <w:ind w:hanging="288" w:start="426" w:end="423"/>
        <w:rPr>
          <w:sz w:val="24"/>
          <w:szCs w:val="24"/>
        </w:rPr>
      </w:pPr>
      <w:r>
        <w:rPr>
          <w:color w:val="000000"/>
          <w:sz w:val="24"/>
          <w:szCs w:val="24"/>
        </w:rPr>
        <w:t xml:space="preserve">łączenie rur należy wykonać za pomocą przewidzianych do tego celu złączek (lub przez </w:t>
      </w:r>
      <w:r>
        <w:rPr>
          <w:color w:val="000000"/>
          <w:spacing w:val="-1"/>
          <w:sz w:val="24"/>
          <w:szCs w:val="24"/>
        </w:rPr>
        <w:t>kielichowanie),</w:t>
      </w:r>
    </w:p>
    <w:p>
      <w:pPr>
        <w:pStyle w:val="Normal"/>
        <w:numPr>
          <w:ilvl w:val="0"/>
          <w:numId w:val="4"/>
        </w:numPr>
        <w:shd w:val="clear" w:color="auto" w:fill="FFFFFF"/>
        <w:ind w:hanging="288" w:start="426" w:end="423"/>
        <w:rPr>
          <w:sz w:val="24"/>
          <w:szCs w:val="24"/>
        </w:rPr>
      </w:pPr>
      <w:r>
        <w:rPr>
          <w:color w:val="000000"/>
          <w:sz w:val="24"/>
          <w:szCs w:val="24"/>
        </w:rPr>
        <w:t>puszki powinny być osadzone na takiej głębokości, aby ich górna (zewnętrzna) krawędź po otynkowaniu ściany była zrównana (zlicowana) z tynkiem,</w:t>
      </w:r>
    </w:p>
    <w:p>
      <w:pPr>
        <w:pStyle w:val="Normal"/>
        <w:numPr>
          <w:ilvl w:val="0"/>
          <w:numId w:val="4"/>
        </w:numPr>
        <w:shd w:val="clear" w:color="auto" w:fill="FFFFFF"/>
        <w:ind w:hanging="288" w:start="426" w:end="423"/>
        <w:rPr>
          <w:sz w:val="24"/>
          <w:szCs w:val="24"/>
        </w:rPr>
      </w:pPr>
      <w:r>
        <w:rPr>
          <w:color w:val="000000"/>
          <w:spacing w:val="1"/>
          <w:sz w:val="24"/>
          <w:szCs w:val="24"/>
        </w:rPr>
        <w:t>przed zainstalowaniem należy w puszce wyciąć wymaganą liczbę otworów dostosowa</w:t>
      </w:r>
      <w:r>
        <w:rPr>
          <w:color w:val="000000"/>
          <w:spacing w:val="-1"/>
          <w:sz w:val="24"/>
          <w:szCs w:val="24"/>
        </w:rPr>
        <w:t>nych do średnicy wprowadzanych rur,</w:t>
      </w:r>
    </w:p>
    <w:p>
      <w:pPr>
        <w:pStyle w:val="Normal"/>
        <w:numPr>
          <w:ilvl w:val="0"/>
          <w:numId w:val="4"/>
        </w:numPr>
        <w:shd w:val="clear" w:color="auto" w:fill="FFFFFF"/>
        <w:ind w:start="426" w:end="423"/>
        <w:rPr>
          <w:sz w:val="24"/>
          <w:szCs w:val="24"/>
        </w:rPr>
      </w:pPr>
      <w:r>
        <w:rPr>
          <w:color w:val="000000"/>
          <w:sz w:val="24"/>
          <w:szCs w:val="24"/>
        </w:rPr>
        <w:t>koniec rury powinien wchodzić do środka puszki na głębokość do 5 mm,</w:t>
      </w:r>
    </w:p>
    <w:p>
      <w:pPr>
        <w:pStyle w:val="Normal"/>
        <w:numPr>
          <w:ilvl w:val="0"/>
          <w:numId w:val="4"/>
        </w:numPr>
        <w:shd w:val="clear" w:color="auto" w:fill="FFFFFF"/>
        <w:ind w:hanging="288" w:start="426" w:end="423"/>
        <w:rPr>
          <w:sz w:val="24"/>
          <w:szCs w:val="24"/>
        </w:rPr>
      </w:pPr>
      <w:r>
        <w:rPr>
          <w:color w:val="000000"/>
          <w:spacing w:val="9"/>
          <w:sz w:val="24"/>
          <w:szCs w:val="24"/>
        </w:rPr>
        <w:t xml:space="preserve">wciąganie do rur instalacyjnych i kanałów zakrytych drutu stalowego o średnicy </w:t>
      </w:r>
      <w:r>
        <w:rPr>
          <w:color w:val="000000"/>
          <w:spacing w:val="5"/>
          <w:sz w:val="24"/>
          <w:szCs w:val="24"/>
        </w:rPr>
        <w:t>1,0 do 1,2 mm dla ułatwienia wciągania kabli i przewodów wg dokumentacji projek</w:t>
      </w:r>
      <w:r>
        <w:rPr>
          <w:color w:val="000000"/>
          <w:spacing w:val="4"/>
          <w:sz w:val="24"/>
          <w:szCs w:val="24"/>
        </w:rPr>
        <w:t>towej i specyfikacji technicznej (szczegółowej) SST, układanie (montaż) kabli i prze</w:t>
      </w:r>
      <w:r>
        <w:rPr>
          <w:color w:val="000000"/>
          <w:spacing w:val="6"/>
          <w:sz w:val="24"/>
          <w:szCs w:val="24"/>
        </w:rPr>
        <w:t xml:space="preserve">wodów zgodne z ich wyszczególnieniem i charakterystyką podaną w dokumentacji </w:t>
      </w:r>
      <w:r>
        <w:rPr>
          <w:color w:val="000000"/>
          <w:spacing w:val="7"/>
          <w:sz w:val="24"/>
          <w:szCs w:val="24"/>
        </w:rPr>
        <w:t xml:space="preserve">projektowej i specyfikacji technicznej (szczegółowej) SST. W przypadku łatwości </w:t>
      </w:r>
      <w:r>
        <w:rPr>
          <w:color w:val="000000"/>
          <w:spacing w:val="4"/>
          <w:sz w:val="24"/>
          <w:szCs w:val="24"/>
        </w:rPr>
        <w:t>wciągania kabli i przewodów, wciąganie drutu prowadzącego, stalowego nie jest ko</w:t>
      </w:r>
      <w:r>
        <w:rPr>
          <w:color w:val="000000"/>
          <w:spacing w:val="5"/>
          <w:sz w:val="24"/>
          <w:szCs w:val="24"/>
        </w:rPr>
        <w:t>nieczne. Przewody muszą być ułożone swobodnie i nie mogą być narażone na na</w:t>
      </w:r>
      <w:r>
        <w:rPr>
          <w:color w:val="000000"/>
          <w:spacing w:val="4"/>
          <w:sz w:val="24"/>
          <w:szCs w:val="24"/>
        </w:rPr>
        <w:t>ciągi i dodatkowe naprężenia,</w:t>
      </w:r>
    </w:p>
    <w:p>
      <w:pPr>
        <w:pStyle w:val="Normal"/>
        <w:numPr>
          <w:ilvl w:val="0"/>
          <w:numId w:val="4"/>
        </w:numPr>
        <w:shd w:val="clear" w:color="auto" w:fill="FFFFFF"/>
        <w:ind w:hanging="288" w:start="426" w:end="423"/>
        <w:rPr>
          <w:sz w:val="24"/>
          <w:szCs w:val="24"/>
        </w:rPr>
      </w:pPr>
      <w:r>
        <w:rPr>
          <w:color w:val="000000"/>
          <w:spacing w:val="1"/>
          <w:sz w:val="24"/>
          <w:szCs w:val="24"/>
        </w:rPr>
        <w:t xml:space="preserve">oznakowanie zgodne wytycznymi z dokumentacji projektowej i specyfikacji technicznej </w:t>
      </w:r>
      <w:r>
        <w:rPr>
          <w:color w:val="000000"/>
          <w:spacing w:val="3"/>
          <w:sz w:val="24"/>
          <w:szCs w:val="24"/>
        </w:rPr>
        <w:t>(szczegółowej) SST lub normami (PN-EN 60446:2004 Zasady podstawowe i bezpie</w:t>
      </w:r>
      <w:r>
        <w:rPr>
          <w:color w:val="000000"/>
          <w:spacing w:val="2"/>
          <w:sz w:val="24"/>
          <w:szCs w:val="24"/>
        </w:rPr>
        <w:t>czeństwa przy współdziałaniu człowieka z maszyną, oznaczanie i identyfikacja. Ozna</w:t>
      </w:r>
      <w:r>
        <w:rPr>
          <w:color w:val="000000"/>
          <w:spacing w:val="1"/>
          <w:sz w:val="24"/>
          <w:szCs w:val="24"/>
        </w:rPr>
        <w:t>czenia identyfikacyjne przewodów barwami albo cyframi, w przypadku braku takich wy</w:t>
      </w:r>
      <w:r>
        <w:rPr>
          <w:color w:val="000000"/>
          <w:spacing w:val="-1"/>
          <w:sz w:val="24"/>
          <w:szCs w:val="24"/>
        </w:rPr>
        <w:t>tycznych) -lub norma równorzędna,</w:t>
      </w:r>
    </w:p>
    <w:p>
      <w:pPr>
        <w:pStyle w:val="Normal"/>
        <w:numPr>
          <w:ilvl w:val="0"/>
          <w:numId w:val="4"/>
        </w:numPr>
        <w:shd w:val="clear" w:color="auto" w:fill="FFFFFF"/>
        <w:ind w:hanging="288" w:start="426" w:end="423"/>
        <w:rPr>
          <w:sz w:val="24"/>
          <w:szCs w:val="24"/>
        </w:rPr>
      </w:pPr>
      <w:r>
        <w:rPr>
          <w:color w:val="000000"/>
          <w:spacing w:val="-1"/>
          <w:sz w:val="24"/>
          <w:szCs w:val="24"/>
        </w:rPr>
        <w:t>roboty o charakterze ogólnobudowlanym po montażu kabli i przewodów jak: zaprawianie bruzd, naprawa ścian i stropów po przekuciach i osadzeniu przepustów, montaż przykryć kanałów instalacyjnych,</w:t>
      </w:r>
    </w:p>
    <w:p>
      <w:pPr>
        <w:pStyle w:val="Normal"/>
        <w:numPr>
          <w:ilvl w:val="0"/>
          <w:numId w:val="4"/>
        </w:numPr>
        <w:shd w:val="clear" w:color="auto" w:fill="FFFFFF"/>
        <w:ind w:hanging="288" w:start="426" w:end="423"/>
        <w:rPr>
          <w:sz w:val="24"/>
          <w:szCs w:val="24"/>
        </w:rPr>
      </w:pPr>
      <w:r>
        <w:rPr>
          <w:color w:val="000000"/>
          <w:spacing w:val="-2"/>
          <w:sz w:val="24"/>
          <w:szCs w:val="24"/>
        </w:rPr>
        <w:t>przeprowadzenie prób i badań zgodnie z PN-IEC 60364-6-61:2000 oraz PN-E-</w:t>
      </w:r>
      <w:r>
        <w:rPr>
          <w:color w:val="000000"/>
          <w:spacing w:val="-1"/>
          <w:sz w:val="24"/>
          <w:szCs w:val="24"/>
        </w:rPr>
        <w:t>04700:1998/Az1:2000. -lub norma równorzędna</w:t>
      </w:r>
    </w:p>
    <w:p>
      <w:pPr>
        <w:pStyle w:val="Heading2"/>
        <w:numPr>
          <w:ilvl w:val="1"/>
          <w:numId w:val="13"/>
        </w:numPr>
        <w:ind w:hanging="432" w:start="426" w:end="423"/>
        <w:rPr>
          <w:rFonts w:ascii="Arial" w:hAnsi="Arial" w:cs="Arial"/>
          <w:sz w:val="24"/>
          <w:szCs w:val="24"/>
        </w:rPr>
      </w:pPr>
      <w:bookmarkStart w:id="92" w:name="_Toc115621689"/>
      <w:bookmarkStart w:id="93" w:name="_Toc535218213"/>
      <w:bookmarkEnd w:id="93"/>
      <w:r>
        <w:rPr>
          <w:rFonts w:cs="Arial" w:ascii="Arial" w:hAnsi="Arial"/>
          <w:sz w:val="24"/>
          <w:szCs w:val="24"/>
        </w:rPr>
        <w:t>Montaż opraw oświetleniowych i sprzętu instalacyjnego, urządzeń i odbiorników energii elektrycznej</w:t>
      </w:r>
      <w:bookmarkEnd w:id="92"/>
    </w:p>
    <w:p>
      <w:pPr>
        <w:pStyle w:val="Normal"/>
        <w:shd w:val="clear" w:color="auto" w:fill="FFFFFF"/>
        <w:ind w:firstLine="282" w:start="426" w:end="423"/>
        <w:rPr>
          <w:sz w:val="24"/>
          <w:szCs w:val="24"/>
        </w:rPr>
      </w:pPr>
      <w:r>
        <w:rPr>
          <w:color w:val="000000"/>
          <w:spacing w:val="2"/>
          <w:sz w:val="24"/>
          <w:szCs w:val="24"/>
        </w:rPr>
        <w:t xml:space="preserve">Te elementy instalacji montować w końcowej fazie robót, aby uniknąć niepotrzebnych </w:t>
      </w:r>
      <w:r>
        <w:rPr>
          <w:color w:val="000000"/>
          <w:spacing w:val="6"/>
          <w:sz w:val="24"/>
          <w:szCs w:val="24"/>
        </w:rPr>
        <w:t xml:space="preserve">zniszczeń i zabrudzeń. Oprawy do stropu montować wkrętami zabezpieczonymi </w:t>
      </w:r>
      <w:r>
        <w:rPr>
          <w:color w:val="000000"/>
          <w:sz w:val="24"/>
          <w:szCs w:val="24"/>
        </w:rPr>
        <w:t>antykorozyjnie na kołkach rozporowych plastikowych. Ta sama uwaga dotyczy sprzętu instalacyjnego, urządzeń i odbiorników energii elektrycznej montowanego na ścianach.</w:t>
      </w:r>
    </w:p>
    <w:p>
      <w:pPr>
        <w:pStyle w:val="Normal"/>
        <w:shd w:val="clear" w:color="auto" w:fill="FFFFFF"/>
        <w:ind w:start="426" w:end="423"/>
        <w:rPr>
          <w:sz w:val="24"/>
          <w:szCs w:val="24"/>
        </w:rPr>
      </w:pPr>
      <w:r>
        <w:rPr>
          <w:color w:val="000000"/>
          <w:sz w:val="24"/>
          <w:szCs w:val="24"/>
        </w:rPr>
        <w:t>Przed zamocowaniem opraw należy sprawdzić ich działanie oraz prawidłowość połączeń.</w:t>
      </w:r>
    </w:p>
    <w:p>
      <w:pPr>
        <w:pStyle w:val="Normal"/>
        <w:shd w:val="clear" w:color="auto" w:fill="FFFFFF"/>
        <w:ind w:start="426" w:end="423"/>
        <w:rPr>
          <w:sz w:val="24"/>
          <w:szCs w:val="24"/>
        </w:rPr>
      </w:pPr>
      <w:r>
        <w:rPr>
          <w:color w:val="000000"/>
          <w:spacing w:val="1"/>
          <w:sz w:val="24"/>
          <w:szCs w:val="24"/>
        </w:rPr>
        <w:t xml:space="preserve">Źródła światła i zapłonniki do opraw należy zamontować po całkowitym zainstalowaniu </w:t>
      </w:r>
      <w:r>
        <w:rPr>
          <w:color w:val="000000"/>
          <w:spacing w:val="-4"/>
          <w:sz w:val="24"/>
          <w:szCs w:val="24"/>
        </w:rPr>
        <w:t>opraw.</w:t>
      </w:r>
    </w:p>
    <w:p>
      <w:pPr>
        <w:pStyle w:val="Normal"/>
        <w:shd w:val="clear" w:color="auto" w:fill="FFFFFF"/>
        <w:ind w:start="426" w:end="423"/>
        <w:rPr>
          <w:sz w:val="24"/>
          <w:szCs w:val="24"/>
        </w:rPr>
      </w:pPr>
      <w:r>
        <w:rPr>
          <w:color w:val="000000"/>
          <w:spacing w:val="1"/>
          <w:sz w:val="24"/>
          <w:szCs w:val="24"/>
        </w:rPr>
        <w:t xml:space="preserve">Należy zapewnić równomierne obciążenie faz linii zasilających przez odpowiednie </w:t>
      </w:r>
      <w:r>
        <w:rPr>
          <w:color w:val="000000"/>
          <w:spacing w:val="-1"/>
          <w:sz w:val="24"/>
          <w:szCs w:val="24"/>
        </w:rPr>
        <w:t>przyłączanie odbiorów      1-fazowych.</w:t>
      </w:r>
    </w:p>
    <w:p>
      <w:pPr>
        <w:pStyle w:val="Normal"/>
        <w:shd w:val="clear" w:color="auto" w:fill="FFFFFF"/>
        <w:ind w:start="426" w:end="423"/>
        <w:rPr>
          <w:sz w:val="24"/>
          <w:szCs w:val="24"/>
        </w:rPr>
      </w:pPr>
      <w:r>
        <w:rPr>
          <w:color w:val="000000"/>
          <w:sz w:val="24"/>
          <w:szCs w:val="24"/>
        </w:rPr>
        <w:t xml:space="preserve">Mocowanie puszek w ścianach i gniazd wtykowych w puszkach powinno zapewniać </w:t>
      </w:r>
      <w:r>
        <w:rPr>
          <w:color w:val="000000"/>
          <w:spacing w:val="-1"/>
          <w:sz w:val="24"/>
          <w:szCs w:val="24"/>
        </w:rPr>
        <w:t>niezbędną wytrzymałość na wyciąganie wtyczki i gniazda.</w:t>
      </w:r>
    </w:p>
    <w:p>
      <w:pPr>
        <w:pStyle w:val="Normal"/>
        <w:shd w:val="clear" w:color="auto" w:fill="FFFFFF"/>
        <w:ind w:start="426" w:end="423"/>
        <w:rPr>
          <w:sz w:val="24"/>
          <w:szCs w:val="24"/>
        </w:rPr>
      </w:pPr>
      <w:r>
        <w:rPr>
          <w:color w:val="000000"/>
          <w:spacing w:val="-3"/>
          <w:sz w:val="24"/>
          <w:szCs w:val="24"/>
        </w:rPr>
        <w:t>Gniazda wtykowe i wyłączniki należy instalować w sposób nie kolidujący z wyposażeniem pomieszczenia.</w:t>
      </w:r>
    </w:p>
    <w:p>
      <w:pPr>
        <w:pStyle w:val="Normal"/>
        <w:shd w:val="clear" w:color="auto" w:fill="FFFFFF"/>
        <w:ind w:start="426" w:end="423"/>
        <w:rPr>
          <w:sz w:val="24"/>
          <w:szCs w:val="24"/>
        </w:rPr>
      </w:pPr>
      <w:r>
        <w:rPr>
          <w:color w:val="000000"/>
          <w:spacing w:val="7"/>
          <w:sz w:val="24"/>
          <w:szCs w:val="24"/>
        </w:rPr>
        <w:t xml:space="preserve">W sanitariatach należy przestrzegać zasady poprawnego rozmieszczania sprzętu </w:t>
      </w:r>
      <w:r>
        <w:rPr>
          <w:color w:val="000000"/>
          <w:sz w:val="24"/>
          <w:szCs w:val="24"/>
        </w:rPr>
        <w:t>z uwzględnieniem przestrzeni ochronnych.</w:t>
      </w:r>
    </w:p>
    <w:p>
      <w:pPr>
        <w:pStyle w:val="Normal"/>
        <w:shd w:val="clear" w:color="auto" w:fill="FFFFFF"/>
        <w:ind w:start="426" w:end="423"/>
        <w:rPr>
          <w:sz w:val="24"/>
          <w:szCs w:val="24"/>
        </w:rPr>
      </w:pPr>
      <w:r>
        <w:rPr>
          <w:color w:val="000000"/>
          <w:spacing w:val="6"/>
          <w:sz w:val="24"/>
          <w:szCs w:val="24"/>
        </w:rPr>
        <w:t xml:space="preserve">Położenie wyłączników klawiszowych należy przyjmować takie, aby w całym </w:t>
      </w:r>
      <w:r>
        <w:rPr>
          <w:color w:val="000000"/>
          <w:spacing w:val="-1"/>
          <w:sz w:val="24"/>
          <w:szCs w:val="24"/>
        </w:rPr>
        <w:t>pomieszczeniu było jednakowe.</w:t>
      </w:r>
    </w:p>
    <w:p>
      <w:pPr>
        <w:pStyle w:val="Normal"/>
        <w:shd w:val="clear" w:color="auto" w:fill="FFFFFF"/>
        <w:ind w:start="426" w:end="423"/>
        <w:rPr>
          <w:sz w:val="24"/>
          <w:szCs w:val="24"/>
        </w:rPr>
      </w:pPr>
      <w:r>
        <w:rPr>
          <w:color w:val="000000"/>
          <w:spacing w:val="-1"/>
          <w:sz w:val="24"/>
          <w:szCs w:val="24"/>
        </w:rPr>
        <w:t>Gniazda wtykowe ze stykiem ochronnym należy instalować w takim położeniu, aby styk ten występował u góry.</w:t>
      </w:r>
    </w:p>
    <w:p>
      <w:pPr>
        <w:pStyle w:val="Normal"/>
        <w:shd w:val="clear" w:color="auto" w:fill="FFFFFF"/>
        <w:ind w:start="426" w:end="423"/>
        <w:rPr>
          <w:sz w:val="24"/>
          <w:szCs w:val="24"/>
        </w:rPr>
      </w:pPr>
      <w:r>
        <w:rPr>
          <w:color w:val="000000"/>
          <w:spacing w:val="-1"/>
          <w:sz w:val="24"/>
          <w:szCs w:val="24"/>
        </w:rPr>
        <w:t>Przewody do gniazd wtykowych 2-biegunowych należy podłączać w taki sposób, aby przewód fazowy dochodził do lewego bieguna, a przewód neutralny do prawego bieguna.</w:t>
      </w:r>
    </w:p>
    <w:p>
      <w:pPr>
        <w:pStyle w:val="Normal"/>
        <w:shd w:val="clear" w:color="auto" w:fill="FFFFFF"/>
        <w:ind w:start="426" w:end="423"/>
        <w:rPr>
          <w:sz w:val="24"/>
          <w:szCs w:val="24"/>
        </w:rPr>
      </w:pPr>
      <w:r>
        <w:rPr>
          <w:color w:val="000000"/>
          <w:spacing w:val="-1"/>
          <w:sz w:val="24"/>
          <w:szCs w:val="24"/>
        </w:rPr>
        <w:t>Przewód ochronny będący żyłą przewodu wielożyłowego powinien mieć izolację będącą kombinacją barwy zielonej i żółtej.</w:t>
      </w:r>
    </w:p>
    <w:p>
      <w:pPr>
        <w:pStyle w:val="Normal"/>
        <w:shd w:val="clear" w:color="auto" w:fill="FFFFFF"/>
        <w:ind w:start="426" w:end="423"/>
        <w:rPr>
          <w:sz w:val="24"/>
          <w:szCs w:val="24"/>
        </w:rPr>
      </w:pPr>
      <w:r>
        <w:rPr>
          <w:color w:val="000000"/>
          <w:spacing w:val="-1"/>
          <w:sz w:val="24"/>
          <w:szCs w:val="24"/>
        </w:rPr>
        <w:t>Typy opraw, trasy przewodów oraz sposób ich prowadzenia wykonać zgodnie z planami instalacji i schematami.</w:t>
      </w:r>
    </w:p>
    <w:p>
      <w:pPr>
        <w:pStyle w:val="Normal"/>
        <w:widowControl/>
        <w:ind w:start="426" w:end="423"/>
        <w:rPr>
          <w:sz w:val="24"/>
          <w:szCs w:val="24"/>
        </w:rPr>
      </w:pPr>
      <w:r>
        <w:rPr>
          <w:color w:val="000000"/>
          <w:spacing w:val="-1"/>
          <w:sz w:val="24"/>
          <w:szCs w:val="24"/>
        </w:rPr>
        <w:t xml:space="preserve">Wykonujący montaż rozdzielnicy lub każdego z jej segmentów powinien sprawdzić czy wszystkie zaprojektowane elementy mocujące posiadają nadany przez wytwórcę certyfikat zgodności lub aprobatę techniczną bądź deklarację zgodności. Podstawowe sposoby montażu: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zabetonowanie w podłożu lub ścianie przygotowanych w obudowie kotew stalowych,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osadzenie w podłożu przy użyciu kołków kotwiących lub rozporowych (otwory do mocowania przygotowane w obudowie), </w:t>
      </w:r>
    </w:p>
    <w:p>
      <w:pPr>
        <w:pStyle w:val="Normal"/>
        <w:widowControl/>
        <w:ind w:start="426" w:end="423"/>
        <w:rPr>
          <w:sz w:val="24"/>
          <w:szCs w:val="24"/>
        </w:rPr>
      </w:pPr>
      <w:r>
        <w:rPr>
          <w:color w:val="000000"/>
          <w:spacing w:val="-1"/>
          <w:sz w:val="24"/>
          <w:szCs w:val="24"/>
        </w:rPr>
        <w:t xml:space="preserve">– </w:t>
      </w:r>
      <w:r>
        <w:rPr>
          <w:color w:val="000000"/>
          <w:spacing w:val="-1"/>
          <w:sz w:val="24"/>
          <w:szCs w:val="24"/>
        </w:rPr>
        <w:t xml:space="preserve">przykręcenie za pomocą materiałów złącznych lub przyspawanie do przygotowanej konstrukcji wsporczej. </w:t>
      </w:r>
    </w:p>
    <w:p>
      <w:pPr>
        <w:pStyle w:val="Normal"/>
        <w:shd w:val="clear" w:color="auto" w:fill="FFFFFF"/>
        <w:ind w:start="426" w:end="423"/>
        <w:rPr>
          <w:sz w:val="24"/>
          <w:szCs w:val="24"/>
        </w:rPr>
      </w:pPr>
      <w:r>
        <w:rPr>
          <w:color w:val="000000"/>
          <w:spacing w:val="-1"/>
          <w:sz w:val="24"/>
          <w:szCs w:val="24"/>
        </w:rPr>
        <w:t xml:space="preserve">Osprzęt w tablicach należy montować do obudowy za pomocą: płyty montażowej lub płyty zabudowy, szyn lub belek  nośnych  zunifikowanych  lub zaprojektowanych, półek i szuflad. Połączenia wewnętrzne elementów należy wykonywać za pomocą: szyn poprzez zaciski szynowe, szyn elastycznych, zacisków przyłączeniowych lub przewodów. Przewody o przekroju żyły do 2,5 (4) mm2 należy pocynować, natomiast na przewody powyżej 4 mm2 należy montować końcówki kablowe wg instrukcji producenta. </w:t>
      </w:r>
    </w:p>
    <w:p>
      <w:pPr>
        <w:pStyle w:val="Heading2"/>
        <w:numPr>
          <w:ilvl w:val="1"/>
          <w:numId w:val="13"/>
        </w:numPr>
        <w:ind w:hanging="432" w:start="426" w:end="423"/>
        <w:rPr>
          <w:rFonts w:ascii="Arial" w:hAnsi="Arial" w:cs="Arial"/>
          <w:sz w:val="24"/>
          <w:szCs w:val="24"/>
        </w:rPr>
      </w:pPr>
      <w:bookmarkStart w:id="94" w:name="_Toc115621690"/>
      <w:bookmarkStart w:id="95" w:name="_Toc535218214"/>
      <w:bookmarkEnd w:id="95"/>
      <w:r>
        <w:rPr>
          <w:rFonts w:cs="Arial" w:ascii="Arial" w:hAnsi="Arial"/>
          <w:sz w:val="24"/>
          <w:szCs w:val="24"/>
        </w:rPr>
        <w:t>Instalacja połączeń wyrównawczych</w:t>
      </w:r>
      <w:bookmarkEnd w:id="94"/>
    </w:p>
    <w:p>
      <w:pPr>
        <w:pStyle w:val="Normal"/>
        <w:shd w:val="clear" w:color="auto" w:fill="FFFFFF"/>
        <w:ind w:firstLine="282" w:start="426" w:end="423"/>
        <w:rPr>
          <w:sz w:val="24"/>
          <w:szCs w:val="24"/>
        </w:rPr>
      </w:pPr>
      <w:r>
        <w:rPr>
          <w:color w:val="000000"/>
          <w:spacing w:val="6"/>
          <w:sz w:val="24"/>
          <w:szCs w:val="24"/>
        </w:rPr>
        <w:t xml:space="preserve">Dla uziemienia urządzeń i przewodów, na których nie występuje trwale potencjał </w:t>
      </w:r>
      <w:r>
        <w:rPr>
          <w:color w:val="000000"/>
          <w:spacing w:val="2"/>
          <w:sz w:val="24"/>
          <w:szCs w:val="24"/>
        </w:rPr>
        <w:t xml:space="preserve">elektryczny, należy wykonać instalacje połączeń wyrównawczych. Instalacja ta składa się </w:t>
      </w:r>
      <w:r>
        <w:rPr>
          <w:color w:val="000000"/>
          <w:sz w:val="24"/>
          <w:szCs w:val="24"/>
        </w:rPr>
        <w:t>z połączenia wyrównawczego: głównego (główna szyna wyrównawcza), miejscowego (dodatkowego - dla części przewodzących, jednocześnie dostępnych) i nieuziemionego. Ele</w:t>
      </w:r>
      <w:r>
        <w:rPr>
          <w:color w:val="000000"/>
          <w:spacing w:val="-1"/>
          <w:sz w:val="24"/>
          <w:szCs w:val="24"/>
        </w:rPr>
        <w:t>mentem wyrównującym potencjały jest przewód wyrównawczy.</w:t>
      </w:r>
    </w:p>
    <w:p>
      <w:pPr>
        <w:pStyle w:val="Normal"/>
        <w:shd w:val="clear" w:color="auto" w:fill="FFFFFF"/>
        <w:ind w:start="426" w:end="423"/>
        <w:rPr>
          <w:sz w:val="24"/>
          <w:szCs w:val="24"/>
        </w:rPr>
      </w:pPr>
      <w:r>
        <w:rPr>
          <w:color w:val="000000"/>
          <w:sz w:val="24"/>
          <w:szCs w:val="24"/>
        </w:rPr>
        <w:t>Połączenia wyrównawcze główne i miejscowe należy wybrać łącząc przewody ochronne z częściami przewodzącymi innych instalacji.</w:t>
      </w:r>
    </w:p>
    <w:p>
      <w:pPr>
        <w:pStyle w:val="Heading1"/>
        <w:numPr>
          <w:ilvl w:val="0"/>
          <w:numId w:val="13"/>
        </w:numPr>
        <w:ind w:hanging="360" w:start="426" w:end="423"/>
        <w:rPr>
          <w:rFonts w:ascii="Arial" w:hAnsi="Arial" w:cs="Arial"/>
          <w:sz w:val="24"/>
          <w:szCs w:val="24"/>
        </w:rPr>
      </w:pPr>
      <w:bookmarkStart w:id="96" w:name="_Toc115621691"/>
      <w:bookmarkStart w:id="97" w:name="_Toc535218215"/>
      <w:bookmarkEnd w:id="97"/>
      <w:r>
        <w:rPr>
          <w:rFonts w:cs="Arial" w:ascii="Arial" w:hAnsi="Arial"/>
          <w:sz w:val="24"/>
          <w:szCs w:val="24"/>
        </w:rPr>
        <w:t>KONTROLA JAKOŚCI ROBÓT</w:t>
      </w:r>
      <w:bookmarkEnd w:id="96"/>
    </w:p>
    <w:p>
      <w:pPr>
        <w:pStyle w:val="Heading2"/>
        <w:numPr>
          <w:ilvl w:val="1"/>
          <w:numId w:val="13"/>
        </w:numPr>
        <w:ind w:hanging="432" w:start="426" w:end="423"/>
        <w:rPr>
          <w:rFonts w:ascii="Arial" w:hAnsi="Arial" w:cs="Arial"/>
          <w:sz w:val="24"/>
          <w:szCs w:val="24"/>
        </w:rPr>
      </w:pPr>
      <w:bookmarkStart w:id="98" w:name="_Toc535218216"/>
      <w:bookmarkStart w:id="99" w:name="_Toc115621692"/>
      <w:r>
        <w:rPr>
          <w:rFonts w:cs="Arial" w:ascii="Arial" w:hAnsi="Arial"/>
          <w:sz w:val="24"/>
          <w:szCs w:val="24"/>
        </w:rPr>
        <w:t>Ogólne zasady kontroli jakości robót podano w ST „Wymagania ogólne"</w:t>
      </w:r>
      <w:bookmarkEnd w:id="98"/>
      <w:bookmarkEnd w:id="99"/>
      <w:r>
        <w:rPr>
          <w:rFonts w:cs="Arial" w:ascii="Arial" w:hAnsi="Arial"/>
          <w:sz w:val="24"/>
          <w:szCs w:val="24"/>
        </w:rPr>
        <w:t xml:space="preserve"> </w:t>
      </w:r>
    </w:p>
    <w:p>
      <w:pPr>
        <w:pStyle w:val="Normal"/>
        <w:widowControl/>
        <w:ind w:firstLine="282" w:start="426" w:end="423"/>
        <w:rPr>
          <w:sz w:val="24"/>
          <w:szCs w:val="24"/>
        </w:rPr>
      </w:pPr>
      <w:r>
        <w:rPr>
          <w:color w:val="000000"/>
          <w:sz w:val="24"/>
          <w:szCs w:val="24"/>
        </w:rPr>
        <w:t xml:space="preserve">Wykonawca odpowiedzialny jest za pełną kontrolę robót i jakości materiałów. Wykonawca zapewni odpowiedni system kontroli obejmujący personel, laboratorium, sprzęt, zaopatrzenie i wszystkie urządzenia niezbędne do prowadzenia kontroli robót. </w:t>
      </w:r>
    </w:p>
    <w:p>
      <w:pPr>
        <w:pStyle w:val="Normal"/>
        <w:widowControl/>
        <w:ind w:start="426" w:end="423"/>
        <w:rPr>
          <w:sz w:val="24"/>
          <w:szCs w:val="24"/>
        </w:rPr>
      </w:pPr>
      <w:r>
        <w:rPr>
          <w:color w:val="000000"/>
          <w:sz w:val="24"/>
          <w:szCs w:val="24"/>
        </w:rPr>
        <w:t>Wykonawca będzie przeprowadzać pomiary i badania materiałów oraz robót z częstotliwością zapewniającą stwierdzenie, że roboty wykonano zgodnie z wymaganiami zawartymi w dokumentacji projektowej i SST.</w:t>
      </w:r>
    </w:p>
    <w:p>
      <w:pPr>
        <w:pStyle w:val="Normal"/>
        <w:widowControl/>
        <w:ind w:start="426" w:end="423"/>
        <w:rPr>
          <w:sz w:val="24"/>
          <w:szCs w:val="24"/>
        </w:rPr>
      </w:pPr>
      <w:r>
        <w:rPr>
          <w:color w:val="000000"/>
          <w:sz w:val="24"/>
          <w:szCs w:val="24"/>
        </w:rPr>
        <w:t>Minimalne wymagania co do zakresu badań i ich częstotliwości są określone w ST i normach koniecznych, do wykonania robót zgodnie z PB i PW</w:t>
      </w:r>
    </w:p>
    <w:p>
      <w:pPr>
        <w:pStyle w:val="Normal"/>
        <w:widowControl/>
        <w:ind w:start="426" w:end="423"/>
        <w:rPr>
          <w:sz w:val="24"/>
          <w:szCs w:val="24"/>
        </w:rPr>
      </w:pPr>
      <w:r>
        <w:rPr>
          <w:color w:val="000000"/>
          <w:sz w:val="24"/>
          <w:szCs w:val="24"/>
        </w:rPr>
        <w:t>W przypadku, gdy nie zostały one tam określone, Inspektor Nadzoru ustali jaki zakres kontroli jest konieczny, aby zapewnić wykonanie robót zgodnie z umową.</w:t>
      </w:r>
    </w:p>
    <w:p>
      <w:pPr>
        <w:pStyle w:val="Normal"/>
        <w:widowControl/>
        <w:ind w:start="426" w:end="423"/>
        <w:rPr>
          <w:sz w:val="24"/>
          <w:szCs w:val="24"/>
        </w:rPr>
      </w:pPr>
      <w:r>
        <w:rPr>
          <w:color w:val="000000"/>
          <w:sz w:val="24"/>
          <w:szCs w:val="24"/>
        </w:rPr>
        <w:t>Wszystkie koszty związane z organizowaniem i prowadzeniem badań materiałów i robót ponosi Wykonawca.</w:t>
      </w:r>
    </w:p>
    <w:p>
      <w:pPr>
        <w:pStyle w:val="Heading2"/>
        <w:numPr>
          <w:ilvl w:val="1"/>
          <w:numId w:val="13"/>
        </w:numPr>
        <w:ind w:hanging="432" w:start="426" w:end="423"/>
        <w:rPr>
          <w:rFonts w:ascii="Arial" w:hAnsi="Arial" w:cs="Arial"/>
          <w:sz w:val="24"/>
          <w:szCs w:val="24"/>
        </w:rPr>
      </w:pPr>
      <w:bookmarkStart w:id="100" w:name="_Toc535218217"/>
      <w:bookmarkStart w:id="101" w:name="_Toc115621693"/>
      <w:r>
        <w:rPr>
          <w:rFonts w:cs="Arial" w:ascii="Arial" w:hAnsi="Arial"/>
          <w:sz w:val="24"/>
          <w:szCs w:val="24"/>
        </w:rPr>
        <w:t xml:space="preserve">Szczegółowy wykaz oraz zakres badań pomontażowych i kontrolnych instalacji </w:t>
      </w:r>
      <w:r>
        <w:rPr>
          <w:rFonts w:cs="Arial" w:ascii="Arial" w:hAnsi="Arial"/>
          <w:spacing w:val="1"/>
          <w:sz w:val="24"/>
          <w:szCs w:val="24"/>
        </w:rPr>
        <w:t>piorunochronnych i uziemień</w:t>
      </w:r>
      <w:bookmarkEnd w:id="100"/>
      <w:bookmarkEnd w:id="101"/>
      <w:r>
        <w:rPr>
          <w:rFonts w:cs="Arial" w:ascii="Arial" w:hAnsi="Arial"/>
          <w:spacing w:val="1"/>
          <w:sz w:val="24"/>
          <w:szCs w:val="24"/>
        </w:rPr>
        <w:t xml:space="preserve"> </w:t>
      </w:r>
    </w:p>
    <w:p>
      <w:pPr>
        <w:pStyle w:val="Normal"/>
        <w:widowControl/>
        <w:ind w:firstLine="282" w:start="426" w:end="423"/>
        <w:rPr>
          <w:sz w:val="24"/>
          <w:szCs w:val="24"/>
        </w:rPr>
      </w:pPr>
      <w:r>
        <w:rPr>
          <w:color w:val="000000"/>
          <w:sz w:val="24"/>
          <w:szCs w:val="24"/>
        </w:rPr>
        <w:t xml:space="preserve">Zakres zawarty jest w normach PN-IEC 61024-1-2:2002, PN-IEC 60364-6-61:2000 i PN-E-04700:1998/Az1:2000 </w:t>
      </w:r>
      <w:r>
        <w:rPr>
          <w:color w:val="000000"/>
          <w:spacing w:val="-1"/>
          <w:sz w:val="24"/>
          <w:szCs w:val="24"/>
        </w:rPr>
        <w:t>-lub norma równorzędna</w:t>
      </w:r>
    </w:p>
    <w:p>
      <w:pPr>
        <w:pStyle w:val="Normal"/>
        <w:ind w:start="426" w:end="423"/>
        <w:rPr>
          <w:sz w:val="24"/>
          <w:szCs w:val="24"/>
        </w:rPr>
      </w:pPr>
      <w:r>
        <w:rPr>
          <w:sz w:val="24"/>
          <w:szCs w:val="24"/>
        </w:rPr>
        <w:t>Ponadto należy wykonać sprawdzenia odbiorcze składające się z oględzin czę</w:t>
      </w:r>
      <w:r>
        <w:rPr>
          <w:spacing w:val="-1"/>
          <w:sz w:val="24"/>
          <w:szCs w:val="24"/>
        </w:rPr>
        <w:t>ściowych i końcowych polegających na kontroli:</w:t>
      </w:r>
    </w:p>
    <w:p>
      <w:pPr>
        <w:pStyle w:val="Normal"/>
        <w:numPr>
          <w:ilvl w:val="0"/>
          <w:numId w:val="11"/>
        </w:numPr>
        <w:shd w:val="clear" w:color="auto" w:fill="FFFFFF"/>
        <w:tabs>
          <w:tab w:val="clear" w:pos="708"/>
          <w:tab w:val="left" w:pos="706" w:leader="none"/>
        </w:tabs>
        <w:ind w:start="426" w:end="423"/>
        <w:rPr>
          <w:sz w:val="24"/>
          <w:szCs w:val="24"/>
        </w:rPr>
      </w:pPr>
      <w:r>
        <w:rPr>
          <w:color w:val="000000"/>
          <w:sz w:val="24"/>
          <w:szCs w:val="24"/>
        </w:rPr>
        <w:t>zgodności dokumentacji powykonawczej z projektem i ze stanem faktycznym,</w:t>
      </w:r>
    </w:p>
    <w:p>
      <w:pPr>
        <w:pStyle w:val="Normal"/>
        <w:numPr>
          <w:ilvl w:val="0"/>
          <w:numId w:val="11"/>
        </w:numPr>
        <w:shd w:val="clear" w:color="auto" w:fill="FFFFFF"/>
        <w:tabs>
          <w:tab w:val="clear" w:pos="708"/>
          <w:tab w:val="left" w:pos="706" w:leader="none"/>
        </w:tabs>
        <w:ind w:start="426" w:end="423"/>
        <w:rPr>
          <w:sz w:val="24"/>
          <w:szCs w:val="24"/>
        </w:rPr>
      </w:pPr>
      <w:r>
        <w:rPr>
          <w:color w:val="000000"/>
          <w:sz w:val="24"/>
          <w:szCs w:val="24"/>
        </w:rPr>
        <w:t>zgodności połączeń z ustaloną w dokumentacji powykonawczej,</w:t>
      </w:r>
    </w:p>
    <w:p>
      <w:pPr>
        <w:pStyle w:val="Normal"/>
        <w:numPr>
          <w:ilvl w:val="0"/>
          <w:numId w:val="11"/>
        </w:numPr>
        <w:shd w:val="clear" w:color="auto" w:fill="FFFFFF"/>
        <w:tabs>
          <w:tab w:val="clear" w:pos="708"/>
          <w:tab w:val="left" w:pos="710" w:leader="none"/>
        </w:tabs>
        <w:ind w:hanging="289" w:start="426" w:end="423"/>
        <w:rPr>
          <w:sz w:val="24"/>
          <w:szCs w:val="24"/>
        </w:rPr>
      </w:pPr>
      <w:r>
        <w:rPr>
          <w:color w:val="000000"/>
          <w:spacing w:val="1"/>
          <w:sz w:val="24"/>
          <w:szCs w:val="24"/>
        </w:rPr>
        <w:t>stanu wszystkich elementów instalacji oraz stanu i kompletności dokumentacji do</w:t>
      </w:r>
      <w:r>
        <w:rPr>
          <w:color w:val="000000"/>
          <w:sz w:val="24"/>
          <w:szCs w:val="24"/>
        </w:rPr>
        <w:t>tyczącej zastosowanych materiałów</w:t>
      </w:r>
    </w:p>
    <w:p>
      <w:pPr>
        <w:pStyle w:val="Normal"/>
        <w:numPr>
          <w:ilvl w:val="0"/>
          <w:numId w:val="11"/>
        </w:numPr>
        <w:shd w:val="clear" w:color="auto" w:fill="FFFFFF"/>
        <w:tabs>
          <w:tab w:val="clear" w:pos="708"/>
          <w:tab w:val="left" w:pos="710" w:leader="none"/>
          <w:tab w:val="left" w:pos="6533" w:leader="none"/>
        </w:tabs>
        <w:ind w:hanging="289" w:start="426" w:end="423"/>
        <w:rPr>
          <w:sz w:val="24"/>
          <w:szCs w:val="24"/>
        </w:rPr>
      </w:pPr>
      <w:r>
        <w:rPr>
          <w:color w:val="000000"/>
          <w:sz w:val="24"/>
          <w:szCs w:val="24"/>
        </w:rPr>
        <w:t>pomiarach rezystancji instalacji lub jej elementów, zgodnie z zasadami przeprowa</w:t>
      </w:r>
      <w:r>
        <w:rPr>
          <w:color w:val="000000"/>
          <w:spacing w:val="-2"/>
          <w:sz w:val="24"/>
          <w:szCs w:val="24"/>
        </w:rPr>
        <w:t>dzania badań</w:t>
      </w:r>
    </w:p>
    <w:p>
      <w:pPr>
        <w:pStyle w:val="Normal"/>
        <w:shd w:val="clear" w:color="auto" w:fill="FFFFFF"/>
        <w:ind w:firstLine="289" w:start="426" w:end="423"/>
        <w:rPr>
          <w:sz w:val="24"/>
          <w:szCs w:val="24"/>
        </w:rPr>
      </w:pPr>
      <w:r>
        <w:rPr>
          <w:color w:val="000000"/>
          <w:spacing w:val="-1"/>
          <w:sz w:val="24"/>
          <w:szCs w:val="24"/>
        </w:rPr>
        <w:t>Pomiar rezystancji uziemienia wykonuje się przy prądzie przemiennym np. metodą tech</w:t>
        <w:softHyphen/>
      </w:r>
      <w:r>
        <w:rPr>
          <w:color w:val="000000"/>
          <w:spacing w:val="1"/>
          <w:sz w:val="24"/>
          <w:szCs w:val="24"/>
        </w:rPr>
        <w:t xml:space="preserve">niczną przy użyciu woltomierza, którego wewnętrzna impedancja musi wynosić minimum </w:t>
      </w:r>
      <w:r>
        <w:rPr>
          <w:color w:val="000000"/>
          <w:sz w:val="24"/>
          <w:szCs w:val="24"/>
        </w:rPr>
        <w:t xml:space="preserve">200 </w:t>
      </w:r>
      <w:r>
        <w:rPr>
          <w:rFonts w:eastAsia="Symbol"/>
          <w:color w:val="000000"/>
          <w:sz w:val="24"/>
          <w:szCs w:val="24"/>
        </w:rPr>
        <w:t></w:t>
      </w:r>
      <w:r>
        <w:rPr>
          <w:color w:val="000000"/>
          <w:sz w:val="24"/>
          <w:szCs w:val="24"/>
        </w:rPr>
        <w:t>/V (dla zasilania z sieci), oraz źródło prądu powinno być izolowane od sieci elektro</w:t>
      </w:r>
      <w:r>
        <w:rPr>
          <w:color w:val="000000"/>
          <w:spacing w:val="-1"/>
          <w:sz w:val="24"/>
          <w:szCs w:val="24"/>
        </w:rPr>
        <w:t>energetycznej np. przez transformator dwuuzwojeniowy.</w:t>
      </w:r>
    </w:p>
    <w:p>
      <w:pPr>
        <w:pStyle w:val="Normal"/>
        <w:numPr>
          <w:ilvl w:val="0"/>
          <w:numId w:val="8"/>
        </w:numPr>
        <w:shd w:val="clear" w:color="auto" w:fill="FFFFFF"/>
        <w:ind w:hanging="295" w:start="426" w:end="423"/>
        <w:rPr>
          <w:sz w:val="24"/>
          <w:szCs w:val="24"/>
        </w:rPr>
      </w:pPr>
      <w:r>
        <w:rPr>
          <w:color w:val="000000"/>
          <w:spacing w:val="2"/>
          <w:sz w:val="24"/>
          <w:szCs w:val="24"/>
        </w:rPr>
        <w:t xml:space="preserve">stanu i kompletności dokumentacji dotyczącej zastosowanych </w:t>
      </w:r>
      <w:r>
        <w:rPr>
          <w:color w:val="000000"/>
          <w:spacing w:val="-2"/>
          <w:sz w:val="24"/>
          <w:szCs w:val="24"/>
        </w:rPr>
        <w:t>materiałów,</w:t>
      </w:r>
    </w:p>
    <w:p>
      <w:pPr>
        <w:pStyle w:val="Normal"/>
        <w:numPr>
          <w:ilvl w:val="0"/>
          <w:numId w:val="8"/>
        </w:numPr>
        <w:shd w:val="clear" w:color="auto" w:fill="FFFFFF"/>
        <w:ind w:start="426" w:end="423"/>
        <w:rPr>
          <w:sz w:val="24"/>
          <w:szCs w:val="24"/>
        </w:rPr>
      </w:pPr>
      <w:r>
        <w:rPr>
          <w:color w:val="000000"/>
          <w:sz w:val="24"/>
          <w:szCs w:val="24"/>
        </w:rPr>
        <w:t>sprawdzenie ciągłości wszelkich przewodów występujących w danej instalacji,</w:t>
      </w:r>
    </w:p>
    <w:p>
      <w:pPr>
        <w:pStyle w:val="Normal"/>
        <w:numPr>
          <w:ilvl w:val="0"/>
          <w:numId w:val="8"/>
        </w:numPr>
        <w:shd w:val="clear" w:color="auto" w:fill="FFFFFF"/>
        <w:ind w:hanging="295" w:start="426" w:end="423"/>
        <w:rPr>
          <w:sz w:val="24"/>
          <w:szCs w:val="24"/>
        </w:rPr>
      </w:pPr>
      <w:r>
        <w:rPr>
          <w:color w:val="000000"/>
          <w:sz w:val="24"/>
          <w:szCs w:val="24"/>
        </w:rPr>
        <w:t>poprawności wykonania i zabezpieczenia połączeń śrubowych instalacji elektrycznej potwierdzonych protokołem przez wykonawcę montażu,</w:t>
      </w:r>
    </w:p>
    <w:p>
      <w:pPr>
        <w:pStyle w:val="Normal"/>
        <w:numPr>
          <w:ilvl w:val="0"/>
          <w:numId w:val="8"/>
        </w:numPr>
        <w:shd w:val="clear" w:color="auto" w:fill="FFFFFF"/>
        <w:ind w:hanging="295" w:start="426" w:end="423"/>
        <w:rPr>
          <w:sz w:val="24"/>
          <w:szCs w:val="24"/>
        </w:rPr>
      </w:pPr>
      <w:r>
        <w:rPr>
          <w:color w:val="000000"/>
          <w:spacing w:val="2"/>
          <w:sz w:val="24"/>
          <w:szCs w:val="24"/>
        </w:rPr>
        <w:t xml:space="preserve">poprawności wykonania montażu sprzętu instalacyjnego, urządzeń i odbiorników </w:t>
      </w:r>
      <w:r>
        <w:rPr>
          <w:color w:val="000000"/>
          <w:sz w:val="24"/>
          <w:szCs w:val="24"/>
        </w:rPr>
        <w:t>energii elektrycznej,</w:t>
      </w:r>
    </w:p>
    <w:p>
      <w:pPr>
        <w:pStyle w:val="Normal"/>
        <w:numPr>
          <w:ilvl w:val="0"/>
          <w:numId w:val="8"/>
        </w:numPr>
        <w:shd w:val="clear" w:color="auto" w:fill="FFFFFF"/>
        <w:ind w:start="426" w:end="423"/>
        <w:rPr>
          <w:sz w:val="24"/>
          <w:szCs w:val="24"/>
        </w:rPr>
      </w:pPr>
      <w:r>
        <w:rPr>
          <w:color w:val="000000"/>
          <w:sz w:val="24"/>
          <w:szCs w:val="24"/>
        </w:rPr>
        <w:t>poprawności zamontowania i dokonanej kompletacji opraw oświetleniowych,</w:t>
      </w:r>
    </w:p>
    <w:p>
      <w:pPr>
        <w:pStyle w:val="Normal"/>
        <w:numPr>
          <w:ilvl w:val="0"/>
          <w:numId w:val="8"/>
        </w:numPr>
        <w:shd w:val="clear" w:color="auto" w:fill="FFFFFF"/>
        <w:ind w:start="426" w:end="423"/>
        <w:rPr>
          <w:sz w:val="24"/>
          <w:szCs w:val="24"/>
        </w:rPr>
      </w:pPr>
      <w:r>
        <w:rPr>
          <w:color w:val="000000"/>
          <w:sz w:val="24"/>
          <w:szCs w:val="24"/>
        </w:rPr>
        <w:t>pomiar natężenia oświetlenia</w:t>
      </w:r>
    </w:p>
    <w:p>
      <w:pPr>
        <w:pStyle w:val="Normal"/>
        <w:numPr>
          <w:ilvl w:val="0"/>
          <w:numId w:val="8"/>
        </w:numPr>
        <w:shd w:val="clear" w:color="auto" w:fill="FFFFFF"/>
        <w:ind w:start="426" w:end="423"/>
        <w:rPr>
          <w:sz w:val="24"/>
          <w:szCs w:val="24"/>
        </w:rPr>
      </w:pPr>
      <w:r>
        <w:rPr>
          <w:color w:val="000000"/>
          <w:sz w:val="24"/>
          <w:szCs w:val="24"/>
        </w:rPr>
        <w:t>pomiarach rezystancji izolacji,</w:t>
      </w:r>
    </w:p>
    <w:p>
      <w:pPr>
        <w:pStyle w:val="Normal"/>
        <w:shd w:val="clear" w:color="auto" w:fill="FFFFFF"/>
        <w:ind w:start="426" w:end="423"/>
        <w:rPr>
          <w:sz w:val="24"/>
          <w:szCs w:val="24"/>
        </w:rPr>
      </w:pPr>
      <w:r>
        <w:rPr>
          <w:color w:val="000000"/>
          <w:spacing w:val="-1"/>
          <w:sz w:val="24"/>
          <w:szCs w:val="24"/>
        </w:rPr>
        <w:t>Rezystancja izolacji obwodów nie powinna być mniejsza niż 50 M</w:t>
      </w:r>
      <w:r>
        <w:rPr>
          <w:rFonts w:eastAsia="Symbol"/>
          <w:color w:val="000000"/>
          <w:spacing w:val="-1"/>
          <w:sz w:val="24"/>
          <w:szCs w:val="24"/>
        </w:rPr>
        <w:t></w:t>
      </w:r>
      <w:r>
        <w:rPr>
          <w:color w:val="000000"/>
          <w:spacing w:val="-1"/>
          <w:sz w:val="24"/>
          <w:szCs w:val="24"/>
        </w:rPr>
        <w:t xml:space="preserve">. Rezystancja izolacji </w:t>
      </w:r>
      <w:r>
        <w:rPr>
          <w:color w:val="000000"/>
          <w:spacing w:val="1"/>
          <w:sz w:val="24"/>
          <w:szCs w:val="24"/>
        </w:rPr>
        <w:t>poszczególnych obwodów wraz z urządzeniami nie powinna być mniejsza niż 20 M</w:t>
      </w:r>
      <w:r>
        <w:rPr>
          <w:rFonts w:eastAsia="Symbol"/>
          <w:color w:val="000000"/>
          <w:spacing w:val="-1"/>
          <w:sz w:val="24"/>
          <w:szCs w:val="24"/>
        </w:rPr>
        <w:t></w:t>
      </w:r>
      <w:r>
        <w:rPr>
          <w:color w:val="000000"/>
          <w:spacing w:val="1"/>
          <w:sz w:val="24"/>
          <w:szCs w:val="24"/>
        </w:rPr>
        <w:t>. Po</w:t>
      </w:r>
      <w:r>
        <w:rPr>
          <w:color w:val="000000"/>
          <w:sz w:val="24"/>
          <w:szCs w:val="24"/>
        </w:rPr>
        <w:t>miaru należy dokonać miernikiem rezystancji instalacji o napięciu 1 kV.</w:t>
      </w:r>
    </w:p>
    <w:p>
      <w:pPr>
        <w:pStyle w:val="Normal"/>
        <w:shd w:val="clear" w:color="auto" w:fill="FFFFFF"/>
        <w:ind w:start="426" w:end="423"/>
        <w:rPr>
          <w:sz w:val="24"/>
          <w:szCs w:val="24"/>
        </w:rPr>
      </w:pPr>
      <w:r>
        <w:rPr>
          <w:color w:val="000000"/>
          <w:sz w:val="24"/>
          <w:szCs w:val="24"/>
        </w:rPr>
        <w:t>Po wykonaniu oględzin należy sporządzić protokóły z przeprowadzonych badań zgodnie z wymogami zawartymi w normie PN-IEC 60364-6-61:2000.</w:t>
      </w:r>
      <w:r>
        <w:rPr>
          <w:color w:val="000000"/>
          <w:spacing w:val="-1"/>
          <w:sz w:val="24"/>
          <w:szCs w:val="24"/>
        </w:rPr>
        <w:t xml:space="preserve"> -lub norma równorzędna</w:t>
      </w:r>
    </w:p>
    <w:p>
      <w:pPr>
        <w:pStyle w:val="Normal"/>
        <w:tabs>
          <w:tab w:val="clear" w:pos="708"/>
          <w:tab w:val="left" w:pos="284" w:leader="none"/>
        </w:tabs>
        <w:rPr>
          <w:sz w:val="24"/>
          <w:szCs w:val="24"/>
        </w:rPr>
      </w:pPr>
      <w:r>
        <w:rPr>
          <w:rFonts w:eastAsia="" w:eastAsiaTheme="majorEastAsia"/>
          <w:color w:themeColor="accent1" w:themeShade="7f" w:val="243F60"/>
          <w:sz w:val="24"/>
          <w:szCs w:val="24"/>
        </w:rPr>
        <w:t xml:space="preserve">7.2.1 Pomiar obwodów ochrony przeciwporażeniowej oraz sprawdzenia  działania </w:t>
      </w:r>
    </w:p>
    <w:p>
      <w:pPr>
        <w:pStyle w:val="Normal"/>
        <w:ind w:firstLine="282" w:start="426"/>
        <w:rPr>
          <w:sz w:val="24"/>
          <w:szCs w:val="24"/>
        </w:rPr>
      </w:pPr>
      <w:r>
        <w:rPr>
          <w:sz w:val="24"/>
          <w:szCs w:val="24"/>
        </w:rPr>
        <w:t xml:space="preserve">Po wykonaniu instalacji i urządzeń ochrony przeciwporażeniowej powinna być przeprowadzona próba montażowa , tj.: </w:t>
      </w:r>
    </w:p>
    <w:p>
      <w:pPr>
        <w:pStyle w:val="Normal"/>
        <w:ind w:start="426"/>
        <w:rPr>
          <w:sz w:val="24"/>
          <w:szCs w:val="24"/>
        </w:rPr>
      </w:pPr>
      <w:r>
        <w:rPr>
          <w:sz w:val="24"/>
          <w:szCs w:val="24"/>
        </w:rPr>
        <w:t>•</w:t>
      </w:r>
      <w:r>
        <w:rPr>
          <w:sz w:val="24"/>
          <w:szCs w:val="24"/>
        </w:rPr>
        <w:t xml:space="preserve">oględziny wykonanej instalacji dodatkowej ochrony przeciwporażeniowej wraz z urządzeniami i aparatami wchodzącymi w jej skład, </w:t>
      </w:r>
    </w:p>
    <w:p>
      <w:pPr>
        <w:pStyle w:val="Normal"/>
        <w:ind w:start="426"/>
        <w:rPr>
          <w:sz w:val="24"/>
          <w:szCs w:val="24"/>
        </w:rPr>
      </w:pPr>
      <w:r>
        <w:rPr>
          <w:sz w:val="24"/>
          <w:szCs w:val="24"/>
        </w:rPr>
        <w:t>•</w:t>
      </w:r>
      <w:r>
        <w:rPr>
          <w:sz w:val="24"/>
          <w:szCs w:val="24"/>
        </w:rPr>
        <w:t xml:space="preserve">pomiary impedancji pętli zwarciowych w instalacji dodatkowej ochrony przeciwporażeniowej – w przypadku zerowania lub uziemienia, (W sieciach z systemem uziemień można dokonać pomiaru rezystancji styków połączenia urządzeń z przewodami uziemiającymi i rezystancji  przewodów uziemiających) </w:t>
      </w:r>
    </w:p>
    <w:p>
      <w:pPr>
        <w:pStyle w:val="Normal"/>
        <w:ind w:start="426"/>
        <w:rPr>
          <w:sz w:val="24"/>
          <w:szCs w:val="24"/>
        </w:rPr>
      </w:pPr>
      <w:r>
        <w:rPr>
          <w:sz w:val="24"/>
          <w:szCs w:val="24"/>
        </w:rPr>
        <w:t>•</w:t>
      </w:r>
      <w:r>
        <w:rPr>
          <w:sz w:val="24"/>
          <w:szCs w:val="24"/>
        </w:rPr>
        <w:t xml:space="preserve">pomiary rezystancji uziemienia, </w:t>
      </w:r>
    </w:p>
    <w:p>
      <w:pPr>
        <w:pStyle w:val="Normal"/>
        <w:ind w:start="426"/>
        <w:rPr>
          <w:sz w:val="24"/>
          <w:szCs w:val="24"/>
        </w:rPr>
      </w:pPr>
      <w:r>
        <w:rPr>
          <w:sz w:val="24"/>
          <w:szCs w:val="24"/>
        </w:rPr>
        <w:t>•</w:t>
      </w:r>
      <w:r>
        <w:rPr>
          <w:sz w:val="24"/>
          <w:szCs w:val="24"/>
        </w:rPr>
        <w:t xml:space="preserve">pomiary napięć dotykowych i krokowych rażenia w instalacji uziemień ochronnych urządzeń o napięciu powyżej 1 kV. </w:t>
      </w:r>
    </w:p>
    <w:p>
      <w:pPr>
        <w:pStyle w:val="Normal"/>
        <w:ind w:start="426"/>
        <w:rPr>
          <w:sz w:val="24"/>
          <w:szCs w:val="24"/>
        </w:rPr>
      </w:pPr>
      <w:r>
        <w:rPr>
          <w:sz w:val="24"/>
          <w:szCs w:val="24"/>
        </w:rPr>
        <w:t xml:space="preserve">UWAGA </w:t>
      </w:r>
    </w:p>
    <w:p>
      <w:pPr>
        <w:pStyle w:val="Normal"/>
        <w:ind w:start="426"/>
        <w:rPr>
          <w:sz w:val="24"/>
          <w:szCs w:val="24"/>
        </w:rPr>
      </w:pPr>
      <w:r>
        <w:rPr>
          <w:sz w:val="24"/>
          <w:szCs w:val="24"/>
        </w:rPr>
        <w:t xml:space="preserve">W tablicy przez pomiar rezystancji izolacji pomiędzy przewodami roboczymi a ziemią przewody ochronne PE należy traktować jako ziemię a przewód N jako przewód roboczy. </w:t>
      </w:r>
    </w:p>
    <w:p>
      <w:pPr>
        <w:pStyle w:val="Normal"/>
        <w:ind w:start="426"/>
        <w:rPr>
          <w:sz w:val="24"/>
          <w:szCs w:val="24"/>
        </w:rPr>
      </w:pPr>
      <w:r>
        <w:rPr>
          <w:sz w:val="24"/>
          <w:szCs w:val="24"/>
        </w:rPr>
        <w:t xml:space="preserve">Próba działania wyłącznika różnicowoprądowego testerem instalacji jest jednocześnie próba ciągłości przewodów ochronnych. </w:t>
      </w:r>
    </w:p>
    <w:p>
      <w:pPr>
        <w:pStyle w:val="Normal"/>
        <w:ind w:start="426"/>
        <w:rPr>
          <w:sz w:val="24"/>
          <w:szCs w:val="24"/>
        </w:rPr>
      </w:pPr>
      <w:r>
        <w:rPr>
          <w:sz w:val="24"/>
          <w:szCs w:val="24"/>
        </w:rPr>
        <w:t>Na podstawie oględzin instalacji dodatkowej ochrony przeciwporażeniowej należy sprawdzić, czy została ona wykonana zgodnie z dokumentacja techniczną.  Pomiary impedancji pętli zwarciowych należy przeprowadzić z zachowaniem przepisów bezpieczeństwa dla wszystkich zerowanych urządzeń lub uziemień</w:t>
      </w:r>
    </w:p>
    <w:p>
      <w:pPr>
        <w:pStyle w:val="Normal"/>
        <w:ind w:start="426"/>
        <w:rPr>
          <w:sz w:val="24"/>
          <w:szCs w:val="24"/>
        </w:rPr>
      </w:pPr>
      <w:r>
        <w:rPr>
          <w:sz w:val="24"/>
          <w:szCs w:val="24"/>
        </w:rPr>
        <w:t xml:space="preserve">. Protokół pomiaru skuteczności ochrony przed porażeniem powinien zawierać dokładne określenie badanego odbiornika, wymaganą krotność prądu zabezpieczenia, zmierzony prąd zwarciowy, zmierzoną impedancję pętli zwarciowej oraz wnioski. </w:t>
      </w:r>
    </w:p>
    <w:p>
      <w:pPr>
        <w:pStyle w:val="Normal"/>
        <w:shd w:val="clear" w:color="auto" w:fill="FFFFFF"/>
        <w:ind w:start="426" w:end="423"/>
        <w:rPr>
          <w:sz w:val="24"/>
          <w:szCs w:val="24"/>
        </w:rPr>
      </w:pPr>
      <w:r>
        <w:rPr>
          <w:color w:val="000000"/>
          <w:sz w:val="24"/>
          <w:szCs w:val="24"/>
        </w:rPr>
        <w:t xml:space="preserve">Równocześnie w protokóle należy uwidocznić stosowaną metodę pomiarową, typ i numer aparatu pomiarowego. </w:t>
      </w:r>
    </w:p>
    <w:p>
      <w:pPr>
        <w:pStyle w:val="Heading2"/>
        <w:numPr>
          <w:ilvl w:val="1"/>
          <w:numId w:val="13"/>
        </w:numPr>
        <w:ind w:hanging="432" w:start="426" w:end="423"/>
        <w:rPr>
          <w:rFonts w:ascii="Arial" w:hAnsi="Arial" w:cs="Arial"/>
          <w:sz w:val="24"/>
          <w:szCs w:val="24"/>
        </w:rPr>
      </w:pPr>
      <w:bookmarkStart w:id="102" w:name="_Toc115621694"/>
      <w:bookmarkStart w:id="103" w:name="_Toc535218218"/>
      <w:bookmarkEnd w:id="103"/>
      <w:r>
        <w:rPr>
          <w:rFonts w:cs="Arial" w:ascii="Arial" w:hAnsi="Arial"/>
          <w:sz w:val="24"/>
          <w:szCs w:val="24"/>
        </w:rPr>
        <w:t>Zasady postępowania z wadliwie wykonanymi robotami i materiałami</w:t>
      </w:r>
      <w:bookmarkEnd w:id="102"/>
    </w:p>
    <w:p>
      <w:pPr>
        <w:pStyle w:val="Normal"/>
        <w:shd w:val="clear" w:color="auto" w:fill="FFFFFF"/>
        <w:ind w:firstLine="282" w:start="426" w:end="423"/>
        <w:rPr>
          <w:sz w:val="24"/>
          <w:szCs w:val="24"/>
        </w:rPr>
      </w:pPr>
      <w:r>
        <w:rPr>
          <w:color w:val="000000"/>
          <w:sz w:val="24"/>
          <w:szCs w:val="24"/>
        </w:rPr>
        <w:t>Wszystkie materiały, urządzenia i aparaty nie spełniające wymagań podanych w odpowied</w:t>
      </w:r>
      <w:r>
        <w:rPr>
          <w:color w:val="000000"/>
          <w:spacing w:val="1"/>
          <w:sz w:val="24"/>
          <w:szCs w:val="24"/>
        </w:rPr>
        <w:t xml:space="preserve">nich punktach specyfikacji, zostaną odrzucone. Jeśli materiały nie spełniające wymagań </w:t>
      </w:r>
      <w:r>
        <w:rPr>
          <w:color w:val="000000"/>
          <w:sz w:val="24"/>
          <w:szCs w:val="24"/>
        </w:rPr>
        <w:t>zostały wbudowane lub zastosowane, to na polecenie Inspektora nadzoru Wykonawca wymieni je na właściwe, na własny koszt.</w:t>
      </w:r>
    </w:p>
    <w:p>
      <w:pPr>
        <w:pStyle w:val="Normal"/>
        <w:shd w:val="clear" w:color="auto" w:fill="FFFFFF"/>
        <w:ind w:start="426" w:end="423"/>
        <w:rPr>
          <w:sz w:val="24"/>
          <w:szCs w:val="24"/>
        </w:rPr>
      </w:pPr>
      <w:r>
        <w:rPr>
          <w:color w:val="000000"/>
          <w:spacing w:val="-1"/>
          <w:sz w:val="24"/>
          <w:szCs w:val="24"/>
        </w:rPr>
        <w:t xml:space="preserve">Na pisemne wystąpienie Wykonawcy Inspektor nadzoru może uznać wadę za nie mającą </w:t>
      </w:r>
      <w:r>
        <w:rPr>
          <w:color w:val="000000"/>
          <w:spacing w:val="1"/>
          <w:sz w:val="24"/>
          <w:szCs w:val="24"/>
        </w:rPr>
        <w:t>zasadniczego wpływu na jakość funkcjonowania instalacji i ustalić zakres i wielkość potrą</w:t>
        <w:softHyphen/>
      </w:r>
      <w:bookmarkStart w:id="104" w:name="_Toc432063610"/>
      <w:bookmarkStart w:id="105" w:name="_Toc178478201"/>
      <w:bookmarkEnd w:id="104"/>
      <w:bookmarkEnd w:id="105"/>
      <w:r>
        <w:rPr>
          <w:color w:val="000000"/>
          <w:sz w:val="24"/>
          <w:szCs w:val="24"/>
        </w:rPr>
        <w:t>ceń za obniżoną jakość.</w:t>
      </w:r>
    </w:p>
    <w:p>
      <w:pPr>
        <w:pStyle w:val="ListParagraph"/>
        <w:keepNext w:val="true"/>
        <w:keepLines/>
        <w:numPr>
          <w:ilvl w:val="0"/>
          <w:numId w:val="15"/>
        </w:numPr>
        <w:spacing w:before="40" w:after="0"/>
        <w:ind w:hanging="360" w:start="426" w:end="423"/>
        <w:contextualSpacing/>
        <w:outlineLvl w:val="1"/>
        <w:rPr>
          <w:rFonts w:eastAsia="" w:eastAsiaTheme="majorEastAsia"/>
          <w:color w:themeColor="accent1" w:themeShade="bf" w:val="365F91"/>
          <w:sz w:val="24"/>
          <w:szCs w:val="24"/>
        </w:rPr>
      </w:pPr>
      <w:r>
        <w:rPr>
          <w:rFonts w:eastAsia="" w:eastAsiaTheme="majorEastAsia"/>
          <w:color w:themeColor="accent1" w:themeShade="bf" w:val="365F91"/>
          <w:sz w:val="24"/>
          <w:szCs w:val="24"/>
        </w:rPr>
      </w:r>
      <w:bookmarkStart w:id="106" w:name="_Toc535218219"/>
      <w:bookmarkStart w:id="107" w:name="_Toc521263931"/>
      <w:bookmarkStart w:id="108" w:name="_Toc521263826"/>
      <w:bookmarkStart w:id="109" w:name="_Toc521263619"/>
      <w:bookmarkStart w:id="110" w:name="_Toc521263379"/>
      <w:bookmarkStart w:id="111" w:name="_Toc500006598"/>
      <w:bookmarkStart w:id="112" w:name="_Toc500062341"/>
      <w:bookmarkStart w:id="113" w:name="_Toc500062450"/>
      <w:bookmarkStart w:id="114" w:name="_Toc51793602"/>
      <w:bookmarkStart w:id="115" w:name="_Toc115621695"/>
      <w:bookmarkStart w:id="116" w:name="_Toc535218219"/>
      <w:bookmarkStart w:id="117" w:name="_Toc521263931"/>
      <w:bookmarkStart w:id="118" w:name="_Toc521263826"/>
      <w:bookmarkStart w:id="119" w:name="_Toc521263619"/>
      <w:bookmarkStart w:id="120" w:name="_Toc521263379"/>
      <w:bookmarkStart w:id="121" w:name="_Toc500006598"/>
      <w:bookmarkStart w:id="122" w:name="_Toc500062341"/>
      <w:bookmarkStart w:id="123" w:name="_Toc500062450"/>
      <w:bookmarkStart w:id="124" w:name="_Toc51793602"/>
      <w:bookmarkStart w:id="125" w:name="_Toc115621695"/>
      <w:bookmarkEnd w:id="116"/>
      <w:bookmarkEnd w:id="117"/>
      <w:bookmarkEnd w:id="118"/>
      <w:bookmarkEnd w:id="119"/>
      <w:bookmarkEnd w:id="120"/>
      <w:bookmarkEnd w:id="121"/>
      <w:bookmarkEnd w:id="122"/>
      <w:bookmarkEnd w:id="123"/>
      <w:bookmarkEnd w:id="124"/>
      <w:bookmarkEnd w:id="125"/>
    </w:p>
    <w:p>
      <w:pPr>
        <w:pStyle w:val="Heading2"/>
        <w:numPr>
          <w:ilvl w:val="1"/>
          <w:numId w:val="13"/>
        </w:numPr>
        <w:ind w:hanging="432" w:start="426" w:end="423"/>
        <w:rPr>
          <w:rFonts w:ascii="Arial" w:hAnsi="Arial" w:cs="Arial"/>
          <w:sz w:val="24"/>
          <w:szCs w:val="24"/>
        </w:rPr>
      </w:pPr>
      <w:bookmarkStart w:id="126" w:name="_Toc115621696"/>
      <w:bookmarkStart w:id="127" w:name="_Toc432063611"/>
      <w:bookmarkStart w:id="128" w:name="_Toc535218220"/>
      <w:bookmarkEnd w:id="127"/>
      <w:bookmarkEnd w:id="128"/>
      <w:r>
        <w:rPr>
          <w:rFonts w:cs="Arial" w:ascii="Arial" w:hAnsi="Arial"/>
          <w:sz w:val="24"/>
          <w:szCs w:val="24"/>
        </w:rPr>
        <w:t>Program zapewniania jakości</w:t>
      </w:r>
      <w:bookmarkEnd w:id="126"/>
    </w:p>
    <w:p>
      <w:pPr>
        <w:pStyle w:val="SpecyfikacjaSSTpodstawowy"/>
        <w:ind w:firstLine="282" w:start="426" w:end="423"/>
        <w:jc w:val="start"/>
        <w:rPr>
          <w:rFonts w:ascii="Arial" w:hAnsi="Arial" w:cs="Arial"/>
        </w:rPr>
      </w:pPr>
      <w:r>
        <w:rPr>
          <w:rFonts w:cs="Arial" w:ascii="Arial" w:hAnsi="Aria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pPr>
        <w:pStyle w:val="SpecyfikacjaSSTpodstawowy"/>
        <w:ind w:start="426" w:end="423"/>
        <w:jc w:val="start"/>
        <w:rPr>
          <w:rFonts w:ascii="Arial" w:hAnsi="Arial" w:cs="Arial"/>
        </w:rPr>
      </w:pPr>
      <w:r>
        <w:rPr>
          <w:rFonts w:cs="Arial" w:ascii="Arial" w:hAnsi="Arial"/>
        </w:rPr>
        <w:t>Program zapewnienia jakości winien zawierać:</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organizację wykonania robót, w tym termin i sposób prowadzenia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organizację ruchu na budowie wraz z oznakowaniem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plan bezpieczeństwa i ochrony zdrowia,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zespołów roboczych, ich kwalifikacje i przygotowanie praktyczne,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osób odpowiedzialnych za jakość i terminowość wykonania poszczególnych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system (sposób i procedurę) proponowanej kontroli i sterowania jakością wykonywanych robót.</w:t>
      </w:r>
    </w:p>
    <w:p>
      <w:pPr>
        <w:pStyle w:val="Heading2"/>
        <w:numPr>
          <w:ilvl w:val="1"/>
          <w:numId w:val="13"/>
        </w:numPr>
        <w:ind w:hanging="432" w:start="426" w:end="423"/>
        <w:rPr>
          <w:rFonts w:ascii="Arial" w:hAnsi="Arial" w:cs="Arial"/>
          <w:sz w:val="24"/>
          <w:szCs w:val="24"/>
        </w:rPr>
      </w:pPr>
      <w:bookmarkStart w:id="129" w:name="_Toc115621697"/>
      <w:bookmarkStart w:id="130" w:name="_Toc432063612"/>
      <w:bookmarkStart w:id="131" w:name="_Toc535218221"/>
      <w:bookmarkEnd w:id="130"/>
      <w:bookmarkEnd w:id="131"/>
      <w:r>
        <w:rPr>
          <w:rFonts w:cs="Arial" w:ascii="Arial" w:hAnsi="Arial"/>
          <w:sz w:val="24"/>
          <w:szCs w:val="24"/>
        </w:rPr>
        <w:t>Zasady kontroli jakości i robót</w:t>
      </w:r>
      <w:bookmarkEnd w:id="129"/>
    </w:p>
    <w:p>
      <w:pPr>
        <w:pStyle w:val="SpecyfikacjaSSTpodstawowy"/>
        <w:ind w:firstLine="282" w:start="426" w:end="423"/>
        <w:jc w:val="start"/>
        <w:rPr>
          <w:rFonts w:ascii="Arial" w:hAnsi="Arial" w:cs="Arial"/>
        </w:rPr>
      </w:pPr>
      <w:r>
        <w:rPr>
          <w:rFonts w:cs="Arial" w:ascii="Arial" w:hAnsi="Arial"/>
        </w:rPr>
        <w:t xml:space="preserve">Wykonawca odpowiedzialny jest za pełną kontrolę robót i jakości materiałów. Wykonawca zapewni odpowiedni system kontroli obejmujący personel, laboratorium, sprzęt, zaopatrzenie i wszystkie urządzenia niezbędne do prowadzenia kontroli robót. </w:t>
      </w:r>
    </w:p>
    <w:p>
      <w:pPr>
        <w:pStyle w:val="SpecyfikacjaSSTpodstawowy"/>
        <w:ind w:start="426" w:end="423"/>
        <w:jc w:val="start"/>
        <w:rPr>
          <w:rFonts w:ascii="Arial" w:hAnsi="Arial" w:cs="Arial"/>
        </w:rPr>
      </w:pPr>
      <w:r>
        <w:rPr>
          <w:rFonts w:cs="Arial" w:ascii="Arial" w:hAnsi="Arial"/>
        </w:rPr>
        <w:t>Wykonawca będzie przeprowadzać pomiary i badania materiałów oraz robót z częstotliwością zapewniającą stwierdzenie, że roboty wykonano zgodnie z wymaganiami zawartymi w dokumentacji projektowej i SST.</w:t>
      </w:r>
    </w:p>
    <w:p>
      <w:pPr>
        <w:pStyle w:val="SpecyfikacjaSSTpodstawowy"/>
        <w:ind w:start="426" w:end="423"/>
        <w:jc w:val="start"/>
        <w:rPr>
          <w:rFonts w:ascii="Arial" w:hAnsi="Arial" w:cs="Arial"/>
        </w:rPr>
      </w:pPr>
      <w:r>
        <w:rPr>
          <w:rFonts w:cs="Arial" w:ascii="Arial" w:hAnsi="Arial"/>
        </w:rPr>
        <w:t>Minimalne wymagania co do zakresu badań i ich częstotliwości są określone w ST i normach koniecznych, do wykonania robót zgodnie z PB i PW</w:t>
      </w:r>
    </w:p>
    <w:p>
      <w:pPr>
        <w:pStyle w:val="SpecyfikacjaSSTpodstawowy"/>
        <w:ind w:start="426" w:end="423"/>
        <w:jc w:val="start"/>
        <w:rPr>
          <w:rFonts w:ascii="Arial" w:hAnsi="Arial" w:cs="Arial"/>
        </w:rPr>
      </w:pPr>
      <w:r>
        <w:rPr>
          <w:rFonts w:cs="Arial" w:ascii="Arial" w:hAnsi="Arial"/>
        </w:rPr>
        <w:t>W przypadku, gdy nie zostały one tam określone, Inspektor Nadzoru ustali jaki zakres kontroli jest konieczny, aby zapewnić wykonanie robót zgodnie z umową.</w:t>
      </w:r>
    </w:p>
    <w:p>
      <w:pPr>
        <w:pStyle w:val="SpecyfikacjaSSTpodstawowy"/>
        <w:ind w:start="426" w:end="423"/>
        <w:jc w:val="start"/>
        <w:rPr>
          <w:rFonts w:ascii="Arial" w:hAnsi="Arial" w:cs="Arial"/>
        </w:rPr>
      </w:pPr>
      <w:r>
        <w:rPr>
          <w:rFonts w:cs="Arial" w:ascii="Arial" w:hAnsi="Arial"/>
        </w:rPr>
        <w:t>Wszystkie koszty związane z organizowaniem i prowadzeniem badań materiałów i robót ponosi Wykonawca.</w:t>
      </w:r>
    </w:p>
    <w:p>
      <w:pPr>
        <w:pStyle w:val="Heading2"/>
        <w:numPr>
          <w:ilvl w:val="1"/>
          <w:numId w:val="13"/>
        </w:numPr>
        <w:ind w:hanging="432" w:start="426" w:end="423"/>
        <w:rPr>
          <w:rFonts w:ascii="Arial" w:hAnsi="Arial" w:cs="Arial"/>
          <w:sz w:val="24"/>
          <w:szCs w:val="24"/>
        </w:rPr>
      </w:pPr>
      <w:bookmarkStart w:id="132" w:name="_Toc115621698"/>
      <w:bookmarkStart w:id="133" w:name="_Toc432063613"/>
      <w:bookmarkStart w:id="134" w:name="_Toc535218222"/>
      <w:bookmarkEnd w:id="133"/>
      <w:bookmarkEnd w:id="134"/>
      <w:r>
        <w:rPr>
          <w:rFonts w:cs="Arial" w:ascii="Arial" w:hAnsi="Arial"/>
          <w:sz w:val="24"/>
          <w:szCs w:val="24"/>
        </w:rPr>
        <w:t>Pobieranie próbek</w:t>
      </w:r>
      <w:bookmarkEnd w:id="132"/>
    </w:p>
    <w:p>
      <w:pPr>
        <w:pStyle w:val="SpecyfikacjaSSTpodstawowy"/>
        <w:ind w:firstLine="282" w:start="426" w:end="423"/>
        <w:jc w:val="start"/>
        <w:rPr>
          <w:rFonts w:ascii="Arial" w:hAnsi="Arial" w:cs="Arial"/>
        </w:rPr>
      </w:pPr>
      <w:r>
        <w:rPr>
          <w:rFonts w:cs="Arial" w:ascii="Arial" w:hAnsi="Arial"/>
        </w:rPr>
        <w:t>Próbki będą pobierane losowo. Zaleca się stosowanie statystycznych metod pobierania próbek, opartych na zasadzie, że wszystkie jednostkowe elementy produkcji mogą być z jednakowym prawdopodobieństwem wytypowane do badań.</w:t>
      </w:r>
    </w:p>
    <w:p>
      <w:pPr>
        <w:pStyle w:val="SpecyfikacjaSSTpodstawowy"/>
        <w:ind w:start="426" w:end="423"/>
        <w:jc w:val="start"/>
        <w:rPr>
          <w:rFonts w:ascii="Arial" w:hAnsi="Arial" w:cs="Arial"/>
        </w:rPr>
      </w:pPr>
      <w:r>
        <w:rPr>
          <w:rFonts w:cs="Arial" w:ascii="Arial" w:hAnsi="Aria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Inwestor.</w:t>
      </w:r>
    </w:p>
    <w:p>
      <w:pPr>
        <w:pStyle w:val="SpecyfikacjaSSTpodstawowy"/>
        <w:ind w:start="426" w:end="423"/>
        <w:jc w:val="start"/>
        <w:rPr>
          <w:rFonts w:ascii="Arial" w:hAnsi="Arial" w:cs="Arial"/>
        </w:rPr>
      </w:pPr>
      <w:r>
        <w:rPr>
          <w:rFonts w:cs="Arial" w:ascii="Arial" w:hAnsi="Arial"/>
        </w:rPr>
        <w:t>Pojemniki do pobierania próbek będą dostarczone przez Wykonawcę i zatwierdzone przez Inspektora Nadzoru. Próbki dostarczone przez Wykonawcę do badań będą odpowiednio opisane i oznakowane, w sposób zaakceptowany przez Inspektora Nadzoru.</w:t>
      </w:r>
    </w:p>
    <w:p>
      <w:pPr>
        <w:pStyle w:val="Heading2"/>
        <w:numPr>
          <w:ilvl w:val="1"/>
          <w:numId w:val="13"/>
        </w:numPr>
        <w:ind w:hanging="432" w:start="426" w:end="423"/>
        <w:rPr>
          <w:rFonts w:ascii="Arial" w:hAnsi="Arial" w:cs="Arial"/>
          <w:sz w:val="24"/>
          <w:szCs w:val="24"/>
        </w:rPr>
      </w:pPr>
      <w:bookmarkStart w:id="135" w:name="_Toc115621699"/>
      <w:bookmarkStart w:id="136" w:name="_Toc432063614"/>
      <w:bookmarkStart w:id="137" w:name="_Toc178478203"/>
      <w:bookmarkStart w:id="138" w:name="_Toc535218223"/>
      <w:bookmarkEnd w:id="136"/>
      <w:bookmarkEnd w:id="137"/>
      <w:bookmarkEnd w:id="138"/>
      <w:r>
        <w:rPr>
          <w:rFonts w:cs="Arial" w:ascii="Arial" w:hAnsi="Arial"/>
          <w:sz w:val="24"/>
          <w:szCs w:val="24"/>
        </w:rPr>
        <w:t>Badania i pomiary</w:t>
      </w:r>
      <w:bookmarkEnd w:id="135"/>
    </w:p>
    <w:p>
      <w:pPr>
        <w:pStyle w:val="SpecyfikacjaSSTpodstawowy"/>
        <w:ind w:firstLine="282" w:start="426" w:end="423"/>
        <w:jc w:val="start"/>
        <w:rPr>
          <w:rFonts w:ascii="Arial" w:hAnsi="Arial" w:cs="Arial"/>
        </w:rPr>
      </w:pPr>
      <w:r>
        <w:rPr>
          <w:rFonts w:cs="Arial" w:ascii="Arial" w:hAnsi="Arial"/>
        </w:rPr>
        <w:t>Wszystkie badania i pomiary będą przeprowadzane zgodnie z wymaganiami norm i instrukcji. Przed przystąpieniem do pomiarów lub badań Wykonawca powiadomi Inspektora Nadzoru o rodzaju, miejscu i terminie pomiaru lub badania.</w:t>
      </w:r>
    </w:p>
    <w:p>
      <w:pPr>
        <w:pStyle w:val="SpecyfikacjaSSTpodstawowy"/>
        <w:ind w:start="426" w:end="423"/>
        <w:jc w:val="start"/>
        <w:rPr>
          <w:rFonts w:ascii="Arial" w:hAnsi="Arial" w:cs="Arial"/>
        </w:rPr>
      </w:pPr>
      <w:r>
        <w:rPr>
          <w:rFonts w:cs="Arial" w:ascii="Arial" w:hAnsi="Arial"/>
        </w:rPr>
        <w:t>Po wykonaniu pomiaru lub badania Wykonawca przedstawi na piśmie ich wyniki do akceptacji Inspektora Nadzoru. Wyniki przechowywane będą na terenie budowy i okazywane na każde żądanie Inspektora Nadzoru.</w:t>
      </w:r>
    </w:p>
    <w:p>
      <w:pPr>
        <w:pStyle w:val="Heading2"/>
        <w:numPr>
          <w:ilvl w:val="1"/>
          <w:numId w:val="13"/>
        </w:numPr>
        <w:ind w:hanging="432" w:start="426" w:end="423"/>
        <w:rPr>
          <w:rFonts w:ascii="Arial" w:hAnsi="Arial" w:cs="Arial"/>
          <w:sz w:val="24"/>
          <w:szCs w:val="24"/>
        </w:rPr>
      </w:pPr>
      <w:bookmarkStart w:id="139" w:name="_Toc115621700"/>
      <w:bookmarkStart w:id="140" w:name="_Toc432063615"/>
      <w:bookmarkStart w:id="141" w:name="_Toc535218224"/>
      <w:bookmarkEnd w:id="140"/>
      <w:bookmarkEnd w:id="141"/>
      <w:r>
        <w:rPr>
          <w:rFonts w:cs="Arial" w:ascii="Arial" w:hAnsi="Arial"/>
          <w:sz w:val="24"/>
          <w:szCs w:val="24"/>
        </w:rPr>
        <w:t>Raporty z badań</w:t>
      </w:r>
      <w:bookmarkEnd w:id="139"/>
    </w:p>
    <w:p>
      <w:pPr>
        <w:pStyle w:val="SpecyfikacjaSSTpodstawowy"/>
        <w:ind w:firstLine="282" w:start="426" w:end="423"/>
        <w:jc w:val="start"/>
        <w:rPr>
          <w:rFonts w:ascii="Arial" w:hAnsi="Arial" w:cs="Arial"/>
        </w:rPr>
      </w:pPr>
      <w:r>
        <w:rPr>
          <w:rFonts w:cs="Arial" w:ascii="Arial" w:hAnsi="Arial"/>
        </w:rPr>
        <w:t>Wykonawca będzie przekazywać Inspektorowi Nadzoru kopie raportów z wynikami badań jak najszybciej, nie później jednak niż w terminie określonym w programie zapewnienia jakości.</w:t>
      </w:r>
    </w:p>
    <w:p>
      <w:pPr>
        <w:pStyle w:val="SpecyfikacjaSSTpodstawowy"/>
        <w:ind w:start="426" w:end="423"/>
        <w:jc w:val="start"/>
        <w:rPr>
          <w:rFonts w:ascii="Arial" w:hAnsi="Arial" w:cs="Arial"/>
        </w:rPr>
      </w:pPr>
      <w:r>
        <w:rPr>
          <w:rFonts w:cs="Arial" w:ascii="Arial" w:hAnsi="Arial"/>
        </w:rPr>
        <w:t>Wyniki badań (kopie) będą przekazywane Inspektorowi Nadzoru na formularzach według dostarczonego przez niego wzoru lub innych, przez niego zaaprobowanych.</w:t>
      </w:r>
    </w:p>
    <w:p>
      <w:pPr>
        <w:pStyle w:val="Heading2"/>
        <w:numPr>
          <w:ilvl w:val="1"/>
          <w:numId w:val="13"/>
        </w:numPr>
        <w:ind w:hanging="432" w:start="426" w:end="423"/>
        <w:rPr>
          <w:rFonts w:ascii="Arial" w:hAnsi="Arial" w:cs="Arial"/>
          <w:sz w:val="24"/>
          <w:szCs w:val="24"/>
        </w:rPr>
      </w:pPr>
      <w:bookmarkStart w:id="142" w:name="_Toc115621701"/>
      <w:bookmarkStart w:id="143" w:name="_Toc432063616"/>
      <w:bookmarkStart w:id="144" w:name="_Toc178478204"/>
      <w:bookmarkStart w:id="145" w:name="_Toc535218225"/>
      <w:bookmarkEnd w:id="143"/>
      <w:bookmarkEnd w:id="144"/>
      <w:bookmarkEnd w:id="145"/>
      <w:r>
        <w:rPr>
          <w:rFonts w:cs="Arial" w:ascii="Arial" w:hAnsi="Arial"/>
          <w:sz w:val="24"/>
          <w:szCs w:val="24"/>
        </w:rPr>
        <w:t>Badania prowadzone przez Inspektora Nadzoru</w:t>
      </w:r>
      <w:bookmarkEnd w:id="142"/>
    </w:p>
    <w:p>
      <w:pPr>
        <w:pStyle w:val="SpecyfikacjaSSTpodstawowy"/>
        <w:ind w:firstLine="282" w:start="426" w:end="423"/>
        <w:jc w:val="start"/>
        <w:rPr>
          <w:rFonts w:ascii="Arial" w:hAnsi="Arial" w:cs="Arial"/>
        </w:rPr>
      </w:pPr>
      <w:r>
        <w:rPr>
          <w:rFonts w:cs="Arial" w:ascii="Arial" w:hAnsi="Arial"/>
        </w:rPr>
        <w:t>Dla celów kontroli jakości i zatwierdzenia, Inspektor Nadzoru uprawniony jest do dokonywania kontroli, pobierania próbek i badania materiałów stosowanych przez Wykonawcę. 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pPr>
        <w:pStyle w:val="Heading2"/>
        <w:numPr>
          <w:ilvl w:val="1"/>
          <w:numId w:val="13"/>
        </w:numPr>
        <w:ind w:hanging="432" w:start="426" w:end="423"/>
        <w:rPr>
          <w:rFonts w:ascii="Arial" w:hAnsi="Arial" w:cs="Arial"/>
          <w:sz w:val="24"/>
          <w:szCs w:val="24"/>
        </w:rPr>
      </w:pPr>
      <w:bookmarkStart w:id="146" w:name="_Toc115621702"/>
      <w:bookmarkStart w:id="147" w:name="_Toc432063617"/>
      <w:bookmarkStart w:id="148" w:name="_Toc535218226"/>
      <w:bookmarkEnd w:id="147"/>
      <w:bookmarkEnd w:id="148"/>
      <w:r>
        <w:rPr>
          <w:rFonts w:cs="Arial" w:ascii="Arial" w:hAnsi="Arial"/>
          <w:sz w:val="24"/>
          <w:szCs w:val="24"/>
        </w:rPr>
        <w:t>Certyfikaty i deklaracje</w:t>
      </w:r>
      <w:bookmarkEnd w:id="146"/>
    </w:p>
    <w:p>
      <w:pPr>
        <w:pStyle w:val="SpecyfikacjaSSTpodstawowy"/>
        <w:ind w:firstLine="282" w:start="426" w:end="423"/>
        <w:jc w:val="start"/>
        <w:rPr>
          <w:rFonts w:ascii="Arial" w:hAnsi="Arial" w:cs="Arial"/>
        </w:rPr>
      </w:pPr>
      <w:r>
        <w:rPr>
          <w:rFonts w:cs="Arial" w:ascii="Arial" w:hAnsi="Arial"/>
        </w:rPr>
        <w:t>Inspektor Nadzoru może dopuścić do użycia tylko te wyroby i materiały, które: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posiadają deklarację zgodności lub certyfikat zgodności 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Polską Normą lub</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aprobatą techniczną, w przypadku wyrobów, dla których nie ustanowiono Polskiej Normy, jeżeli nie są objęte certyfikacją określoną w pkt. 1 i które spełniają wymogi SST.</w:t>
      </w:r>
    </w:p>
    <w:p>
      <w:pPr>
        <w:pStyle w:val="SpecyfikacjaSSTpodstawowy"/>
        <w:shd w:val="clear" w:color="auto" w:fill="FFFFFF"/>
        <w:ind w:start="426" w:end="423"/>
        <w:jc w:val="start"/>
        <w:rPr>
          <w:rFonts w:ascii="Arial" w:hAnsi="Arial" w:cs="Arial"/>
        </w:rPr>
      </w:pPr>
      <w:r>
        <w:rPr>
          <w:rFonts w:cs="Arial" w:ascii="Arial" w:hAnsi="Arial"/>
          <w:color w:val="000000"/>
        </w:rPr>
        <w:t>W przypadku materiałów, dla których ww. dokumenty są wymagane przez SST, każda ich partia dostarczona do robót będzie posiadać te dokumenty, określające w sposób jedno-znaczny jej cechy. Jakiekolwiek materiały, które nie spełniają tych wymagań będą odrzucone</w:t>
      </w:r>
    </w:p>
    <w:p>
      <w:pPr>
        <w:pStyle w:val="Heading1"/>
        <w:numPr>
          <w:ilvl w:val="0"/>
          <w:numId w:val="13"/>
        </w:numPr>
        <w:ind w:hanging="360" w:start="426" w:end="423"/>
        <w:rPr>
          <w:rFonts w:ascii="Arial" w:hAnsi="Arial" w:cs="Arial"/>
          <w:sz w:val="24"/>
          <w:szCs w:val="24"/>
        </w:rPr>
      </w:pPr>
      <w:bookmarkStart w:id="149" w:name="_Toc115621703"/>
      <w:bookmarkStart w:id="150" w:name="_Toc535218227"/>
      <w:bookmarkEnd w:id="150"/>
      <w:r>
        <w:rPr>
          <w:rFonts w:cs="Arial" w:ascii="Arial" w:hAnsi="Arial"/>
          <w:sz w:val="24"/>
          <w:szCs w:val="24"/>
        </w:rPr>
        <w:t>Przedmiary i obmiary</w:t>
      </w:r>
      <w:bookmarkEnd w:id="149"/>
    </w:p>
    <w:p>
      <w:pPr>
        <w:pStyle w:val="Heading2"/>
        <w:numPr>
          <w:ilvl w:val="1"/>
          <w:numId w:val="13"/>
        </w:numPr>
        <w:ind w:hanging="432" w:start="426" w:end="423"/>
        <w:rPr>
          <w:rFonts w:ascii="Arial" w:hAnsi="Arial" w:cs="Arial"/>
          <w:sz w:val="24"/>
          <w:szCs w:val="24"/>
        </w:rPr>
      </w:pPr>
      <w:bookmarkStart w:id="151" w:name="_Toc535218236"/>
      <w:bookmarkStart w:id="152" w:name="_Toc115621712"/>
      <w:bookmarkStart w:id="153" w:name="_Toc535218228"/>
      <w:bookmarkStart w:id="154" w:name="_Toc521263940"/>
      <w:bookmarkStart w:id="155" w:name="_Toc521263835"/>
      <w:bookmarkStart w:id="156" w:name="_Toc521263628"/>
      <w:bookmarkStart w:id="157" w:name="_Toc521263388"/>
      <w:bookmarkStart w:id="158" w:name="_Toc498678673"/>
      <w:bookmarkStart w:id="159" w:name="_Toc498685980"/>
      <w:bookmarkStart w:id="160" w:name="_Toc500006585"/>
      <w:bookmarkStart w:id="161" w:name="_Toc500062328"/>
      <w:bookmarkStart w:id="162" w:name="_Toc500062437"/>
      <w:bookmarkStart w:id="163" w:name="_Toc51793611"/>
      <w:bookmarkStart w:id="164" w:name="_Toc115621704"/>
      <w:bookmarkStart w:id="165" w:name="_Toc535218235"/>
      <w:bookmarkStart w:id="166" w:name="_Toc521263947"/>
      <w:bookmarkStart w:id="167" w:name="_Toc521263842"/>
      <w:bookmarkStart w:id="168" w:name="_Toc521263635"/>
      <w:bookmarkStart w:id="169" w:name="_Toc521263395"/>
      <w:bookmarkStart w:id="170" w:name="_Toc500006592"/>
      <w:bookmarkStart w:id="171" w:name="_Toc500062335"/>
      <w:bookmarkStart w:id="172" w:name="_Toc500062444"/>
      <w:bookmarkStart w:id="173" w:name="_Toc51793618"/>
      <w:bookmarkStart w:id="174" w:name="_Toc11562171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cs="Arial" w:ascii="Arial" w:hAnsi="Arial"/>
          <w:sz w:val="24"/>
          <w:szCs w:val="24"/>
        </w:rPr>
        <w:t>Ogólne zasady przedmiaru i obmiaru</w:t>
      </w:r>
      <w:bookmarkEnd w:id="151"/>
      <w:bookmarkEnd w:id="152"/>
      <w:r>
        <w:rPr>
          <w:rFonts w:cs="Arial" w:ascii="Arial" w:hAnsi="Arial"/>
          <w:sz w:val="24"/>
          <w:szCs w:val="24"/>
        </w:rPr>
        <w:t xml:space="preserve"> </w:t>
      </w:r>
    </w:p>
    <w:p>
      <w:pPr>
        <w:pStyle w:val="Heading2"/>
        <w:shd w:val="clear" w:color="auto" w:fill="FFFFFF"/>
        <w:ind w:firstLine="282" w:start="426" w:end="423"/>
        <w:rPr>
          <w:rFonts w:ascii="Arial" w:hAnsi="Arial" w:cs="Arial"/>
          <w:sz w:val="24"/>
          <w:szCs w:val="24"/>
        </w:rPr>
      </w:pPr>
      <w:bookmarkStart w:id="175" w:name="_Toc115621713"/>
      <w:bookmarkStart w:id="176" w:name="_Toc535218237"/>
      <w:bookmarkEnd w:id="176"/>
      <w:r>
        <w:rPr>
          <w:rFonts w:eastAsia="Times New Roman" w:cs="Arial" w:ascii="Arial" w:hAnsi="Arial"/>
          <w:color w:val="000000"/>
          <w:sz w:val="24"/>
          <w:szCs w:val="24"/>
        </w:rPr>
        <w:t>Obmiar robót będzie odzwierciedlał faktyczny zakres wykonywanych robót zgodnie z PB, PW i ST, w jednostkach ustalonych w kosztorysie.</w:t>
      </w:r>
      <w:bookmarkEnd w:id="175"/>
    </w:p>
    <w:p>
      <w:pPr>
        <w:pStyle w:val="Normal"/>
        <w:shd w:val="clear" w:color="auto" w:fill="FFFFFF"/>
        <w:ind w:start="426" w:end="423"/>
        <w:rPr>
          <w:sz w:val="24"/>
          <w:szCs w:val="24"/>
        </w:rPr>
      </w:pPr>
      <w:r>
        <w:rPr>
          <w:color w:val="000000"/>
          <w:sz w:val="24"/>
          <w:szCs w:val="24"/>
        </w:rPr>
        <w:t>Obmiaru robót dokonuje Wykonawca po powiadomieniu Inspektora Nadzoru o zakresie obmierzanych robót i terminie obmiaru, co najmniej na trzy dni przed  terminem obmiaru.</w:t>
      </w:r>
    </w:p>
    <w:p>
      <w:pPr>
        <w:pStyle w:val="Normal"/>
        <w:shd w:val="clear" w:color="auto" w:fill="FFFFFF"/>
        <w:ind w:start="426" w:end="423"/>
        <w:rPr>
          <w:sz w:val="24"/>
          <w:szCs w:val="24"/>
        </w:rPr>
      </w:pPr>
      <w:r>
        <w:rPr>
          <w:color w:val="000000"/>
          <w:sz w:val="24"/>
          <w:szCs w:val="24"/>
        </w:rPr>
        <w:t xml:space="preserve">Wyniki obmiaru wpisywane będą do Książki obmiaru robót. </w:t>
      </w:r>
    </w:p>
    <w:p>
      <w:pPr>
        <w:pStyle w:val="Normal"/>
        <w:shd w:val="clear" w:color="auto" w:fill="FFFFFF"/>
        <w:ind w:start="426" w:end="423"/>
        <w:rPr>
          <w:sz w:val="24"/>
          <w:szCs w:val="24"/>
        </w:rPr>
      </w:pPr>
      <w:r>
        <w:rPr>
          <w:color w:val="000000"/>
          <w:sz w:val="24"/>
          <w:szCs w:val="24"/>
        </w:rPr>
        <w:t>Jakikolwiek błąd lub przeoczenie (opuszczenie) nie zwalnia Wykonawcy od obowiązku ukończenia wszystkich robót. Błędne dane zostaną poprawione wg ustaleń Inspektora Nadzoru dostarczonych Wykonawcy na piśmie.</w:t>
      </w:r>
    </w:p>
    <w:p>
      <w:pPr>
        <w:pStyle w:val="Normal"/>
        <w:shd w:val="clear" w:color="auto" w:fill="FFFFFF"/>
        <w:ind w:start="426" w:end="423"/>
        <w:rPr>
          <w:sz w:val="24"/>
          <w:szCs w:val="24"/>
        </w:rPr>
      </w:pPr>
      <w:r>
        <w:rPr>
          <w:color w:val="000000"/>
          <w:sz w:val="24"/>
          <w:szCs w:val="24"/>
        </w:rPr>
        <w:t>Obmiar gotowych robót będzie przeprowadzony zgodnie z częstością wymaganą do płatności na rzecz Wykonawcy określoną w umowie.</w:t>
      </w:r>
    </w:p>
    <w:p>
      <w:pPr>
        <w:pStyle w:val="Heading2"/>
        <w:numPr>
          <w:ilvl w:val="1"/>
          <w:numId w:val="13"/>
        </w:numPr>
        <w:ind w:hanging="432" w:start="426" w:end="423"/>
        <w:rPr>
          <w:rFonts w:ascii="Arial" w:hAnsi="Arial" w:cs="Arial"/>
          <w:sz w:val="24"/>
          <w:szCs w:val="24"/>
        </w:rPr>
      </w:pPr>
      <w:bookmarkStart w:id="177" w:name="_Toc115621714"/>
      <w:bookmarkStart w:id="178" w:name="_Toc535218238"/>
      <w:bookmarkEnd w:id="178"/>
      <w:r>
        <w:rPr>
          <w:rFonts w:cs="Arial" w:ascii="Arial" w:hAnsi="Arial"/>
          <w:sz w:val="24"/>
          <w:szCs w:val="24"/>
        </w:rPr>
        <w:t>Szczegółowe zasady przedmiaru i obmiaru robót montażowych instalacji elektrycznej</w:t>
      </w:r>
      <w:bookmarkEnd w:id="177"/>
    </w:p>
    <w:p>
      <w:pPr>
        <w:pStyle w:val="Normal"/>
        <w:shd w:val="clear" w:color="auto" w:fill="FFFFFF"/>
        <w:ind w:firstLine="282" w:start="426" w:end="423"/>
        <w:rPr>
          <w:sz w:val="24"/>
          <w:szCs w:val="24"/>
        </w:rPr>
      </w:pPr>
      <w:r>
        <w:rPr>
          <w:color w:val="000000"/>
          <w:spacing w:val="1"/>
          <w:sz w:val="24"/>
          <w:szCs w:val="24"/>
        </w:rPr>
        <w:t>Obmiaru robót dokonuje się z natury {wykonanej roboty) przyjmując jednostki miary odpo</w:t>
      </w:r>
      <w:r>
        <w:rPr>
          <w:color w:val="000000"/>
          <w:sz w:val="24"/>
          <w:szCs w:val="24"/>
        </w:rPr>
        <w:t>wiadające zawartym w dokumentacji i tak:</w:t>
      </w:r>
    </w:p>
    <w:p>
      <w:pPr>
        <w:pStyle w:val="Normal"/>
        <w:numPr>
          <w:ilvl w:val="0"/>
          <w:numId w:val="4"/>
        </w:numPr>
        <w:shd w:val="clear" w:color="auto" w:fill="FFFFFF"/>
        <w:ind w:start="426" w:end="423"/>
        <w:rPr>
          <w:sz w:val="24"/>
          <w:szCs w:val="24"/>
        </w:rPr>
      </w:pPr>
      <w:r>
        <w:rPr>
          <w:color w:val="000000"/>
          <w:sz w:val="24"/>
          <w:szCs w:val="24"/>
        </w:rPr>
        <w:t>dla osprzętu montażowego dla kabli i przewodów: szt., kpl., m,</w:t>
      </w:r>
    </w:p>
    <w:p>
      <w:pPr>
        <w:pStyle w:val="Normal"/>
        <w:numPr>
          <w:ilvl w:val="0"/>
          <w:numId w:val="4"/>
        </w:numPr>
        <w:shd w:val="clear" w:color="auto" w:fill="FFFFFF"/>
        <w:ind w:start="426" w:end="423"/>
        <w:rPr>
          <w:sz w:val="24"/>
          <w:szCs w:val="24"/>
        </w:rPr>
      </w:pPr>
      <w:r>
        <w:rPr>
          <w:color w:val="000000"/>
          <w:spacing w:val="-1"/>
          <w:sz w:val="24"/>
          <w:szCs w:val="24"/>
        </w:rPr>
        <w:t>dla kabli i przewodów: m,</w:t>
      </w:r>
    </w:p>
    <w:p>
      <w:pPr>
        <w:pStyle w:val="Normal"/>
        <w:numPr>
          <w:ilvl w:val="0"/>
          <w:numId w:val="4"/>
        </w:numPr>
        <w:shd w:val="clear" w:color="auto" w:fill="FFFFFF"/>
        <w:ind w:start="426" w:end="423"/>
        <w:rPr>
          <w:sz w:val="24"/>
          <w:szCs w:val="24"/>
        </w:rPr>
      </w:pPr>
      <w:r>
        <w:rPr>
          <w:color w:val="000000"/>
          <w:sz w:val="24"/>
          <w:szCs w:val="24"/>
        </w:rPr>
        <w:t>dla sprzętu łącznikowego: szt., kpl.,</w:t>
      </w:r>
    </w:p>
    <w:p>
      <w:pPr>
        <w:pStyle w:val="Normal"/>
        <w:numPr>
          <w:ilvl w:val="0"/>
          <w:numId w:val="4"/>
        </w:numPr>
        <w:shd w:val="clear" w:color="auto" w:fill="FFFFFF"/>
        <w:ind w:start="426" w:end="423"/>
        <w:rPr>
          <w:sz w:val="24"/>
          <w:szCs w:val="24"/>
        </w:rPr>
      </w:pPr>
      <w:r>
        <w:rPr>
          <w:color w:val="000000"/>
          <w:sz w:val="24"/>
          <w:szCs w:val="24"/>
        </w:rPr>
        <w:t>dla opraw oświetleniowych: szt., kpl.,</w:t>
      </w:r>
    </w:p>
    <w:p>
      <w:pPr>
        <w:pStyle w:val="Normal"/>
        <w:numPr>
          <w:ilvl w:val="0"/>
          <w:numId w:val="4"/>
        </w:numPr>
        <w:shd w:val="clear" w:color="auto" w:fill="FFFFFF"/>
        <w:ind w:start="426" w:end="423"/>
        <w:rPr>
          <w:sz w:val="24"/>
          <w:szCs w:val="24"/>
        </w:rPr>
      </w:pPr>
      <w:r>
        <w:rPr>
          <w:color w:val="000000"/>
          <w:sz w:val="24"/>
          <w:szCs w:val="24"/>
        </w:rPr>
        <w:t>dla urządzeń i odbiorników energii elektrycznej: szt., kpl.</w:t>
      </w:r>
    </w:p>
    <w:p>
      <w:pPr>
        <w:pStyle w:val="Normal"/>
        <w:numPr>
          <w:ilvl w:val="0"/>
          <w:numId w:val="4"/>
        </w:numPr>
        <w:shd w:val="clear" w:color="auto" w:fill="FFFFFF"/>
        <w:ind w:start="426" w:end="423"/>
        <w:rPr>
          <w:sz w:val="24"/>
          <w:szCs w:val="24"/>
        </w:rPr>
      </w:pPr>
      <w:r>
        <w:rPr>
          <w:color w:val="000000"/>
          <w:sz w:val="24"/>
          <w:szCs w:val="24"/>
        </w:rPr>
        <w:t>Dla elementów instalacji piorunochronnej szt., m</w:t>
      </w:r>
    </w:p>
    <w:p>
      <w:pPr>
        <w:pStyle w:val="Heading2"/>
        <w:numPr>
          <w:ilvl w:val="1"/>
          <w:numId w:val="13"/>
        </w:numPr>
        <w:ind w:hanging="432" w:start="426" w:end="423"/>
        <w:rPr>
          <w:rFonts w:ascii="Arial" w:hAnsi="Arial" w:cs="Arial"/>
          <w:sz w:val="24"/>
          <w:szCs w:val="24"/>
        </w:rPr>
      </w:pPr>
      <w:bookmarkStart w:id="179" w:name="_Toc115621715"/>
      <w:bookmarkStart w:id="180" w:name="_Toc535218239"/>
      <w:bookmarkEnd w:id="180"/>
      <w:r>
        <w:rPr>
          <w:rFonts w:cs="Arial" w:ascii="Arial" w:hAnsi="Arial"/>
          <w:sz w:val="24"/>
          <w:szCs w:val="24"/>
        </w:rPr>
        <w:t>Specyfikacja techniczna</w:t>
      </w:r>
      <w:bookmarkEnd w:id="179"/>
    </w:p>
    <w:p>
      <w:pPr>
        <w:pStyle w:val="Normal"/>
        <w:shd w:val="clear" w:color="auto" w:fill="FFFFFF"/>
        <w:ind w:firstLine="282" w:start="426" w:end="423"/>
        <w:rPr>
          <w:sz w:val="24"/>
          <w:szCs w:val="24"/>
        </w:rPr>
      </w:pPr>
      <w:r>
        <w:rPr>
          <w:color w:val="000000"/>
          <w:spacing w:val="1"/>
          <w:sz w:val="24"/>
          <w:szCs w:val="24"/>
        </w:rPr>
        <w:t>W specyfikacji technicznej szczegółowej dla robót montażowych instalacji elektrycznej opracowanej dla konkretnego przedmiotu zamówienia, można ustalić inne szczegółowe zasady przedmiaru i obmiaru przedmiotowych robót</w:t>
      </w:r>
    </w:p>
    <w:p>
      <w:pPr>
        <w:pStyle w:val="Normal"/>
        <w:shd w:val="clear" w:color="auto" w:fill="FFFFFF"/>
        <w:ind w:start="426" w:end="423"/>
        <w:rPr>
          <w:sz w:val="24"/>
          <w:szCs w:val="24"/>
        </w:rPr>
      </w:pPr>
      <w:r>
        <w:rPr>
          <w:color w:val="000000"/>
          <w:spacing w:val="1"/>
          <w:sz w:val="24"/>
          <w:szCs w:val="24"/>
        </w:rPr>
        <w:t>W szczególności można przyjąć zasady podane w katalogach zawierających jednostkowe nakłady rzeczowe dla odpowiednich robót.</w:t>
      </w:r>
    </w:p>
    <w:p>
      <w:pPr>
        <w:pStyle w:val="Normal"/>
        <w:shd w:val="clear" w:color="auto" w:fill="FFFFFF"/>
        <w:ind w:start="426" w:end="423"/>
        <w:rPr>
          <w:sz w:val="24"/>
          <w:szCs w:val="24"/>
        </w:rPr>
      </w:pPr>
      <w:r>
        <w:rPr>
          <w:sz w:val="24"/>
          <w:szCs w:val="24"/>
        </w:rPr>
      </w:r>
    </w:p>
    <w:p>
      <w:pPr>
        <w:pStyle w:val="Heading2"/>
        <w:numPr>
          <w:ilvl w:val="1"/>
          <w:numId w:val="13"/>
        </w:numPr>
        <w:ind w:hanging="432" w:start="426" w:end="423"/>
        <w:rPr>
          <w:rFonts w:ascii="Arial" w:hAnsi="Arial" w:cs="Arial"/>
          <w:sz w:val="24"/>
          <w:szCs w:val="24"/>
        </w:rPr>
      </w:pPr>
      <w:bookmarkStart w:id="181" w:name="_Toc115621716"/>
      <w:bookmarkStart w:id="182" w:name="_Toc4320636211"/>
      <w:bookmarkStart w:id="183" w:name="_Toc5000624621"/>
      <w:bookmarkStart w:id="184" w:name="_Toc1254364821"/>
      <w:bookmarkStart w:id="185" w:name="_Toc535218240"/>
      <w:bookmarkEnd w:id="182"/>
      <w:bookmarkEnd w:id="183"/>
      <w:bookmarkEnd w:id="184"/>
      <w:bookmarkEnd w:id="185"/>
      <w:r>
        <w:rPr>
          <w:rFonts w:cs="Arial" w:ascii="Arial" w:hAnsi="Arial"/>
          <w:sz w:val="24"/>
          <w:szCs w:val="24"/>
        </w:rPr>
        <w:t>Urządzenia i sprzęt pomiarowy</w:t>
      </w:r>
      <w:bookmarkEnd w:id="181"/>
    </w:p>
    <w:p>
      <w:pPr>
        <w:pStyle w:val="SpecyfikacjaSSTpodstawowy"/>
        <w:ind w:firstLine="282" w:start="426" w:end="423"/>
        <w:jc w:val="start"/>
        <w:rPr>
          <w:rFonts w:ascii="Arial" w:hAnsi="Arial" w:cs="Arial"/>
        </w:rPr>
      </w:pPr>
      <w:r>
        <w:rPr>
          <w:rFonts w:cs="Arial" w:ascii="Arial" w:hAnsi="Arial"/>
        </w:rPr>
        <w:t>Do pomiaru używane będą tylko sprawne narzędzia pomiarowe, posiadające czytelną skalę, jednoznacznie określającą wykonany pomiar, zaakceptowane prze Inspektora Nadzoru.</w:t>
      </w:r>
    </w:p>
    <w:p>
      <w:pPr>
        <w:pStyle w:val="SpecyfikacjaSSTpodstawowy"/>
        <w:ind w:start="426" w:end="423"/>
        <w:jc w:val="start"/>
        <w:rPr>
          <w:rFonts w:ascii="Arial" w:hAnsi="Arial" w:cs="Arial"/>
        </w:rPr>
      </w:pPr>
      <w:bookmarkStart w:id="186" w:name="_Toc1254364831"/>
      <w:bookmarkEnd w:id="186"/>
      <w:r>
        <w:rPr>
          <w:rFonts w:cs="Arial" w:ascii="Arial" w:hAnsi="Arial"/>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pPr>
        <w:pStyle w:val="Heading2"/>
        <w:numPr>
          <w:ilvl w:val="1"/>
          <w:numId w:val="13"/>
        </w:numPr>
        <w:ind w:hanging="432" w:start="426" w:end="423"/>
        <w:rPr>
          <w:rFonts w:ascii="Arial" w:hAnsi="Arial" w:cs="Arial"/>
          <w:sz w:val="24"/>
          <w:szCs w:val="24"/>
        </w:rPr>
      </w:pPr>
      <w:bookmarkStart w:id="187" w:name="_Toc115621717"/>
      <w:bookmarkStart w:id="188" w:name="_Toc4320636221"/>
      <w:bookmarkStart w:id="189" w:name="_Toc1784782091"/>
      <w:bookmarkStart w:id="190" w:name="_Toc5000624631"/>
      <w:bookmarkStart w:id="191" w:name="_Toc535218241"/>
      <w:bookmarkEnd w:id="188"/>
      <w:bookmarkEnd w:id="189"/>
      <w:bookmarkEnd w:id="190"/>
      <w:bookmarkEnd w:id="191"/>
      <w:r>
        <w:rPr>
          <w:rFonts w:cs="Arial" w:ascii="Arial" w:hAnsi="Arial"/>
          <w:sz w:val="24"/>
          <w:szCs w:val="24"/>
        </w:rPr>
        <w:t>Czas przeprowadzania obmiaru</w:t>
      </w:r>
      <w:bookmarkEnd w:id="187"/>
    </w:p>
    <w:p>
      <w:pPr>
        <w:pStyle w:val="SpecyfikacjaSSTpodstawowy"/>
        <w:ind w:firstLine="282" w:start="426" w:end="423"/>
        <w:jc w:val="start"/>
        <w:rPr>
          <w:rFonts w:ascii="Arial" w:hAnsi="Arial" w:cs="Arial"/>
        </w:rPr>
      </w:pPr>
      <w:r>
        <w:rPr>
          <w:rFonts w:cs="Arial" w:ascii="Arial" w:hAnsi="Arial"/>
        </w:rPr>
        <w:t>Obmiary będą przeprowadzane przed ostatecznym odbiorem robót, a także w przypadku występowania dłuższych przerw w robotach oraz w przypadku zmiany Wykonawcy.</w:t>
      </w:r>
    </w:p>
    <w:p>
      <w:pPr>
        <w:pStyle w:val="Heading2"/>
        <w:numPr>
          <w:ilvl w:val="1"/>
          <w:numId w:val="13"/>
        </w:numPr>
        <w:ind w:hanging="432" w:start="426" w:end="423"/>
        <w:rPr>
          <w:rFonts w:ascii="Arial" w:hAnsi="Arial" w:cs="Arial"/>
          <w:sz w:val="24"/>
          <w:szCs w:val="24"/>
        </w:rPr>
      </w:pPr>
      <w:bookmarkStart w:id="192" w:name="_Toc115621718"/>
      <w:bookmarkStart w:id="193" w:name="_Toc4320636231"/>
      <w:bookmarkStart w:id="194" w:name="_Toc1784782101"/>
      <w:bookmarkStart w:id="195" w:name="_Toc5000624641"/>
      <w:bookmarkStart w:id="196" w:name="_Toc535218242"/>
      <w:bookmarkEnd w:id="193"/>
      <w:bookmarkEnd w:id="194"/>
      <w:bookmarkEnd w:id="195"/>
      <w:bookmarkEnd w:id="196"/>
      <w:r>
        <w:rPr>
          <w:rFonts w:cs="Arial" w:ascii="Arial" w:hAnsi="Arial"/>
          <w:sz w:val="24"/>
          <w:szCs w:val="24"/>
        </w:rPr>
        <w:t>Wykonywanie obmiaru robót</w:t>
      </w:r>
      <w:bookmarkEnd w:id="192"/>
    </w:p>
    <w:p>
      <w:pPr>
        <w:pStyle w:val="SpecyfikacjaSSTpodstawowy"/>
        <w:ind w:firstLine="282" w:start="426" w:end="423"/>
        <w:jc w:val="start"/>
        <w:rPr>
          <w:rFonts w:ascii="Arial" w:hAnsi="Arial" w:cs="Arial"/>
        </w:rPr>
      </w:pPr>
      <w:r>
        <w:rPr>
          <w:rFonts w:cs="Arial" w:ascii="Arial" w:hAnsi="Arial"/>
        </w:rPr>
        <w:t>Roboty pomiarowe do obmiaru oraz nieodzowne obliczenia wykonywane będą w sposób zrozumiały i jednoznaczny. Wykonany obmiar robót zawierać będzie: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podstawę wyceny i opis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ilość przedmiarową robót (z kosztorysu ofertowego),</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miejsce obmiaru przez podanie: nr pomieszczenia, nr detalu, elementu, wykonanie szkicu pomocniczego,</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obmiar robót z podaniem składowych obmiaru w kolejności:</w:t>
      </w:r>
    </w:p>
    <w:p>
      <w:pPr>
        <w:pStyle w:val="SpecyfikacjaSSTpodstawowy"/>
        <w:ind w:start="426" w:end="423"/>
        <w:jc w:val="start"/>
        <w:rPr>
          <w:rFonts w:ascii="Arial" w:hAnsi="Arial" w:cs="Arial"/>
        </w:rPr>
      </w:pPr>
      <w:r>
        <w:rPr>
          <w:rFonts w:cs="Arial" w:ascii="Arial" w:hAnsi="Arial"/>
        </w:rPr>
        <w:t>długość x szerokość x głębokość x wysokość x ilość = wynik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ilość robót wykonanych od początku budowy,</w:t>
      </w:r>
    </w:p>
    <w:p>
      <w:pPr>
        <w:pStyle w:val="SpecyfikacjaSSTpodstpunkt"/>
        <w:numPr>
          <w:ilvl w:val="0"/>
          <w:numId w:val="16"/>
        </w:numPr>
        <w:shd w:val="clear" w:color="auto" w:fill="FFFFFF"/>
        <w:tabs>
          <w:tab w:val="left" w:pos="360" w:leader="none"/>
          <w:tab w:val="left" w:pos="708" w:leader="none"/>
        </w:tabs>
        <w:ind w:hanging="360" w:start="426" w:end="423"/>
        <w:jc w:val="start"/>
        <w:rPr>
          <w:rFonts w:ascii="Arial" w:hAnsi="Arial" w:cs="Arial"/>
        </w:rPr>
      </w:pPr>
      <w:bookmarkStart w:id="197" w:name="_Hlk500007101"/>
      <w:bookmarkEnd w:id="197"/>
      <w:r>
        <w:rPr>
          <w:rFonts w:cs="Arial" w:ascii="Arial" w:hAnsi="Arial"/>
          <w:color w:val="000000"/>
          <w:spacing w:val="1"/>
        </w:rPr>
        <w:t>dane osoby sporządzającej obmiar.</w:t>
      </w:r>
    </w:p>
    <w:p>
      <w:pPr>
        <w:pStyle w:val="SpecyfikacjaSSTpodstpunkt"/>
        <w:shd w:val="clear" w:color="auto" w:fill="FFFFFF"/>
        <w:tabs>
          <w:tab w:val="left" w:pos="360" w:leader="none"/>
          <w:tab w:val="left" w:pos="708" w:leader="none"/>
        </w:tabs>
        <w:ind w:end="423"/>
        <w:jc w:val="start"/>
        <w:rPr>
          <w:rFonts w:ascii="Arial" w:hAnsi="Arial" w:cs="Arial"/>
        </w:rPr>
      </w:pPr>
      <w:r>
        <w:rPr>
          <w:rFonts w:cs="Arial" w:ascii="Arial" w:hAnsi="Arial"/>
        </w:rPr>
      </w:r>
    </w:p>
    <w:p>
      <w:pPr>
        <w:pStyle w:val="Heading2"/>
        <w:numPr>
          <w:ilvl w:val="1"/>
          <w:numId w:val="13"/>
        </w:numPr>
        <w:ind w:hanging="432" w:start="426" w:end="423"/>
        <w:rPr>
          <w:rFonts w:ascii="Arial" w:hAnsi="Arial" w:cs="Arial"/>
          <w:sz w:val="24"/>
          <w:szCs w:val="24"/>
        </w:rPr>
      </w:pPr>
      <w:bookmarkStart w:id="198" w:name="_Toc115621719"/>
      <w:bookmarkStart w:id="199" w:name="_Toc432063618"/>
      <w:bookmarkStart w:id="200" w:name="_Toc178478206"/>
      <w:bookmarkStart w:id="201" w:name="_Toc535218243"/>
      <w:bookmarkStart w:id="202" w:name="_Toc178397228"/>
      <w:bookmarkEnd w:id="199"/>
      <w:bookmarkEnd w:id="200"/>
      <w:bookmarkEnd w:id="201"/>
      <w:bookmarkEnd w:id="202"/>
      <w:r>
        <w:rPr>
          <w:rFonts w:cs="Arial" w:ascii="Arial" w:hAnsi="Arial"/>
          <w:sz w:val="24"/>
          <w:szCs w:val="24"/>
        </w:rPr>
        <w:t>Dokumenty budowy</w:t>
      </w:r>
      <w:bookmarkEnd w:id="198"/>
    </w:p>
    <w:p>
      <w:pPr>
        <w:pStyle w:val="SpecyfikacjaSSTpodkrelenie"/>
        <w:ind w:start="426" w:end="423"/>
        <w:rPr>
          <w:rFonts w:ascii="Arial" w:hAnsi="Arial" w:cs="Arial"/>
          <w:sz w:val="24"/>
          <w:szCs w:val="24"/>
        </w:rPr>
      </w:pPr>
      <w:r>
        <w:rPr>
          <w:rFonts w:cs="Arial" w:ascii="Arial" w:hAnsi="Arial"/>
          <w:bCs/>
          <w:color w:val="365F91"/>
          <w:sz w:val="24"/>
          <w:szCs w:val="24"/>
        </w:rPr>
        <w:t>Dziennik budowy</w:t>
      </w:r>
    </w:p>
    <w:p>
      <w:pPr>
        <w:pStyle w:val="SpecyfikacjaSSTpodstawowy"/>
        <w:ind w:firstLine="282" w:start="426" w:end="423"/>
        <w:jc w:val="start"/>
        <w:rPr>
          <w:rFonts w:ascii="Arial" w:hAnsi="Arial" w:cs="Arial"/>
        </w:rPr>
      </w:pPr>
      <w:r>
        <w:rPr>
          <w:rFonts w:cs="Arial" w:ascii="Arial" w:hAnsi="Arial"/>
        </w:rPr>
        <w:t xml:space="preserve">Dziennik budowy jest wymaganym dokumentem prawnym obowiązującym Inwestora i Wykonawcę w okresie trwania budowy. Obowiązek prowadzenia dziennika budowy spoczywa na Wykonawcy. </w:t>
      </w:r>
    </w:p>
    <w:p>
      <w:pPr>
        <w:pStyle w:val="SpecyfikacjaSSTpodstawowy"/>
        <w:ind w:start="426" w:end="423"/>
        <w:jc w:val="start"/>
        <w:rPr>
          <w:rFonts w:ascii="Arial" w:hAnsi="Arial" w:cs="Arial"/>
        </w:rPr>
      </w:pPr>
      <w:r>
        <w:rPr>
          <w:rFonts w:cs="Arial" w:ascii="Arial" w:hAnsi="Arial"/>
        </w:rPr>
        <w:t xml:space="preserve">Zapisy w dzienniku budowy będą dokonywane na bieżąco i będą dotyczyć przebiegu robót, stanu bezpieczeństwa ludzi i mienia oraz technicznej i ekonomicznej strony budowy. Każdy zapis w dzienniku budowy będzie opatrzony datą jego dokonania, podpisem osoby, która dokonała zapisu, z podaniem imienia i nazwiska oraz stanowiska służbowego. Zapisy będą czytelne, dokonywane trwałą techniką, w porządku chronologicznym, bezpośrednio jeden po drugim, bez przerw. </w:t>
      </w:r>
    </w:p>
    <w:p>
      <w:pPr>
        <w:pStyle w:val="SpecyfikacjaSSTpodstawowy"/>
        <w:ind w:start="426" w:end="423"/>
        <w:jc w:val="start"/>
        <w:rPr>
          <w:rFonts w:ascii="Arial" w:hAnsi="Arial" w:cs="Arial"/>
        </w:rPr>
      </w:pPr>
      <w:r>
        <w:rPr>
          <w:rFonts w:cs="Arial" w:ascii="Arial" w:hAnsi="Arial"/>
        </w:rPr>
        <w:t>Załączone do dziennika budowy protokoły i inne dokumenty będą oznaczone kolejnym numerem załącznika, opatrzone datą i podpisem Wykonawcy oraz Inspektora Nadzoru.</w:t>
      </w:r>
    </w:p>
    <w:p>
      <w:pPr>
        <w:pStyle w:val="SpecyfikacjaSSTpodstawowy"/>
        <w:ind w:start="426" w:end="423"/>
        <w:jc w:val="start"/>
        <w:rPr>
          <w:rFonts w:ascii="Arial" w:hAnsi="Arial" w:cs="Arial"/>
        </w:rPr>
      </w:pPr>
      <w:r>
        <w:rPr>
          <w:rFonts w:cs="Arial" w:ascii="Arial" w:hAnsi="Arial"/>
        </w:rPr>
        <w:t>Do dziennika budowy należy wpisywać w szczególności: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przyjęcia placu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przekazania przez Zamawiającego dokumentacji projektowej,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przyjęcia i zakres obowiązków osób funkcyjnych na budowie,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datę rozpoczęcia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uzgodnienie prze Inspektora PZJ i harmonogramów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terminy rozpoczęcia i zakończenia poszczególnych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wyjaśnienia, uwagi i propozycje Wykonawcy,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przebieg robót, trudności i przeszkody w ich prowadzeniu, okresy i przyczyny przerw w robotach,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uwagi i polecenia Inspektora Nadzoru,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daty wstrzymania robót z podaniem przyczyn ich wstrzymania,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zgłoszenia i daty odbioru robót zanikających, ulegających zakryciu, częściowych i końcowych odbiorów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stan pogody i temperatury powietrza w okresie wykonywania robót podlegających ograniczeniom lub wymaganiom szczególnym w związku z warunkami klimatycznymi,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zgodność rzeczywistych warunków geotechnicznych z ich opisem w PB i PW,</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sposobu zabezpieczenia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czynności geodezyjnych dokonywanych przed i w trakcie wykonywania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dane dotyczące jakości materiałów oraz wyniki przeprowadzonych badań z podaniem autora badań,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wyniki prób poszczególnych elementów budowli z podaniem kto je prowadził,</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inne istotne informacje o przebiegu robót.</w:t>
      </w:r>
    </w:p>
    <w:p>
      <w:pPr>
        <w:pStyle w:val="SpecyfikacjaSSTpodstawowy"/>
        <w:ind w:start="426" w:end="423"/>
        <w:jc w:val="start"/>
        <w:rPr>
          <w:rFonts w:ascii="Arial" w:hAnsi="Arial" w:cs="Arial"/>
        </w:rPr>
      </w:pPr>
      <w:r>
        <w:rPr>
          <w:rFonts w:cs="Arial" w:ascii="Arial" w:hAnsi="Arial"/>
        </w:rPr>
        <w:t>Propozycje, uwagi i wyjaśnienia Wykonawcy, wpisane do dziennika budowy będą przedstawione Inspektorowi do akceptacji.</w:t>
      </w:r>
    </w:p>
    <w:p>
      <w:pPr>
        <w:pStyle w:val="SpecyfikacjaSSTpodstawowy"/>
        <w:ind w:start="426" w:end="423"/>
        <w:jc w:val="start"/>
        <w:rPr>
          <w:rFonts w:ascii="Arial" w:hAnsi="Arial" w:cs="Arial"/>
        </w:rPr>
      </w:pPr>
      <w:r>
        <w:rPr>
          <w:rFonts w:cs="Arial" w:ascii="Arial" w:hAnsi="Arial"/>
        </w:rPr>
        <w:t>Decyzje Inspektora wpisane do dziennika budowy Wykonawca podpisuje z uzasadnieniem stanowiska ich przyjęcia.</w:t>
      </w:r>
    </w:p>
    <w:p>
      <w:pPr>
        <w:pStyle w:val="SpecyfikacjaSSTpodstawowy"/>
        <w:ind w:start="426" w:end="423"/>
        <w:jc w:val="start"/>
        <w:rPr>
          <w:rFonts w:ascii="Arial" w:hAnsi="Arial" w:cs="Arial"/>
        </w:rPr>
      </w:pPr>
      <w:r>
        <w:rPr>
          <w:rFonts w:cs="Arial" w:ascii="Arial" w:hAnsi="Arial"/>
        </w:rPr>
        <w:t>Wpis projektanta do dziennika budowy obliguje Inspektora i Wykonawcę do ustosunkowania się do jego treści.</w:t>
      </w:r>
    </w:p>
    <w:p>
      <w:pPr>
        <w:pStyle w:val="SpecyfikacjaSSTpodstawowy"/>
        <w:ind w:start="426" w:end="423"/>
        <w:jc w:val="start"/>
        <w:rPr>
          <w:rFonts w:ascii="Arial" w:hAnsi="Arial" w:cs="Arial"/>
        </w:rPr>
      </w:pPr>
      <w:r>
        <w:rPr>
          <w:rFonts w:cs="Arial" w:ascii="Arial" w:hAnsi="Arial"/>
        </w:rPr>
      </w:r>
    </w:p>
    <w:p>
      <w:pPr>
        <w:pStyle w:val="SpecyfikacjaSSTpodstawowy"/>
        <w:ind w:start="426"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Książka obmiaru robót</w:t>
      </w:r>
    </w:p>
    <w:p>
      <w:pPr>
        <w:pStyle w:val="SpecyfikacjaSSTpodstawowy"/>
        <w:ind w:start="426" w:end="423"/>
        <w:jc w:val="start"/>
        <w:rPr>
          <w:rFonts w:ascii="Arial" w:hAnsi="Arial" w:cs="Arial"/>
        </w:rPr>
      </w:pPr>
      <w:r>
        <w:rPr>
          <w:rFonts w:cs="Arial" w:ascii="Arial" w:hAnsi="Arial"/>
        </w:rPr>
        <w:t>Nie jest wymagana, ale jej założenia może zażądać Inspektor Nadzoru w przypadku robót o dużym stopniu skomplikowania. Książka obmiaru robót będzie wtedy jedynie dokumentem kontrolnym. Nie stanowi ona podstawy do zapłaty za wykonane roboty. Podstawą do wystawienia faktury będzie załączony oryginał protokołu odbioru poszczególnych elementów potwierdzony przez Inspektora Nadzoru w oparciu o procentowe zaawansowanie robót.</w:t>
      </w:r>
    </w:p>
    <w:p>
      <w:pPr>
        <w:pStyle w:val="SpecyfikacjaSSTpodstawowy"/>
        <w:ind w:start="426" w:end="423"/>
        <w:jc w:val="start"/>
        <w:rPr>
          <w:rFonts w:ascii="Arial" w:hAnsi="Arial" w:cs="Arial"/>
        </w:rPr>
      </w:pPr>
      <w:r>
        <w:rPr>
          <w:rFonts w:cs="Arial" w:ascii="Arial" w:hAnsi="Arial"/>
        </w:rPr>
        <w:t>Obmiary wykonanych robót prowadzi się sukcesywnie w jednostkach przyjętych w kosztorysie i w SST.</w:t>
      </w:r>
    </w:p>
    <w:p>
      <w:pPr>
        <w:pStyle w:val="SpecyfikacjaSSTpodstawowy"/>
        <w:ind w:start="426" w:end="423"/>
        <w:jc w:val="start"/>
        <w:rPr>
          <w:rFonts w:ascii="Arial" w:hAnsi="Arial" w:cs="Arial"/>
        </w:rPr>
      </w:pPr>
      <w:r>
        <w:rPr>
          <w:rFonts w:cs="Arial" w:ascii="Arial" w:hAnsi="Arial"/>
        </w:rPr>
        <w:t>Księga obmiaru robót zawiera karty obmiaru robót z:</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numerem kolejnym karty,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podstawą wyceny i opisem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ilością przedmiarową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datą obmiaru,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obmiarem przeprowadzonym zgodnie z zasadami podanymi w pkt. 6 niniejszej OST,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ilością robót wykonanych od początku budowy.</w:t>
      </w:r>
    </w:p>
    <w:p>
      <w:pPr>
        <w:pStyle w:val="SpecyfikacjaSSTpodstawowy"/>
        <w:ind w:start="426" w:end="423"/>
        <w:jc w:val="start"/>
        <w:rPr>
          <w:rFonts w:ascii="Arial" w:hAnsi="Arial" w:cs="Arial"/>
        </w:rPr>
      </w:pPr>
      <w:r>
        <w:rPr>
          <w:rFonts w:cs="Arial" w:ascii="Arial" w:hAnsi="Arial"/>
        </w:rPr>
        <w:t>Księga obmiaru robót (jeśli wymagana) musi być przedstawiona Inspektorowi Nadzoru do sprawdzenia po wykonaniu robót, ale przed ich zakryciem.</w:t>
      </w:r>
    </w:p>
    <w:p>
      <w:pPr>
        <w:pStyle w:val="SpecyfikacjaSSTpodkrelenie"/>
        <w:ind w:start="426" w:end="423"/>
        <w:rPr>
          <w:rFonts w:ascii="Arial" w:hAnsi="Arial" w:cs="Arial"/>
          <w:sz w:val="24"/>
          <w:szCs w:val="24"/>
        </w:rPr>
      </w:pPr>
      <w:r>
        <w:rPr>
          <w:rFonts w:cs="Arial" w:ascii="Arial" w:hAnsi="Arial"/>
          <w:sz w:val="24"/>
          <w:szCs w:val="24"/>
        </w:rPr>
        <w:t>Pozostałe dokumenty budowy</w:t>
      </w:r>
    </w:p>
    <w:p>
      <w:pPr>
        <w:pStyle w:val="SpecyfikacjaSSTpodstawowy"/>
        <w:ind w:start="426" w:end="423"/>
        <w:jc w:val="start"/>
        <w:rPr>
          <w:rFonts w:ascii="Arial" w:hAnsi="Arial" w:cs="Arial"/>
        </w:rPr>
      </w:pPr>
      <w:r>
        <w:rPr>
          <w:rFonts w:cs="Arial" w:ascii="Arial" w:hAnsi="Arial"/>
        </w:rPr>
        <w:t>Do dokumentów budowy zalicza się także: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decyzję o pozwoleniu na budowę,</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 przekazania placu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 – szkic wytyczenia geodezyjnego obiektu w terenie,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inwentaryzacje geodezyjne powykonawcze,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harmonogram budowy,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umowy cywilnoprawne z osobami trzecimi i inne umowy cywilnoprawne,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odbioru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z narad i ustaleń,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dowody przekazania materiałów z demontażu, dowody utylizacji materiałów z demontażu podlegające utylizacji,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korespondencja na budowie.</w:t>
      </w:r>
    </w:p>
    <w:p>
      <w:pPr>
        <w:pStyle w:val="SpecyfikacjaSSTpodstpunkt"/>
        <w:tabs>
          <w:tab w:val="left" w:pos="360" w:leader="none"/>
          <w:tab w:val="left" w:pos="708" w:leader="none"/>
        </w:tabs>
        <w:ind w:end="423"/>
        <w:jc w:val="start"/>
        <w:rPr>
          <w:rFonts w:ascii="Arial" w:hAnsi="Arial" w:cs="Arial"/>
        </w:rPr>
      </w:pPr>
      <w:r>
        <w:rPr>
          <w:rFonts w:cs="Arial" w:ascii="Arial" w:hAnsi="Arial"/>
        </w:rPr>
      </w:r>
    </w:p>
    <w:p>
      <w:pPr>
        <w:pStyle w:val="SpecyfikacjaSSTpodstpunkt"/>
        <w:tabs>
          <w:tab w:val="left" w:pos="360" w:leader="none"/>
          <w:tab w:val="left" w:pos="708" w:leader="none"/>
        </w:tabs>
        <w:ind w:end="423"/>
        <w:jc w:val="start"/>
        <w:rPr>
          <w:rFonts w:ascii="Arial" w:hAnsi="Arial" w:cs="Arial"/>
        </w:rPr>
      </w:pPr>
      <w:r>
        <w:rPr>
          <w:rFonts w:cs="Arial" w:ascii="Arial" w:hAnsi="Arial"/>
        </w:rPr>
      </w:r>
    </w:p>
    <w:p>
      <w:pPr>
        <w:pStyle w:val="SpecyfikacjaSSTpodkrelenie"/>
        <w:ind w:start="426" w:end="423"/>
        <w:rPr>
          <w:rFonts w:ascii="Arial" w:hAnsi="Arial" w:cs="Arial"/>
          <w:sz w:val="24"/>
          <w:szCs w:val="24"/>
        </w:rPr>
      </w:pPr>
      <w:r>
        <w:rPr>
          <w:rFonts w:cs="Arial" w:ascii="Arial" w:hAnsi="Arial"/>
          <w:sz w:val="24"/>
          <w:szCs w:val="24"/>
        </w:rPr>
        <w:t>Przechowywanie dokumentów budowy</w:t>
      </w:r>
    </w:p>
    <w:p>
      <w:pPr>
        <w:pStyle w:val="SpecyfikacjaSSTpodstawowy"/>
        <w:ind w:firstLine="282" w:start="426" w:end="423"/>
        <w:jc w:val="start"/>
        <w:rPr>
          <w:rFonts w:ascii="Arial" w:hAnsi="Arial" w:cs="Arial"/>
        </w:rPr>
      </w:pPr>
      <w:r>
        <w:rPr>
          <w:rFonts w:cs="Arial" w:ascii="Arial" w:hAnsi="Arial"/>
        </w:rPr>
        <w:t>Dokumenty budowy będą przechowywane na terenie budowy w miejscu odpowiednio zabezpieczonym. Zaginięcie któregokolwiek z dokumentów spowoduje jego natychmiastowe odtworzenie w formie przewidzianej prawem.</w:t>
      </w:r>
    </w:p>
    <w:p>
      <w:pPr>
        <w:pStyle w:val="SpecyfikacjaSSTpodstawowy"/>
        <w:ind w:start="426" w:end="423"/>
        <w:jc w:val="start"/>
        <w:rPr>
          <w:rFonts w:ascii="Arial" w:hAnsi="Arial" w:cs="Arial"/>
        </w:rPr>
      </w:pPr>
      <w:r>
        <w:rPr>
          <w:rFonts w:cs="Arial" w:ascii="Arial" w:hAnsi="Arial"/>
        </w:rPr>
        <w:t>Dokumenty budowy będą zawsze dostępne dla Inspektora Nadzoru i przedstawiane do wglądu na życzenie Inwestora.</w:t>
      </w:r>
    </w:p>
    <w:p>
      <w:pPr>
        <w:pStyle w:val="Heading1"/>
        <w:numPr>
          <w:ilvl w:val="0"/>
          <w:numId w:val="13"/>
        </w:numPr>
        <w:ind w:hanging="360" w:start="426" w:end="423"/>
        <w:rPr>
          <w:rFonts w:ascii="Arial" w:hAnsi="Arial" w:cs="Arial"/>
          <w:sz w:val="24"/>
          <w:szCs w:val="24"/>
        </w:rPr>
      </w:pPr>
      <w:bookmarkStart w:id="203" w:name="_Toc115621720"/>
      <w:bookmarkStart w:id="204" w:name="_Hlk500007172"/>
      <w:bookmarkStart w:id="205" w:name="_Toc535218244"/>
      <w:bookmarkEnd w:id="204"/>
      <w:bookmarkEnd w:id="205"/>
      <w:r>
        <w:rPr>
          <w:rFonts w:cs="Arial" w:ascii="Arial" w:hAnsi="Arial"/>
          <w:sz w:val="24"/>
          <w:szCs w:val="24"/>
        </w:rPr>
        <w:t>ODBIÓR ROBÓT</w:t>
      </w:r>
      <w:bookmarkEnd w:id="203"/>
    </w:p>
    <w:p>
      <w:pPr>
        <w:pStyle w:val="ListParagraph"/>
        <w:keepNext w:val="true"/>
        <w:keepLines/>
        <w:numPr>
          <w:ilvl w:val="0"/>
          <w:numId w:val="15"/>
        </w:numPr>
        <w:spacing w:before="40" w:after="0"/>
        <w:ind w:hanging="360" w:start="426" w:end="423"/>
        <w:contextualSpacing/>
        <w:outlineLvl w:val="1"/>
        <w:rPr>
          <w:rFonts w:eastAsia="" w:eastAsiaTheme="majorEastAsia"/>
          <w:color w:themeColor="accent1" w:themeShade="bf" w:val="365F91"/>
          <w:sz w:val="24"/>
          <w:szCs w:val="24"/>
        </w:rPr>
      </w:pPr>
      <w:r>
        <w:rPr>
          <w:rFonts w:eastAsia="" w:eastAsiaTheme="majorEastAsia"/>
          <w:color w:themeColor="accent1" w:themeShade="bf" w:val="365F91"/>
          <w:sz w:val="24"/>
          <w:szCs w:val="24"/>
        </w:rPr>
      </w:r>
      <w:bookmarkStart w:id="206" w:name="_Toc535218245"/>
      <w:bookmarkStart w:id="207" w:name="_Toc521263957"/>
      <w:bookmarkStart w:id="208" w:name="_Toc521263852"/>
      <w:bookmarkStart w:id="209" w:name="_Toc521263645"/>
      <w:bookmarkStart w:id="210" w:name="_Toc521263406"/>
      <w:bookmarkStart w:id="211" w:name="_Toc500006614"/>
      <w:bookmarkStart w:id="212" w:name="_Toc500062357"/>
      <w:bookmarkStart w:id="213" w:name="_Toc500062466"/>
      <w:bookmarkStart w:id="214" w:name="_Toc51793628"/>
      <w:bookmarkStart w:id="215" w:name="_Toc115621721"/>
      <w:bookmarkStart w:id="216" w:name="_Toc535218245"/>
      <w:bookmarkStart w:id="217" w:name="_Toc521263957"/>
      <w:bookmarkStart w:id="218" w:name="_Toc521263852"/>
      <w:bookmarkStart w:id="219" w:name="_Toc521263645"/>
      <w:bookmarkStart w:id="220" w:name="_Toc521263406"/>
      <w:bookmarkStart w:id="221" w:name="_Toc500006614"/>
      <w:bookmarkStart w:id="222" w:name="_Toc500062357"/>
      <w:bookmarkStart w:id="223" w:name="_Toc500062466"/>
      <w:bookmarkStart w:id="224" w:name="_Toc51793628"/>
      <w:bookmarkStart w:id="225" w:name="_Toc115621721"/>
      <w:bookmarkEnd w:id="216"/>
      <w:bookmarkEnd w:id="217"/>
      <w:bookmarkEnd w:id="218"/>
      <w:bookmarkEnd w:id="219"/>
      <w:bookmarkEnd w:id="220"/>
      <w:bookmarkEnd w:id="221"/>
      <w:bookmarkEnd w:id="222"/>
      <w:bookmarkEnd w:id="223"/>
      <w:bookmarkEnd w:id="224"/>
      <w:bookmarkEnd w:id="225"/>
    </w:p>
    <w:p>
      <w:pPr>
        <w:pStyle w:val="Heading2"/>
        <w:numPr>
          <w:ilvl w:val="1"/>
          <w:numId w:val="13"/>
        </w:numPr>
        <w:ind w:hanging="432" w:start="426" w:end="423"/>
        <w:rPr>
          <w:rFonts w:ascii="Arial" w:hAnsi="Arial" w:cs="Arial"/>
          <w:sz w:val="24"/>
          <w:szCs w:val="24"/>
        </w:rPr>
      </w:pPr>
      <w:bookmarkStart w:id="226" w:name="_Toc535218246"/>
      <w:bookmarkStart w:id="227" w:name="_Toc115621722"/>
      <w:r>
        <w:rPr>
          <w:rFonts w:cs="Arial" w:ascii="Arial" w:hAnsi="Arial"/>
          <w:sz w:val="24"/>
          <w:szCs w:val="24"/>
        </w:rPr>
        <w:t>Ogólne zasady odbioru robót podano w ST „Wymagania ogólne"</w:t>
      </w:r>
      <w:bookmarkEnd w:id="226"/>
      <w:bookmarkEnd w:id="227"/>
      <w:r>
        <w:rPr>
          <w:rFonts w:cs="Arial" w:ascii="Arial" w:hAnsi="Arial"/>
          <w:sz w:val="24"/>
          <w:szCs w:val="24"/>
        </w:rPr>
        <w:t xml:space="preserve"> </w:t>
      </w:r>
    </w:p>
    <w:p>
      <w:pPr>
        <w:pStyle w:val="Normal"/>
        <w:ind w:start="426" w:end="423"/>
        <w:rPr>
          <w:sz w:val="24"/>
          <w:szCs w:val="24"/>
        </w:rPr>
      </w:pPr>
      <w:r>
        <w:rPr>
          <w:sz w:val="24"/>
          <w:szCs w:val="24"/>
        </w:rPr>
      </w:r>
    </w:p>
    <w:p>
      <w:pPr>
        <w:pStyle w:val="SpecyfikacjaSSTpodstawowy"/>
        <w:ind w:firstLine="282" w:start="426" w:end="423"/>
        <w:jc w:val="start"/>
        <w:rPr>
          <w:rFonts w:ascii="Arial" w:hAnsi="Arial" w:cs="Arial"/>
        </w:rPr>
      </w:pPr>
      <w:r>
        <w:rPr>
          <w:rFonts w:cs="Arial" w:ascii="Arial" w:hAnsi="Arial"/>
        </w:rPr>
        <w:t>Roboty podlegają następującym odbiorom robót, dokonywanym przez Inspektora:</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robót zanikających,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częściowemu, elementów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końcowemu, ostatecznemu,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po upływie rękojmi,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odbiorowi pogwarancyjnemu po upływie okresu gwarancji.</w:t>
      </w:r>
    </w:p>
    <w:p>
      <w:pPr>
        <w:pStyle w:val="Heading2"/>
        <w:numPr>
          <w:ilvl w:val="1"/>
          <w:numId w:val="13"/>
        </w:numPr>
        <w:ind w:hanging="432" w:start="426" w:end="423"/>
        <w:rPr>
          <w:rFonts w:ascii="Arial" w:hAnsi="Arial" w:cs="Arial"/>
          <w:sz w:val="24"/>
          <w:szCs w:val="24"/>
        </w:rPr>
      </w:pPr>
      <w:bookmarkStart w:id="228" w:name="_Toc115621723"/>
      <w:bookmarkStart w:id="229" w:name="_Toc432063626"/>
      <w:bookmarkStart w:id="230" w:name="_Toc178478213"/>
      <w:bookmarkStart w:id="231" w:name="_Toc535218247"/>
      <w:bookmarkEnd w:id="229"/>
      <w:bookmarkEnd w:id="230"/>
      <w:bookmarkEnd w:id="231"/>
      <w:r>
        <w:rPr>
          <w:rFonts w:cs="Arial" w:ascii="Arial" w:hAnsi="Arial"/>
          <w:sz w:val="24"/>
          <w:szCs w:val="24"/>
        </w:rPr>
        <w:t>Odbiór robót zanikających i ulegających zakryciu</w:t>
      </w:r>
      <w:bookmarkEnd w:id="228"/>
    </w:p>
    <w:p>
      <w:pPr>
        <w:pStyle w:val="SpecyfikacjaSSTpodstawowy"/>
        <w:ind w:firstLine="282" w:start="426" w:end="423"/>
        <w:jc w:val="start"/>
        <w:rPr>
          <w:rFonts w:ascii="Arial" w:hAnsi="Arial" w:cs="Arial"/>
        </w:rPr>
      </w:pPr>
      <w:r>
        <w:rPr>
          <w:rFonts w:cs="Arial" w:ascii="Arial" w:hAnsi="Arial"/>
        </w:rPr>
        <w:t>Odbiór robót zanikających i ulegających zakryciu polega na finalnej ocenie ilości i jakości wykonywanych robót, które w dalszym procesie realizacji ulegną zakryciu.</w:t>
      </w:r>
    </w:p>
    <w:p>
      <w:pPr>
        <w:pStyle w:val="SpecyfikacjaSSTpodstawowy"/>
        <w:ind w:start="426" w:end="423"/>
        <w:jc w:val="start"/>
        <w:rPr>
          <w:rFonts w:ascii="Arial" w:hAnsi="Arial" w:cs="Arial"/>
        </w:rPr>
      </w:pPr>
      <w:r>
        <w:rPr>
          <w:rFonts w:cs="Arial" w:ascii="Arial" w:hAnsi="Arial"/>
        </w:rPr>
        <w:t>Odbiór robót zanikających i ulegających zakryciu będzie dokonany w czasie umożliwiającym wykonanie ewentualnych korekt i poprawek bez hamowania ogólnego postępu robót. Odbioru tego dokonuje Inspektor Nadzoru.</w:t>
      </w:r>
    </w:p>
    <w:p>
      <w:pPr>
        <w:pStyle w:val="SpecyfikacjaSSTpodstawowy"/>
        <w:ind w:start="426" w:end="423"/>
        <w:jc w:val="start"/>
        <w:rPr>
          <w:rFonts w:ascii="Arial" w:hAnsi="Arial" w:cs="Arial"/>
        </w:rPr>
      </w:pPr>
      <w:r>
        <w:rPr>
          <w:rFonts w:cs="Arial" w:ascii="Arial" w:hAnsi="Arial"/>
        </w:rPr>
        <w:t>Gotowość danej części robót zgłasza Wykonawca wpisem do dziennika budowy i jednoczesnym powiadomieniem Inspektora Nadzoru. Odbiór przeprowadzony będzie niezwłocznie, nie później jednak, niż w ciągu 3 dni od daty zgłoszenia wpisem do dziennika budowy i powiadomieniem o tym także Inspektora Nadzoru.</w:t>
      </w:r>
    </w:p>
    <w:p>
      <w:pPr>
        <w:pStyle w:val="SpecyfikacjaSSTpodstawowy"/>
        <w:ind w:start="426" w:end="423"/>
        <w:jc w:val="start"/>
        <w:rPr>
          <w:rFonts w:ascii="Arial" w:hAnsi="Arial" w:cs="Arial"/>
        </w:rPr>
      </w:pPr>
      <w:r>
        <w:rPr>
          <w:rFonts w:cs="Arial" w:ascii="Arial" w:hAnsi="Aria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pPr>
        <w:pStyle w:val="Heading2"/>
        <w:numPr>
          <w:ilvl w:val="1"/>
          <w:numId w:val="13"/>
        </w:numPr>
        <w:ind w:hanging="432" w:start="426" w:end="423"/>
        <w:rPr>
          <w:rFonts w:ascii="Arial" w:hAnsi="Arial" w:cs="Arial"/>
          <w:sz w:val="24"/>
          <w:szCs w:val="24"/>
        </w:rPr>
      </w:pPr>
      <w:bookmarkStart w:id="232" w:name="_Toc115621724"/>
      <w:bookmarkStart w:id="233" w:name="_Hlk500007214"/>
      <w:bookmarkStart w:id="234" w:name="_Toc535218248"/>
      <w:bookmarkEnd w:id="233"/>
      <w:bookmarkEnd w:id="234"/>
      <w:r>
        <w:rPr>
          <w:rFonts w:cs="Arial" w:ascii="Arial" w:hAnsi="Arial"/>
          <w:sz w:val="24"/>
          <w:szCs w:val="24"/>
        </w:rPr>
        <w:t>Warunki odbioru instalacji i urządzeń zasilających</w:t>
      </w:r>
      <w:bookmarkEnd w:id="232"/>
    </w:p>
    <w:p>
      <w:pPr>
        <w:pStyle w:val="Heading3"/>
        <w:numPr>
          <w:ilvl w:val="2"/>
          <w:numId w:val="13"/>
        </w:numPr>
        <w:ind w:hanging="504" w:start="426" w:end="423"/>
        <w:rPr>
          <w:rFonts w:ascii="Arial" w:hAnsi="Arial" w:cs="Arial"/>
        </w:rPr>
      </w:pPr>
      <w:bookmarkStart w:id="235" w:name="_Toc115621725"/>
      <w:bookmarkStart w:id="236" w:name="_Toc521263410"/>
      <w:bookmarkStart w:id="237" w:name="_Toc498678686"/>
      <w:bookmarkStart w:id="238" w:name="_Toc498685995"/>
      <w:bookmarkStart w:id="239" w:name="_Toc500006618"/>
      <w:bookmarkStart w:id="240" w:name="_Toc500062361"/>
      <w:bookmarkStart w:id="241" w:name="_Toc500062470"/>
      <w:bookmarkStart w:id="242" w:name="_Toc535218249"/>
      <w:bookmarkEnd w:id="236"/>
      <w:bookmarkEnd w:id="237"/>
      <w:bookmarkEnd w:id="238"/>
      <w:bookmarkEnd w:id="239"/>
      <w:bookmarkEnd w:id="240"/>
      <w:bookmarkEnd w:id="241"/>
      <w:bookmarkEnd w:id="242"/>
      <w:r>
        <w:rPr>
          <w:rFonts w:cs="Arial" w:ascii="Arial" w:hAnsi="Arial"/>
        </w:rPr>
        <w:t>Odbiór międzyoperacyjny</w:t>
      </w:r>
      <w:bookmarkEnd w:id="235"/>
    </w:p>
    <w:p>
      <w:pPr>
        <w:pStyle w:val="Normal"/>
        <w:shd w:val="clear" w:color="auto" w:fill="FFFFFF"/>
        <w:ind w:firstLine="282" w:start="426" w:end="423"/>
        <w:rPr>
          <w:sz w:val="24"/>
          <w:szCs w:val="24"/>
        </w:rPr>
      </w:pPr>
      <w:r>
        <w:rPr>
          <w:color w:val="000000"/>
          <w:spacing w:val="2"/>
          <w:sz w:val="24"/>
          <w:szCs w:val="24"/>
        </w:rPr>
        <w:t>Odbiór międzyoperacyjny przeprowadzany jest po zakończeniu danego etapu robót mają</w:t>
      </w:r>
      <w:r>
        <w:rPr>
          <w:color w:val="000000"/>
          <w:sz w:val="24"/>
          <w:szCs w:val="24"/>
        </w:rPr>
        <w:t>cych wpływ na wykonanie dalszych prac.</w:t>
      </w:r>
    </w:p>
    <w:p>
      <w:pPr>
        <w:pStyle w:val="Normal"/>
        <w:shd w:val="clear" w:color="auto" w:fill="FFFFFF"/>
        <w:ind w:start="426" w:end="423"/>
        <w:rPr>
          <w:sz w:val="24"/>
          <w:szCs w:val="24"/>
        </w:rPr>
      </w:pPr>
      <w:r>
        <w:rPr>
          <w:color w:val="000000"/>
          <w:sz w:val="24"/>
          <w:szCs w:val="24"/>
        </w:rPr>
        <w:t>Odbiorowi takiemu mogą podlegać m.in.:</w:t>
      </w:r>
    </w:p>
    <w:p>
      <w:pPr>
        <w:pStyle w:val="Normal"/>
        <w:numPr>
          <w:ilvl w:val="0"/>
          <w:numId w:val="3"/>
        </w:numPr>
        <w:shd w:val="clear" w:color="auto" w:fill="FFFFFF"/>
        <w:ind w:hanging="292" w:start="426" w:end="423"/>
        <w:rPr>
          <w:sz w:val="24"/>
          <w:szCs w:val="24"/>
        </w:rPr>
      </w:pPr>
      <w:r>
        <w:rPr>
          <w:color w:val="000000"/>
          <w:sz w:val="24"/>
          <w:szCs w:val="24"/>
        </w:rPr>
        <w:t>przygotowanie podłoża do montażu kabli i przewodów, łączników, gniazd, opraw oświetleniowych, urządzeń i odbiorników energii elektrycznej oraz innego osprzętu,</w:t>
      </w:r>
    </w:p>
    <w:p>
      <w:pPr>
        <w:pStyle w:val="Normal"/>
        <w:numPr>
          <w:ilvl w:val="0"/>
          <w:numId w:val="3"/>
        </w:numPr>
        <w:shd w:val="clear" w:color="auto" w:fill="FFFFFF"/>
        <w:ind w:hanging="292" w:start="426" w:end="423"/>
        <w:rPr>
          <w:sz w:val="24"/>
          <w:szCs w:val="24"/>
        </w:rPr>
      </w:pPr>
      <w:r>
        <w:rPr>
          <w:color w:val="000000"/>
          <w:spacing w:val="4"/>
          <w:sz w:val="24"/>
          <w:szCs w:val="24"/>
        </w:rPr>
        <w:t xml:space="preserve">instalacja, której pełne wykonanie uwarunkowane jest wykonaniem robót przez inne </w:t>
      </w:r>
      <w:r>
        <w:rPr>
          <w:color w:val="000000"/>
          <w:spacing w:val="3"/>
          <w:sz w:val="24"/>
          <w:szCs w:val="24"/>
        </w:rPr>
        <w:t xml:space="preserve">branże lub odwrotnie, gdy prace innych branż wymagają zakończenia robót instalacji </w:t>
      </w:r>
      <w:r>
        <w:rPr>
          <w:color w:val="000000"/>
          <w:sz w:val="24"/>
          <w:szCs w:val="24"/>
        </w:rPr>
        <w:t>elektrycznej np. zasilanie pomp.</w:t>
      </w:r>
    </w:p>
    <w:p>
      <w:pPr>
        <w:pStyle w:val="Heading3"/>
        <w:numPr>
          <w:ilvl w:val="2"/>
          <w:numId w:val="13"/>
        </w:numPr>
        <w:ind w:hanging="504" w:start="426" w:end="423"/>
        <w:rPr>
          <w:rFonts w:ascii="Arial" w:hAnsi="Arial" w:cs="Arial"/>
        </w:rPr>
      </w:pPr>
      <w:bookmarkStart w:id="243" w:name="_Toc115621726"/>
      <w:bookmarkStart w:id="244" w:name="_Toc535218250"/>
      <w:bookmarkEnd w:id="244"/>
      <w:r>
        <w:rPr>
          <w:rFonts w:cs="Arial" w:ascii="Arial" w:hAnsi="Arial"/>
        </w:rPr>
        <w:t>Odbiór częściowy</w:t>
      </w:r>
      <w:bookmarkEnd w:id="243"/>
    </w:p>
    <w:p>
      <w:pPr>
        <w:pStyle w:val="Normal"/>
        <w:shd w:val="clear" w:color="auto" w:fill="FFFFFF"/>
        <w:ind w:firstLine="282" w:start="426" w:end="423"/>
        <w:rPr>
          <w:sz w:val="24"/>
          <w:szCs w:val="24"/>
        </w:rPr>
      </w:pPr>
      <w:r>
        <w:rPr>
          <w:color w:val="000000"/>
          <w:spacing w:val="-1"/>
          <w:sz w:val="24"/>
          <w:szCs w:val="24"/>
        </w:rPr>
        <w:t xml:space="preserve">Należy przeprowadzić badanie pomontażowe częściowe robót zanikających oraz elementów </w:t>
      </w:r>
      <w:r>
        <w:rPr>
          <w:color w:val="000000"/>
          <w:sz w:val="24"/>
          <w:szCs w:val="24"/>
        </w:rPr>
        <w:t>urządzeń, które ulegają zakryciu (np. wszelkie roboty zanikające), uniemożliwiając ocenę prawidłowości ich wykonania po całkowitym ukończeniu prac.</w:t>
      </w:r>
    </w:p>
    <w:p>
      <w:pPr>
        <w:pStyle w:val="Normal"/>
        <w:shd w:val="clear" w:color="auto" w:fill="FFFFFF"/>
        <w:ind w:start="426" w:end="423"/>
        <w:rPr>
          <w:sz w:val="24"/>
          <w:szCs w:val="24"/>
        </w:rPr>
      </w:pPr>
      <w:r>
        <w:rPr>
          <w:color w:val="000000"/>
          <w:sz w:val="24"/>
          <w:szCs w:val="24"/>
        </w:rPr>
        <w:t>Podczas odbioru należy sprawdzić prawidłowość montażu oraz zgodność z obowiązującymi przepisami i projektem:</w:t>
      </w:r>
    </w:p>
    <w:p>
      <w:pPr>
        <w:pStyle w:val="Normal"/>
        <w:numPr>
          <w:ilvl w:val="0"/>
          <w:numId w:val="9"/>
        </w:numPr>
        <w:shd w:val="clear" w:color="auto" w:fill="FFFFFF"/>
        <w:ind w:hanging="360" w:start="426" w:end="423"/>
        <w:rPr>
          <w:sz w:val="24"/>
          <w:szCs w:val="24"/>
        </w:rPr>
      </w:pPr>
      <w:r>
        <w:rPr>
          <w:color w:val="000000"/>
          <w:sz w:val="24"/>
          <w:szCs w:val="24"/>
        </w:rPr>
        <w:t>wydzielonych instalacji wtynkowych i podtynkowych,</w:t>
      </w:r>
    </w:p>
    <w:p>
      <w:pPr>
        <w:pStyle w:val="Heading3"/>
        <w:numPr>
          <w:ilvl w:val="2"/>
          <w:numId w:val="13"/>
        </w:numPr>
        <w:ind w:hanging="504" w:start="426" w:end="423"/>
        <w:rPr>
          <w:rFonts w:ascii="Arial" w:hAnsi="Arial" w:cs="Arial"/>
        </w:rPr>
      </w:pPr>
      <w:bookmarkStart w:id="245" w:name="_Toc115621727"/>
      <w:bookmarkStart w:id="246" w:name="_Toc535218251"/>
      <w:bookmarkEnd w:id="246"/>
      <w:r>
        <w:rPr>
          <w:rFonts w:cs="Arial" w:ascii="Arial" w:hAnsi="Arial"/>
        </w:rPr>
        <w:t>Odbiór końcowy</w:t>
      </w:r>
      <w:bookmarkEnd w:id="245"/>
    </w:p>
    <w:p>
      <w:pPr>
        <w:pStyle w:val="Normal"/>
        <w:shd w:val="clear" w:color="auto" w:fill="FFFFFF"/>
        <w:ind w:firstLine="282" w:start="426" w:end="423"/>
        <w:rPr>
          <w:sz w:val="24"/>
          <w:szCs w:val="24"/>
        </w:rPr>
      </w:pPr>
      <w:r>
        <w:rPr>
          <w:color w:val="000000"/>
          <w:spacing w:val="-1"/>
          <w:sz w:val="24"/>
          <w:szCs w:val="24"/>
        </w:rPr>
        <w:t>Badania pomontażowe jako techniczne sprawdzenie jakości wykonanych robót należy prze</w:t>
      </w:r>
      <w:r>
        <w:rPr>
          <w:color w:val="000000"/>
          <w:spacing w:val="1"/>
          <w:sz w:val="24"/>
          <w:szCs w:val="24"/>
        </w:rPr>
        <w:t>prowadzić po zakończeniu robót elektrycznych przed przekazaniem użytkownikowi urzą</w:t>
      </w:r>
      <w:r>
        <w:rPr>
          <w:color w:val="000000"/>
          <w:spacing w:val="-1"/>
          <w:sz w:val="24"/>
          <w:szCs w:val="24"/>
        </w:rPr>
        <w:t>dzeń zasilających.</w:t>
      </w:r>
    </w:p>
    <w:p>
      <w:pPr>
        <w:pStyle w:val="Normal"/>
        <w:shd w:val="clear" w:color="auto" w:fill="FFFFFF"/>
        <w:ind w:start="426" w:end="423"/>
        <w:rPr>
          <w:sz w:val="24"/>
          <w:szCs w:val="24"/>
        </w:rPr>
      </w:pPr>
      <w:r>
        <w:rPr>
          <w:color w:val="000000"/>
          <w:sz w:val="24"/>
          <w:szCs w:val="24"/>
        </w:rPr>
        <w:t>Zakres badań obejmuje sprawdzenie:</w:t>
      </w:r>
    </w:p>
    <w:p>
      <w:pPr>
        <w:pStyle w:val="Normal"/>
        <w:numPr>
          <w:ilvl w:val="0"/>
          <w:numId w:val="4"/>
        </w:numPr>
        <w:shd w:val="clear" w:color="auto" w:fill="FFFFFF"/>
        <w:ind w:start="426" w:end="423"/>
        <w:rPr>
          <w:sz w:val="24"/>
          <w:szCs w:val="24"/>
        </w:rPr>
      </w:pPr>
      <w:r>
        <w:rPr>
          <w:color w:val="000000"/>
          <w:sz w:val="24"/>
          <w:szCs w:val="24"/>
        </w:rPr>
        <w:t>dla napięć do 1 kV pomiar rezystancji izolacji instalacji,</w:t>
      </w:r>
    </w:p>
    <w:p>
      <w:pPr>
        <w:pStyle w:val="Normal"/>
        <w:numPr>
          <w:ilvl w:val="0"/>
          <w:numId w:val="4"/>
        </w:numPr>
        <w:shd w:val="clear" w:color="auto" w:fill="FFFFFF"/>
        <w:ind w:hanging="288" w:start="426" w:end="423"/>
        <w:rPr>
          <w:sz w:val="24"/>
          <w:szCs w:val="24"/>
        </w:rPr>
      </w:pPr>
      <w:r>
        <w:rPr>
          <w:color w:val="000000"/>
          <w:sz w:val="24"/>
          <w:szCs w:val="24"/>
        </w:rPr>
        <w:t>dla napięć powyżej 1 kV pomiar rezystancji izolacji instalacji oraz sprawdzenie oznaczenia kabla, ciągłości żył i zgodności faz, próba napięciowa kabla. Badania napięciem probierczym wykonuje się tylko jeden raz.</w:t>
      </w:r>
    </w:p>
    <w:p>
      <w:pPr>
        <w:pStyle w:val="Normal"/>
        <w:shd w:val="clear" w:color="auto" w:fill="FFFFFF"/>
        <w:ind w:firstLine="281" w:start="426" w:end="423"/>
        <w:rPr>
          <w:sz w:val="24"/>
          <w:szCs w:val="24"/>
        </w:rPr>
      </w:pPr>
      <w:r>
        <w:rPr>
          <w:color w:val="000000"/>
          <w:spacing w:val="3"/>
          <w:sz w:val="24"/>
          <w:szCs w:val="24"/>
        </w:rPr>
        <w:t xml:space="preserve">Parametry badań oraz sposób przeprowadzenia badań są określone w normach </w:t>
      </w:r>
      <w:r>
        <w:rPr>
          <w:color w:val="000000"/>
          <w:sz w:val="24"/>
          <w:szCs w:val="24"/>
        </w:rPr>
        <w:t>PN-IEC 60364-6-61:2000 i PN-E-04700:1998/Az1:2000.</w:t>
      </w:r>
      <w:r>
        <w:rPr>
          <w:color w:val="000000"/>
          <w:spacing w:val="-1"/>
          <w:sz w:val="24"/>
          <w:szCs w:val="24"/>
        </w:rPr>
        <w:t xml:space="preserve"> -lub norma równorzędna</w:t>
      </w:r>
    </w:p>
    <w:p>
      <w:pPr>
        <w:pStyle w:val="Normal"/>
        <w:shd w:val="clear" w:color="auto" w:fill="FFFFFF"/>
        <w:ind w:start="426" w:end="423"/>
        <w:rPr>
          <w:sz w:val="24"/>
          <w:szCs w:val="24"/>
        </w:rPr>
      </w:pPr>
      <w:r>
        <w:rPr>
          <w:color w:val="000000"/>
          <w:sz w:val="24"/>
          <w:szCs w:val="24"/>
        </w:rPr>
        <w:t>Wyniki badań trzeba zamieścić w protokole odbioru końcowego.</w:t>
      </w:r>
    </w:p>
    <w:p>
      <w:pPr>
        <w:pStyle w:val="Normal"/>
        <w:tabs>
          <w:tab w:val="clear" w:pos="708"/>
          <w:tab w:val="left" w:pos="284" w:leader="none"/>
        </w:tabs>
        <w:rPr>
          <w:sz w:val="24"/>
          <w:szCs w:val="24"/>
        </w:rPr>
      </w:pPr>
      <w:r>
        <w:rPr>
          <w:rFonts w:eastAsia="" w:eastAsiaTheme="majorEastAsia"/>
          <w:color w:themeColor="accent1" w:themeShade="7f" w:val="243F60"/>
          <w:sz w:val="24"/>
          <w:szCs w:val="24"/>
        </w:rPr>
        <w:t xml:space="preserve">6.3.3.1 Pomiar obwodów ochrony przeciwporażeniowej oraz sprawdzenia  działania </w:t>
      </w:r>
    </w:p>
    <w:p>
      <w:pPr>
        <w:pStyle w:val="Normal"/>
        <w:ind w:firstLine="282" w:start="426"/>
        <w:rPr>
          <w:sz w:val="24"/>
          <w:szCs w:val="24"/>
        </w:rPr>
      </w:pPr>
      <w:r>
        <w:rPr>
          <w:sz w:val="24"/>
          <w:szCs w:val="24"/>
        </w:rPr>
        <w:t xml:space="preserve">Po wykonaniu instalacji i urządzeń ochrony przeciwporaż eniowej powinna być przeprowadzona próba montażowa , tj.: </w:t>
      </w:r>
    </w:p>
    <w:p>
      <w:pPr>
        <w:pStyle w:val="Normal"/>
        <w:ind w:start="426"/>
        <w:rPr>
          <w:sz w:val="24"/>
          <w:szCs w:val="24"/>
        </w:rPr>
      </w:pPr>
      <w:r>
        <w:rPr>
          <w:sz w:val="24"/>
          <w:szCs w:val="24"/>
        </w:rPr>
        <w:t>•</w:t>
      </w:r>
      <w:r>
        <w:rPr>
          <w:sz w:val="24"/>
          <w:szCs w:val="24"/>
        </w:rPr>
        <w:t xml:space="preserve">oględziny wykonanej instalacji dodatkowej ochrony przeciwporażeniowej wraz z urządzeniami i aparatami wchodzącymi w jej skład, </w:t>
      </w:r>
    </w:p>
    <w:p>
      <w:pPr>
        <w:pStyle w:val="Normal"/>
        <w:ind w:start="426"/>
        <w:rPr>
          <w:sz w:val="24"/>
          <w:szCs w:val="24"/>
        </w:rPr>
      </w:pPr>
      <w:r>
        <w:rPr>
          <w:sz w:val="24"/>
          <w:szCs w:val="24"/>
        </w:rPr>
        <w:t>•</w:t>
      </w:r>
      <w:r>
        <w:rPr>
          <w:sz w:val="24"/>
          <w:szCs w:val="24"/>
        </w:rPr>
        <w:t xml:space="preserve">pomiary impedancji pętli zwarciowych w instalacji dodatkowej ochrony przeciwporażeniowej – w przypadku zerowania lub uziemienia, (W sieciach z systemem uziemień można dokonać pomiaru rezystancji styków połączenia urządzeń z przewodami uziemiającymi i rezystancji  przewodów uziemiających) </w:t>
      </w:r>
    </w:p>
    <w:p>
      <w:pPr>
        <w:pStyle w:val="Normal"/>
        <w:ind w:start="426"/>
        <w:rPr>
          <w:sz w:val="24"/>
          <w:szCs w:val="24"/>
        </w:rPr>
      </w:pPr>
      <w:r>
        <w:rPr>
          <w:sz w:val="24"/>
          <w:szCs w:val="24"/>
        </w:rPr>
        <w:t>•</w:t>
      </w:r>
      <w:r>
        <w:rPr>
          <w:sz w:val="24"/>
          <w:szCs w:val="24"/>
        </w:rPr>
        <w:t xml:space="preserve">pomiary rezystancji uziemienia, </w:t>
      </w:r>
    </w:p>
    <w:p>
      <w:pPr>
        <w:pStyle w:val="Normal"/>
        <w:ind w:start="426"/>
        <w:rPr>
          <w:sz w:val="24"/>
          <w:szCs w:val="24"/>
        </w:rPr>
      </w:pPr>
      <w:r>
        <w:rPr>
          <w:sz w:val="24"/>
          <w:szCs w:val="24"/>
        </w:rPr>
        <w:t>•</w:t>
      </w:r>
      <w:r>
        <w:rPr>
          <w:sz w:val="24"/>
          <w:szCs w:val="24"/>
        </w:rPr>
        <w:t xml:space="preserve">pomiary napięć dotykowych i krokowych rażenia w instalacji uziemień ochronnych urządzeń o napięciu powyżej 1 kV. </w:t>
      </w:r>
    </w:p>
    <w:p>
      <w:pPr>
        <w:pStyle w:val="Normal"/>
        <w:ind w:start="426"/>
        <w:rPr>
          <w:sz w:val="24"/>
          <w:szCs w:val="24"/>
        </w:rPr>
      </w:pPr>
      <w:r>
        <w:rPr>
          <w:sz w:val="24"/>
          <w:szCs w:val="24"/>
        </w:rPr>
        <w:t xml:space="preserve">UWAGA </w:t>
      </w:r>
    </w:p>
    <w:p>
      <w:pPr>
        <w:pStyle w:val="Normal"/>
        <w:ind w:start="426"/>
        <w:rPr>
          <w:sz w:val="24"/>
          <w:szCs w:val="24"/>
        </w:rPr>
      </w:pPr>
      <w:r>
        <w:rPr>
          <w:sz w:val="24"/>
          <w:szCs w:val="24"/>
        </w:rPr>
        <w:t xml:space="preserve">W tablicy przez pomiar rezystancji izolacji pomiędzy przewodami roboczymi a ziemią przewody ochronne PE należy traktować jako ziemię a przewód N jako przewód roboczy. </w:t>
      </w:r>
    </w:p>
    <w:p>
      <w:pPr>
        <w:pStyle w:val="Normal"/>
        <w:ind w:start="426"/>
        <w:rPr>
          <w:sz w:val="24"/>
          <w:szCs w:val="24"/>
        </w:rPr>
      </w:pPr>
      <w:r>
        <w:rPr>
          <w:sz w:val="24"/>
          <w:szCs w:val="24"/>
        </w:rPr>
        <w:t xml:space="preserve">Próba działania wyłącznika różnicowoprądowego testerem instalacji jest jednocześnie próba ciągłości przewodów ochronnych. </w:t>
      </w:r>
    </w:p>
    <w:p>
      <w:pPr>
        <w:pStyle w:val="Normal"/>
        <w:ind w:start="426"/>
        <w:rPr>
          <w:sz w:val="24"/>
          <w:szCs w:val="24"/>
        </w:rPr>
      </w:pPr>
      <w:r>
        <w:rPr>
          <w:sz w:val="24"/>
          <w:szCs w:val="24"/>
        </w:rPr>
        <w:t>Na podstawie oględzin instalacji dodatkowej ochrony przeciwporażeniowej należy sprawdzić, czy została ona wykonana zgodnie z dokumentacja techniczną.  Pomiary impedancji pętli zwarciowych należy przeprowadzić z zachowaniem przepisów bezpieczeństwa dla wszystkich zerowanych urządzeń lub uziemień</w:t>
      </w:r>
    </w:p>
    <w:p>
      <w:pPr>
        <w:pStyle w:val="Normal"/>
        <w:ind w:start="426"/>
        <w:rPr>
          <w:sz w:val="24"/>
          <w:szCs w:val="24"/>
        </w:rPr>
      </w:pPr>
      <w:r>
        <w:rPr>
          <w:sz w:val="24"/>
          <w:szCs w:val="24"/>
        </w:rPr>
        <w:t xml:space="preserve">. Protokół pomiaru skuteczności ochrony przed porażeniem powinien zawierać dokładne określenie badanego odbiornika, wymaganą krotność prądu zabezpieczenia, zmierzony prąd zwarciowy, zmierzoną impedancję pętli zwarciowej oraz wnioski. </w:t>
      </w:r>
    </w:p>
    <w:p>
      <w:pPr>
        <w:pStyle w:val="Normal"/>
        <w:shd w:val="clear" w:color="auto" w:fill="FFFFFF"/>
        <w:ind w:start="426" w:end="423"/>
        <w:rPr>
          <w:sz w:val="24"/>
          <w:szCs w:val="24"/>
        </w:rPr>
      </w:pPr>
      <w:r>
        <w:rPr>
          <w:color w:val="000000"/>
          <w:sz w:val="24"/>
          <w:szCs w:val="24"/>
        </w:rPr>
        <w:t xml:space="preserve">Równocześnie w protokóle należy uwidocznić stosowaną metodę pomiarową, typ i numer aparatu pomiarowego. </w:t>
      </w:r>
    </w:p>
    <w:p>
      <w:pPr>
        <w:pStyle w:val="Heading3"/>
        <w:numPr>
          <w:ilvl w:val="2"/>
          <w:numId w:val="13"/>
        </w:numPr>
        <w:ind w:hanging="504" w:start="426" w:end="423"/>
        <w:rPr>
          <w:rFonts w:ascii="Arial" w:hAnsi="Arial" w:cs="Arial"/>
        </w:rPr>
      </w:pPr>
      <w:bookmarkStart w:id="247" w:name="_Toc115621728"/>
      <w:bookmarkStart w:id="248" w:name="_Toc432063629"/>
      <w:bookmarkStart w:id="249" w:name="_Toc178478216"/>
      <w:bookmarkStart w:id="250" w:name="_Toc535218252"/>
      <w:bookmarkEnd w:id="248"/>
      <w:bookmarkEnd w:id="249"/>
      <w:bookmarkEnd w:id="250"/>
      <w:r>
        <w:rPr>
          <w:rFonts w:cs="Arial" w:ascii="Arial" w:hAnsi="Arial"/>
        </w:rPr>
        <w:t>Odbiór pogwarancyjny</w:t>
      </w:r>
      <w:bookmarkEnd w:id="247"/>
    </w:p>
    <w:p>
      <w:pPr>
        <w:pStyle w:val="-AKAPIT"/>
        <w:spacing w:lineRule="auto" w:line="240" w:before="0" w:after="0"/>
        <w:ind w:start="426" w:end="423"/>
        <w:jc w:val="start"/>
        <w:rPr>
          <w:rFonts w:ascii="Arial" w:hAnsi="Arial" w:cs="Arial"/>
          <w:sz w:val="24"/>
          <w:szCs w:val="24"/>
        </w:rPr>
      </w:pPr>
      <w:r>
        <w:rPr>
          <w:rFonts w:cs="Arial" w:ascii="Arial" w:hAnsi="Arial"/>
          <w:i w:val="false"/>
          <w:sz w:val="24"/>
          <w:szCs w:val="24"/>
        </w:rPr>
        <w:tab/>
        <w:t>Odbiór ostateczny (pogwarancyjny) polega na ocenie zachowania wymaganej jakości elementów robót w okresie gwarancyjnym oraz prac związanych z usuwaniem wad ujawnionych w tym okresie.</w:t>
      </w:r>
    </w:p>
    <w:p>
      <w:pPr>
        <w:pStyle w:val="Heading3"/>
        <w:numPr>
          <w:ilvl w:val="2"/>
          <w:numId w:val="13"/>
        </w:numPr>
        <w:ind w:hanging="504" w:start="426" w:end="423"/>
        <w:rPr>
          <w:rFonts w:ascii="Arial" w:hAnsi="Arial" w:cs="Arial"/>
        </w:rPr>
      </w:pPr>
      <w:bookmarkStart w:id="251" w:name="_Toc115621729"/>
      <w:bookmarkStart w:id="252" w:name="_Toc432063630"/>
      <w:bookmarkStart w:id="253" w:name="_Toc178478217"/>
      <w:bookmarkStart w:id="254" w:name="_Toc535218253"/>
      <w:bookmarkEnd w:id="252"/>
      <w:bookmarkEnd w:id="253"/>
      <w:bookmarkEnd w:id="254"/>
      <w:r>
        <w:rPr>
          <w:rFonts w:cs="Arial" w:ascii="Arial" w:hAnsi="Arial"/>
        </w:rPr>
        <w:t>Dokumenty odbioru ostatecznego</w:t>
      </w:r>
      <w:bookmarkEnd w:id="251"/>
    </w:p>
    <w:p>
      <w:pPr>
        <w:pStyle w:val="SpecyfikacjaSSTpodstawowy"/>
        <w:ind w:firstLine="282" w:start="426" w:end="423"/>
        <w:jc w:val="start"/>
        <w:rPr>
          <w:rFonts w:ascii="Arial" w:hAnsi="Arial" w:cs="Arial"/>
        </w:rPr>
      </w:pPr>
      <w:r>
        <w:rPr>
          <w:rFonts w:cs="Arial" w:ascii="Arial" w:hAnsi="Arial"/>
        </w:rPr>
        <w:t>Podstawowym dokumentem do dokonania odbioru ostatecznego robót jest protokół odbioru ostatecznego sporządzony wg wzoru ustalonego przez Inwestora.</w:t>
      </w:r>
    </w:p>
    <w:p>
      <w:pPr>
        <w:pStyle w:val="SpecyfikacjaSSTpodstawowy"/>
        <w:ind w:start="426" w:end="423"/>
        <w:jc w:val="start"/>
        <w:rPr>
          <w:rFonts w:ascii="Arial" w:hAnsi="Arial" w:cs="Arial"/>
        </w:rPr>
      </w:pPr>
      <w:r>
        <w:rPr>
          <w:rFonts w:cs="Arial" w:ascii="Arial" w:hAnsi="Arial"/>
        </w:rPr>
        <w:t>Do odbioru ostatecznego Wykonawca jest zobowiązany przygotować operat kolaudacyjny zawierający: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Dokumentację powykonawczą, tj. dokumentację budowy z naniesionymi zmianami dokonanymi w toku wykonania robót oraz geodezyjnymi pomiarami powykonawczymi,</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Szczegółowe specyfikacje techniczne (podstawowe z dokumentów umowy i ew. uzupełniające lub zamienne),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odbioru robót ulegających zakryciu i zanikających,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Protokoły odbiorów częściowych,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Recepty i ustalenia technologiczne,</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Dziennik budowy – oryginał i kopię,</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Książki obmiarów robót,</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Oświadczenia osób funkcyjnych na budowie wymagane Prawem Budowlanym,</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Protokóły prób, badań i sprawdzeń,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Instrukcje obsługi, eksploatacji, konserwacji wbudowanych urządzeń, zaleceń eksploatacyjnych,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Wykaz przekazywanych kluczy,</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Wyniki pomiarów kontrolnych oraz badań i oznaczeń laboratoryjnych, zgodne z SST i programem zapewnienia jakości (PZJ),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Deklaracje zgodności lub certyfikaty zgodności wbudowanych materiałów, certyfikaty na znak bezpieczeństwa zgodnie z SST i programem zabezpieczenia jakości (PZJ),</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Sprawozdania techniczne z prób ruchowych,</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Rysunki (dokumentacje) na wykonanie robót towarzyszących (np. na przełożenie linii telefonicznej, energetycznej, gazowej, oświetlenia itp.) oraz protokoły odbioru i przekazania tych robót właścicielom urządzeń,</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Geodezyjną inwentaryzację powykonawczą robót i sieci uzbrojenia terenu,</w:t>
      </w:r>
    </w:p>
    <w:p>
      <w:pPr>
        <w:pStyle w:val="SpecyfikacjaSSTpodstpunkt"/>
        <w:numPr>
          <w:ilvl w:val="0"/>
          <w:numId w:val="16"/>
        </w:numPr>
        <w:tabs>
          <w:tab w:val="left" w:pos="360" w:leader="none"/>
          <w:tab w:val="left" w:pos="708" w:leader="none"/>
        </w:tabs>
        <w:ind w:hanging="360" w:start="426" w:end="423"/>
        <w:jc w:val="start"/>
        <w:rPr>
          <w:rFonts w:ascii="Arial" w:hAnsi="Arial" w:cs="Arial"/>
        </w:rPr>
      </w:pPr>
      <w:r>
        <w:rPr>
          <w:rFonts w:cs="Arial" w:ascii="Arial" w:hAnsi="Arial"/>
        </w:rPr>
        <w:t>Kopię mapy zasadniczej powstałej w wyniku geodezyjnej inwentaryzacji powykonawczej.</w:t>
      </w:r>
    </w:p>
    <w:p>
      <w:pPr>
        <w:pStyle w:val="SpecyfikacjaSSTpodstawowy"/>
        <w:ind w:start="426" w:end="423"/>
        <w:jc w:val="start"/>
        <w:rPr>
          <w:rFonts w:ascii="Arial" w:hAnsi="Arial" w:cs="Arial"/>
        </w:rPr>
      </w:pPr>
      <w:r>
        <w:rPr>
          <w:rFonts w:cs="Arial" w:ascii="Arial" w:hAnsi="Arial"/>
        </w:rPr>
        <w:t>W przypadku, gdy zdaniem komisji, roboty pod względem przygotowania dokumentacyjnego nie będą gotowe do odbioru ostatecznego, komisja w porozumieniu z Wykonawcą wyznaczy ponowny termin tego odbioru.</w:t>
      </w:r>
    </w:p>
    <w:p>
      <w:pPr>
        <w:pStyle w:val="SpecyfikacjaSSTpodstawowy"/>
        <w:ind w:start="426" w:end="423"/>
        <w:jc w:val="start"/>
        <w:rPr>
          <w:rFonts w:ascii="Arial" w:hAnsi="Arial" w:cs="Arial"/>
        </w:rPr>
      </w:pPr>
      <w:r>
        <w:rPr>
          <w:rFonts w:cs="Arial" w:ascii="Arial" w:hAnsi="Arial"/>
        </w:rPr>
        <w:t>Wszystkie zarządzone przez komisję roboty poprawkowe lub uzupełniające będą zestawione wg wzoru ustalonego przez Inwestora, wykonane i zgłoszone pismem przez Wykonawcę do odbioru w terminie ustalonym przez komisję.</w:t>
      </w:r>
    </w:p>
    <w:p>
      <w:pPr>
        <w:pStyle w:val="Heading1"/>
        <w:numPr>
          <w:ilvl w:val="0"/>
          <w:numId w:val="13"/>
        </w:numPr>
        <w:ind w:hanging="360" w:start="426" w:end="423"/>
        <w:rPr>
          <w:rFonts w:ascii="Arial" w:hAnsi="Arial" w:cs="Arial"/>
          <w:sz w:val="24"/>
          <w:szCs w:val="24"/>
        </w:rPr>
      </w:pPr>
      <w:bookmarkStart w:id="255" w:name="_Toc115621730"/>
      <w:bookmarkStart w:id="256" w:name="_Hlk500007272"/>
      <w:bookmarkStart w:id="257" w:name="_Toc535218254"/>
      <w:bookmarkEnd w:id="256"/>
      <w:bookmarkEnd w:id="257"/>
      <w:r>
        <w:rPr>
          <w:rFonts w:cs="Arial" w:ascii="Arial" w:hAnsi="Arial"/>
          <w:sz w:val="24"/>
          <w:szCs w:val="24"/>
        </w:rPr>
        <w:t>PODSTAWA ROZLICZENIA ROBOT</w:t>
      </w:r>
      <w:bookmarkStart w:id="258" w:name="_Toc535218255"/>
      <w:bookmarkStart w:id="259" w:name="_Toc521263967"/>
      <w:bookmarkStart w:id="260" w:name="_Toc521263862"/>
      <w:bookmarkStart w:id="261" w:name="_Toc521263655"/>
      <w:bookmarkStart w:id="262" w:name="_Toc521263418"/>
      <w:bookmarkStart w:id="263" w:name="_Toc498678692"/>
      <w:bookmarkStart w:id="264" w:name="_Toc498686001"/>
      <w:bookmarkStart w:id="265" w:name="_Toc500006626"/>
      <w:bookmarkStart w:id="266" w:name="_Toc500062369"/>
      <w:bookmarkStart w:id="267" w:name="_Toc500062478"/>
      <w:bookmarkStart w:id="268" w:name="_Toc51793638"/>
      <w:bookmarkStart w:id="269" w:name="_Toc115621731"/>
      <w:bookmarkStart w:id="270" w:name="_Toc535218256"/>
      <w:bookmarkStart w:id="271" w:name="_Toc521263968"/>
      <w:bookmarkStart w:id="272" w:name="_Toc521263863"/>
      <w:bookmarkStart w:id="273" w:name="_Toc521263656"/>
      <w:bookmarkStart w:id="274" w:name="_Toc521263419"/>
      <w:bookmarkStart w:id="275" w:name="_Toc500006627"/>
      <w:bookmarkStart w:id="276" w:name="_Toc500062370"/>
      <w:bookmarkStart w:id="277" w:name="_Toc500062479"/>
      <w:bookmarkStart w:id="278" w:name="_Toc51793639"/>
      <w:bookmarkStart w:id="279" w:name="_Toc115621732"/>
      <w:bookmarkStart w:id="280" w:name="_Toc535218266"/>
      <w:bookmarkStart w:id="281" w:name="_Toc521263978"/>
      <w:bookmarkStart w:id="282" w:name="_Toc521263873"/>
      <w:bookmarkStart w:id="283" w:name="_Toc521263666"/>
      <w:bookmarkStart w:id="284" w:name="_Toc521263429"/>
      <w:bookmarkStart w:id="285" w:name="_Toc500006637"/>
      <w:bookmarkStart w:id="286" w:name="_Toc500062380"/>
      <w:bookmarkStart w:id="287" w:name="_Toc500062489"/>
      <w:bookmarkStart w:id="288" w:name="_Toc51793649"/>
      <w:bookmarkStart w:id="289" w:name="_Toc115621742"/>
      <w:bookmarkEnd w:id="255"/>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Pr>
        <w:pStyle w:val="Heading2"/>
        <w:numPr>
          <w:ilvl w:val="1"/>
          <w:numId w:val="13"/>
        </w:numPr>
        <w:ind w:hanging="432" w:start="426" w:end="423"/>
        <w:rPr>
          <w:rFonts w:ascii="Arial" w:hAnsi="Arial" w:cs="Arial"/>
          <w:sz w:val="24"/>
          <w:szCs w:val="24"/>
        </w:rPr>
      </w:pPr>
      <w:bookmarkStart w:id="290" w:name="_Toc115621743"/>
      <w:bookmarkStart w:id="291" w:name="_Toc535218267"/>
      <w:bookmarkEnd w:id="291"/>
      <w:r>
        <w:rPr>
          <w:rFonts w:cs="Arial" w:ascii="Arial" w:hAnsi="Arial"/>
          <w:sz w:val="24"/>
          <w:szCs w:val="24"/>
        </w:rPr>
        <w:t>Zasady rozliczenia i płatności</w:t>
      </w:r>
      <w:bookmarkEnd w:id="290"/>
    </w:p>
    <w:p>
      <w:pPr>
        <w:pStyle w:val="Normal"/>
        <w:shd w:val="clear" w:color="auto" w:fill="FFFFFF"/>
        <w:ind w:firstLine="282" w:start="426" w:end="423"/>
        <w:rPr>
          <w:sz w:val="24"/>
          <w:szCs w:val="24"/>
        </w:rPr>
      </w:pPr>
      <w:r>
        <w:rPr>
          <w:color w:val="000000"/>
          <w:spacing w:val="1"/>
          <w:sz w:val="24"/>
          <w:szCs w:val="24"/>
        </w:rPr>
        <w:t xml:space="preserve">Rozliczenie robót montażowych instalacji elektrycznych może być dokonane jednorazowo </w:t>
      </w:r>
      <w:r>
        <w:rPr>
          <w:color w:val="000000"/>
          <w:spacing w:val="4"/>
          <w:sz w:val="24"/>
          <w:szCs w:val="24"/>
        </w:rPr>
        <w:t xml:space="preserve">po wykonaniu pełnego zakresu robót i ich końcowym odbiorze lub etapami określonymi </w:t>
      </w:r>
      <w:r>
        <w:rPr>
          <w:color w:val="000000"/>
          <w:sz w:val="24"/>
          <w:szCs w:val="24"/>
        </w:rPr>
        <w:t>w umowie, po dokonaniu odbiorów częściowych robót.</w:t>
      </w:r>
    </w:p>
    <w:p>
      <w:pPr>
        <w:pStyle w:val="Normal"/>
        <w:shd w:val="clear" w:color="auto" w:fill="FFFFFF"/>
        <w:ind w:start="426" w:end="423"/>
        <w:rPr>
          <w:sz w:val="24"/>
          <w:szCs w:val="24"/>
        </w:rPr>
      </w:pPr>
      <w:r>
        <w:rPr>
          <w:color w:val="000000"/>
          <w:sz w:val="24"/>
          <w:szCs w:val="24"/>
        </w:rPr>
        <w:t>Ostateczne rozliczenie umowy pomiędzy zamawiającym a wykonawcą następuje po do</w:t>
      </w:r>
      <w:r>
        <w:rPr>
          <w:color w:val="000000"/>
          <w:spacing w:val="-1"/>
          <w:sz w:val="24"/>
          <w:szCs w:val="24"/>
        </w:rPr>
        <w:t>konaniu odbioru pogwarancyjnego.</w:t>
      </w:r>
    </w:p>
    <w:p>
      <w:pPr>
        <w:pStyle w:val="Normal"/>
        <w:shd w:val="clear" w:color="auto" w:fill="FFFFFF"/>
        <w:ind w:start="426" w:end="423"/>
        <w:rPr>
          <w:sz w:val="24"/>
          <w:szCs w:val="24"/>
        </w:rPr>
      </w:pPr>
      <w:r>
        <w:rPr>
          <w:color w:val="000000"/>
          <w:spacing w:val="2"/>
          <w:sz w:val="24"/>
          <w:szCs w:val="24"/>
        </w:rPr>
        <w:t xml:space="preserve">Podstawę rozliczenia oraz płatności wykonanego i odebranego zakresu robót stanowi </w:t>
      </w:r>
      <w:r>
        <w:rPr>
          <w:color w:val="000000"/>
          <w:sz w:val="24"/>
          <w:szCs w:val="24"/>
        </w:rPr>
        <w:t>wartość tych robót obliczona na podstawie:</w:t>
      </w:r>
    </w:p>
    <w:p>
      <w:pPr>
        <w:pStyle w:val="Normal"/>
        <w:numPr>
          <w:ilvl w:val="0"/>
          <w:numId w:val="3"/>
        </w:numPr>
        <w:shd w:val="clear" w:color="auto" w:fill="FFFFFF"/>
        <w:ind w:hanging="292" w:start="426" w:end="423"/>
        <w:rPr>
          <w:sz w:val="24"/>
          <w:szCs w:val="24"/>
        </w:rPr>
      </w:pPr>
      <w:r>
        <w:rPr>
          <w:color w:val="000000"/>
          <w:sz w:val="24"/>
          <w:szCs w:val="24"/>
        </w:rPr>
        <w:t>określonych w dokumentach umownych (ofercie) cen jednostkowych i ilości robót zaakceptowanych przez zamawiającego lub</w:t>
      </w:r>
    </w:p>
    <w:p>
      <w:pPr>
        <w:pStyle w:val="Normal"/>
        <w:numPr>
          <w:ilvl w:val="0"/>
          <w:numId w:val="3"/>
        </w:numPr>
        <w:shd w:val="clear" w:color="auto" w:fill="FFFFFF"/>
        <w:ind w:start="426" w:end="423"/>
        <w:rPr>
          <w:sz w:val="24"/>
          <w:szCs w:val="24"/>
        </w:rPr>
      </w:pPr>
      <w:r>
        <w:rPr>
          <w:color w:val="000000"/>
          <w:sz w:val="24"/>
          <w:szCs w:val="24"/>
        </w:rPr>
        <w:t>ustalonej w umowie kwoty ryczałtowej za określony zakres robót.</w:t>
      </w:r>
    </w:p>
    <w:p>
      <w:pPr>
        <w:pStyle w:val="Normal"/>
        <w:shd w:val="clear" w:color="auto" w:fill="FFFFFF"/>
        <w:ind w:start="426" w:end="423"/>
        <w:rPr>
          <w:sz w:val="24"/>
          <w:szCs w:val="24"/>
        </w:rPr>
      </w:pPr>
      <w:r>
        <w:rPr>
          <w:color w:val="000000"/>
          <w:spacing w:val="1"/>
          <w:sz w:val="24"/>
          <w:szCs w:val="24"/>
        </w:rPr>
        <w:t>Ceny jednostkowe wykonania, robót instalacji elektrycznych lub kwoty ryczałtowe obej</w:t>
      </w:r>
      <w:r>
        <w:rPr>
          <w:color w:val="000000"/>
          <w:sz w:val="24"/>
          <w:szCs w:val="24"/>
        </w:rPr>
        <w:t>mujące roboty instalacyjne uwzględniają również:</w:t>
      </w:r>
    </w:p>
    <w:p>
      <w:pPr>
        <w:pStyle w:val="Normal"/>
        <w:numPr>
          <w:ilvl w:val="0"/>
          <w:numId w:val="4"/>
        </w:numPr>
        <w:shd w:val="clear" w:color="auto" w:fill="FFFFFF"/>
        <w:ind w:start="426" w:end="423"/>
        <w:rPr>
          <w:sz w:val="24"/>
          <w:szCs w:val="24"/>
        </w:rPr>
      </w:pPr>
      <w:r>
        <w:rPr>
          <w:color w:val="000000"/>
          <w:sz w:val="24"/>
          <w:szCs w:val="24"/>
        </w:rPr>
        <w:t>przygotowanie stanowiska roboczego,</w:t>
      </w:r>
    </w:p>
    <w:p>
      <w:pPr>
        <w:pStyle w:val="Normal"/>
        <w:numPr>
          <w:ilvl w:val="0"/>
          <w:numId w:val="4"/>
        </w:numPr>
        <w:shd w:val="clear" w:color="auto" w:fill="FFFFFF"/>
        <w:ind w:start="426" w:end="423"/>
        <w:rPr>
          <w:sz w:val="24"/>
          <w:szCs w:val="24"/>
        </w:rPr>
      </w:pPr>
      <w:r>
        <w:rPr>
          <w:color w:val="000000"/>
          <w:sz w:val="24"/>
          <w:szCs w:val="24"/>
        </w:rPr>
        <w:t>dostarczenie do stanowiska roboczego materiałów, narzędzi i sprzętu,</w:t>
      </w:r>
    </w:p>
    <w:p>
      <w:pPr>
        <w:pStyle w:val="Normal"/>
        <w:numPr>
          <w:ilvl w:val="0"/>
          <w:numId w:val="4"/>
        </w:numPr>
        <w:shd w:val="clear" w:color="auto" w:fill="FFFFFF"/>
        <w:ind w:start="426" w:end="423"/>
        <w:rPr>
          <w:sz w:val="24"/>
          <w:szCs w:val="24"/>
        </w:rPr>
      </w:pPr>
      <w:r>
        <w:rPr>
          <w:color w:val="000000"/>
          <w:sz w:val="24"/>
          <w:szCs w:val="24"/>
        </w:rPr>
        <w:t>obsługę sprzętu nie posiadającego etatowej obsługi,</w:t>
      </w:r>
    </w:p>
    <w:p>
      <w:pPr>
        <w:pStyle w:val="Normal"/>
        <w:numPr>
          <w:ilvl w:val="0"/>
          <w:numId w:val="4"/>
        </w:numPr>
        <w:shd w:val="clear" w:color="auto" w:fill="FFFFFF"/>
        <w:ind w:hanging="288" w:start="426" w:end="423"/>
        <w:rPr>
          <w:sz w:val="24"/>
          <w:szCs w:val="24"/>
        </w:rPr>
      </w:pPr>
      <w:r>
        <w:rPr>
          <w:color w:val="000000"/>
          <w:sz w:val="24"/>
          <w:szCs w:val="24"/>
        </w:rPr>
        <w:t>ustawienie i przestawienie drabin oraz lekkich rusztowań przesławnych umożliwiających wykonanie robót na wysokości do 4 m (jeśli taka konieczność występuje),</w:t>
      </w:r>
    </w:p>
    <w:p>
      <w:pPr>
        <w:pStyle w:val="Normal"/>
        <w:numPr>
          <w:ilvl w:val="0"/>
          <w:numId w:val="4"/>
        </w:numPr>
        <w:shd w:val="clear" w:color="auto" w:fill="FFFFFF"/>
        <w:ind w:start="426" w:end="423"/>
        <w:rPr>
          <w:sz w:val="24"/>
          <w:szCs w:val="24"/>
        </w:rPr>
      </w:pPr>
      <w:r>
        <w:rPr>
          <w:color w:val="000000"/>
          <w:sz w:val="24"/>
          <w:szCs w:val="24"/>
        </w:rPr>
        <w:t>usunięcie wad i usterek oraz naprawienie uszkodzeń powstałych w czasie robót,</w:t>
      </w:r>
    </w:p>
    <w:p>
      <w:pPr>
        <w:pStyle w:val="Normal"/>
        <w:numPr>
          <w:ilvl w:val="0"/>
          <w:numId w:val="4"/>
        </w:numPr>
        <w:shd w:val="clear" w:color="auto" w:fill="FFFFFF"/>
        <w:ind w:start="426" w:end="423"/>
        <w:rPr>
          <w:sz w:val="24"/>
          <w:szCs w:val="24"/>
        </w:rPr>
      </w:pPr>
      <w:r>
        <w:rPr>
          <w:color w:val="000000"/>
          <w:sz w:val="24"/>
          <w:szCs w:val="24"/>
        </w:rPr>
        <w:t>uporządkowanie miejsca wykonywania robót,</w:t>
      </w:r>
    </w:p>
    <w:p>
      <w:pPr>
        <w:pStyle w:val="Normal"/>
        <w:numPr>
          <w:ilvl w:val="0"/>
          <w:numId w:val="4"/>
        </w:numPr>
        <w:shd w:val="clear" w:color="auto" w:fill="FFFFFF"/>
        <w:ind w:hanging="288" w:start="426" w:end="423"/>
        <w:rPr>
          <w:sz w:val="24"/>
          <w:szCs w:val="24"/>
        </w:rPr>
      </w:pPr>
      <w:r>
        <w:rPr>
          <w:color w:val="000000"/>
          <w:spacing w:val="2"/>
          <w:sz w:val="24"/>
          <w:szCs w:val="24"/>
        </w:rPr>
        <w:t xml:space="preserve">usunięcie pozostałości, resztek i odpadów materiałów w sposób podany w specyfikacji </w:t>
      </w:r>
      <w:r>
        <w:rPr>
          <w:color w:val="000000"/>
          <w:sz w:val="24"/>
          <w:szCs w:val="24"/>
        </w:rPr>
        <w:t>technicznej szczegółowej,</w:t>
      </w:r>
    </w:p>
    <w:p>
      <w:pPr>
        <w:pStyle w:val="Normal"/>
        <w:numPr>
          <w:ilvl w:val="0"/>
          <w:numId w:val="4"/>
        </w:numPr>
        <w:shd w:val="clear" w:color="auto" w:fill="FFFFFF"/>
        <w:ind w:start="426" w:end="423"/>
        <w:rPr>
          <w:sz w:val="24"/>
          <w:szCs w:val="24"/>
        </w:rPr>
      </w:pPr>
      <w:r>
        <w:rPr>
          <w:color w:val="000000"/>
          <w:sz w:val="24"/>
          <w:szCs w:val="24"/>
        </w:rPr>
        <w:t>likwidację stanowiska roboczego.</w:t>
      </w:r>
    </w:p>
    <w:p>
      <w:pPr>
        <w:pStyle w:val="Normal"/>
        <w:shd w:val="clear" w:color="auto" w:fill="FFFFFF"/>
        <w:ind w:start="426" w:end="423"/>
        <w:rPr>
          <w:sz w:val="24"/>
          <w:szCs w:val="24"/>
        </w:rPr>
      </w:pPr>
      <w:r>
        <w:rPr>
          <w:color w:val="000000"/>
          <w:spacing w:val="-1"/>
          <w:sz w:val="24"/>
          <w:szCs w:val="24"/>
        </w:rPr>
        <w:t xml:space="preserve">W kwotach ryczałtowych ujęte są również koszty montażu, demontażu i pracy rusztowań </w:t>
      </w:r>
      <w:r>
        <w:rPr>
          <w:color w:val="000000"/>
          <w:sz w:val="24"/>
          <w:szCs w:val="24"/>
        </w:rPr>
        <w:t>niezbędnych do wykonania robót na wysokości do 4 m od poziomu terenu.</w:t>
      </w:r>
    </w:p>
    <w:p>
      <w:pPr>
        <w:pStyle w:val="Normal"/>
        <w:shd w:val="clear" w:color="auto" w:fill="FFFFFF"/>
        <w:ind w:start="426" w:end="423"/>
        <w:rPr>
          <w:sz w:val="24"/>
          <w:szCs w:val="24"/>
        </w:rPr>
      </w:pPr>
      <w:r>
        <w:rPr>
          <w:color w:val="000000"/>
          <w:sz w:val="24"/>
          <w:szCs w:val="24"/>
        </w:rPr>
        <w:t>Przy rozliczaniu robót według uzgodnionych cen jednostkowych koszty niezbędnych rusztowań mogą być uwzględnione w tych cenach lub stanowić podstawę oddzielnej płatno</w:t>
      </w:r>
      <w:r>
        <w:rPr>
          <w:color w:val="000000"/>
          <w:spacing w:val="1"/>
          <w:sz w:val="24"/>
          <w:szCs w:val="24"/>
        </w:rPr>
        <w:t xml:space="preserve">ści. Sposób rozliczenia kosztów montażu, demontażu i pracy rusztowań koniecznych do </w:t>
      </w:r>
      <w:r>
        <w:rPr>
          <w:color w:val="000000"/>
          <w:sz w:val="24"/>
          <w:szCs w:val="24"/>
        </w:rPr>
        <w:t>wykonywania robót na wysokości powyżej 4 m, należy ustalić w postanowieniach pkt. 9 specyfikacji technicznej (szczegółowej) SST robót w zakresie instalacji oraz opraw elektrycznych opracowanej dla realizowanego przedmiotu zamówienia.</w:t>
      </w:r>
    </w:p>
    <w:p>
      <w:pPr>
        <w:pStyle w:val="Normal"/>
        <w:shd w:val="clear" w:color="auto" w:fill="FFFFFF"/>
        <w:ind w:start="426" w:end="423"/>
        <w:rPr>
          <w:sz w:val="24"/>
          <w:szCs w:val="24"/>
        </w:rPr>
      </w:pPr>
      <w:r>
        <w:rPr>
          <w:sz w:val="24"/>
          <w:szCs w:val="24"/>
        </w:rPr>
      </w:r>
    </w:p>
    <w:p>
      <w:pPr>
        <w:pStyle w:val="Heading1"/>
        <w:numPr>
          <w:ilvl w:val="0"/>
          <w:numId w:val="13"/>
        </w:numPr>
        <w:ind w:hanging="360" w:start="426" w:end="423"/>
        <w:rPr>
          <w:rFonts w:ascii="Arial" w:hAnsi="Arial" w:cs="Arial"/>
          <w:sz w:val="24"/>
          <w:szCs w:val="24"/>
        </w:rPr>
      </w:pPr>
      <w:r>
        <w:rPr>
          <w:rFonts w:cs="Arial" w:ascii="Arial" w:hAnsi="Arial"/>
          <w:sz w:val="24"/>
          <w:szCs w:val="24"/>
        </w:rPr>
        <w:t xml:space="preserve"> </w:t>
      </w:r>
      <w:bookmarkStart w:id="292" w:name="_Toc535218268"/>
      <w:bookmarkStart w:id="293" w:name="_Toc115621744"/>
      <w:r>
        <w:rPr>
          <w:rFonts w:cs="Arial" w:ascii="Arial" w:hAnsi="Arial"/>
          <w:sz w:val="24"/>
          <w:szCs w:val="24"/>
        </w:rPr>
        <w:t>DOKUMENTY</w:t>
      </w:r>
      <w:bookmarkEnd w:id="292"/>
      <w:bookmarkEnd w:id="293"/>
      <w:r>
        <w:rPr>
          <w:rFonts w:cs="Arial" w:ascii="Arial" w:hAnsi="Arial"/>
          <w:sz w:val="24"/>
          <w:szCs w:val="24"/>
        </w:rPr>
        <w:t xml:space="preserve"> </w:t>
      </w:r>
    </w:p>
    <w:p>
      <w:pPr>
        <w:pStyle w:val="Heading2"/>
        <w:numPr>
          <w:ilvl w:val="1"/>
          <w:numId w:val="13"/>
        </w:numPr>
        <w:ind w:hanging="432" w:start="426" w:end="423"/>
        <w:rPr>
          <w:rFonts w:ascii="Arial" w:hAnsi="Arial" w:cs="Arial"/>
          <w:sz w:val="24"/>
          <w:szCs w:val="24"/>
        </w:rPr>
      </w:pPr>
      <w:bookmarkStart w:id="294" w:name="_Toc115621758"/>
      <w:bookmarkStart w:id="295" w:name="_Toc535218269"/>
      <w:bookmarkStart w:id="296" w:name="_Toc521263981"/>
      <w:bookmarkStart w:id="297" w:name="_Toc521263876"/>
      <w:bookmarkStart w:id="298" w:name="_Toc521263669"/>
      <w:bookmarkStart w:id="299" w:name="_Toc521263432"/>
      <w:bookmarkStart w:id="300" w:name="_Toc498678703"/>
      <w:bookmarkStart w:id="301" w:name="_Toc498686012"/>
      <w:bookmarkStart w:id="302" w:name="_Toc500006640"/>
      <w:bookmarkStart w:id="303" w:name="_Toc500062383"/>
      <w:bookmarkStart w:id="304" w:name="_Toc500062492"/>
      <w:bookmarkStart w:id="305" w:name="_Toc51793652"/>
      <w:bookmarkStart w:id="306" w:name="_Toc115621745"/>
      <w:bookmarkStart w:id="307" w:name="_Toc535218282"/>
      <w:bookmarkEnd w:id="295"/>
      <w:bookmarkEnd w:id="296"/>
      <w:bookmarkEnd w:id="297"/>
      <w:bookmarkEnd w:id="298"/>
      <w:bookmarkEnd w:id="299"/>
      <w:bookmarkEnd w:id="300"/>
      <w:bookmarkEnd w:id="301"/>
      <w:bookmarkEnd w:id="302"/>
      <w:bookmarkEnd w:id="303"/>
      <w:bookmarkEnd w:id="304"/>
      <w:bookmarkEnd w:id="305"/>
      <w:bookmarkEnd w:id="306"/>
      <w:bookmarkEnd w:id="307"/>
      <w:r>
        <w:rPr>
          <w:rFonts w:cs="Arial" w:ascii="Arial" w:hAnsi="Arial"/>
          <w:sz w:val="24"/>
          <w:szCs w:val="24"/>
        </w:rPr>
        <w:t>Normy</w:t>
      </w:r>
      <w:bookmarkEnd w:id="294"/>
    </w:p>
    <w:p>
      <w:pPr>
        <w:pStyle w:val="Normal"/>
        <w:shd w:val="clear" w:color="auto" w:fill="FFFFFF"/>
        <w:ind w:start="426" w:end="423"/>
        <w:rPr>
          <w:b/>
          <w:bCs/>
          <w:color w:val="000000"/>
          <w:spacing w:val="-2"/>
          <w:sz w:val="24"/>
          <w:szCs w:val="24"/>
        </w:rPr>
      </w:pPr>
      <w:r>
        <w:rPr>
          <w:b/>
          <w:bCs/>
          <w:color w:val="000000"/>
          <w:spacing w:val="-2"/>
          <w:sz w:val="24"/>
          <w:szCs w:val="24"/>
        </w:rPr>
      </w:r>
    </w:p>
    <w:tbl>
      <w:tblPr>
        <w:tblW w:w="9406" w:type="dxa"/>
        <w:jc w:val="start"/>
        <w:tblInd w:w="0" w:type="dxa"/>
        <w:tblLayout w:type="fixed"/>
        <w:tblCellMar>
          <w:top w:w="0" w:type="dxa"/>
          <w:start w:w="103" w:type="dxa"/>
          <w:bottom w:w="0" w:type="dxa"/>
          <w:end w:w="108" w:type="dxa"/>
        </w:tblCellMar>
        <w:tblLook w:firstRow="1" w:noVBand="0" w:lastRow="1" w:firstColumn="1" w:lastColumn="1" w:noHBand="0" w:val="01e0"/>
      </w:tblPr>
      <w:tblGrid>
        <w:gridCol w:w="2660"/>
        <w:gridCol w:w="6745"/>
      </w:tblGrid>
      <w:tr>
        <w:trPr/>
        <w:tc>
          <w:tcPr>
            <w:tcW w:w="2660"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1"/>
                <w:sz w:val="24"/>
                <w:szCs w:val="24"/>
              </w:rPr>
              <w:t>PN-IEC 60364-1:2000</w:t>
            </w:r>
          </w:p>
          <w:p>
            <w:pPr>
              <w:pStyle w:val="Normal"/>
              <w:ind w:start="426" w:end="423"/>
              <w:rPr>
                <w:b/>
                <w:bCs/>
                <w:color w:val="000000"/>
                <w:spacing w:val="-2"/>
                <w:sz w:val="24"/>
                <w:szCs w:val="24"/>
              </w:rPr>
            </w:pPr>
            <w:r>
              <w:rPr>
                <w:b/>
                <w:bCs/>
                <w:color w:val="000000"/>
                <w:spacing w:val="-2"/>
                <w:sz w:val="24"/>
                <w:szCs w:val="24"/>
              </w:rPr>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3"/>
                <w:sz w:val="24"/>
                <w:szCs w:val="24"/>
              </w:rPr>
              <w:t xml:space="preserve">Instalacje elektryczne w obiektach budowlanych. Zakres, </w:t>
            </w:r>
            <w:r>
              <w:rPr>
                <w:color w:val="000000"/>
                <w:spacing w:val="-1"/>
                <w:sz w:val="24"/>
                <w:szCs w:val="24"/>
              </w:rPr>
              <w:t>przedmiot i wymagania podstawowe.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60364-4-41:2000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Instalacje elektryczne w obiektach budowlanych. Ochrona dla zapewnienia bezpieczeństwa. Ochrona przeciwporażeniowa.</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60364-4-42:1999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Instalacje elektryczne w obiektach budowlanych. Ochrona dla zapewnienia bezpieczeństwa. Ochrona przed skutkami oddziaływania cieplnego.</w:t>
            </w:r>
            <w:r>
              <w:rPr>
                <w:color w:val="000000"/>
                <w:spacing w:val="-1"/>
                <w:sz w:val="24"/>
                <w:szCs w:val="24"/>
              </w:rPr>
              <w:t xml:space="preserve"> -lub norma równorzędna</w:t>
            </w:r>
          </w:p>
        </w:tc>
      </w:tr>
      <w:tr>
        <w:trPr>
          <w:trHeight w:val="466" w:hRule="atLeast"/>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60364-4-43:1999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Ochrona dla zapewnienia bezpieczeństwa. Ochrona przed prądem przetę</w:t>
            </w:r>
            <w:r>
              <w:rPr>
                <w:color w:val="000000"/>
                <w:spacing w:val="-2"/>
                <w:sz w:val="24"/>
                <w:szCs w:val="24"/>
              </w:rPr>
              <w:t>żeniowym.</w:t>
            </w:r>
            <w:r>
              <w:rPr>
                <w:color w:val="000000"/>
                <w:spacing w:val="-1"/>
                <w:sz w:val="24"/>
                <w:szCs w:val="24"/>
              </w:rPr>
              <w:t xml:space="preserve"> -lub norma równorzędna</w:t>
            </w:r>
          </w:p>
        </w:tc>
      </w:tr>
      <w:tr>
        <w:trPr>
          <w:trHeight w:val="415" w:hRule="atLeast"/>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60364-4-46:1999</w:t>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z w:val="24"/>
                <w:szCs w:val="24"/>
              </w:rPr>
              <w:t xml:space="preserve">Instalacje elektryczne w obiektach budowlanych. Ochrona dla </w:t>
            </w:r>
            <w:r>
              <w:rPr>
                <w:color w:val="000000"/>
                <w:spacing w:val="-1"/>
                <w:sz w:val="24"/>
                <w:szCs w:val="24"/>
              </w:rPr>
              <w:t>zapewnienia bezpieczeństwa. Odłączanie izolacyjne i łączenie.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3"/>
                <w:sz w:val="24"/>
                <w:szCs w:val="24"/>
              </w:rPr>
              <w:t>PN-IEC 60364-4-47:2001</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Instalacje elektryczne w obiektach budowlanych. Ochrona dla </w:t>
            </w:r>
            <w:r>
              <w:rPr>
                <w:color w:val="000000"/>
                <w:spacing w:val="-1"/>
                <w:sz w:val="24"/>
                <w:szCs w:val="24"/>
              </w:rPr>
              <w:t xml:space="preserve">zapewnienia bezpieczeństwa. Stosowanie środków ochrony dla </w:t>
            </w:r>
            <w:r>
              <w:rPr>
                <w:color w:val="000000"/>
                <w:spacing w:val="1"/>
                <w:sz w:val="24"/>
                <w:szCs w:val="24"/>
              </w:rPr>
              <w:t xml:space="preserve">zapewnienia bezpieczeństwa. Postanowienia ogólne. Środki </w:t>
            </w:r>
            <w:r>
              <w:rPr>
                <w:color w:val="000000"/>
                <w:sz w:val="24"/>
                <w:szCs w:val="24"/>
              </w:rPr>
              <w:t>ochrony przed porażeniem prądem elektrycznym.</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60364-5-51: 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taż wyposażenia elektrycznego. Postanowienia ogólne.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60364-5-52:2002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taż wyposażenia elektrycznego. Oprzewodowanie.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60364-5-523:2001</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Dobór i mon</w:t>
            </w:r>
            <w:r>
              <w:rPr>
                <w:color w:val="000000"/>
                <w:sz w:val="24"/>
                <w:szCs w:val="24"/>
              </w:rPr>
              <w:t>taż wyposażenia elektrycznego. Obciążalność prądowa długo</w:t>
            </w:r>
            <w:r>
              <w:rPr>
                <w:color w:val="000000"/>
                <w:spacing w:val="-1"/>
                <w:sz w:val="24"/>
                <w:szCs w:val="24"/>
              </w:rPr>
              <w:t>trwała przewodów.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60364-5-53:2000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Dobór i montaż </w:t>
            </w:r>
            <w:r>
              <w:rPr>
                <w:color w:val="000000"/>
                <w:spacing w:val="-4"/>
                <w:sz w:val="24"/>
                <w:szCs w:val="24"/>
              </w:rPr>
              <w:t>wyposażenia elektrycznego. Aparatura rozdzielcza i sterownicza.</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60364-5-54:1999</w:t>
            </w:r>
          </w:p>
        </w:tc>
        <w:tc>
          <w:tcPr>
            <w:tcW w:w="6745"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2"/>
                <w:sz w:val="24"/>
                <w:szCs w:val="24"/>
              </w:rPr>
              <w:t>Instalacje elektryczne w obiektach budowlanych. Dobór i montaż wyposażenia elektrycznego. Uziemienia i przewody ochronne.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PN-IEC 60364-5-559:2003</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Instalacje elektryczne w obiektach budowlanych. Dobór i mon</w:t>
            </w:r>
            <w:r>
              <w:rPr>
                <w:color w:val="000000"/>
                <w:sz w:val="24"/>
                <w:szCs w:val="24"/>
              </w:rPr>
              <w:t xml:space="preserve">taż wyposażenia elektrycznego. Inne wyposażenie. Oprawy </w:t>
            </w:r>
            <w:r>
              <w:rPr>
                <w:color w:val="000000"/>
                <w:spacing w:val="-1"/>
                <w:sz w:val="24"/>
                <w:szCs w:val="24"/>
              </w:rPr>
              <w:t>oświetleniowe i instalacje oświetleniowe.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60364-5-56:1999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Instalacje elektryczne w obiektach budowlanych. Dobór i mon</w:t>
            </w:r>
            <w:r>
              <w:rPr>
                <w:color w:val="000000"/>
                <w:sz w:val="24"/>
                <w:szCs w:val="24"/>
              </w:rPr>
              <w:t xml:space="preserve">taż wyposażenia elektrycznego. Instalacje bezpieczeństwa. </w:t>
            </w:r>
            <w:r>
              <w:rPr>
                <w:color w:val="000000"/>
                <w:spacing w:val="-1"/>
                <w:sz w:val="24"/>
                <w:szCs w:val="24"/>
              </w:rPr>
              <w:t>-lub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PN-IEC 60364-6-61:2000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Instalacje elektryczne w obiektach budowlanych. Sprawdzanie. </w:t>
            </w:r>
            <w:r>
              <w:rPr>
                <w:color w:val="000000"/>
                <w:spacing w:val="-1"/>
                <w:sz w:val="24"/>
                <w:szCs w:val="24"/>
              </w:rPr>
              <w:t>Sprawdzanie odbiorcze.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60364-7-701:1999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z w:val="24"/>
                <w:szCs w:val="24"/>
              </w:rPr>
              <w:t xml:space="preserve">dotyczące specjalnych instalacji lub lokalizacji. Pomieszczenia </w:t>
            </w:r>
            <w:r>
              <w:rPr>
                <w:color w:val="000000"/>
                <w:spacing w:val="-1"/>
                <w:sz w:val="24"/>
                <w:szCs w:val="24"/>
              </w:rPr>
              <w:t>wyposażone w wannę lub/i basen natryskowy.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60364-7-702:1999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pacing w:val="-1"/>
                <w:sz w:val="24"/>
                <w:szCs w:val="24"/>
              </w:rPr>
              <w:t>dotyczące specjalnych instalacji lub lokalizacji. Baseny pływac</w:t>
            </w:r>
            <w:r>
              <w:rPr>
                <w:color w:val="000000"/>
                <w:spacing w:val="-2"/>
                <w:sz w:val="24"/>
                <w:szCs w:val="24"/>
              </w:rPr>
              <w:t>kie i inne.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4"/>
                <w:sz w:val="24"/>
                <w:szCs w:val="24"/>
              </w:rPr>
              <w:t>PN-IEC 60364-7-702:1999/</w:t>
            </w:r>
            <w:r>
              <w:rPr>
                <w:color w:val="000000"/>
                <w:spacing w:val="-3"/>
                <w:sz w:val="24"/>
                <w:szCs w:val="24"/>
              </w:rPr>
              <w:t xml:space="preserve"> Ap1:2002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4"/>
                <w:sz w:val="24"/>
                <w:szCs w:val="24"/>
              </w:rPr>
              <w:t>Instalacje elektryczne w obiektach budowlanych. Wymagania</w:t>
            </w:r>
            <w:r>
              <w:rPr>
                <w:color w:val="000000"/>
                <w:sz w:val="24"/>
                <w:szCs w:val="24"/>
              </w:rPr>
              <w:t xml:space="preserve"> </w:t>
            </w:r>
            <w:r>
              <w:rPr>
                <w:color w:val="000000"/>
                <w:spacing w:val="1"/>
                <w:sz w:val="24"/>
                <w:szCs w:val="24"/>
              </w:rPr>
              <w:t>dotyczące specjalnych instalacji lub lokalizacji. Baseny pływac</w:t>
            </w:r>
            <w:r>
              <w:rPr>
                <w:color w:val="000000"/>
                <w:spacing w:val="-2"/>
                <w:sz w:val="24"/>
                <w:szCs w:val="24"/>
              </w:rPr>
              <w:t>kie i inne.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60364-7-704:1999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pacing w:val="-1"/>
                <w:sz w:val="24"/>
                <w:szCs w:val="24"/>
              </w:rPr>
              <w:t>dotyczące specjalnych instalacji lub lokalizacji. Instalacje na terenie budowy i rozbiórki.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60364-7-705:1999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Instalacje elektryczne w obiektach budowlanych. Wymagania </w:t>
            </w:r>
            <w:r>
              <w:rPr>
                <w:color w:val="000000"/>
                <w:sz w:val="24"/>
                <w:szCs w:val="24"/>
              </w:rPr>
              <w:t>dotyczące specjalnych instalacji lub lokalizacji. Instalacje elektryczne w gospodarstwach rolniczych i ogrodniczych.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PN-IEC 60898:2000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Wyłączniki do zabezpieczeń przetę</w:t>
            </w:r>
            <w:r>
              <w:rPr>
                <w:color w:val="000000"/>
                <w:sz w:val="24"/>
                <w:szCs w:val="24"/>
              </w:rPr>
              <w:t>żeniowych instalacji domowych i podobnych.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lang w:val="de-DE"/>
              </w:rPr>
              <w:t>PN-EN 50146:2002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Wyposażenie do mocowania kabli w instalacji elektrycznych.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PN-EN 60445:2002</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 xml:space="preserve">Zasady podstawowe i bezpieczeństwa przy współdziałaniu </w:t>
            </w:r>
            <w:r>
              <w:rPr>
                <w:color w:val="000000"/>
                <w:sz w:val="24"/>
                <w:szCs w:val="24"/>
              </w:rPr>
              <w:t xml:space="preserve">człowieka z maszyną, oznaczanie i identyfikacja. Oznaczenia identyfikacyjne zacisków urządzeń i zakończeń żył przewodów </w:t>
            </w:r>
            <w:r>
              <w:rPr>
                <w:color w:val="000000"/>
                <w:spacing w:val="-1"/>
                <w:sz w:val="24"/>
                <w:szCs w:val="24"/>
              </w:rPr>
              <w:t>oraz ogólne zasady systemu alfanumerycznego.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60446:2004</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Zasady podstawowe i bezpieczeństwa przy współdziałaniu człowieka z maszyną, oznaczanie i identyfikacja. Oznaczenia </w:t>
            </w:r>
            <w:r>
              <w:rPr>
                <w:color w:val="000000"/>
                <w:spacing w:val="-1"/>
                <w:sz w:val="24"/>
                <w:szCs w:val="24"/>
              </w:rPr>
              <w:t>identyfikacyjne przewodów barwami albo cyframi.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60529:2003</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Stopnie ochrony zapewnianej przez obudowy (Kod IP).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60664-1:2003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Koordynacja izolacji urządzeń elektrycznych w układach niskiego napięcia. Część 1: Zasady, wymagania i badania.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60670-1:2005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Puszki i obudowy do sprzętu elektroinstalacyjnego do użytku domowego i podobnego. Część 1: Wymagania ogólne.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60799:2004</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Przewody przyłączeniowe i przewo</w:t>
            </w:r>
            <w:r>
              <w:rPr>
                <w:color w:val="000000"/>
                <w:spacing w:val="-1"/>
                <w:sz w:val="24"/>
                <w:szCs w:val="24"/>
              </w:rPr>
              <w:t>dy pośredniczące.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shd w:val="clear" w:color="auto" w:fill="FFFFFF"/>
              <w:ind w:start="426" w:end="423"/>
              <w:rPr>
                <w:sz w:val="24"/>
                <w:szCs w:val="24"/>
              </w:rPr>
            </w:pPr>
            <w:r>
              <w:rPr>
                <w:color w:val="000000"/>
                <w:spacing w:val="-2"/>
                <w:sz w:val="24"/>
                <w:szCs w:val="24"/>
                <w:lang w:val="de-DE"/>
              </w:rPr>
              <w:t>PN-EN 60898-1:2003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Wyłączniki do zabezpieczeń przetężeniowych instalacji domowych i podobnych. Część 1: Wyłączniki do obwodów prądu przemiennego.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PN-EN 60898-1:2003/</w:t>
            </w:r>
          </w:p>
          <w:p>
            <w:pPr>
              <w:pStyle w:val="Normal"/>
              <w:ind w:start="426" w:end="423"/>
              <w:rPr>
                <w:sz w:val="24"/>
                <w:szCs w:val="24"/>
              </w:rPr>
            </w:pPr>
            <w:r>
              <w:rPr>
                <w:color w:val="000000"/>
                <w:spacing w:val="3"/>
                <w:sz w:val="24"/>
                <w:szCs w:val="24"/>
              </w:rPr>
              <w:t>A1:2005(U)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do zabezpieczeń przetę</w:t>
            </w:r>
            <w:r>
              <w:rPr>
                <w:color w:val="000000"/>
                <w:spacing w:val="-1"/>
                <w:sz w:val="24"/>
                <w:szCs w:val="24"/>
              </w:rPr>
              <w:t>żeniowych instalacji domowych i podobnych. Część 1: Wyłączniki do obwodów prądu przemiennego (Zmiana A1).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PN-EN 60898-1:2003/</w:t>
            </w:r>
          </w:p>
          <w:p>
            <w:pPr>
              <w:pStyle w:val="Normal"/>
              <w:ind w:start="426" w:end="423"/>
              <w:rPr>
                <w:sz w:val="24"/>
                <w:szCs w:val="24"/>
              </w:rPr>
            </w:pPr>
            <w:r>
              <w:rPr>
                <w:color w:val="000000"/>
                <w:spacing w:val="-1"/>
                <w:sz w:val="24"/>
                <w:szCs w:val="24"/>
                <w:lang w:val="de-DE"/>
              </w:rPr>
              <w:t>AC:2005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do zabezpieczeń przetę</w:t>
            </w:r>
            <w:r>
              <w:rPr>
                <w:color w:val="000000"/>
                <w:spacing w:val="-1"/>
                <w:sz w:val="24"/>
                <w:szCs w:val="24"/>
              </w:rPr>
              <w:t>żeniowych instalacji domowych i podobnych. Część 1: Wyłączniki do obwodów prądu przemiennego.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61008-1:2005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Sprzęt elektroinstalacyjny. Wyłączniki różnicowoprądowe bez wbudowanego zabezpieczenia nadprądowego do użytku do</w:t>
            </w:r>
            <w:r>
              <w:rPr>
                <w:color w:val="000000"/>
                <w:spacing w:val="-1"/>
                <w:sz w:val="24"/>
                <w:szCs w:val="24"/>
              </w:rPr>
              <w:t>mowego i podobnego (RCCB). Część 1: Postanowienia ogólne.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lang w:val="de-DE"/>
              </w:rPr>
              <w:t>PN-EN 61009-1:2005 (U)</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3"/>
                <w:sz w:val="24"/>
                <w:szCs w:val="24"/>
              </w:rPr>
              <w:t>Sprzęt elektroinstalacyjny. Wyłączniki różnicowoprądowe z wbu</w:t>
            </w:r>
            <w:r>
              <w:rPr>
                <w:color w:val="000000"/>
                <w:spacing w:val="-1"/>
                <w:sz w:val="24"/>
                <w:szCs w:val="24"/>
              </w:rPr>
              <w:t xml:space="preserve">dowanym zabezpieczeniem nadprądowym do użytku domowego </w:t>
            </w:r>
            <w:r>
              <w:rPr>
                <w:color w:val="000000"/>
                <w:spacing w:val="-3"/>
                <w:sz w:val="24"/>
                <w:szCs w:val="24"/>
              </w:rPr>
              <w:t>i podobnego (RCBO). Część 1: Postanowienia ogólne.</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PN-E-04700:1998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6"/>
                <w:sz w:val="24"/>
                <w:szCs w:val="24"/>
              </w:rPr>
              <w:t>Urządzenia i układy elektryczne w obiektach elektroenergetycznych. Wytyczne przeprowadzania pomontażowych badań odbiorczych.</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PN-E-04700:1998/ Az1:2000</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Urządzenia i układy elektryczne w obiektach elektroenergetycz</w:t>
            </w:r>
            <w:r>
              <w:rPr>
                <w:color w:val="000000"/>
                <w:spacing w:val="1"/>
                <w:sz w:val="24"/>
                <w:szCs w:val="24"/>
              </w:rPr>
              <w:t>nych. Wytyczne przeprowadzania pomontażowych badań od</w:t>
            </w:r>
            <w:r>
              <w:rPr>
                <w:color w:val="000000"/>
                <w:spacing w:val="-1"/>
                <w:sz w:val="24"/>
                <w:szCs w:val="24"/>
              </w:rPr>
              <w:t>biorczych (Zmiana Az1).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PN-E-93207:1998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z w:val="24"/>
                <w:szCs w:val="24"/>
              </w:rPr>
              <w:t xml:space="preserve">Sprzęt elektroinstalacyjny. Odgałęźniki instalacyjne i płytki odgałęźne na napięcie do 750 V do przewodów o przekrojach do </w:t>
            </w:r>
            <w:r>
              <w:rPr>
                <w:color w:val="000000"/>
                <w:spacing w:val="-2"/>
                <w:sz w:val="24"/>
                <w:szCs w:val="24"/>
              </w:rPr>
              <w:t>50 mm</w:t>
            </w:r>
            <w:r>
              <w:rPr>
                <w:color w:val="000000"/>
                <w:spacing w:val="-2"/>
                <w:sz w:val="24"/>
                <w:szCs w:val="24"/>
                <w:vertAlign w:val="superscript"/>
              </w:rPr>
              <w:t>2</w:t>
            </w:r>
            <w:r>
              <w:rPr>
                <w:color w:val="000000"/>
                <w:spacing w:val="-2"/>
                <w:sz w:val="24"/>
                <w:szCs w:val="24"/>
              </w:rPr>
              <w:t>. Wymagania i badania.</w:t>
            </w:r>
            <w:r>
              <w:rPr>
                <w:color w:val="000000"/>
                <w:spacing w:val="-1"/>
                <w:sz w:val="24"/>
                <w:szCs w:val="24"/>
              </w:rPr>
              <w:t xml:space="preserve">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lang w:val="de-DE"/>
              </w:rPr>
              <w:t>PN-E-93207:1998/ Az1:1999</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Sprzęt elektroinstalacyjny. Odgałęźniki instalacyjne i płytki odga</w:t>
            </w:r>
            <w:r>
              <w:rPr>
                <w:color w:val="000000"/>
                <w:spacing w:val="6"/>
                <w:sz w:val="24"/>
                <w:szCs w:val="24"/>
              </w:rPr>
              <w:t xml:space="preserve">łęźne na napięcie do 750 V do przewodów o przekrojach do </w:t>
            </w:r>
            <w:r>
              <w:rPr>
                <w:color w:val="000000"/>
                <w:spacing w:val="-1"/>
                <w:sz w:val="24"/>
                <w:szCs w:val="24"/>
              </w:rPr>
              <w:t>50 mm</w:t>
            </w:r>
            <w:r>
              <w:rPr>
                <w:color w:val="000000"/>
                <w:spacing w:val="-1"/>
                <w:sz w:val="24"/>
                <w:szCs w:val="24"/>
                <w:vertAlign w:val="superscript"/>
              </w:rPr>
              <w:t>2</w:t>
            </w:r>
            <w:r>
              <w:rPr>
                <w:color w:val="000000"/>
                <w:spacing w:val="-1"/>
                <w:sz w:val="24"/>
                <w:szCs w:val="24"/>
              </w:rPr>
              <w:t>. Wymagania i badania (Zmiana Az1). -lub norma równorzędna</w:t>
            </w:r>
          </w:p>
        </w:tc>
      </w:tr>
      <w:tr>
        <w:trPr/>
        <w:tc>
          <w:tcPr>
            <w:tcW w:w="2660"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2"/>
                <w:sz w:val="24"/>
                <w:szCs w:val="24"/>
              </w:rPr>
              <w:t>PN-E-93210:1998</w:t>
            </w:r>
          </w:p>
        </w:tc>
        <w:tc>
          <w:tcPr>
            <w:tcW w:w="6745" w:type="dxa"/>
            <w:tcBorders>
              <w:top w:val="single" w:sz="4" w:space="0" w:color="00000A"/>
              <w:start w:val="single" w:sz="4" w:space="0" w:color="00000A"/>
              <w:bottom w:val="single" w:sz="4" w:space="0" w:color="00000A"/>
              <w:end w:val="single" w:sz="4" w:space="0" w:color="00000A"/>
            </w:tcBorders>
          </w:tcPr>
          <w:p>
            <w:pPr>
              <w:pStyle w:val="Normal"/>
              <w:ind w:start="426" w:end="423"/>
              <w:rPr>
                <w:sz w:val="24"/>
                <w:szCs w:val="24"/>
              </w:rPr>
            </w:pPr>
            <w:r>
              <w:rPr>
                <w:color w:val="000000"/>
                <w:spacing w:val="-1"/>
                <w:sz w:val="24"/>
                <w:szCs w:val="24"/>
              </w:rPr>
              <w:t xml:space="preserve">Sprzęt elektroinstalacyjny. Automaty schodowe na znamionowe </w:t>
            </w:r>
            <w:r>
              <w:rPr>
                <w:color w:val="000000"/>
                <w:sz w:val="24"/>
                <w:szCs w:val="24"/>
              </w:rPr>
              <w:t xml:space="preserve">napięcie robocze 220 V i 230 V i prądy znamionowe do 25 A. </w:t>
            </w:r>
            <w:r>
              <w:rPr>
                <w:color w:val="000000"/>
                <w:spacing w:val="-1"/>
                <w:sz w:val="24"/>
                <w:szCs w:val="24"/>
              </w:rPr>
              <w:t>Wymagania i badania.</w:t>
            </w:r>
          </w:p>
        </w:tc>
      </w:tr>
    </w:tbl>
    <w:p>
      <w:pPr>
        <w:pStyle w:val="Normal"/>
        <w:shd w:val="clear" w:color="auto" w:fill="FFFFFF"/>
        <w:ind w:hanging="2257" w:start="426" w:end="423"/>
        <w:rPr>
          <w:sz w:val="24"/>
          <w:szCs w:val="24"/>
        </w:rPr>
      </w:pPr>
      <w:r>
        <w:rPr>
          <w:sz w:val="24"/>
          <w:szCs w:val="24"/>
        </w:rPr>
      </w:r>
    </w:p>
    <w:p>
      <w:pPr>
        <w:pStyle w:val="Heading2"/>
        <w:numPr>
          <w:ilvl w:val="1"/>
          <w:numId w:val="13"/>
        </w:numPr>
        <w:ind w:hanging="432" w:start="426" w:end="423"/>
        <w:rPr>
          <w:rFonts w:ascii="Arial" w:hAnsi="Arial" w:cs="Arial"/>
          <w:sz w:val="24"/>
          <w:szCs w:val="24"/>
        </w:rPr>
      </w:pPr>
      <w:bookmarkStart w:id="308" w:name="_Toc115621759"/>
      <w:bookmarkStart w:id="309" w:name="_Toc535218283"/>
      <w:bookmarkEnd w:id="309"/>
      <w:r>
        <w:rPr>
          <w:rFonts w:cs="Arial" w:ascii="Arial" w:hAnsi="Arial"/>
          <w:sz w:val="24"/>
          <w:szCs w:val="24"/>
        </w:rPr>
        <w:t>Ustawy</w:t>
      </w:r>
      <w:bookmarkEnd w:id="308"/>
    </w:p>
    <w:p>
      <w:pPr>
        <w:pStyle w:val="Normal"/>
        <w:numPr>
          <w:ilvl w:val="0"/>
          <w:numId w:val="8"/>
        </w:numPr>
        <w:shd w:val="clear" w:color="auto" w:fill="FFFFFF"/>
        <w:ind w:hanging="295" w:start="426" w:end="423"/>
        <w:rPr>
          <w:sz w:val="24"/>
          <w:szCs w:val="24"/>
        </w:rPr>
      </w:pPr>
      <w:r>
        <w:rPr>
          <w:color w:val="000000"/>
          <w:spacing w:val="4"/>
          <w:sz w:val="24"/>
          <w:szCs w:val="24"/>
        </w:rPr>
        <w:t xml:space="preserve">Ustawa z dnia 16 kwietnia 2004 r. o wyrobach budowlanych (Dz. U. z 2004 r. Nr 92, </w:t>
      </w:r>
      <w:r>
        <w:rPr>
          <w:color w:val="000000"/>
          <w:spacing w:val="-2"/>
          <w:sz w:val="24"/>
          <w:szCs w:val="24"/>
        </w:rPr>
        <w:t>poz. 881).</w:t>
      </w:r>
    </w:p>
    <w:p>
      <w:pPr>
        <w:pStyle w:val="Normal"/>
        <w:numPr>
          <w:ilvl w:val="0"/>
          <w:numId w:val="8"/>
        </w:numPr>
        <w:shd w:val="clear" w:color="auto" w:fill="FFFFFF"/>
        <w:ind w:hanging="295" w:start="426" w:end="423"/>
        <w:rPr>
          <w:sz w:val="24"/>
          <w:szCs w:val="24"/>
        </w:rPr>
      </w:pPr>
      <w:r>
        <w:rPr>
          <w:color w:val="000000"/>
          <w:spacing w:val="5"/>
          <w:sz w:val="24"/>
          <w:szCs w:val="24"/>
        </w:rPr>
        <w:t xml:space="preserve">Ustawa z dnia 7 lipca 1994 r. Prawo budowlane (Dz. U. z 2003 r. Nr 207, poz. 2016 </w:t>
      </w:r>
      <w:r>
        <w:rPr>
          <w:color w:val="000000"/>
          <w:spacing w:val="-1"/>
          <w:sz w:val="24"/>
          <w:szCs w:val="24"/>
        </w:rPr>
        <w:t>z późn. zmianami).</w:t>
      </w:r>
    </w:p>
    <w:p>
      <w:pPr>
        <w:pStyle w:val="Heading2"/>
        <w:numPr>
          <w:ilvl w:val="1"/>
          <w:numId w:val="13"/>
        </w:numPr>
        <w:ind w:hanging="432" w:start="426" w:end="423"/>
        <w:rPr>
          <w:rFonts w:ascii="Arial" w:hAnsi="Arial" w:cs="Arial"/>
          <w:sz w:val="24"/>
          <w:szCs w:val="24"/>
        </w:rPr>
      </w:pPr>
      <w:bookmarkStart w:id="310" w:name="_Toc115621760"/>
      <w:bookmarkStart w:id="311" w:name="_Toc535218284"/>
      <w:bookmarkEnd w:id="311"/>
      <w:r>
        <w:rPr>
          <w:rFonts w:cs="Arial" w:ascii="Arial" w:hAnsi="Arial"/>
          <w:sz w:val="24"/>
          <w:szCs w:val="24"/>
        </w:rPr>
        <w:t>Rozporządzenia</w:t>
      </w:r>
      <w:bookmarkEnd w:id="310"/>
    </w:p>
    <w:p>
      <w:pPr>
        <w:pStyle w:val="Normal"/>
        <w:numPr>
          <w:ilvl w:val="0"/>
          <w:numId w:val="8"/>
        </w:numPr>
        <w:shd w:val="clear" w:color="auto" w:fill="FFFFFF"/>
        <w:ind w:hanging="295" w:start="426" w:end="423"/>
        <w:rPr>
          <w:sz w:val="24"/>
          <w:szCs w:val="24"/>
        </w:rPr>
      </w:pPr>
      <w:r>
        <w:rPr>
          <w:color w:val="000000"/>
          <w:spacing w:val="2"/>
          <w:sz w:val="24"/>
          <w:szCs w:val="24"/>
        </w:rPr>
        <w:t xml:space="preserve">Rozporządzenie Ministra Infrastruktury z dnia 02.09.2004 r. w sprawie szczegółowego </w:t>
      </w:r>
      <w:r>
        <w:rPr>
          <w:color w:val="000000"/>
          <w:spacing w:val="-1"/>
          <w:sz w:val="24"/>
          <w:szCs w:val="24"/>
        </w:rPr>
        <w:t xml:space="preserve">zakresu i formy dokumentacji projektowej, specyfikacji technicznych wykonania i odbioru </w:t>
      </w:r>
      <w:r>
        <w:rPr>
          <w:color w:val="000000"/>
          <w:spacing w:val="2"/>
          <w:sz w:val="24"/>
          <w:szCs w:val="24"/>
        </w:rPr>
        <w:t xml:space="preserve">robót budowlanych oraz programu funkcjonalno-użytkowego {Dz. U. z 2004 r. Nr 202, </w:t>
      </w:r>
      <w:r>
        <w:rPr>
          <w:color w:val="000000"/>
          <w:sz w:val="24"/>
          <w:szCs w:val="24"/>
        </w:rPr>
        <w:t>poz. 2072, zmiana Dz. U. z 2005 r. Nr 75, poz. 664).</w:t>
      </w:r>
    </w:p>
    <w:p>
      <w:pPr>
        <w:pStyle w:val="Normal"/>
        <w:numPr>
          <w:ilvl w:val="0"/>
          <w:numId w:val="8"/>
        </w:numPr>
        <w:shd w:val="clear" w:color="auto" w:fill="FFFFFF"/>
        <w:ind w:hanging="295" w:start="426" w:end="423"/>
        <w:rPr>
          <w:sz w:val="24"/>
          <w:szCs w:val="24"/>
        </w:rPr>
      </w:pPr>
      <w:r>
        <w:rPr>
          <w:color w:val="000000"/>
          <w:spacing w:val="1"/>
          <w:sz w:val="24"/>
          <w:szCs w:val="24"/>
        </w:rPr>
        <w:t>Rozporządzenie Ministra infrastruktury z dnia 26.06.2002 r. w sprawie dziennika budo</w:t>
      </w:r>
      <w:r>
        <w:rPr>
          <w:color w:val="000000"/>
          <w:sz w:val="24"/>
          <w:szCs w:val="24"/>
        </w:rPr>
        <w:t>wy, montażu i rozbiórki, tablicy informacyjnej oraz ogłoszenia zawierającego dane dotyczące bezpieczeństwa pracy i ochrony zdrowia (Dz. U. z 2002 r. Nr 108, poz. 953 z póź</w:t>
      </w:r>
      <w:r>
        <w:rPr>
          <w:color w:val="000000"/>
          <w:spacing w:val="-1"/>
          <w:sz w:val="24"/>
          <w:szCs w:val="24"/>
        </w:rPr>
        <w:t>niejszymi zmianami).</w:t>
      </w:r>
    </w:p>
    <w:p>
      <w:pPr>
        <w:pStyle w:val="Normal"/>
        <w:numPr>
          <w:ilvl w:val="0"/>
          <w:numId w:val="8"/>
        </w:numPr>
        <w:shd w:val="clear" w:color="auto" w:fill="FFFFFF"/>
        <w:ind w:hanging="295" w:start="426" w:end="423"/>
        <w:rPr>
          <w:sz w:val="24"/>
          <w:szCs w:val="24"/>
        </w:rPr>
      </w:pPr>
      <w:r>
        <w:rPr>
          <w:color w:val="000000"/>
          <w:spacing w:val="2"/>
          <w:sz w:val="24"/>
          <w:szCs w:val="24"/>
        </w:rPr>
        <w:t xml:space="preserve">Rozporządzenie Ministra Infrastruktury z dnia 11 sierpnia 2004 r. w sprawie sposobów </w:t>
      </w:r>
      <w:r>
        <w:rPr>
          <w:color w:val="000000"/>
          <w:spacing w:val="1"/>
          <w:sz w:val="24"/>
          <w:szCs w:val="24"/>
        </w:rPr>
        <w:t xml:space="preserve">deklarowania zgodności wyrobów budowlanych oraz sposobu znakowania ich znakiem </w:t>
      </w:r>
      <w:r>
        <w:rPr>
          <w:color w:val="000000"/>
          <w:sz w:val="24"/>
          <w:szCs w:val="24"/>
        </w:rPr>
        <w:t>budowlanym (Dz. U. z 2004 r. Nr 198, poz. 2041).</w:t>
      </w:r>
    </w:p>
    <w:p>
      <w:pPr>
        <w:pStyle w:val="Normal"/>
        <w:numPr>
          <w:ilvl w:val="0"/>
          <w:numId w:val="8"/>
        </w:numPr>
        <w:shd w:val="clear" w:color="auto" w:fill="FFFFFF"/>
        <w:ind w:hanging="295" w:start="426" w:end="423"/>
        <w:rPr>
          <w:sz w:val="24"/>
          <w:szCs w:val="24"/>
        </w:rPr>
      </w:pPr>
      <w:r>
        <w:rPr>
          <w:color w:val="000000"/>
          <w:sz w:val="24"/>
          <w:szCs w:val="24"/>
        </w:rPr>
        <w:t xml:space="preserve">Rozporządzenie Ministra Infrastruktury z 11 sierpnia 2004 r. w sprawie systemów oceny </w:t>
      </w:r>
      <w:r>
        <w:rPr>
          <w:color w:val="000000"/>
          <w:spacing w:val="4"/>
          <w:sz w:val="24"/>
          <w:szCs w:val="24"/>
        </w:rPr>
        <w:t xml:space="preserve">zgodności, wymagań, jakie powinny spełniać notyfikowane jednostki  uczestniczące </w:t>
      </w:r>
      <w:r>
        <w:rPr>
          <w:color w:val="000000"/>
          <w:spacing w:val="1"/>
          <w:sz w:val="24"/>
          <w:szCs w:val="24"/>
        </w:rPr>
        <w:t xml:space="preserve">w ocenie zgodności oraz sposobu oznaczenia wyrobów budowlanych oznakowania CE </w:t>
      </w:r>
      <w:r>
        <w:rPr>
          <w:color w:val="000000"/>
          <w:spacing w:val="-1"/>
          <w:sz w:val="24"/>
          <w:szCs w:val="24"/>
        </w:rPr>
        <w:t>(Dz. U. Nr 195, poz. 2011).</w:t>
      </w:r>
    </w:p>
    <w:p>
      <w:pPr>
        <w:pStyle w:val="Heading2"/>
        <w:numPr>
          <w:ilvl w:val="1"/>
          <w:numId w:val="13"/>
        </w:numPr>
        <w:ind w:hanging="432" w:start="426" w:end="423"/>
        <w:rPr>
          <w:rFonts w:ascii="Arial" w:hAnsi="Arial" w:cs="Arial"/>
          <w:sz w:val="24"/>
          <w:szCs w:val="24"/>
        </w:rPr>
      </w:pPr>
      <w:bookmarkStart w:id="312" w:name="_Toc115621761"/>
      <w:bookmarkStart w:id="313" w:name="_Toc535218285"/>
      <w:bookmarkEnd w:id="313"/>
      <w:r>
        <w:rPr>
          <w:rFonts w:cs="Arial" w:ascii="Arial" w:hAnsi="Arial"/>
          <w:sz w:val="24"/>
          <w:szCs w:val="24"/>
        </w:rPr>
        <w:t>Inne dokumenty i instrukcje</w:t>
      </w:r>
      <w:bookmarkEnd w:id="312"/>
    </w:p>
    <w:p>
      <w:pPr>
        <w:pStyle w:val="Normal"/>
        <w:numPr>
          <w:ilvl w:val="0"/>
          <w:numId w:val="4"/>
        </w:numPr>
        <w:shd w:val="clear" w:color="auto" w:fill="FFFFFF"/>
        <w:ind w:hanging="288" w:start="426" w:end="423"/>
        <w:rPr>
          <w:sz w:val="24"/>
          <w:szCs w:val="24"/>
        </w:rPr>
      </w:pPr>
      <w:r>
        <w:rPr>
          <w:color w:val="000000"/>
          <w:sz w:val="24"/>
          <w:szCs w:val="24"/>
        </w:rPr>
        <w:t>Warunki techniczne wykonania i odbioru robót budowlano-montażowych (tom I, część 4) Arkady, Warszawa 1990 r.</w:t>
      </w:r>
    </w:p>
    <w:p>
      <w:pPr>
        <w:pStyle w:val="Normal"/>
        <w:numPr>
          <w:ilvl w:val="0"/>
          <w:numId w:val="4"/>
        </w:numPr>
        <w:shd w:val="clear" w:color="auto" w:fill="FFFFFF"/>
        <w:ind w:hanging="288" w:start="426" w:end="423"/>
        <w:rPr>
          <w:sz w:val="24"/>
          <w:szCs w:val="24"/>
        </w:rPr>
      </w:pPr>
      <w:r>
        <w:rPr>
          <w:color w:val="000000"/>
          <w:spacing w:val="1"/>
          <w:sz w:val="24"/>
          <w:szCs w:val="24"/>
        </w:rPr>
        <w:t>Warunki techniczne wykonania i odbioru robót budowlanych ITB część D: Roboty insta</w:t>
      </w:r>
      <w:r>
        <w:rPr>
          <w:color w:val="000000"/>
          <w:spacing w:val="2"/>
          <w:sz w:val="24"/>
          <w:szCs w:val="24"/>
        </w:rPr>
        <w:t xml:space="preserve">lacyjne. Zeszyt 1: Instalacje elektryczne i piorunochronne w budynkach mieszkalnych. </w:t>
      </w:r>
      <w:r>
        <w:rPr>
          <w:color w:val="000000"/>
          <w:sz w:val="24"/>
          <w:szCs w:val="24"/>
        </w:rPr>
        <w:t>Warszawa 2003 r.</w:t>
      </w:r>
    </w:p>
    <w:p>
      <w:pPr>
        <w:pStyle w:val="Normal"/>
        <w:numPr>
          <w:ilvl w:val="0"/>
          <w:numId w:val="4"/>
        </w:numPr>
        <w:shd w:val="clear" w:color="auto" w:fill="FFFFFF"/>
        <w:ind w:hanging="288" w:start="426" w:end="423"/>
        <w:rPr>
          <w:sz w:val="24"/>
          <w:szCs w:val="24"/>
        </w:rPr>
      </w:pPr>
      <w:r>
        <w:rPr>
          <w:color w:val="000000"/>
          <w:spacing w:val="1"/>
          <w:sz w:val="24"/>
          <w:szCs w:val="24"/>
        </w:rPr>
        <w:t>Warunki techniczne wykonania i odbioru robót budowlanych ITB część D: Roboty insta</w:t>
      </w:r>
      <w:r>
        <w:rPr>
          <w:color w:val="000000"/>
          <w:spacing w:val="-1"/>
          <w:sz w:val="24"/>
          <w:szCs w:val="24"/>
        </w:rPr>
        <w:t>lacyjne. Zeszyt 2: Instalacje elektryczne i piorunochronne w budynkach użyteczności pu</w:t>
      </w:r>
      <w:r>
        <w:rPr>
          <w:color w:val="000000"/>
          <w:sz w:val="24"/>
          <w:szCs w:val="24"/>
        </w:rPr>
        <w:t>blicznej. Warszawa 2004 r.</w:t>
      </w:r>
    </w:p>
    <w:p>
      <w:pPr>
        <w:pStyle w:val="Normal"/>
        <w:numPr>
          <w:ilvl w:val="0"/>
          <w:numId w:val="4"/>
        </w:numPr>
        <w:shd w:val="clear" w:color="auto" w:fill="FFFFFF"/>
        <w:ind w:hanging="288" w:start="426" w:end="423"/>
        <w:rPr>
          <w:sz w:val="24"/>
          <w:szCs w:val="24"/>
        </w:rPr>
      </w:pPr>
      <w:r>
        <w:rPr>
          <w:color w:val="000000"/>
          <w:spacing w:val="2"/>
          <w:sz w:val="24"/>
          <w:szCs w:val="24"/>
        </w:rPr>
        <w:t xml:space="preserve">Specyfikacja techniczna wykonania i odbioru robót budowlanych. Wymagania ogólne. </w:t>
      </w:r>
      <w:r>
        <w:rPr>
          <w:color w:val="000000"/>
          <w:sz w:val="24"/>
          <w:szCs w:val="24"/>
        </w:rPr>
        <w:t>Kod CPV 45000000-7. Wydanie II, OWEOB Promocja - 2005 r.</w:t>
      </w:r>
    </w:p>
    <w:p>
      <w:pPr>
        <w:pStyle w:val="Normal"/>
        <w:numPr>
          <w:ilvl w:val="0"/>
          <w:numId w:val="4"/>
        </w:numPr>
        <w:shd w:val="clear" w:color="auto" w:fill="FFFFFF"/>
        <w:ind w:start="426" w:end="423"/>
        <w:rPr>
          <w:sz w:val="24"/>
          <w:szCs w:val="24"/>
        </w:rPr>
      </w:pPr>
      <w:r>
        <w:rPr>
          <w:color w:val="000000"/>
          <w:sz w:val="24"/>
          <w:szCs w:val="24"/>
        </w:rPr>
        <w:t>Poradnik montera elektryka WNT Warszawa 1997 r.</w:t>
      </w:r>
    </w:p>
    <w:p>
      <w:pPr>
        <w:pStyle w:val="Normal"/>
        <w:ind w:start="426" w:end="423"/>
        <w:rPr>
          <w:sz w:val="24"/>
          <w:szCs w:val="24"/>
        </w:rPr>
      </w:pPr>
      <w:r>
        <w:rPr>
          <w:sz w:val="24"/>
          <w:szCs w:val="24"/>
        </w:rPr>
      </w:r>
    </w:p>
    <w:sectPr>
      <w:headerReference w:type="default" r:id="rId2"/>
      <w:footerReference w:type="default" r:id="rId3"/>
      <w:type w:val="nextPage"/>
      <w:pgSz w:w="11906" w:h="16838"/>
      <w:pgMar w:left="1814" w:right="1020" w:gutter="0" w:header="567" w:top="1985" w:footer="567" w:bottom="1985"/>
      <w:pgNumType w:start="1" w:fmt="decimal"/>
      <w:formProt w:val="false"/>
      <w:textDirection w:val="lrTb"/>
      <w:docGrid w:type="default" w:linePitch="272" w:charSpace="2457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Arial">
    <w:charset w:val="ee" w:characterSet="windows-1250"/>
    <w:family w:val="roman"/>
    <w:pitch w:val="variable"/>
  </w:font>
  <w:font w:name="Cambria">
    <w:charset w:val="ee" w:characterSet="windows-1250"/>
    <w:family w:val="roman"/>
    <w:pitch w:val="variable"/>
  </w:font>
  <w:font w:name="Times New Roman">
    <w:charset w:val="ee" w:characterSet="windows-1250"/>
    <w:family w:val="roman"/>
    <w:pitch w:val="variable"/>
  </w:font>
  <w:font w:name="Tahoma">
    <w:charset w:val="ee" w:characterSet="windows-1250"/>
    <w:family w:val="roman"/>
    <w:pitch w:val="variable"/>
  </w:font>
  <w:font w:name="Verdana">
    <w:charset w:val="ee" w:characterSet="windows-1250"/>
    <w:family w:val="roman"/>
    <w:pitch w:val="variable"/>
  </w:font>
  <w:font w:name="Symbol">
    <w:charset w:val="ee" w:characterSet="windows-1250"/>
    <w:family w:val="roman"/>
    <w:pitch w:val="variable"/>
  </w:font>
  <w:font w:name="Courier New">
    <w:charset w:val="ee" w:characterSet="windows-1250"/>
    <w:family w:val="roman"/>
    <w:pitch w:val="variable"/>
  </w:font>
  <w:font w:name="Wingdings">
    <w:charset w:val="ee" w:characterSet="windows-1250"/>
    <w:family w:val="roman"/>
    <w:pitch w:val="variable"/>
  </w:font>
  <w:font w:name="OpenSymbol">
    <w:altName w:val="Arial Unicode MS"/>
    <w:charset w:val="ee" w:characterSet="windows-1250"/>
    <w:family w:val="roman"/>
    <w:pitch w:val="variable"/>
  </w:font>
  <w:font w:name="Liberation Sans">
    <w:altName w:val="Arial"/>
    <w:charset w:val="ee" w:characterSet="windows-1250"/>
    <w:family w:val="roman"/>
    <w:pitch w:val="variable"/>
  </w:font>
  <w:font w:name="Arial Unicode MS">
    <w:charset w:val="ee" w:characterSet="windows-1250"/>
    <w:family w:val="roman"/>
    <w:pitch w:val="variable"/>
  </w:font>
  <w:font w:name="Bahnschrift Light Condensed">
    <w:charset w:val="ee" w:characterSet="windows-125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43868895"/>
    </w:sdtPr>
    <w:sdtContent>
      <w:p>
        <w:pPr>
          <w:pStyle w:val="Footer"/>
          <w:jc w:val="end"/>
          <w:rPr/>
        </w:pPr>
        <w:r>
          <w:rPr/>
          <w:fldChar w:fldCharType="begin"/>
        </w:r>
        <w:r>
          <w:rPr/>
          <w:instrText xml:space="preserve"> PAGE </w:instrText>
        </w:r>
        <w:r>
          <w:rPr/>
          <w:fldChar w:fldCharType="separate"/>
        </w:r>
        <w:r>
          <w:rPr/>
          <w:t>16</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Bahnschrift Light Condensed" w:hAnsi="Bahnschrift Light Condensed" w:cs="Bahnschrift Light Condensed"/>
        <w:b/>
        <w:bCs/>
        <w:color w:val="000000"/>
        <w:sz w:val="22"/>
        <w:szCs w:val="22"/>
        <w:u w:val="single"/>
      </w:rPr>
    </w:pPr>
    <w:r>
      <w:rPr>
        <w:rFonts w:cs="Bahnschrift Light Condensed" w:ascii="Bahnschrift Light Condensed" w:hAnsi="Bahnschrift Light Condensed"/>
        <w:b/>
        <w:bCs/>
        <w:color w:val="000000"/>
        <w:sz w:val="22"/>
        <w:szCs w:val="22"/>
        <w:u w:val="single"/>
      </w:rPr>
      <w:t>Dokumentacja realizowana w ramach projektu: „Modernizacja pracowni warsztatowych do potrzeb zdobycia kwalifikacji branżowych na nowoczesnym rynku pracy mechanizacji rolnictwa” (Budynek-B)</w:t>
    </w:r>
  </w:p>
  <w:p>
    <w:pPr>
      <w:pStyle w:val="Normal"/>
      <w:spacing w:lineRule="atLeast" w:line="30"/>
      <w:jc w:val="center"/>
      <w:rPr>
        <w:sz w:val="22"/>
        <w:szCs w:val="22"/>
      </w:rPr>
    </w:pPr>
    <w:r>
      <w:rPr>
        <w:rFonts w:cs="Bahnschrift Light Condensed" w:ascii="Bahnschrift Light Condensed" w:hAnsi="Bahnschrift Light Condensed"/>
        <w:color w:val="666666"/>
        <w:sz w:val="22"/>
        <w:szCs w:val="22"/>
      </w:rPr>
      <w:t xml:space="preserve">Wykonawca opracowania: </w:t>
    </w:r>
    <w:r>
      <w:rPr>
        <w:rFonts w:cs="Bahnschrift Light Condensed" w:ascii="Bahnschrift Light Condensed" w:hAnsi="Bahnschrift Light Condensed"/>
        <w:b/>
        <w:bCs/>
        <w:color w:val="666666"/>
        <w:sz w:val="22"/>
        <w:szCs w:val="22"/>
      </w:rPr>
      <w:t xml:space="preserve"> SPPH </w:t>
    </w:r>
    <w:r>
      <w:rPr>
        <w:rFonts w:cs="Bahnschrift Light Condensed" w:ascii="Bahnschrift Light Condensed" w:hAnsi="Bahnschrift Light Condensed"/>
        <w:color w:val="666666"/>
        <w:sz w:val="22"/>
        <w:szCs w:val="22"/>
      </w:rPr>
      <w:t xml:space="preserve"> „</w:t>
    </w:r>
    <w:r>
      <w:rPr>
        <w:rFonts w:cs="Bahnschrift Light Condensed" w:ascii="Bahnschrift Light Condensed" w:hAnsi="Bahnschrift Light Condensed"/>
        <w:b/>
        <w:bCs/>
        <w:color w:val="666666"/>
        <w:sz w:val="22"/>
        <w:szCs w:val="22"/>
      </w:rPr>
      <w:t>FEST</w:t>
    </w:r>
    <w:r>
      <w:rPr>
        <w:rFonts w:cs="Bahnschrift Light Condensed" w:ascii="Bahnschrift Light Condensed" w:hAnsi="Bahnschrift Light Condensed"/>
        <w:color w:val="666666"/>
        <w:sz w:val="22"/>
        <w:szCs w:val="22"/>
      </w:rPr>
      <w:t>”</w:t>
    </w:r>
    <w:r>
      <w:rPr>
        <w:rFonts w:cs="Bahnschrift Light Condensed" w:ascii="Bahnschrift Light Condensed" w:hAnsi="Bahnschrift Light Condensed"/>
        <w:b/>
        <w:bCs/>
        <w:color w:val="666666"/>
        <w:sz w:val="22"/>
        <w:szCs w:val="22"/>
      </w:rPr>
      <w:t xml:space="preserve"> </w:t>
    </w:r>
    <w:r>
      <w:rPr>
        <w:rFonts w:cs="Bahnschrift Light Condensed" w:ascii="Bahnschrift Light Condensed" w:hAnsi="Bahnschrift Light Condensed"/>
        <w:color w:val="666666"/>
        <w:sz w:val="22"/>
        <w:szCs w:val="22"/>
      </w:rPr>
      <w:t xml:space="preserve"> - ul. Baczyńskiego 31,  99-400  Łowicz</w:t>
    </w:r>
  </w:p>
  <w:p>
    <w:pPr>
      <w:pStyle w:val="Normal"/>
      <w:spacing w:lineRule="atLeast" w:line="30"/>
      <w:jc w:val="center"/>
      <w:rPr>
        <w:rFonts w:ascii="Bahnschrift Light Condensed" w:hAnsi="Bahnschrift Light Condensed" w:cs="Bahnschrift Light Condensed"/>
        <w:color w:val="666666"/>
        <w:sz w:val="22"/>
        <w:szCs w:val="22"/>
        <w:u w:val="single"/>
      </w:rPr>
    </w:pPr>
    <w:r>
      <w:rPr>
        <w:rFonts w:cs="Bahnschrift Light Condensed" w:ascii="Bahnschrift Light Condensed" w:hAnsi="Bahnschrift Light Condensed"/>
        <w:color w:val="666666"/>
        <w:sz w:val="22"/>
        <w:szCs w:val="22"/>
        <w:u w:val="single"/>
      </w:rPr>
      <w:t xml:space="preserve"> </w:t>
    </w:r>
    <w:r>
      <w:rPr>
        <w:rFonts w:cs="Bahnschrift Light Condensed" w:ascii="Bahnschrift Light Condensed" w:hAnsi="Bahnschrift Light Condensed"/>
        <w:color w:val="666666"/>
        <w:sz w:val="22"/>
        <w:szCs w:val="22"/>
        <w:u w:val="single"/>
      </w:rPr>
      <w:t xml:space="preserve">kontakt - mgr inż. arch. Łukasz Wojtysiak, tel:  606 632 999, e-mail: wokasz@wp.pl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563" w:hanging="0"/>
      </w:pPr>
      <w:rPr>
        <w:rFonts w:ascii="Arial" w:hAnsi="Arial" w:cs="Arial" w:hint="default"/>
        <w:sz w:val="18"/>
      </w:rPr>
    </w:lvl>
    <w:lvl w:ilvl="1">
      <w:start w:val="1"/>
      <w:numFmt w:val="decimal"/>
      <w:lvlText w:val="%2."/>
      <w:lvlJc w:val="start"/>
      <w:pPr>
        <w:tabs>
          <w:tab w:val="num" w:pos="1923"/>
        </w:tabs>
        <w:ind w:start="1923" w:hanging="360"/>
      </w:pPr>
      <w:rPr/>
    </w:lvl>
    <w:lvl w:ilvl="2">
      <w:start w:val="1"/>
      <w:numFmt w:val="decimal"/>
      <w:lvlText w:val="%3."/>
      <w:lvlJc w:val="start"/>
      <w:pPr>
        <w:tabs>
          <w:tab w:val="num" w:pos="2283"/>
        </w:tabs>
        <w:ind w:start="2283" w:hanging="360"/>
      </w:pPr>
      <w:rPr/>
    </w:lvl>
    <w:lvl w:ilvl="3">
      <w:start w:val="1"/>
      <w:numFmt w:val="decimal"/>
      <w:lvlText w:val="%4."/>
      <w:lvlJc w:val="start"/>
      <w:pPr>
        <w:tabs>
          <w:tab w:val="num" w:pos="2643"/>
        </w:tabs>
        <w:ind w:start="2643" w:hanging="360"/>
      </w:pPr>
      <w:rPr/>
    </w:lvl>
    <w:lvl w:ilvl="4">
      <w:start w:val="1"/>
      <w:numFmt w:val="decimal"/>
      <w:lvlText w:val="%5."/>
      <w:lvlJc w:val="start"/>
      <w:pPr>
        <w:tabs>
          <w:tab w:val="num" w:pos="3003"/>
        </w:tabs>
        <w:ind w:start="3003" w:hanging="360"/>
      </w:pPr>
      <w:rPr/>
    </w:lvl>
    <w:lvl w:ilvl="5">
      <w:start w:val="1"/>
      <w:numFmt w:val="decimal"/>
      <w:lvlText w:val="%6."/>
      <w:lvlJc w:val="start"/>
      <w:pPr>
        <w:tabs>
          <w:tab w:val="num" w:pos="3363"/>
        </w:tabs>
        <w:ind w:start="3363" w:hanging="360"/>
      </w:pPr>
      <w:rPr/>
    </w:lvl>
    <w:lvl w:ilvl="6">
      <w:start w:val="1"/>
      <w:numFmt w:val="decimal"/>
      <w:lvlText w:val="%7."/>
      <w:lvlJc w:val="start"/>
      <w:pPr>
        <w:tabs>
          <w:tab w:val="num" w:pos="3723"/>
        </w:tabs>
        <w:ind w:start="3723" w:hanging="360"/>
      </w:pPr>
      <w:rPr/>
    </w:lvl>
    <w:lvl w:ilvl="7">
      <w:start w:val="1"/>
      <w:numFmt w:val="decimal"/>
      <w:lvlText w:val="%8."/>
      <w:lvlJc w:val="start"/>
      <w:pPr>
        <w:tabs>
          <w:tab w:val="num" w:pos="4083"/>
        </w:tabs>
        <w:ind w:start="4083" w:hanging="360"/>
      </w:pPr>
      <w:rPr/>
    </w:lvl>
    <w:lvl w:ilvl="8">
      <w:start w:val="1"/>
      <w:numFmt w:val="decimal"/>
      <w:lvlText w:val="%9."/>
      <w:lvlJc w:val="start"/>
      <w:pPr>
        <w:tabs>
          <w:tab w:val="num" w:pos="4443"/>
        </w:tabs>
        <w:ind w:start="4443" w:hanging="360"/>
      </w:pPr>
      <w:rPr/>
    </w:lvl>
  </w:abstractNum>
  <w:abstractNum w:abstractNumId="2">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bullet"/>
      <w:lvlText w:val="-"/>
      <w:lvlJc w:val="start"/>
      <w:pPr>
        <w:tabs>
          <w:tab w:val="num" w:pos="367"/>
        </w:tabs>
        <w:ind w:start="367" w:hanging="360"/>
      </w:pPr>
      <w:rPr>
        <w:rFonts w:ascii="Arial" w:hAnsi="Arial" w:cs="Arial" w:hint="default"/>
        <w:sz w:val="18"/>
      </w:rPr>
    </w:lvl>
    <w:lvl w:ilvl="1">
      <w:start w:val="1"/>
      <w:numFmt w:val="bullet"/>
      <w:lvlText w:val="o"/>
      <w:lvlJc w:val="start"/>
      <w:pPr>
        <w:tabs>
          <w:tab w:val="num" w:pos="1087"/>
        </w:tabs>
        <w:ind w:start="1087" w:hanging="360"/>
      </w:pPr>
      <w:rPr>
        <w:rFonts w:ascii="Courier New" w:hAnsi="Courier New" w:cs="Courier New" w:hint="default"/>
      </w:rPr>
    </w:lvl>
    <w:lvl w:ilvl="2">
      <w:start w:val="1"/>
      <w:numFmt w:val="bullet"/>
      <w:lvlText w:val=""/>
      <w:lvlJc w:val="start"/>
      <w:pPr>
        <w:tabs>
          <w:tab w:val="num" w:pos="1807"/>
        </w:tabs>
        <w:ind w:start="1807" w:hanging="360"/>
      </w:pPr>
      <w:rPr>
        <w:rFonts w:ascii="Wingdings" w:hAnsi="Wingdings" w:cs="Wingdings" w:hint="default"/>
      </w:rPr>
    </w:lvl>
    <w:lvl w:ilvl="3">
      <w:start w:val="1"/>
      <w:numFmt w:val="bullet"/>
      <w:lvlText w:val=""/>
      <w:lvlJc w:val="start"/>
      <w:pPr>
        <w:tabs>
          <w:tab w:val="num" w:pos="2527"/>
        </w:tabs>
        <w:ind w:start="2527" w:hanging="360"/>
      </w:pPr>
      <w:rPr>
        <w:rFonts w:ascii="Symbol" w:hAnsi="Symbol" w:cs="Symbol" w:hint="default"/>
      </w:rPr>
    </w:lvl>
    <w:lvl w:ilvl="4">
      <w:start w:val="1"/>
      <w:numFmt w:val="bullet"/>
      <w:lvlText w:val="o"/>
      <w:lvlJc w:val="start"/>
      <w:pPr>
        <w:tabs>
          <w:tab w:val="num" w:pos="3247"/>
        </w:tabs>
        <w:ind w:start="3247" w:hanging="360"/>
      </w:pPr>
      <w:rPr>
        <w:rFonts w:ascii="Courier New" w:hAnsi="Courier New" w:cs="Courier New" w:hint="default"/>
      </w:rPr>
    </w:lvl>
    <w:lvl w:ilvl="5">
      <w:start w:val="1"/>
      <w:numFmt w:val="bullet"/>
      <w:lvlText w:val=""/>
      <w:lvlJc w:val="start"/>
      <w:pPr>
        <w:tabs>
          <w:tab w:val="num" w:pos="3967"/>
        </w:tabs>
        <w:ind w:start="3967" w:hanging="360"/>
      </w:pPr>
      <w:rPr>
        <w:rFonts w:ascii="Wingdings" w:hAnsi="Wingdings" w:cs="Wingdings" w:hint="default"/>
      </w:rPr>
    </w:lvl>
    <w:lvl w:ilvl="6">
      <w:start w:val="1"/>
      <w:numFmt w:val="bullet"/>
      <w:lvlText w:val=""/>
      <w:lvlJc w:val="start"/>
      <w:pPr>
        <w:tabs>
          <w:tab w:val="num" w:pos="4687"/>
        </w:tabs>
        <w:ind w:start="4687" w:hanging="360"/>
      </w:pPr>
      <w:rPr>
        <w:rFonts w:ascii="Symbol" w:hAnsi="Symbol" w:cs="Symbol" w:hint="default"/>
      </w:rPr>
    </w:lvl>
    <w:lvl w:ilvl="7">
      <w:start w:val="1"/>
      <w:numFmt w:val="bullet"/>
      <w:lvlText w:val="o"/>
      <w:lvlJc w:val="start"/>
      <w:pPr>
        <w:tabs>
          <w:tab w:val="num" w:pos="5407"/>
        </w:tabs>
        <w:ind w:start="5407" w:hanging="360"/>
      </w:pPr>
      <w:rPr>
        <w:rFonts w:ascii="Courier New" w:hAnsi="Courier New" w:cs="Courier New" w:hint="default"/>
      </w:rPr>
    </w:lvl>
    <w:lvl w:ilvl="8">
      <w:start w:val="1"/>
      <w:numFmt w:val="bullet"/>
      <w:lvlText w:val=""/>
      <w:lvlJc w:val="start"/>
      <w:pPr>
        <w:tabs>
          <w:tab w:val="num" w:pos="6127"/>
        </w:tabs>
        <w:ind w:start="6127" w:hanging="360"/>
      </w:pPr>
      <w:rPr>
        <w:rFonts w:ascii="Wingdings" w:hAnsi="Wingdings" w:cs="Wingdings" w:hint="default"/>
      </w:rPr>
    </w:lvl>
  </w:abstractNum>
  <w:abstractNum w:abstractNumId="10">
    <w:lvl w:ilvl="0">
      <w:start w:val="65535"/>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65535"/>
      <w:numFmt w:val="bullet"/>
      <w:lvlText w:val="-"/>
      <w:lvlJc w:val="start"/>
      <w:pPr>
        <w:tabs>
          <w:tab w:val="num" w:pos="0"/>
        </w:tabs>
        <w:ind w:start="720" w:hanging="0"/>
      </w:pPr>
      <w:rPr>
        <w:rFonts w:ascii="Arial" w:hAnsi="Arial" w:cs="Aria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25"/>
      <w:numFmt w:val="bullet"/>
      <w:lvlText w:val="-"/>
      <w:lvlJc w:val="start"/>
      <w:pPr>
        <w:tabs>
          <w:tab w:val="num" w:pos="420"/>
        </w:tabs>
        <w:ind w:start="420" w:hanging="360"/>
      </w:pPr>
      <w:rPr>
        <w:rFonts w:ascii="OpenSymbol" w:hAnsi="OpenSymbol" w:cs="OpenSymbol" w:hint="default"/>
        <w:sz w:val="18"/>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3">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5">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16">
    <w:lvl w:ilvl="0">
      <w:start w:val="1"/>
      <w:numFmt w:val="bullet"/>
      <w:lvlText w:val=""/>
      <w:lvlJc w:val="start"/>
      <w:pPr>
        <w:tabs>
          <w:tab w:val="num" w:pos="0"/>
        </w:tabs>
        <w:ind w:start="720" w:hanging="360"/>
      </w:pPr>
      <w:rPr>
        <w:rFonts w:ascii="Symbol" w:hAnsi="Symbol" w:cs="Symbol" w:hint="default"/>
        <w:sz w:val="18"/>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
      <w:lvlJc w:val="start"/>
      <w:pPr>
        <w:tabs>
          <w:tab w:val="num" w:pos="720"/>
        </w:tabs>
        <w:ind w:start="720" w:hanging="360"/>
      </w:pPr>
      <w:rPr>
        <w:rFonts w:ascii="Symbol" w:hAnsi="Symbol" w:cs="Symbol" w:hint="default"/>
        <w:sz w:val="18"/>
        <w:b/>
        <w:szCs w:val="17"/>
        <w:color w:val="000000"/>
      </w:rPr>
    </w:lvl>
    <w:lvl w:ilvl="1">
      <w:start w:val="1"/>
      <w:numFmt w:val="none"/>
      <w:suff w:val="nothing"/>
      <w:lvlText w:val=""/>
      <w:lvlJc w:val="start"/>
      <w:pPr>
        <w:tabs>
          <w:tab w:val="num" w:pos="0"/>
        </w:tabs>
        <w:ind w:start="1080" w:hanging="0"/>
      </w:pPr>
      <w:rPr/>
    </w:lvl>
    <w:lvl w:ilvl="2">
      <w:start w:val="1"/>
      <w:numFmt w:val="none"/>
      <w:suff w:val="nothing"/>
      <w:lvlText w:val=""/>
      <w:lvlJc w:val="start"/>
      <w:pPr>
        <w:tabs>
          <w:tab w:val="num" w:pos="0"/>
        </w:tabs>
        <w:ind w:start="1440" w:hanging="0"/>
      </w:pPr>
      <w:rPr/>
    </w:lvl>
    <w:lvl w:ilvl="3">
      <w:start w:val="1"/>
      <w:numFmt w:val="none"/>
      <w:suff w:val="nothing"/>
      <w:lvlText w:val=""/>
      <w:lvlJc w:val="start"/>
      <w:pPr>
        <w:tabs>
          <w:tab w:val="num" w:pos="0"/>
        </w:tabs>
        <w:ind w:start="1800" w:hanging="0"/>
      </w:pPr>
      <w:rPr/>
    </w:lvl>
    <w:lvl w:ilvl="4">
      <w:start w:val="1"/>
      <w:numFmt w:val="none"/>
      <w:suff w:val="nothing"/>
      <w:lvlText w:val=""/>
      <w:lvlJc w:val="start"/>
      <w:pPr>
        <w:tabs>
          <w:tab w:val="num" w:pos="0"/>
        </w:tabs>
        <w:ind w:start="2160" w:hanging="0"/>
      </w:pPr>
      <w:rPr/>
    </w:lvl>
    <w:lvl w:ilvl="5">
      <w:start w:val="1"/>
      <w:numFmt w:val="none"/>
      <w:suff w:val="nothing"/>
      <w:lvlText w:val=""/>
      <w:lvlJc w:val="start"/>
      <w:pPr>
        <w:tabs>
          <w:tab w:val="num" w:pos="0"/>
        </w:tabs>
        <w:ind w:start="2520" w:hanging="0"/>
      </w:pPr>
      <w:rPr/>
    </w:lvl>
    <w:lvl w:ilvl="6">
      <w:start w:val="1"/>
      <w:numFmt w:val="none"/>
      <w:suff w:val="nothing"/>
      <w:lvlText w:val=""/>
      <w:lvlJc w:val="start"/>
      <w:pPr>
        <w:tabs>
          <w:tab w:val="num" w:pos="0"/>
        </w:tabs>
        <w:ind w:start="2880" w:hanging="0"/>
      </w:pPr>
      <w:rPr/>
    </w:lvl>
    <w:lvl w:ilvl="7">
      <w:start w:val="1"/>
      <w:numFmt w:val="none"/>
      <w:suff w:val="nothing"/>
      <w:lvlText w:val=""/>
      <w:lvlJc w:val="start"/>
      <w:pPr>
        <w:tabs>
          <w:tab w:val="num" w:pos="0"/>
        </w:tabs>
        <w:ind w:start="3240" w:hanging="0"/>
      </w:pPr>
      <w:rPr/>
    </w:lvl>
    <w:lvl w:ilvl="8">
      <w:start w:val="1"/>
      <w:numFmt w:val="none"/>
      <w:suff w:val="nothing"/>
      <w:lvlText w:val=""/>
      <w:lvlJc w:val="start"/>
      <w:pPr>
        <w:tabs>
          <w:tab w:val="num" w:pos="0"/>
        </w:tabs>
        <w:ind w:start="3600" w:hanging="0"/>
      </w:pPr>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5409e"/>
    <w:pPr>
      <w:widowControl w:val="false"/>
      <w:suppressAutoHyphens w:val="true"/>
      <w:bidi w:val="0"/>
      <w:spacing w:before="0" w:after="0"/>
      <w:jc w:val="start"/>
    </w:pPr>
    <w:rPr>
      <w:rFonts w:ascii="Arial" w:hAnsi="Arial" w:eastAsia="Times New Roman" w:cs="Arial"/>
      <w:color w:val="auto"/>
      <w:kern w:val="0"/>
      <w:sz w:val="20"/>
      <w:szCs w:val="20"/>
      <w:lang w:val="pl-PL" w:eastAsia="pl-PL" w:bidi="ar-SA"/>
    </w:rPr>
  </w:style>
  <w:style w:type="paragraph" w:styleId="Heading1">
    <w:name w:val="Heading 1"/>
    <w:basedOn w:val="Normal"/>
    <w:link w:val="Nagwek1Znak"/>
    <w:uiPriority w:val="9"/>
    <w:qFormat/>
    <w:rsid w:val="002f490d"/>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link w:val="Nagwek2Znak"/>
    <w:uiPriority w:val="9"/>
    <w:unhideWhenUsed/>
    <w:qFormat/>
    <w:rsid w:val="002f490d"/>
    <w:pPr>
      <w:keepNext w:val="true"/>
      <w:keepLines/>
      <w:spacing w:before="40" w:after="0"/>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
    <w:link w:val="Nagwek3Znak"/>
    <w:uiPriority w:val="9"/>
    <w:unhideWhenUsed/>
    <w:qFormat/>
    <w:rsid w:val="002f490d"/>
    <w:pPr>
      <w:keepNext w:val="true"/>
      <w:keepLines/>
      <w:spacing w:before="40" w:after="0"/>
      <w:outlineLvl w:val="2"/>
    </w:pPr>
    <w:rPr>
      <w:rFonts w:ascii="Cambria" w:hAnsi="Cambria" w:eastAsia="" w:cs="" w:asciiTheme="majorHAnsi" w:cstheme="majorBidi" w:eastAsiaTheme="majorEastAsia" w:hAnsiTheme="majorHAnsi"/>
      <w:color w:themeColor="accent1" w:themeShade="7f" w:val="243F60"/>
      <w:sz w:val="24"/>
      <w:szCs w:val="24"/>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qFormat/>
    <w:rsid w:val="0055409e"/>
    <w:rPr>
      <w:rFonts w:ascii="Arial" w:hAnsi="Arial" w:eastAsia="Times New Roman" w:cs="Arial"/>
      <w:sz w:val="20"/>
      <w:szCs w:val="20"/>
      <w:lang w:eastAsia="pl-PL"/>
    </w:rPr>
  </w:style>
  <w:style w:type="character" w:styleId="Pagenumber">
    <w:name w:val="page number"/>
    <w:basedOn w:val="DefaultParagraphFont"/>
    <w:qFormat/>
    <w:rsid w:val="0055409e"/>
    <w:rPr/>
  </w:style>
  <w:style w:type="character" w:styleId="TekstpodstawowywcityZnak" w:customStyle="1">
    <w:name w:val="Tekst podstawowy wcięty Znak"/>
    <w:basedOn w:val="DefaultParagraphFont"/>
    <w:qFormat/>
    <w:rsid w:val="0055409e"/>
    <w:rPr>
      <w:rFonts w:ascii="Times New Roman" w:hAnsi="Times New Roman" w:eastAsia="Times New Roman" w:cs="Times New Roman"/>
      <w:color w:val="000000"/>
      <w:spacing w:val="-3"/>
      <w:sz w:val="20"/>
      <w:szCs w:val="18"/>
      <w:shd w:fill="FFFFFF" w:val="clear"/>
      <w:lang w:eastAsia="pl-PL"/>
    </w:rPr>
  </w:style>
  <w:style w:type="character" w:styleId="StopkaZnak" w:customStyle="1">
    <w:name w:val="Stopka Znak"/>
    <w:basedOn w:val="DefaultParagraphFont"/>
    <w:uiPriority w:val="99"/>
    <w:qFormat/>
    <w:rsid w:val="00bf4070"/>
    <w:rPr>
      <w:rFonts w:ascii="Arial" w:hAnsi="Arial" w:eastAsia="Times New Roman" w:cs="Arial"/>
      <w:sz w:val="20"/>
      <w:szCs w:val="20"/>
      <w:lang w:eastAsia="pl-PL"/>
    </w:rPr>
  </w:style>
  <w:style w:type="character" w:styleId="Tekstpodstawowy2Znak" w:customStyle="1">
    <w:name w:val="Tekst podstawowy 2 Znak"/>
    <w:basedOn w:val="DefaultParagraphFont"/>
    <w:link w:val="BodyText2"/>
    <w:uiPriority w:val="99"/>
    <w:qFormat/>
    <w:rsid w:val="00764782"/>
    <w:rPr>
      <w:rFonts w:ascii="Arial" w:hAnsi="Arial" w:eastAsia="Times New Roman" w:cs="Arial"/>
      <w:sz w:val="20"/>
      <w:szCs w:val="20"/>
      <w:lang w:eastAsia="pl-PL"/>
    </w:rPr>
  </w:style>
  <w:style w:type="character" w:styleId="TekstdymkaZnak" w:customStyle="1">
    <w:name w:val="Tekst dymka Znak"/>
    <w:basedOn w:val="DefaultParagraphFont"/>
    <w:link w:val="BalloonText"/>
    <w:uiPriority w:val="99"/>
    <w:semiHidden/>
    <w:qFormat/>
    <w:rsid w:val="004c13a7"/>
    <w:rPr>
      <w:rFonts w:ascii="Tahoma" w:hAnsi="Tahoma" w:eastAsia="Times New Roman" w:cs="Tahoma"/>
      <w:sz w:val="16"/>
      <w:szCs w:val="16"/>
      <w:lang w:eastAsia="pl-PL"/>
    </w:rPr>
  </w:style>
  <w:style w:type="character" w:styleId="BezodstpwZnak" w:customStyle="1">
    <w:name w:val="Bez odstępów Znak"/>
    <w:link w:val="NoSpacing"/>
    <w:uiPriority w:val="1"/>
    <w:qFormat/>
    <w:rsid w:val="00e81e50"/>
    <w:rPr>
      <w:rFonts w:ascii="Calibri" w:hAnsi="Calibri" w:eastAsia="Calibri" w:cs="Times New Roman"/>
    </w:rPr>
  </w:style>
  <w:style w:type="character" w:styleId="Nagwek1Znak" w:customStyle="1">
    <w:name w:val="Nagłówek 1 Znak"/>
    <w:basedOn w:val="DefaultParagraphFont"/>
    <w:uiPriority w:val="9"/>
    <w:qFormat/>
    <w:rsid w:val="002f490d"/>
    <w:rPr>
      <w:rFonts w:ascii="Cambria" w:hAnsi="Cambria" w:eastAsia="" w:cs="" w:asciiTheme="majorHAnsi" w:cstheme="majorBidi" w:eastAsiaTheme="majorEastAsia" w:hAnsiTheme="majorHAnsi"/>
      <w:color w:themeColor="accent1" w:themeShade="bf" w:val="365F91"/>
      <w:sz w:val="32"/>
      <w:szCs w:val="32"/>
      <w:lang w:eastAsia="pl-PL"/>
    </w:rPr>
  </w:style>
  <w:style w:type="character" w:styleId="Nagwek2Znak" w:customStyle="1">
    <w:name w:val="Nagłówek 2 Znak"/>
    <w:basedOn w:val="DefaultParagraphFont"/>
    <w:uiPriority w:val="9"/>
    <w:qFormat/>
    <w:rsid w:val="002f490d"/>
    <w:rPr>
      <w:rFonts w:ascii="Cambria" w:hAnsi="Cambria" w:eastAsia="" w:cs="" w:asciiTheme="majorHAnsi" w:cstheme="majorBidi" w:eastAsiaTheme="majorEastAsia" w:hAnsiTheme="majorHAnsi"/>
      <w:color w:themeColor="accent1" w:themeShade="bf" w:val="365F91"/>
      <w:sz w:val="26"/>
      <w:szCs w:val="26"/>
      <w:lang w:eastAsia="pl-PL"/>
    </w:rPr>
  </w:style>
  <w:style w:type="character" w:styleId="Nagwek3Znak" w:customStyle="1">
    <w:name w:val="Nagłówek 3 Znak"/>
    <w:basedOn w:val="DefaultParagraphFont"/>
    <w:uiPriority w:val="9"/>
    <w:qFormat/>
    <w:rsid w:val="002f490d"/>
    <w:rPr>
      <w:rFonts w:ascii="Cambria" w:hAnsi="Cambria" w:eastAsia="" w:cs="" w:asciiTheme="majorHAnsi" w:cstheme="majorBidi" w:eastAsiaTheme="majorEastAsia" w:hAnsiTheme="majorHAnsi"/>
      <w:color w:themeColor="accent1" w:themeShade="7f" w:val="243F60"/>
      <w:sz w:val="24"/>
      <w:szCs w:val="24"/>
      <w:lang w:eastAsia="pl-PL"/>
    </w:rPr>
  </w:style>
  <w:style w:type="character" w:styleId="Hyperlink">
    <w:name w:val="Hyperlink"/>
    <w:basedOn w:val="DefaultParagraphFont"/>
    <w:uiPriority w:val="99"/>
    <w:unhideWhenUsed/>
    <w:rsid w:val="00242b6f"/>
    <w:rPr>
      <w:color w:themeColor="hyperlink" w:val="0000FF"/>
      <w:u w:val="single"/>
    </w:rPr>
  </w:style>
  <w:style w:type="character" w:styleId="SpecyfikacjaSSTpodstawowyZnak" w:customStyle="1">
    <w:name w:val="Specyfikacja SST podstawowy Znak"/>
    <w:link w:val="SpecyfikacjaSSTpodstawowy"/>
    <w:qFormat/>
    <w:locked/>
    <w:rsid w:val="00bd6fd6"/>
    <w:rPr>
      <w:bCs/>
      <w:sz w:val="24"/>
      <w:szCs w:val="24"/>
    </w:rPr>
  </w:style>
  <w:style w:type="character" w:styleId="Teksttreci6" w:customStyle="1">
    <w:name w:val="Tekst treści (6)_"/>
    <w:link w:val="Teksttreci61"/>
    <w:uiPriority w:val="99"/>
    <w:qFormat/>
    <w:locked/>
    <w:rsid w:val="00971c1d"/>
    <w:rPr>
      <w:rFonts w:ascii="Arial" w:hAnsi="Arial" w:cs="Arial"/>
      <w:sz w:val="16"/>
      <w:shd w:fill="FFFFFF" w:val="clear"/>
    </w:rPr>
  </w:style>
  <w:style w:type="character" w:styleId="SpecyfikacjaSSTpodkrelenieZnak" w:customStyle="1">
    <w:name w:val="Specyfikacja SST podkreślenie Znak"/>
    <w:link w:val="SpecyfikacjaSSTpodkrelenie"/>
    <w:qFormat/>
    <w:locked/>
    <w:rsid w:val="004459c2"/>
    <w:rPr>
      <w:rFonts w:ascii="Calibri" w:hAnsi="Calibri"/>
      <w:b/>
      <w:bCs/>
      <w:sz w:val="18"/>
      <w:szCs w:val="26"/>
      <w:u w:val="single"/>
    </w:rPr>
  </w:style>
  <w:style w:type="character" w:styleId="-AKAPITZnak1" w:customStyle="1">
    <w:name w:val="- AKAPIT Znak1"/>
    <w:qFormat/>
    <w:locked/>
    <w:rsid w:val="008b5241"/>
    <w:rPr>
      <w:rFonts w:ascii="Verdana" w:hAnsi="Verdana"/>
      <w:i/>
      <w:sz w:val="16"/>
      <w:szCs w:val="16"/>
    </w:rPr>
  </w:style>
  <w:style w:type="character" w:styleId="Czeindeksu" w:customStyle="1">
    <w:name w:val="Łącze indeksu"/>
    <w:qFormat/>
    <w:rPr/>
  </w:style>
  <w:style w:type="character" w:styleId="WW8Num4z0" w:customStyle="1">
    <w:name w:val="WW8Num4z0"/>
    <w:qFormat/>
    <w:rPr>
      <w:rFonts w:ascii="Symbol" w:hAnsi="Symbol" w:cs="Symbol"/>
      <w:color w:val="000000"/>
      <w:sz w:val="18"/>
      <w:szCs w:val="17"/>
    </w:rPr>
  </w:style>
  <w:style w:type="character" w:styleId="WW8Num4z1" w:customStyle="1">
    <w:name w:val="WW8Num4z1"/>
    <w:qFormat/>
    <w:rPr>
      <w:rFonts w:ascii="Courier New" w:hAnsi="Courier New" w:cs="Courier New"/>
    </w:rPr>
  </w:style>
  <w:style w:type="character" w:styleId="WW8Num4z2" w:customStyle="1">
    <w:name w:val="WW8Num4z2"/>
    <w:qFormat/>
    <w:rPr>
      <w:rFonts w:ascii="Wingdings" w:hAnsi="Wingdings" w:cs="Wingdings"/>
    </w:rPr>
  </w:style>
  <w:style w:type="character" w:styleId="WW8Num14z3" w:customStyle="1">
    <w:name w:val="WW8Num14z3"/>
    <w:qFormat/>
    <w:rsid w:val="00c23f0e"/>
    <w:rPr/>
  </w:style>
  <w:style w:type="character" w:styleId="Znakiwypunktowania">
    <w:name w:val="Znaki wypunktowania"/>
    <w:qFormat/>
    <w:rPr>
      <w:rFonts w:ascii="OpenSymbol" w:hAnsi="OpenSymbol" w:eastAsia="OpenSymbol" w:cs="OpenSymbol"/>
    </w:rPr>
  </w:style>
  <w:style w:type="character" w:styleId="Strong">
    <w:name w:val="Strong"/>
    <w:qFormat/>
    <w:rPr>
      <w:b/>
      <w:bCs/>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Mangal"/>
    </w:rPr>
  </w:style>
  <w:style w:type="paragraph" w:styleId="Gwkaistopka" w:customStyle="1">
    <w:name w:val="Główka i stopka"/>
    <w:basedOn w:val="Normal"/>
    <w:qFormat/>
    <w:pPr/>
    <w:rPr/>
  </w:style>
  <w:style w:type="paragraph" w:styleId="Header">
    <w:name w:val="Header"/>
    <w:basedOn w:val="Normal"/>
    <w:next w:val="BodyText"/>
    <w:link w:val="NagwekZnak"/>
    <w:rsid w:val="0055409e"/>
    <w:pPr>
      <w:tabs>
        <w:tab w:val="clear" w:pos="708"/>
        <w:tab w:val="center" w:pos="4536" w:leader="none"/>
        <w:tab w:val="right" w:pos="9072" w:leader="none"/>
      </w:tabs>
    </w:pPr>
    <w:rPr/>
  </w:style>
  <w:style w:type="paragraph" w:styleId="Caption1">
    <w:name w:val="caption1"/>
    <w:basedOn w:val="Normal"/>
    <w:qFormat/>
    <w:pPr>
      <w:suppressLineNumbers/>
      <w:spacing w:before="120" w:after="120"/>
    </w:pPr>
    <w:rPr>
      <w:i/>
      <w:iCs/>
      <w:sz w:val="24"/>
      <w:szCs w:val="24"/>
    </w:rPr>
  </w:style>
  <w:style w:type="paragraph" w:styleId="Caption11" w:customStyle="1">
    <w:name w:val="caption11"/>
    <w:basedOn w:val="Normal"/>
    <w:qFormat/>
    <w:pPr>
      <w:suppressLineNumbers/>
      <w:spacing w:before="120" w:after="120"/>
    </w:pPr>
    <w:rPr>
      <w:rFonts w:cs="Mangal"/>
      <w:i/>
      <w:iCs/>
      <w:sz w:val="24"/>
      <w:szCs w:val="24"/>
    </w:rPr>
  </w:style>
  <w:style w:type="paragraph" w:styleId="BodyTextIndent">
    <w:name w:val="Body Text Indent"/>
    <w:basedOn w:val="Normal"/>
    <w:link w:val="TekstpodstawowywcityZnak"/>
    <w:rsid w:val="0055409e"/>
    <w:pPr>
      <w:widowControl/>
      <w:shd w:val="clear" w:color="auto" w:fill="FFFFFF"/>
      <w:spacing w:lineRule="exact" w:line="240"/>
      <w:ind w:firstLine="266" w:start="23"/>
    </w:pPr>
    <w:rPr>
      <w:rFonts w:ascii="Times New Roman" w:hAnsi="Times New Roman" w:cs="Times New Roman"/>
      <w:color w:val="000000"/>
      <w:spacing w:val="-3"/>
      <w:szCs w:val="18"/>
    </w:rPr>
  </w:style>
  <w:style w:type="paragraph" w:styleId="Footer">
    <w:name w:val="Footer"/>
    <w:basedOn w:val="Normal"/>
    <w:link w:val="StopkaZnak"/>
    <w:uiPriority w:val="99"/>
    <w:unhideWhenUsed/>
    <w:rsid w:val="00bf4070"/>
    <w:pPr>
      <w:tabs>
        <w:tab w:val="clear" w:pos="708"/>
        <w:tab w:val="center" w:pos="4536" w:leader="none"/>
        <w:tab w:val="right" w:pos="9072" w:leader="none"/>
      </w:tabs>
    </w:pPr>
    <w:rPr/>
  </w:style>
  <w:style w:type="paragraph" w:styleId="BodyText2">
    <w:name w:val="Body Text 2"/>
    <w:basedOn w:val="Normal"/>
    <w:link w:val="Tekstpodstawowy2Znak"/>
    <w:uiPriority w:val="99"/>
    <w:unhideWhenUsed/>
    <w:qFormat/>
    <w:rsid w:val="00764782"/>
    <w:pPr>
      <w:spacing w:lineRule="auto" w:line="480" w:before="0" w:after="120"/>
    </w:pPr>
    <w:rPr/>
  </w:style>
  <w:style w:type="paragraph" w:styleId="NoSpacing">
    <w:name w:val="No Spacing"/>
    <w:link w:val="BezodstpwZnak"/>
    <w:uiPriority w:val="1"/>
    <w:qFormat/>
    <w:rsid w:val="00301079"/>
    <w:pPr>
      <w:widowControl/>
      <w:suppressAutoHyphens w:val="true"/>
      <w:bidi w:val="0"/>
      <w:spacing w:before="0" w:after="0"/>
      <w:jc w:val="start"/>
      <w:textAlignment w:val="baseline"/>
    </w:pPr>
    <w:rPr>
      <w:rFonts w:ascii="Calibri" w:hAnsi="Calibri" w:eastAsia="Calibri" w:cs="Times New Roman" w:asciiTheme="minorHAnsi" w:eastAsiaTheme="minorHAnsi" w:hAnsiTheme="minorHAnsi"/>
      <w:color w:val="auto"/>
      <w:kern w:val="0"/>
      <w:sz w:val="20"/>
      <w:szCs w:val="22"/>
      <w:lang w:val="pl-PL" w:eastAsia="en-US" w:bidi="ar-SA"/>
    </w:rPr>
  </w:style>
  <w:style w:type="paragraph" w:styleId="BalloonText">
    <w:name w:val="Balloon Text"/>
    <w:basedOn w:val="Normal"/>
    <w:link w:val="TekstdymkaZnak"/>
    <w:uiPriority w:val="99"/>
    <w:semiHidden/>
    <w:unhideWhenUsed/>
    <w:qFormat/>
    <w:rsid w:val="004c13a7"/>
    <w:pPr/>
    <w:rPr>
      <w:rFonts w:ascii="Tahoma" w:hAnsi="Tahoma" w:cs="Tahoma"/>
      <w:sz w:val="16"/>
      <w:szCs w:val="16"/>
    </w:rPr>
  </w:style>
  <w:style w:type="paragraph" w:styleId="Indexheading1">
    <w:name w:val="index heading1"/>
    <w:basedOn w:val="Header"/>
    <w:qFormat/>
    <w:pPr/>
    <w:rPr/>
  </w:style>
  <w:style w:type="paragraph" w:styleId="IndexHeading">
    <w:name w:val="Index Heading"/>
    <w:basedOn w:val="Nagwek"/>
    <w:pPr/>
    <w:rPr/>
  </w:style>
  <w:style w:type="paragraph" w:styleId="TOCHeading">
    <w:name w:val="TOC Heading"/>
    <w:basedOn w:val="Heading1"/>
    <w:uiPriority w:val="39"/>
    <w:unhideWhenUsed/>
    <w:qFormat/>
    <w:rsid w:val="002f490d"/>
    <w:pPr>
      <w:widowControl/>
      <w:spacing w:lineRule="auto" w:line="259"/>
    </w:pPr>
    <w:rPr/>
  </w:style>
  <w:style w:type="paragraph" w:styleId="ListParagraph">
    <w:name w:val="List Paragraph"/>
    <w:basedOn w:val="Normal"/>
    <w:uiPriority w:val="34"/>
    <w:qFormat/>
    <w:rsid w:val="002f490d"/>
    <w:pPr>
      <w:spacing w:before="0" w:after="0"/>
      <w:ind w:start="720"/>
      <w:contextualSpacing/>
    </w:pPr>
    <w:rPr/>
  </w:style>
  <w:style w:type="paragraph" w:styleId="TOC1">
    <w:name w:val="TOC 1"/>
    <w:basedOn w:val="Normal"/>
    <w:autoRedefine/>
    <w:uiPriority w:val="39"/>
    <w:unhideWhenUsed/>
    <w:rsid w:val="00e25eec"/>
    <w:pPr>
      <w:spacing w:before="0" w:after="100"/>
    </w:pPr>
    <w:rPr/>
  </w:style>
  <w:style w:type="paragraph" w:styleId="TOC2">
    <w:name w:val="TOC 2"/>
    <w:basedOn w:val="Normal"/>
    <w:autoRedefine/>
    <w:uiPriority w:val="39"/>
    <w:unhideWhenUsed/>
    <w:rsid w:val="00e25eec"/>
    <w:pPr>
      <w:spacing w:before="0" w:after="100"/>
      <w:ind w:start="200"/>
    </w:pPr>
    <w:rPr/>
  </w:style>
  <w:style w:type="paragraph" w:styleId="TOC3">
    <w:name w:val="TOC 3"/>
    <w:basedOn w:val="Normal"/>
    <w:autoRedefine/>
    <w:uiPriority w:val="39"/>
    <w:unhideWhenUsed/>
    <w:rsid w:val="00e25eec"/>
    <w:pPr>
      <w:spacing w:before="0" w:after="100"/>
      <w:ind w:start="400"/>
    </w:pPr>
    <w:rPr/>
  </w:style>
  <w:style w:type="paragraph" w:styleId="SpecyfikacjaSSTpodstawowy" w:customStyle="1">
    <w:name w:val="Specyfikacja SST podstawowy"/>
    <w:basedOn w:val="Normal"/>
    <w:link w:val="SpecyfikacjaSSTpodstawowyZnak"/>
    <w:autoRedefine/>
    <w:qFormat/>
    <w:rsid w:val="00bd6fd6"/>
    <w:pPr>
      <w:widowControl/>
      <w:jc w:val="both"/>
    </w:pPr>
    <w:rPr>
      <w:rFonts w:ascii="Calibri" w:hAnsi="Calibri" w:eastAsia="Calibri" w:cs="" w:asciiTheme="minorHAnsi" w:cstheme="minorBidi" w:eastAsiaTheme="minorHAnsi" w:hAnsiTheme="minorHAnsi"/>
      <w:bCs/>
      <w:sz w:val="24"/>
      <w:szCs w:val="24"/>
      <w:lang w:eastAsia="en-US"/>
    </w:rPr>
  </w:style>
  <w:style w:type="paragraph" w:styleId="SpecyfikacjaSSTpodstpunkt" w:customStyle="1">
    <w:name w:val="Specyfikacja SST podst  punkt"/>
    <w:basedOn w:val="SpecyfikacjaSSTpodstawowy"/>
    <w:autoRedefine/>
    <w:qFormat/>
    <w:rsid w:val="00bd6fd6"/>
    <w:pPr>
      <w:tabs>
        <w:tab w:val="clear" w:pos="708"/>
        <w:tab w:val="left" w:pos="360" w:leader="none"/>
      </w:tabs>
    </w:pPr>
    <w:rPr/>
  </w:style>
  <w:style w:type="paragraph" w:styleId="Teksttreci61" w:customStyle="1">
    <w:name w:val="Tekst treści (6)"/>
    <w:basedOn w:val="Normal"/>
    <w:link w:val="Teksttreci6"/>
    <w:uiPriority w:val="99"/>
    <w:qFormat/>
    <w:rsid w:val="00971c1d"/>
    <w:pPr>
      <w:widowControl/>
      <w:shd w:val="clear" w:color="auto" w:fill="FFFFFF"/>
      <w:spacing w:lineRule="atLeast" w:line="240" w:before="900" w:after="0"/>
      <w:jc w:val="center"/>
    </w:pPr>
    <w:rPr>
      <w:rFonts w:eastAsia="Calibri" w:eastAsiaTheme="minorHAnsi"/>
      <w:b/>
      <w:sz w:val="16"/>
      <w:szCs w:val="22"/>
      <w:lang w:eastAsia="en-US"/>
    </w:rPr>
  </w:style>
  <w:style w:type="paragraph" w:styleId="Standard" w:customStyle="1">
    <w:name w:val="Standard"/>
    <w:qFormat/>
    <w:rsid w:val="00971c1d"/>
    <w:pPr>
      <w:widowControl/>
      <w:suppressAutoHyphens w:val="true"/>
      <w:bidi w:val="0"/>
      <w:spacing w:before="0" w:after="0"/>
      <w:jc w:val="start"/>
    </w:pPr>
    <w:rPr>
      <w:rFonts w:ascii="Times New Roman" w:hAnsi="Times New Roman" w:eastAsia="SimSun" w:cs="Arial"/>
      <w:color w:val="auto"/>
      <w:kern w:val="2"/>
      <w:sz w:val="24"/>
      <w:szCs w:val="24"/>
      <w:lang w:val="pl-PL" w:eastAsia="zh-CN" w:bidi="hi-IN"/>
    </w:rPr>
  </w:style>
  <w:style w:type="paragraph" w:styleId="SpecyfikacjaSST2" w:customStyle="1">
    <w:name w:val="Specyfikacja SST2"/>
    <w:basedOn w:val="Normal"/>
    <w:autoRedefine/>
    <w:qFormat/>
    <w:rsid w:val="00ee2021"/>
    <w:pPr>
      <w:widowControl/>
      <w:spacing w:before="0" w:after="120"/>
      <w:jc w:val="both"/>
    </w:pPr>
    <w:rPr>
      <w:rFonts w:ascii="Times New Roman" w:hAnsi="Times New Roman" w:cs="Times New Roman"/>
      <w:b/>
      <w:sz w:val="26"/>
      <w:szCs w:val="32"/>
    </w:rPr>
  </w:style>
  <w:style w:type="paragraph" w:styleId="SpecyfikacjaSST1" w:customStyle="1">
    <w:name w:val="Specyfikacja SST1"/>
    <w:basedOn w:val="Normal"/>
    <w:autoRedefine/>
    <w:qFormat/>
    <w:rsid w:val="00ee2021"/>
    <w:pPr>
      <w:widowControl/>
      <w:spacing w:before="360" w:after="120"/>
      <w:jc w:val="both"/>
    </w:pPr>
    <w:rPr>
      <w:rFonts w:ascii="Times New Roman" w:hAnsi="Times New Roman" w:cs="Times New Roman"/>
      <w:b/>
      <w:sz w:val="28"/>
      <w:szCs w:val="32"/>
    </w:rPr>
  </w:style>
  <w:style w:type="paragraph" w:styleId="SpecyfikacjaSSTpodkrelenie" w:customStyle="1">
    <w:name w:val="Specyfikacja SST podkreślenie"/>
    <w:basedOn w:val="SpecyfikacjaSSTpodstawowy"/>
    <w:link w:val="SpecyfikacjaSSTpodkrelenieZnak"/>
    <w:autoRedefine/>
    <w:qFormat/>
    <w:rsid w:val="004459c2"/>
    <w:pPr>
      <w:spacing w:before="120" w:after="120"/>
      <w:ind w:start="-426" w:end="284"/>
      <w:jc w:val="start"/>
    </w:pPr>
    <w:rPr>
      <w:rFonts w:ascii="Calibri" w:hAnsi="Calibri"/>
      <w:bCs w:val="false"/>
      <w:sz w:val="18"/>
      <w:szCs w:val="26"/>
      <w:u w:val="single"/>
    </w:rPr>
  </w:style>
  <w:style w:type="paragraph" w:styleId="-AKAPIT" w:customStyle="1">
    <w:name w:val="- AKAPIT"/>
    <w:basedOn w:val="Footer"/>
    <w:qFormat/>
    <w:rsid w:val="008b5241"/>
    <w:pPr>
      <w:widowControl/>
      <w:spacing w:lineRule="exact" w:line="260" w:before="120" w:after="0"/>
      <w:ind w:start="284"/>
      <w:jc w:val="both"/>
    </w:pPr>
    <w:rPr>
      <w:rFonts w:ascii="Verdana" w:hAnsi="Verdana" w:eastAsia="Calibri" w:cs="" w:cstheme="minorBidi" w:eastAsiaTheme="minorHAnsi"/>
      <w:i/>
      <w:sz w:val="16"/>
      <w:szCs w:val="16"/>
      <w:lang w:eastAsia="en-US"/>
    </w:rPr>
  </w:style>
  <w:style w:type="paragraph" w:styleId="Zawartoramki" w:customStyle="1">
    <w:name w:val="Zawartość ramki"/>
    <w:basedOn w:val="Normal"/>
    <w:qFormat/>
    <w:pPr/>
    <w:rPr/>
  </w:style>
  <w:style w:type="paragraph" w:styleId="NormalWeb">
    <w:name w:val="Normal (Web)"/>
    <w:basedOn w:val="Normal"/>
    <w:qFormat/>
    <w:pPr>
      <w:spacing w:before="280" w:after="280"/>
    </w:pPr>
    <w:rPr>
      <w:rFonts w:ascii="Arial Unicode MS" w:hAnsi="Arial Unicode MS" w:eastAsia="Arial Unicode MS" w:cs="Arial Unicode MS"/>
    </w:rPr>
  </w:style>
  <w:style w:type="paragraph" w:styleId="Legenda1" w:customStyle="1">
    <w:name w:val="Legenda1"/>
    <w:basedOn w:val="Normal"/>
    <w:qFormat/>
    <w:rsid w:val="00c23f0e"/>
    <w:pPr>
      <w:widowControl/>
      <w:spacing w:lineRule="auto" w:line="360" w:before="120" w:after="120"/>
      <w:jc w:val="both"/>
    </w:pPr>
    <w:rPr>
      <w:b/>
      <w:bCs/>
      <w:lang w:eastAsia="zh-CN"/>
    </w:rPr>
  </w:style>
  <w:style w:type="paragraph" w:styleId="TBtytS" w:customStyle="1">
    <w:name w:val="TB tyt. S"/>
    <w:basedOn w:val="Heading1"/>
    <w:qFormat/>
    <w:rsid w:val="004a4a89"/>
    <w:pPr>
      <w:keepNext w:val="false"/>
      <w:keepLines w:val="false"/>
      <w:suppressLineNumbers/>
      <w:snapToGrid w:val="false"/>
      <w:spacing w:before="60" w:after="0"/>
      <w:ind w:end="7"/>
      <w:contextualSpacing/>
      <w:jc w:val="end"/>
      <w:outlineLvl w:val="9"/>
    </w:pPr>
    <w:rPr>
      <w:rFonts w:ascii="Calibri" w:hAnsi="Calibri" w:eastAsia="Lucida Sans Unicode" w:cs="Open Sans"/>
      <w:sz w:val="14"/>
      <w:szCs w:val="14"/>
      <w:lang w:eastAsia="ar-SA"/>
    </w:rPr>
  </w:style>
  <w:style w:type="paragraph" w:styleId="TBtytM" w:customStyle="1">
    <w:name w:val="TB tyt. M"/>
    <w:basedOn w:val="Heading1"/>
    <w:qFormat/>
    <w:rsid w:val="004a4a89"/>
    <w:pPr>
      <w:keepNext w:val="false"/>
      <w:keepLines w:val="false"/>
      <w:widowControl/>
      <w:spacing w:before="0" w:after="0"/>
      <w:contextualSpacing/>
      <w:jc w:val="center"/>
      <w:outlineLvl w:val="9"/>
    </w:pPr>
    <w:rPr>
      <w:rFonts w:ascii="Calibri" w:hAnsi="Calibri" w:eastAsia="Times New Roman" w:cs="Calibri"/>
      <w:bCs/>
      <w:sz w:val="18"/>
      <w:szCs w:val="24"/>
      <w:lang w:eastAsia="ar-SA"/>
    </w:rPr>
  </w:style>
  <w:style w:type="paragraph" w:styleId="TBtytL" w:customStyle="1">
    <w:name w:val="TB tyt. L"/>
    <w:basedOn w:val="Heading1"/>
    <w:qFormat/>
    <w:rsid w:val="004a4a89"/>
    <w:pPr>
      <w:keepNext w:val="false"/>
      <w:keepLines w:val="false"/>
      <w:widowControl/>
      <w:spacing w:before="0" w:after="0"/>
      <w:contextualSpacing/>
      <w:jc w:val="center"/>
      <w:outlineLvl w:val="9"/>
    </w:pPr>
    <w:rPr>
      <w:rFonts w:ascii="Calibri" w:hAnsi="Calibri" w:eastAsia="Lucida Sans Unicode" w:cs="Calibri"/>
      <w:b/>
      <w:bCs/>
      <w:sz w:val="24"/>
      <w:szCs w:val="24"/>
      <w:lang w:eastAsia="ar-SA"/>
    </w:rPr>
  </w:style>
  <w:style w:type="paragraph" w:styleId="Zawartotabeli" w:customStyle="1">
    <w:name w:val="Zawartość tabeli"/>
    <w:basedOn w:val="Normal"/>
    <w:qFormat/>
    <w:pPr>
      <w:suppressLineNumbers/>
    </w:pPr>
    <w:rPr/>
  </w:style>
  <w:style w:type="numbering" w:styleId="NoList" w:default="1">
    <w:name w:val="No List"/>
    <w:uiPriority w:val="99"/>
    <w:semiHidden/>
    <w:unhideWhenUsed/>
    <w:qFormat/>
  </w:style>
  <w:style w:type="numbering" w:styleId="WW8Num4" w:customStyle="1">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971c1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D398-3B24-4612-8566-0EE899C9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Application>LibreOffice/7.6.2.1$Windows_X86_64 LibreOffice_project/56f7684011345957bbf33a7ee678afaf4d2ba333</Application>
  <AppVersion>15.0000</AppVersion>
  <Pages>40</Pages>
  <Words>11578</Words>
  <Characters>79168</Characters>
  <CharactersWithSpaces>90128</CharactersWithSpaces>
  <Paragraphs>802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2020-09-22T06:48:00Z</dcterms:created>
  <dc:creator>TP</dc:creator>
  <dc:description/>
  <dc:language>pl-PL</dc:language>
  <cp:lastModifiedBy/>
  <cp:lastPrinted>2023-12-06T08:54:00Z</cp:lastPrinted>
  <dcterms:modified xsi:type="dcterms:W3CDTF">2025-12-29T13:57:07Z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