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B72DD" w14:textId="1CD27CAC" w:rsidR="008346C1" w:rsidRDefault="008346C1" w:rsidP="008346C1">
      <w:pPr>
        <w:tabs>
          <w:tab w:val="left" w:pos="1845"/>
        </w:tabs>
        <w:suppressAutoHyphens w:val="0"/>
        <w:spacing w:after="0" w:line="240" w:lineRule="auto"/>
        <w:ind w:hanging="709"/>
        <w:jc w:val="center"/>
        <w:rPr>
          <w:rFonts w:asciiTheme="minorHAnsi" w:eastAsia="Times New Roman" w:hAnsiTheme="minorHAnsi" w:cstheme="minorHAnsi"/>
          <w:b/>
          <w:bCs/>
          <w:sz w:val="20"/>
          <w:szCs w:val="20"/>
          <w:lang w:eastAsia="pl-PL"/>
        </w:rPr>
      </w:pPr>
      <w:r>
        <w:rPr>
          <w:rFonts w:asciiTheme="minorHAnsi" w:eastAsia="Times New Roman" w:hAnsiTheme="minorHAnsi" w:cstheme="minorHAnsi"/>
          <w:b/>
          <w:bCs/>
          <w:sz w:val="20"/>
          <w:szCs w:val="20"/>
          <w:lang w:eastAsia="pl-PL"/>
        </w:rPr>
        <w:t>SZCZEGÓŁOWY OPIS PRZEDMIOTU ZAMÓWIENIA</w:t>
      </w:r>
    </w:p>
    <w:p w14:paraId="36A9FC4D" w14:textId="3B302BBA" w:rsidR="002859BD" w:rsidRPr="002859BD" w:rsidRDefault="002859BD" w:rsidP="008346C1">
      <w:pPr>
        <w:tabs>
          <w:tab w:val="left" w:pos="1845"/>
        </w:tabs>
        <w:suppressAutoHyphens w:val="0"/>
        <w:spacing w:after="0" w:line="240" w:lineRule="auto"/>
        <w:ind w:hanging="709"/>
        <w:rPr>
          <w:rFonts w:asciiTheme="minorHAnsi" w:eastAsia="Times New Roman" w:hAnsiTheme="minorHAnsi" w:cstheme="minorHAnsi"/>
          <w:b/>
          <w:bCs/>
          <w:sz w:val="20"/>
          <w:szCs w:val="20"/>
          <w:lang w:eastAsia="pl-PL"/>
        </w:rPr>
      </w:pPr>
    </w:p>
    <w:tbl>
      <w:tblPr>
        <w:tblW w:w="15310" w:type="dxa"/>
        <w:tblInd w:w="-71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567"/>
        <w:gridCol w:w="5387"/>
        <w:gridCol w:w="8505"/>
        <w:gridCol w:w="851"/>
      </w:tblGrid>
      <w:tr w:rsidR="00210CBD" w:rsidRPr="00210CBD" w14:paraId="70175828" w14:textId="77777777" w:rsidTr="00303225">
        <w:trPr>
          <w:trHeight w:val="454"/>
        </w:trPr>
        <w:tc>
          <w:tcPr>
            <w:tcW w:w="567"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5236AA8F" w14:textId="77777777" w:rsidR="00210CBD" w:rsidRPr="00210CBD" w:rsidRDefault="00210CBD" w:rsidP="00210CBD">
            <w:pPr>
              <w:spacing w:after="0" w:line="276" w:lineRule="auto"/>
              <w:jc w:val="center"/>
              <w:rPr>
                <w:rFonts w:asciiTheme="minorHAnsi" w:hAnsiTheme="minorHAnsi" w:cstheme="minorHAnsi"/>
                <w:b/>
                <w:bCs/>
                <w:sz w:val="20"/>
                <w:szCs w:val="20"/>
              </w:rPr>
            </w:pPr>
            <w:r w:rsidRPr="00210CBD">
              <w:rPr>
                <w:rFonts w:asciiTheme="minorHAnsi" w:hAnsiTheme="minorHAnsi" w:cstheme="minorHAnsi"/>
                <w:b/>
                <w:bCs/>
                <w:sz w:val="20"/>
                <w:szCs w:val="20"/>
              </w:rPr>
              <w:t>lp.</w:t>
            </w:r>
          </w:p>
        </w:tc>
        <w:tc>
          <w:tcPr>
            <w:tcW w:w="5387"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163A1FD2" w14:textId="77777777" w:rsidR="00210CBD" w:rsidRPr="00210CBD" w:rsidRDefault="00210CBD" w:rsidP="00210CBD">
            <w:pPr>
              <w:spacing w:after="0" w:line="276" w:lineRule="auto"/>
              <w:jc w:val="center"/>
              <w:rPr>
                <w:rFonts w:asciiTheme="minorHAnsi" w:hAnsiTheme="minorHAnsi" w:cstheme="minorHAnsi"/>
                <w:b/>
                <w:bCs/>
                <w:sz w:val="20"/>
                <w:szCs w:val="20"/>
              </w:rPr>
            </w:pPr>
            <w:r w:rsidRPr="00210CBD">
              <w:rPr>
                <w:rFonts w:asciiTheme="minorHAnsi" w:hAnsiTheme="minorHAnsi" w:cstheme="minorHAnsi"/>
                <w:b/>
                <w:bCs/>
                <w:sz w:val="20"/>
                <w:szCs w:val="20"/>
              </w:rPr>
              <w:t xml:space="preserve">Przedmiot zamówienia </w:t>
            </w:r>
          </w:p>
        </w:tc>
        <w:tc>
          <w:tcPr>
            <w:tcW w:w="8505"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4EE37608" w14:textId="77777777" w:rsidR="00210CBD" w:rsidRPr="00210CBD" w:rsidRDefault="00210CBD" w:rsidP="00210CBD">
            <w:pPr>
              <w:spacing w:after="0" w:line="276" w:lineRule="auto"/>
              <w:jc w:val="center"/>
              <w:rPr>
                <w:rFonts w:asciiTheme="minorHAnsi" w:hAnsiTheme="minorHAnsi" w:cstheme="minorHAnsi"/>
                <w:b/>
                <w:bCs/>
                <w:sz w:val="20"/>
                <w:szCs w:val="20"/>
              </w:rPr>
            </w:pPr>
            <w:r w:rsidRPr="00210CBD">
              <w:rPr>
                <w:rFonts w:asciiTheme="minorHAnsi" w:hAnsiTheme="minorHAnsi" w:cstheme="minorHAnsi"/>
                <w:b/>
                <w:bCs/>
                <w:sz w:val="20"/>
                <w:szCs w:val="20"/>
              </w:rPr>
              <w:t>Opis Przedmiotu Zamówienia</w:t>
            </w:r>
          </w:p>
        </w:tc>
        <w:tc>
          <w:tcPr>
            <w:tcW w:w="851"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0733FA56" w14:textId="77777777" w:rsidR="00210CBD" w:rsidRPr="00210CBD" w:rsidRDefault="00210CBD" w:rsidP="00210CBD">
            <w:pPr>
              <w:spacing w:after="0" w:line="276" w:lineRule="auto"/>
              <w:jc w:val="center"/>
              <w:rPr>
                <w:rFonts w:asciiTheme="minorHAnsi" w:hAnsiTheme="minorHAnsi" w:cstheme="minorHAnsi"/>
                <w:b/>
                <w:bCs/>
                <w:sz w:val="20"/>
                <w:szCs w:val="20"/>
              </w:rPr>
            </w:pPr>
            <w:r w:rsidRPr="00210CBD">
              <w:rPr>
                <w:rFonts w:asciiTheme="minorHAnsi" w:hAnsiTheme="minorHAnsi" w:cstheme="minorHAnsi"/>
                <w:b/>
                <w:bCs/>
                <w:sz w:val="20"/>
                <w:szCs w:val="20"/>
              </w:rPr>
              <w:t>Ilość</w:t>
            </w:r>
          </w:p>
        </w:tc>
      </w:tr>
      <w:tr w:rsidR="00210CBD" w:rsidRPr="00210CBD" w14:paraId="3C03953A" w14:textId="77777777" w:rsidTr="00210CBD">
        <w:trPr>
          <w:trHeight w:val="799"/>
        </w:trPr>
        <w:tc>
          <w:tcPr>
            <w:tcW w:w="56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4A9DE919"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z w:val="20"/>
                <w:szCs w:val="20"/>
              </w:rPr>
              <w:t>1</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27043395" w14:textId="704C7B97" w:rsidR="00210CBD" w:rsidRPr="00210CBD" w:rsidRDefault="008346C1" w:rsidP="00210CBD">
            <w:pPr>
              <w:spacing w:after="0" w:line="276" w:lineRule="auto"/>
              <w:ind w:right="586"/>
              <w:rPr>
                <w:rFonts w:asciiTheme="minorHAnsi" w:hAnsiTheme="minorHAnsi" w:cstheme="minorHAnsi"/>
                <w:sz w:val="20"/>
                <w:szCs w:val="20"/>
              </w:rPr>
            </w:pPr>
            <w:r w:rsidRPr="008346C1">
              <w:rPr>
                <w:rFonts w:asciiTheme="minorHAnsi" w:hAnsiTheme="minorHAnsi" w:cstheme="minorHAnsi"/>
                <w:sz w:val="20"/>
                <w:szCs w:val="20"/>
              </w:rPr>
              <w:t>Modułowy system monitorowania pacjenta z modułem transportowym, modułem do pomiaru zwiotczenia mięśni, głębokości uśpienia oraz kapnografii</w:t>
            </w:r>
          </w:p>
        </w:tc>
        <w:tc>
          <w:tcPr>
            <w:tcW w:w="8505" w:type="dxa"/>
            <w:tcBorders>
              <w:top w:val="single" w:sz="4" w:space="0" w:color="00000A"/>
              <w:left w:val="single" w:sz="4" w:space="0" w:color="00000A"/>
              <w:right w:val="single" w:sz="4" w:space="0" w:color="00000A"/>
            </w:tcBorders>
            <w:shd w:val="clear" w:color="auto" w:fill="FFFFFF"/>
            <w:tcMar>
              <w:left w:w="108" w:type="dxa"/>
            </w:tcMar>
            <w:vAlign w:val="center"/>
          </w:tcPr>
          <w:p w14:paraId="673BAA40" w14:textId="77777777" w:rsidR="00210CBD" w:rsidRPr="00210CBD" w:rsidRDefault="00210CBD" w:rsidP="00210CBD">
            <w:pPr>
              <w:spacing w:after="0" w:line="276" w:lineRule="auto"/>
              <w:ind w:right="586"/>
              <w:rPr>
                <w:rFonts w:asciiTheme="minorHAnsi" w:hAnsiTheme="minorHAnsi" w:cstheme="minorHAnsi"/>
                <w:sz w:val="20"/>
                <w:szCs w:val="20"/>
              </w:rPr>
            </w:pPr>
            <w:r w:rsidRPr="00210CBD">
              <w:rPr>
                <w:rFonts w:asciiTheme="minorHAnsi" w:hAnsiTheme="minorHAnsi" w:cstheme="minorHAnsi"/>
                <w:sz w:val="20"/>
                <w:szCs w:val="20"/>
              </w:rPr>
              <w:t>Szczegółowe parametry techniczne zostały określone w tabeli „Parametry graniczne.”</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76FF5242" w14:textId="77777777" w:rsidR="00210CBD" w:rsidRPr="00210CBD" w:rsidRDefault="00210CBD" w:rsidP="00210CBD">
            <w:pPr>
              <w:spacing w:after="0" w:line="276" w:lineRule="auto"/>
              <w:jc w:val="center"/>
              <w:rPr>
                <w:rFonts w:asciiTheme="minorHAnsi" w:hAnsiTheme="minorHAnsi" w:cstheme="minorHAnsi"/>
                <w:sz w:val="20"/>
                <w:szCs w:val="20"/>
              </w:rPr>
            </w:pPr>
            <w:r w:rsidRPr="00210CBD">
              <w:rPr>
                <w:rFonts w:asciiTheme="minorHAnsi" w:hAnsiTheme="minorHAnsi" w:cstheme="minorHAnsi"/>
                <w:sz w:val="20"/>
                <w:szCs w:val="20"/>
              </w:rPr>
              <w:t xml:space="preserve">3 szt. </w:t>
            </w:r>
          </w:p>
        </w:tc>
      </w:tr>
    </w:tbl>
    <w:p w14:paraId="4B967FAB" w14:textId="77777777" w:rsidR="002859BD" w:rsidRPr="002859BD" w:rsidRDefault="002859BD" w:rsidP="002964F5">
      <w:pPr>
        <w:suppressAutoHyphens w:val="0"/>
        <w:spacing w:after="0" w:line="276" w:lineRule="auto"/>
        <w:rPr>
          <w:rFonts w:asciiTheme="minorHAnsi" w:eastAsia="Times New Roman" w:hAnsiTheme="minorHAnsi" w:cstheme="minorHAnsi"/>
          <w:b/>
          <w:color w:val="00B050"/>
          <w:sz w:val="20"/>
          <w:szCs w:val="20"/>
          <w:lang w:eastAsia="pl-PL"/>
        </w:rPr>
      </w:pPr>
    </w:p>
    <w:p w14:paraId="67AC9311" w14:textId="77777777" w:rsidR="002859BD" w:rsidRPr="002859BD" w:rsidRDefault="002859BD" w:rsidP="008346C1">
      <w:pPr>
        <w:suppressAutoHyphens w:val="0"/>
        <w:spacing w:line="240" w:lineRule="auto"/>
        <w:ind w:hanging="709"/>
        <w:jc w:val="both"/>
        <w:rPr>
          <w:rFonts w:asciiTheme="minorHAnsi" w:eastAsia="Times New Roman" w:hAnsiTheme="minorHAnsi" w:cstheme="minorHAnsi"/>
          <w:b/>
          <w:sz w:val="20"/>
          <w:szCs w:val="20"/>
          <w:lang w:eastAsia="pl-PL"/>
        </w:rPr>
      </w:pPr>
      <w:r w:rsidRPr="002859BD">
        <w:rPr>
          <w:rFonts w:asciiTheme="minorHAnsi" w:eastAsia="Times New Roman" w:hAnsiTheme="minorHAnsi" w:cstheme="minorHAnsi"/>
          <w:b/>
          <w:sz w:val="20"/>
          <w:szCs w:val="20"/>
          <w:lang w:eastAsia="pl-PL"/>
        </w:rPr>
        <w:t xml:space="preserve">Parametry graniczne </w:t>
      </w:r>
    </w:p>
    <w:tbl>
      <w:tblPr>
        <w:tblW w:w="15310" w:type="dxa"/>
        <w:tblInd w:w="-71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57" w:type="dxa"/>
          <w:left w:w="70" w:type="dxa"/>
          <w:bottom w:w="57" w:type="dxa"/>
          <w:right w:w="70" w:type="dxa"/>
        </w:tblCellMar>
        <w:tblLook w:val="04A0" w:firstRow="1" w:lastRow="0" w:firstColumn="1" w:lastColumn="0" w:noHBand="0" w:noVBand="1"/>
      </w:tblPr>
      <w:tblGrid>
        <w:gridCol w:w="568"/>
        <w:gridCol w:w="9072"/>
        <w:gridCol w:w="1806"/>
        <w:gridCol w:w="3864"/>
      </w:tblGrid>
      <w:tr w:rsidR="00210CBD" w:rsidRPr="00210CBD" w14:paraId="4DE3F920" w14:textId="77777777" w:rsidTr="00303225">
        <w:trPr>
          <w:trHeight w:val="454"/>
        </w:trPr>
        <w:tc>
          <w:tcPr>
            <w:tcW w:w="568" w:type="dxa"/>
            <w:tcBorders>
              <w:top w:val="single" w:sz="4" w:space="0" w:color="00000A"/>
              <w:left w:val="single" w:sz="4" w:space="0" w:color="00000A"/>
              <w:bottom w:val="single" w:sz="4" w:space="0" w:color="auto"/>
              <w:right w:val="single" w:sz="4" w:space="0" w:color="00000A"/>
            </w:tcBorders>
            <w:shd w:val="clear" w:color="auto" w:fill="BFBFBF"/>
            <w:vAlign w:val="center"/>
            <w:hideMark/>
          </w:tcPr>
          <w:p w14:paraId="303AD85D" w14:textId="77777777" w:rsidR="00210CBD" w:rsidRPr="00210CBD" w:rsidRDefault="00210CBD" w:rsidP="00210CBD">
            <w:pPr>
              <w:spacing w:after="0" w:line="276" w:lineRule="auto"/>
              <w:jc w:val="center"/>
              <w:rPr>
                <w:rFonts w:asciiTheme="minorHAnsi" w:hAnsiTheme="minorHAnsi" w:cstheme="minorHAnsi"/>
                <w:b/>
                <w:bCs/>
                <w:sz w:val="20"/>
                <w:szCs w:val="20"/>
              </w:rPr>
            </w:pPr>
            <w:r w:rsidRPr="00210CBD">
              <w:rPr>
                <w:rFonts w:asciiTheme="minorHAnsi" w:hAnsiTheme="minorHAnsi" w:cstheme="minorHAnsi"/>
                <w:b/>
                <w:bCs/>
                <w:sz w:val="20"/>
                <w:szCs w:val="20"/>
              </w:rPr>
              <w:t>lp.</w:t>
            </w:r>
          </w:p>
        </w:tc>
        <w:tc>
          <w:tcPr>
            <w:tcW w:w="9072" w:type="dxa"/>
            <w:tcBorders>
              <w:top w:val="single" w:sz="4" w:space="0" w:color="00000A"/>
              <w:left w:val="single" w:sz="4" w:space="0" w:color="00000A"/>
              <w:bottom w:val="single" w:sz="4" w:space="0" w:color="auto"/>
              <w:right w:val="single" w:sz="4" w:space="0" w:color="00000A"/>
            </w:tcBorders>
            <w:shd w:val="clear" w:color="auto" w:fill="BFBFBF"/>
            <w:vAlign w:val="center"/>
            <w:hideMark/>
          </w:tcPr>
          <w:p w14:paraId="5C8B2BF8" w14:textId="77777777" w:rsidR="00210CBD" w:rsidRPr="00210CBD" w:rsidRDefault="00210CBD" w:rsidP="00210CBD">
            <w:pPr>
              <w:spacing w:after="0" w:line="276" w:lineRule="auto"/>
              <w:jc w:val="center"/>
              <w:rPr>
                <w:rFonts w:asciiTheme="minorHAnsi" w:hAnsiTheme="minorHAnsi" w:cstheme="minorHAnsi"/>
                <w:b/>
                <w:bCs/>
                <w:sz w:val="20"/>
                <w:szCs w:val="20"/>
              </w:rPr>
            </w:pPr>
            <w:r w:rsidRPr="00210CBD">
              <w:rPr>
                <w:rFonts w:asciiTheme="minorHAnsi" w:hAnsiTheme="minorHAnsi" w:cstheme="minorHAnsi"/>
                <w:b/>
                <w:bCs/>
                <w:sz w:val="20"/>
                <w:szCs w:val="20"/>
              </w:rPr>
              <w:t>Parametry wymagane aparatu</w:t>
            </w:r>
          </w:p>
        </w:tc>
        <w:tc>
          <w:tcPr>
            <w:tcW w:w="1806" w:type="dxa"/>
            <w:tcBorders>
              <w:top w:val="single" w:sz="4" w:space="0" w:color="00000A"/>
              <w:left w:val="single" w:sz="4" w:space="0" w:color="00000A"/>
              <w:bottom w:val="single" w:sz="4" w:space="0" w:color="auto"/>
              <w:right w:val="single" w:sz="4" w:space="0" w:color="00000A"/>
            </w:tcBorders>
            <w:shd w:val="clear" w:color="auto" w:fill="BFBFBF"/>
            <w:vAlign w:val="center"/>
            <w:hideMark/>
          </w:tcPr>
          <w:p w14:paraId="6222AE2C" w14:textId="77777777" w:rsidR="00210CBD" w:rsidRPr="00210CBD" w:rsidRDefault="00210CBD" w:rsidP="00210CBD">
            <w:pPr>
              <w:spacing w:after="0" w:line="276" w:lineRule="auto"/>
              <w:jc w:val="center"/>
              <w:rPr>
                <w:rFonts w:asciiTheme="minorHAnsi" w:hAnsiTheme="minorHAnsi" w:cstheme="minorHAnsi"/>
                <w:b/>
                <w:bCs/>
                <w:sz w:val="20"/>
                <w:szCs w:val="20"/>
              </w:rPr>
            </w:pPr>
            <w:r w:rsidRPr="00210CBD">
              <w:rPr>
                <w:rFonts w:asciiTheme="minorHAnsi" w:hAnsiTheme="minorHAnsi" w:cstheme="minorHAnsi"/>
                <w:b/>
                <w:bCs/>
                <w:sz w:val="20"/>
                <w:szCs w:val="20"/>
              </w:rPr>
              <w:t>Parametr wymagany</w:t>
            </w:r>
          </w:p>
        </w:tc>
        <w:tc>
          <w:tcPr>
            <w:tcW w:w="3864" w:type="dxa"/>
            <w:tcBorders>
              <w:top w:val="single" w:sz="4" w:space="0" w:color="00000A"/>
              <w:left w:val="single" w:sz="4" w:space="0" w:color="00000A"/>
              <w:bottom w:val="single" w:sz="4" w:space="0" w:color="auto"/>
              <w:right w:val="single" w:sz="4" w:space="0" w:color="00000A"/>
            </w:tcBorders>
            <w:shd w:val="clear" w:color="auto" w:fill="BFBFBF"/>
            <w:vAlign w:val="center"/>
            <w:hideMark/>
          </w:tcPr>
          <w:p w14:paraId="6780A918" w14:textId="77777777" w:rsidR="00210CBD" w:rsidRPr="00210CBD" w:rsidRDefault="00210CBD" w:rsidP="00210CBD">
            <w:pPr>
              <w:spacing w:after="0" w:line="276" w:lineRule="auto"/>
              <w:jc w:val="center"/>
              <w:rPr>
                <w:rFonts w:asciiTheme="minorHAnsi" w:hAnsiTheme="minorHAnsi" w:cstheme="minorHAnsi"/>
                <w:b/>
                <w:bCs/>
                <w:sz w:val="20"/>
                <w:szCs w:val="20"/>
              </w:rPr>
            </w:pPr>
            <w:r w:rsidRPr="00210CBD">
              <w:rPr>
                <w:rFonts w:asciiTheme="minorHAnsi" w:hAnsiTheme="minorHAnsi" w:cstheme="minorHAnsi"/>
                <w:b/>
                <w:bCs/>
                <w:sz w:val="20"/>
                <w:szCs w:val="20"/>
              </w:rPr>
              <w:t>Wartość oferowana</w:t>
            </w:r>
            <w:r w:rsidRPr="00210CBD">
              <w:rPr>
                <w:rFonts w:asciiTheme="minorHAnsi" w:hAnsiTheme="minorHAnsi" w:cstheme="minorHAnsi"/>
                <w:bCs/>
                <w:sz w:val="20"/>
                <w:szCs w:val="20"/>
              </w:rPr>
              <w:t xml:space="preserve"> - podać proponowane rozwiązanie i wskazać dokument przedmiotowy wraz z numer strony na potwierdzenie spełniania parametru</w:t>
            </w:r>
          </w:p>
        </w:tc>
      </w:tr>
      <w:tr w:rsidR="00210CBD" w:rsidRPr="00210CBD" w14:paraId="4DC7AE2B" w14:textId="77777777" w:rsidTr="00303225">
        <w:trPr>
          <w:trHeight w:val="170"/>
        </w:trPr>
        <w:tc>
          <w:tcPr>
            <w:tcW w:w="15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DD920AF" w14:textId="77777777" w:rsidR="00210CBD" w:rsidRPr="00210CBD" w:rsidRDefault="00210CBD" w:rsidP="00210CBD">
            <w:pPr>
              <w:spacing w:after="0" w:line="276" w:lineRule="auto"/>
              <w:rPr>
                <w:rFonts w:asciiTheme="minorHAnsi" w:hAnsiTheme="minorHAnsi" w:cstheme="minorHAnsi"/>
                <w:b/>
                <w:sz w:val="20"/>
                <w:szCs w:val="20"/>
              </w:rPr>
            </w:pPr>
            <w:r w:rsidRPr="00210CBD">
              <w:rPr>
                <w:rFonts w:asciiTheme="minorHAnsi" w:hAnsiTheme="minorHAnsi" w:cstheme="minorHAnsi"/>
                <w:b/>
                <w:sz w:val="20"/>
                <w:szCs w:val="20"/>
              </w:rPr>
              <w:t>Monitor wysokiej klasy</w:t>
            </w:r>
          </w:p>
        </w:tc>
      </w:tr>
      <w:tr w:rsidR="00210CBD" w:rsidRPr="00210CBD" w14:paraId="18CDD6E0"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071843D" w14:textId="77777777" w:rsidR="00210CBD" w:rsidRPr="00210CBD" w:rsidRDefault="00210CBD" w:rsidP="00210CBD">
            <w:pPr>
              <w:numPr>
                <w:ilvl w:val="0"/>
                <w:numId w:val="18"/>
              </w:numPr>
              <w:spacing w:after="0" w:line="276" w:lineRule="auto"/>
              <w:ind w:left="360"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shd w:val="clear" w:color="auto" w:fill="FFFFFF"/>
            <w:vAlign w:val="center"/>
          </w:tcPr>
          <w:p w14:paraId="1DEAB8C2" w14:textId="77777777" w:rsidR="00210CBD" w:rsidRPr="00210CBD" w:rsidRDefault="00210CBD" w:rsidP="00210CBD">
            <w:pPr>
              <w:spacing w:after="0" w:line="276" w:lineRule="auto"/>
              <w:rPr>
                <w:rFonts w:asciiTheme="minorHAnsi" w:hAnsiTheme="minorHAnsi" w:cstheme="minorHAnsi"/>
                <w:bCs/>
                <w:sz w:val="20"/>
                <w:szCs w:val="20"/>
              </w:rPr>
            </w:pPr>
            <w:r w:rsidRPr="00210CBD">
              <w:rPr>
                <w:rFonts w:asciiTheme="minorHAnsi" w:hAnsiTheme="minorHAnsi" w:cstheme="minorHAnsi"/>
                <w:sz w:val="20"/>
                <w:szCs w:val="20"/>
              </w:rPr>
              <w:t>Urządzenie fabrycznie nowe, nie powystawowe - wymagany rok produkcji: min. 2025</w:t>
            </w: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tcPr>
          <w:p w14:paraId="50BE9E7A" w14:textId="77777777" w:rsidR="00210CBD" w:rsidRPr="00210CBD" w:rsidRDefault="00210CBD" w:rsidP="00210CBD">
            <w:pPr>
              <w:spacing w:after="0" w:line="276" w:lineRule="auto"/>
              <w:jc w:val="center"/>
              <w:rPr>
                <w:rFonts w:asciiTheme="minorHAnsi" w:hAnsiTheme="minorHAnsi" w:cstheme="minorHAnsi"/>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BD295E9"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D00DCC6" w14:textId="77777777" w:rsidTr="00303225">
        <w:trPr>
          <w:trHeight w:val="41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BB910F0" w14:textId="77777777" w:rsidR="00210CBD" w:rsidRPr="00210CBD" w:rsidRDefault="00210CBD" w:rsidP="00210CBD">
            <w:pPr>
              <w:numPr>
                <w:ilvl w:val="0"/>
                <w:numId w:val="18"/>
              </w:numPr>
              <w:spacing w:after="0" w:line="276" w:lineRule="auto"/>
              <w:ind w:left="360" w:right="355"/>
              <w:rPr>
                <w:rFonts w:asciiTheme="minorHAnsi" w:hAnsiTheme="minorHAnsi" w:cstheme="minorHAnsi"/>
                <w:sz w:val="20"/>
                <w:szCs w:val="20"/>
              </w:rPr>
            </w:pPr>
          </w:p>
        </w:tc>
        <w:tc>
          <w:tcPr>
            <w:tcW w:w="90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5CB9E8D" w14:textId="77777777" w:rsidR="00210CBD" w:rsidRPr="00210CBD" w:rsidRDefault="00210CBD" w:rsidP="00210CBD">
            <w:pPr>
              <w:spacing w:after="0" w:line="256" w:lineRule="auto"/>
              <w:rPr>
                <w:rFonts w:asciiTheme="minorHAnsi" w:hAnsiTheme="minorHAnsi" w:cstheme="minorHAnsi"/>
                <w:sz w:val="20"/>
                <w:szCs w:val="20"/>
              </w:rPr>
            </w:pPr>
            <w:r w:rsidRPr="00210CBD">
              <w:rPr>
                <w:rFonts w:asciiTheme="minorHAnsi" w:hAnsiTheme="minorHAnsi" w:cstheme="minorHAnsi"/>
                <w:sz w:val="20"/>
                <w:szCs w:val="20"/>
              </w:rPr>
              <w:t xml:space="preserve">Nazwa oferowanego urządzenia: </w:t>
            </w:r>
          </w:p>
          <w:p w14:paraId="1F8E7F7C" w14:textId="77777777" w:rsidR="00210CBD" w:rsidRPr="00210CBD" w:rsidRDefault="00210CBD" w:rsidP="00210CBD">
            <w:pPr>
              <w:spacing w:after="0" w:line="256" w:lineRule="auto"/>
              <w:rPr>
                <w:rFonts w:asciiTheme="minorHAnsi" w:hAnsiTheme="minorHAnsi" w:cstheme="minorHAnsi"/>
                <w:sz w:val="20"/>
                <w:szCs w:val="20"/>
              </w:rPr>
            </w:pPr>
            <w:r w:rsidRPr="00210CBD">
              <w:rPr>
                <w:rFonts w:asciiTheme="minorHAnsi" w:hAnsiTheme="minorHAnsi" w:cstheme="minorHAnsi"/>
                <w:sz w:val="20"/>
                <w:szCs w:val="20"/>
              </w:rPr>
              <w:t>Producent:</w:t>
            </w:r>
            <w:r w:rsidRPr="00210CBD">
              <w:rPr>
                <w:rFonts w:asciiTheme="minorHAnsi" w:hAnsiTheme="minorHAnsi" w:cstheme="minorHAnsi"/>
                <w:sz w:val="20"/>
                <w:szCs w:val="20"/>
              </w:rPr>
              <w:tab/>
            </w:r>
          </w:p>
          <w:p w14:paraId="38BD800E" w14:textId="77777777" w:rsidR="00210CBD" w:rsidRPr="00210CBD" w:rsidRDefault="00210CBD" w:rsidP="00210CBD">
            <w:pPr>
              <w:spacing w:after="0" w:line="276" w:lineRule="auto"/>
              <w:rPr>
                <w:rFonts w:asciiTheme="minorHAnsi" w:hAnsiTheme="minorHAnsi" w:cstheme="minorHAnsi"/>
                <w:bCs/>
                <w:sz w:val="20"/>
                <w:szCs w:val="20"/>
              </w:rPr>
            </w:pPr>
            <w:r w:rsidRPr="00210CBD">
              <w:rPr>
                <w:rFonts w:asciiTheme="minorHAnsi" w:hAnsiTheme="minorHAnsi" w:cstheme="minorHAnsi"/>
                <w:sz w:val="20"/>
                <w:szCs w:val="20"/>
              </w:rPr>
              <w:t xml:space="preserve">Typ: </w:t>
            </w:r>
            <w:r w:rsidRPr="00210CBD">
              <w:rPr>
                <w:rFonts w:asciiTheme="minorHAnsi" w:hAnsiTheme="minorHAnsi" w:cstheme="minorHAnsi"/>
                <w:sz w:val="20"/>
                <w:szCs w:val="20"/>
              </w:rPr>
              <w:tab/>
              <w:t xml:space="preserve"> </w:t>
            </w: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tcPr>
          <w:p w14:paraId="58E661EA"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9473D21"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EE86874"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5228434" w14:textId="77777777" w:rsidR="00210CBD" w:rsidRPr="00210CBD" w:rsidRDefault="00210CBD" w:rsidP="00210CBD">
            <w:pPr>
              <w:numPr>
                <w:ilvl w:val="0"/>
                <w:numId w:val="18"/>
              </w:numPr>
              <w:spacing w:after="0" w:line="276" w:lineRule="auto"/>
              <w:ind w:left="360"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shd w:val="clear" w:color="auto" w:fill="FFFFFF"/>
            <w:vAlign w:val="center"/>
          </w:tcPr>
          <w:p w14:paraId="1836846D"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Możliwość integracji z dostępnym klinicznym systemem informatycznym (CIS) producenta oferowanego systemu monitorowania pacjenta, w polskiej wersji językowej, umożliwiającym prowadzenie elektronicznej dokumentacji medycznej i zapewniającym jej ciągłość w zakresie opieki około-intensywnej i około-operacyjnej, zapewniającym min.: automatyczną akwizycję parametrów życiowych z oferowanych monitorów, respiratorów, aparatów do znieczulania, pomp infuzyjnych i do terapii nerkozastępczej; dokumentację terapii płynowej i lekowej, obliczanie bilansu płynów, ocenę stanu pacjenta wg. znanych </w:t>
            </w:r>
            <w:proofErr w:type="spellStart"/>
            <w:r w:rsidRPr="00210CBD">
              <w:rPr>
                <w:rFonts w:asciiTheme="minorHAnsi" w:hAnsiTheme="minorHAnsi" w:cstheme="minorHAnsi"/>
                <w:sz w:val="20"/>
                <w:szCs w:val="20"/>
              </w:rPr>
              <w:t>skal</w:t>
            </w:r>
            <w:proofErr w:type="spellEnd"/>
            <w:r w:rsidRPr="00210CBD">
              <w:rPr>
                <w:rFonts w:asciiTheme="minorHAnsi" w:hAnsiTheme="minorHAnsi" w:cstheme="minorHAnsi"/>
                <w:sz w:val="20"/>
                <w:szCs w:val="20"/>
              </w:rPr>
              <w:t xml:space="preserve"> ocen (m.in.: APACHE II, GCS, TISS-28, SOFA), tworzenie zleceń lekarskich, dokumentację procesu opieki pielęgniarskiej, generowanie raportów (w tym karta znieczulenia).</w:t>
            </w: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tcPr>
          <w:p w14:paraId="7E8312A6"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56F6E55"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DB6DCB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FBFF1C"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276AE4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System monitorowania pacjenta o budowie modułowej w technologii wymiennych modułów podłączanych podczas pracy z automatyczną rekonfiguracją ekranu uwzględniającą pojawienie się nowych parametrów pomiarowych.</w:t>
            </w:r>
          </w:p>
        </w:tc>
        <w:tc>
          <w:tcPr>
            <w:tcW w:w="1806" w:type="dxa"/>
            <w:tcBorders>
              <w:top w:val="single" w:sz="4" w:space="0" w:color="auto"/>
              <w:left w:val="single" w:sz="4" w:space="0" w:color="auto"/>
              <w:bottom w:val="single" w:sz="4" w:space="0" w:color="auto"/>
              <w:right w:val="single" w:sz="4" w:space="0" w:color="auto"/>
            </w:tcBorders>
            <w:vAlign w:val="center"/>
          </w:tcPr>
          <w:p w14:paraId="7E08190D"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7B60A53"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829A63E"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B3DDB5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F13FB9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 zapewnia jednoczesne monitorowanie wszystkich wymaganych parametrów</w:t>
            </w:r>
          </w:p>
        </w:tc>
        <w:tc>
          <w:tcPr>
            <w:tcW w:w="1806" w:type="dxa"/>
            <w:tcBorders>
              <w:top w:val="single" w:sz="4" w:space="0" w:color="auto"/>
              <w:left w:val="single" w:sz="4" w:space="0" w:color="auto"/>
              <w:bottom w:val="single" w:sz="4" w:space="0" w:color="auto"/>
              <w:right w:val="single" w:sz="4" w:space="0" w:color="auto"/>
            </w:tcBorders>
            <w:vAlign w:val="center"/>
          </w:tcPr>
          <w:p w14:paraId="3CA85E32"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2328BCB"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29142E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DB548B"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tcPr>
          <w:p w14:paraId="39471EE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Każde stanowisko systemu monitorowania składa się z dużego monitora stacjonarnego, zapewniającego pełną obsługę funkcji monitorowania pacjenta, oraz z niewielkich rozmiarów modułu transportowego z ekranem, opisanego w dalszej części specyfikacji</w:t>
            </w:r>
          </w:p>
        </w:tc>
        <w:tc>
          <w:tcPr>
            <w:tcW w:w="1806" w:type="dxa"/>
            <w:tcBorders>
              <w:top w:val="single" w:sz="4" w:space="0" w:color="auto"/>
              <w:left w:val="single" w:sz="4" w:space="0" w:color="auto"/>
              <w:bottom w:val="single" w:sz="4" w:space="0" w:color="auto"/>
              <w:right w:val="single" w:sz="4" w:space="0" w:color="auto"/>
            </w:tcBorders>
            <w:vAlign w:val="center"/>
          </w:tcPr>
          <w:p w14:paraId="787A6068"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9D16EB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B0004AF"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9C0DC1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6C7D9A2"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Wszystkie elementy systemu monitorowania pacjenta chłodzone konwekcyjnie, pasywnie - bez użycia wentylatorów</w:t>
            </w:r>
          </w:p>
        </w:tc>
        <w:tc>
          <w:tcPr>
            <w:tcW w:w="1806" w:type="dxa"/>
            <w:tcBorders>
              <w:top w:val="single" w:sz="4" w:space="0" w:color="auto"/>
              <w:left w:val="single" w:sz="4" w:space="0" w:color="auto"/>
              <w:bottom w:val="single" w:sz="4" w:space="0" w:color="auto"/>
              <w:right w:val="single" w:sz="4" w:space="0" w:color="auto"/>
            </w:tcBorders>
            <w:vAlign w:val="center"/>
          </w:tcPr>
          <w:p w14:paraId="4BF50B0B"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2B5941E"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ECD7702"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AC099D9"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9DADF5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System monitorowania pacjenta przeznaczony do monitorowania pacjentów we wszystkich kategoriach wiekowych: dorosłych, dzieci i noworodków</w:t>
            </w:r>
          </w:p>
        </w:tc>
        <w:tc>
          <w:tcPr>
            <w:tcW w:w="1806" w:type="dxa"/>
            <w:tcBorders>
              <w:top w:val="single" w:sz="4" w:space="0" w:color="auto"/>
              <w:left w:val="single" w:sz="4" w:space="0" w:color="auto"/>
              <w:bottom w:val="single" w:sz="4" w:space="0" w:color="auto"/>
              <w:right w:val="single" w:sz="4" w:space="0" w:color="auto"/>
            </w:tcBorders>
            <w:vAlign w:val="center"/>
          </w:tcPr>
          <w:p w14:paraId="1CB7E235"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56DC28D"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ECBE062"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5B751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EA90798"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Komunikacja z użytkownikiem w języku polskim</w:t>
            </w:r>
          </w:p>
        </w:tc>
        <w:tc>
          <w:tcPr>
            <w:tcW w:w="1806" w:type="dxa"/>
            <w:tcBorders>
              <w:top w:val="single" w:sz="4" w:space="0" w:color="auto"/>
              <w:left w:val="single" w:sz="4" w:space="0" w:color="auto"/>
              <w:bottom w:val="single" w:sz="4" w:space="0" w:color="auto"/>
              <w:right w:val="single" w:sz="4" w:space="0" w:color="auto"/>
            </w:tcBorders>
            <w:vAlign w:val="center"/>
          </w:tcPr>
          <w:p w14:paraId="15952A30"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680305B"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E4A5C58"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6BFAD2"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F8247B9"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 wyposażony w tryb "</w:t>
            </w:r>
            <w:proofErr w:type="spellStart"/>
            <w:r w:rsidRPr="00210CBD">
              <w:rPr>
                <w:rFonts w:asciiTheme="minorHAnsi" w:hAnsiTheme="minorHAnsi" w:cstheme="minorHAnsi"/>
                <w:sz w:val="20"/>
                <w:szCs w:val="20"/>
              </w:rPr>
              <w:t>Standby</w:t>
            </w:r>
            <w:proofErr w:type="spellEnd"/>
            <w:r w:rsidRPr="00210CBD">
              <w:rPr>
                <w:rFonts w:asciiTheme="minorHAnsi" w:hAnsiTheme="minorHAnsi" w:cstheme="minorHAnsi"/>
                <w:sz w:val="20"/>
                <w:szCs w:val="20"/>
              </w:rPr>
              <w:t>" - tymczasowe wstrzymanie monitorowania pacjenta oraz sygnalizowania alarmów, np. na czas toalety pacjenta lub badania diagnostycznego. Po wznowieniu monitorowania następuje kontynuacja monitorowania tego samego pacjenta bez utraty zapisanych danych</w:t>
            </w:r>
          </w:p>
        </w:tc>
        <w:tc>
          <w:tcPr>
            <w:tcW w:w="1806" w:type="dxa"/>
            <w:tcBorders>
              <w:top w:val="single" w:sz="4" w:space="0" w:color="auto"/>
              <w:left w:val="single" w:sz="4" w:space="0" w:color="auto"/>
              <w:bottom w:val="single" w:sz="4" w:space="0" w:color="auto"/>
              <w:right w:val="single" w:sz="4" w:space="0" w:color="auto"/>
            </w:tcBorders>
            <w:vAlign w:val="center"/>
          </w:tcPr>
          <w:p w14:paraId="14063A62"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DFA8197"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6561111"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5C55152"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DCD76D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 wyposażony w tryb prywatności: możliwość wstrzymania wyświetlania na ekranie monitora danych demograficznych pacjenta (numer ID, imię, nazwisko, itp. – bez konieczności usuwania ich z monitora), a także krzywych i parametrów oraz sygnalizowania alarmów bezpośrednio na stanowisku pacjenta - w tym czasie pacjent pozostaje pod ciągłym nadzorem na stanowisku centralnego monitorowania</w:t>
            </w:r>
          </w:p>
        </w:tc>
        <w:tc>
          <w:tcPr>
            <w:tcW w:w="1806" w:type="dxa"/>
            <w:tcBorders>
              <w:top w:val="single" w:sz="4" w:space="0" w:color="auto"/>
              <w:left w:val="single" w:sz="4" w:space="0" w:color="auto"/>
              <w:bottom w:val="single" w:sz="4" w:space="0" w:color="auto"/>
              <w:right w:val="single" w:sz="4" w:space="0" w:color="auto"/>
            </w:tcBorders>
            <w:vAlign w:val="center"/>
          </w:tcPr>
          <w:p w14:paraId="6E556EA5"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E82ADE5"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2978130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ED9A213"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tcPr>
          <w:p w14:paraId="3E2B9822" w14:textId="77777777" w:rsidR="00210CBD" w:rsidRPr="00210CBD" w:rsidRDefault="00210CBD" w:rsidP="00210CBD">
            <w:pPr>
              <w:spacing w:after="0" w:line="276" w:lineRule="auto"/>
              <w:rPr>
                <w:rFonts w:asciiTheme="minorHAnsi" w:hAnsiTheme="minorHAnsi" w:cstheme="minorHAnsi"/>
                <w:b/>
                <w:sz w:val="20"/>
                <w:szCs w:val="20"/>
              </w:rPr>
            </w:pPr>
            <w:r w:rsidRPr="00210CBD">
              <w:rPr>
                <w:rFonts w:asciiTheme="minorHAnsi" w:hAnsiTheme="minorHAnsi" w:cstheme="minorHAnsi"/>
                <w:b/>
                <w:sz w:val="20"/>
                <w:szCs w:val="20"/>
              </w:rPr>
              <w:t xml:space="preserve">Zasilanie </w:t>
            </w:r>
          </w:p>
        </w:tc>
      </w:tr>
      <w:tr w:rsidR="00210CBD" w:rsidRPr="00210CBD" w14:paraId="3B791E26"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7F336E"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0E50A21"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Zasilanie sieciowe, zgodne z PN, dostosowane do 230V/50Hz</w:t>
            </w:r>
          </w:p>
        </w:tc>
        <w:tc>
          <w:tcPr>
            <w:tcW w:w="1806" w:type="dxa"/>
            <w:tcBorders>
              <w:top w:val="single" w:sz="4" w:space="0" w:color="auto"/>
              <w:left w:val="single" w:sz="4" w:space="0" w:color="auto"/>
              <w:bottom w:val="single" w:sz="4" w:space="0" w:color="auto"/>
              <w:right w:val="single" w:sz="4" w:space="0" w:color="auto"/>
            </w:tcBorders>
            <w:vAlign w:val="center"/>
          </w:tcPr>
          <w:p w14:paraId="1DC287E8"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AE482C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2D2B6D31" w14:textId="77777777" w:rsidTr="00210CBD">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0867132"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0B15964"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 zapewnia kontynuację monitorowania min.: EKG, SpO2, NIBP, 2x Temp., 2x IBP na wypadek zaniku zasilania w energię elektryczną</w:t>
            </w:r>
          </w:p>
        </w:tc>
        <w:tc>
          <w:tcPr>
            <w:tcW w:w="1806" w:type="dxa"/>
            <w:tcBorders>
              <w:top w:val="single" w:sz="4" w:space="0" w:color="auto"/>
              <w:left w:val="single" w:sz="4" w:space="0" w:color="auto"/>
              <w:bottom w:val="single" w:sz="4" w:space="0" w:color="auto"/>
              <w:right w:val="single" w:sz="4" w:space="0" w:color="auto"/>
            </w:tcBorders>
            <w:vAlign w:val="center"/>
          </w:tcPr>
          <w:p w14:paraId="1EBF1D15"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4CB7A9C"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F2B5D7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608C551"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tcPr>
          <w:p w14:paraId="4986B06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b/>
                <w:sz w:val="20"/>
                <w:szCs w:val="20"/>
              </w:rPr>
              <w:t>Praca w sieci centralnego monitorowania</w:t>
            </w:r>
          </w:p>
        </w:tc>
      </w:tr>
      <w:tr w:rsidR="00210CBD" w:rsidRPr="00210CBD" w14:paraId="4C3EB63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DADF247"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5346948"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 gotowy do pracy w sieci centralnego monitorowania, zgodnej ze standardem Ethernet. Sieć teleinformatyczna zapewniona przez Zamawiającego.</w:t>
            </w:r>
          </w:p>
        </w:tc>
        <w:tc>
          <w:tcPr>
            <w:tcW w:w="1806" w:type="dxa"/>
            <w:tcBorders>
              <w:top w:val="single" w:sz="4" w:space="0" w:color="auto"/>
              <w:left w:val="single" w:sz="4" w:space="0" w:color="auto"/>
              <w:bottom w:val="single" w:sz="4" w:space="0" w:color="auto"/>
              <w:right w:val="single" w:sz="4" w:space="0" w:color="auto"/>
            </w:tcBorders>
            <w:vAlign w:val="center"/>
          </w:tcPr>
          <w:p w14:paraId="66B7C0AD"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2679EAA"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8BE60D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CE19A13"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5E09DED"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Monitory umożliwiają wykorzystanie jednej fizycznej infrastruktury teleinformatycznej, do celu sieci centralnego monitorowania oraz innych aplikacji szpitalnych, w sposób zapewniający bezpieczeństwo i priorytet przesyłania wrażliwych danych medycznych</w:t>
            </w:r>
          </w:p>
        </w:tc>
        <w:tc>
          <w:tcPr>
            <w:tcW w:w="1806" w:type="dxa"/>
            <w:tcBorders>
              <w:top w:val="single" w:sz="4" w:space="0" w:color="auto"/>
              <w:left w:val="single" w:sz="4" w:space="0" w:color="auto"/>
              <w:bottom w:val="single" w:sz="4" w:space="0" w:color="auto"/>
              <w:right w:val="single" w:sz="4" w:space="0" w:color="auto"/>
            </w:tcBorders>
            <w:vAlign w:val="center"/>
          </w:tcPr>
          <w:p w14:paraId="65174A76"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9908801"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A5B0050"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A96B13C"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21A386C"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Monitory umożliwiają zdalny podgląd ekranu innego kardiomonitora pracującego w sieci centralnego monitorowania. Funkcjonalność zależy wyłącznie od funkcjonowania sieci monitorowania i nie wymaga obecności dedykowanych komputerów, serwerów, centrali monitorującej, itp.</w:t>
            </w:r>
          </w:p>
        </w:tc>
        <w:tc>
          <w:tcPr>
            <w:tcW w:w="1806" w:type="dxa"/>
            <w:tcBorders>
              <w:top w:val="single" w:sz="4" w:space="0" w:color="auto"/>
              <w:left w:val="single" w:sz="4" w:space="0" w:color="auto"/>
              <w:bottom w:val="single" w:sz="4" w:space="0" w:color="auto"/>
              <w:right w:val="single" w:sz="4" w:space="0" w:color="auto"/>
            </w:tcBorders>
            <w:vAlign w:val="center"/>
          </w:tcPr>
          <w:p w14:paraId="12F330BF"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6A1DAFE"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56A2558"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027E62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5B69335"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Monitory umożliwiają wyświetlanie informacji o alarmach występujących na pozostałych kardiomonitorach pracujących w sieci centralnego monitorowania. Możliwość konfiguracji stanowisk, pomiędzy którymi mają być wymieniane informacje o alarmach.</w:t>
            </w:r>
          </w:p>
        </w:tc>
        <w:tc>
          <w:tcPr>
            <w:tcW w:w="1806" w:type="dxa"/>
            <w:tcBorders>
              <w:top w:val="single" w:sz="4" w:space="0" w:color="auto"/>
              <w:left w:val="single" w:sz="4" w:space="0" w:color="auto"/>
              <w:bottom w:val="single" w:sz="4" w:space="0" w:color="auto"/>
              <w:right w:val="single" w:sz="4" w:space="0" w:color="auto"/>
            </w:tcBorders>
            <w:vAlign w:val="center"/>
          </w:tcPr>
          <w:p w14:paraId="083A3518"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C138F3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A9EB64D"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277E2D"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A20830D"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Monitory zapewniają automatyczne otwarcie ekranu zdalnego monitora w momencie wystąpienia zdarzenia alarmowego</w:t>
            </w:r>
          </w:p>
        </w:tc>
        <w:tc>
          <w:tcPr>
            <w:tcW w:w="1806" w:type="dxa"/>
            <w:tcBorders>
              <w:top w:val="single" w:sz="4" w:space="0" w:color="auto"/>
              <w:left w:val="single" w:sz="4" w:space="0" w:color="auto"/>
              <w:bottom w:val="single" w:sz="4" w:space="0" w:color="auto"/>
              <w:right w:val="single" w:sz="4" w:space="0" w:color="auto"/>
            </w:tcBorders>
            <w:vAlign w:val="center"/>
          </w:tcPr>
          <w:p w14:paraId="2C50697C"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3EB72C5"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D1B0504"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5C46D6E"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BA6FD69"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drukowania krzywych, raportów, na podłączonej do sieci centralnego monitorowania tradycyjnej drukarce laserowej</w:t>
            </w:r>
          </w:p>
        </w:tc>
        <w:tc>
          <w:tcPr>
            <w:tcW w:w="1806" w:type="dxa"/>
            <w:tcBorders>
              <w:top w:val="single" w:sz="4" w:space="0" w:color="auto"/>
              <w:left w:val="single" w:sz="4" w:space="0" w:color="auto"/>
              <w:bottom w:val="single" w:sz="4" w:space="0" w:color="auto"/>
              <w:right w:val="single" w:sz="4" w:space="0" w:color="auto"/>
            </w:tcBorders>
            <w:vAlign w:val="center"/>
          </w:tcPr>
          <w:p w14:paraId="005486EE"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5C90D96"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9E68AC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09C444B"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tcPr>
          <w:p w14:paraId="25F4C2E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b/>
                <w:sz w:val="20"/>
                <w:szCs w:val="20"/>
              </w:rPr>
              <w:t>Sposób montażu</w:t>
            </w:r>
          </w:p>
        </w:tc>
      </w:tr>
      <w:tr w:rsidR="00210CBD" w:rsidRPr="00210CBD" w14:paraId="6854EC8E"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C66291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tcPr>
          <w:p w14:paraId="56423CED"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 ofercie do każdego monitora uchwyt montażowy do posiadanej przez Zamawiającego kolumny anestezjologicznej. Uchwyt certyfikowany jako wyrób medyczny.</w:t>
            </w:r>
          </w:p>
        </w:tc>
        <w:tc>
          <w:tcPr>
            <w:tcW w:w="1806" w:type="dxa"/>
            <w:tcBorders>
              <w:top w:val="single" w:sz="4" w:space="0" w:color="auto"/>
              <w:left w:val="single" w:sz="4" w:space="0" w:color="auto"/>
              <w:bottom w:val="single" w:sz="4" w:space="0" w:color="auto"/>
              <w:right w:val="single" w:sz="4" w:space="0" w:color="auto"/>
            </w:tcBorders>
            <w:vAlign w:val="center"/>
          </w:tcPr>
          <w:p w14:paraId="46284270"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189A393"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B167E99"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D03FF98" w14:textId="77777777" w:rsidR="00210CBD" w:rsidRPr="00210CBD" w:rsidRDefault="00210CBD" w:rsidP="00210CBD">
            <w:pPr>
              <w:numPr>
                <w:ilvl w:val="0"/>
                <w:numId w:val="18"/>
              </w:numPr>
              <w:spacing w:after="0" w:line="276" w:lineRule="auto"/>
              <w:ind w:left="356" w:right="355"/>
              <w:rPr>
                <w:rFonts w:asciiTheme="minorHAnsi" w:hAnsiTheme="minorHAnsi" w:cstheme="minorHAnsi"/>
                <w:b/>
                <w:sz w:val="20"/>
                <w:szCs w:val="20"/>
              </w:rPr>
            </w:pPr>
          </w:p>
        </w:tc>
        <w:tc>
          <w:tcPr>
            <w:tcW w:w="14742" w:type="dxa"/>
            <w:gridSpan w:val="3"/>
            <w:tcBorders>
              <w:top w:val="single" w:sz="4" w:space="0" w:color="auto"/>
              <w:left w:val="single" w:sz="4" w:space="0" w:color="auto"/>
              <w:bottom w:val="single" w:sz="4" w:space="0" w:color="auto"/>
              <w:right w:val="single" w:sz="4" w:space="0" w:color="auto"/>
            </w:tcBorders>
          </w:tcPr>
          <w:p w14:paraId="3D71354C"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b/>
                <w:sz w:val="20"/>
                <w:szCs w:val="20"/>
              </w:rPr>
              <w:t>Monitor stacjonarny</w:t>
            </w:r>
          </w:p>
        </w:tc>
      </w:tr>
      <w:tr w:rsidR="00210CBD" w:rsidRPr="00210CBD" w14:paraId="4C01FF48"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903933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9328FF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 wyposażony w dotykowy ekran o przekątnej min. 19" i rozdzielczości min. 1280 x 1024 pikseli. Umożliwia wyświetlanie przynajmniej 10 krzywych dynamicznych jednocześnie i pełną obsługę funkcji monitorowania pacjenta. Nie dopuszcza się realizacji tej funkcjonalności z wykorzystaniem zewnętrznego, dodatkowego ekranu lub innych rozwiązań zależnych od funkcjonowania sieci informatycznej</w:t>
            </w:r>
          </w:p>
        </w:tc>
        <w:tc>
          <w:tcPr>
            <w:tcW w:w="1806" w:type="dxa"/>
            <w:tcBorders>
              <w:top w:val="single" w:sz="4" w:space="0" w:color="auto"/>
              <w:left w:val="single" w:sz="4" w:space="0" w:color="auto"/>
              <w:bottom w:val="single" w:sz="4" w:space="0" w:color="auto"/>
              <w:right w:val="single" w:sz="4" w:space="0" w:color="auto"/>
            </w:tcBorders>
            <w:vAlign w:val="center"/>
          </w:tcPr>
          <w:p w14:paraId="33C92C41"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7B37E53"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A93030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3AB51CA"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E6D63A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podłączenia dodatkowego ekranu powielającego o przekątnej min. 19”</w:t>
            </w:r>
          </w:p>
        </w:tc>
        <w:tc>
          <w:tcPr>
            <w:tcW w:w="1806" w:type="dxa"/>
            <w:tcBorders>
              <w:top w:val="single" w:sz="4" w:space="0" w:color="auto"/>
              <w:left w:val="single" w:sz="4" w:space="0" w:color="auto"/>
              <w:bottom w:val="single" w:sz="4" w:space="0" w:color="auto"/>
              <w:right w:val="single" w:sz="4" w:space="0" w:color="auto"/>
            </w:tcBorders>
            <w:vAlign w:val="center"/>
          </w:tcPr>
          <w:p w14:paraId="25961E59"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B16F3C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9BF6BA5" w14:textId="77777777" w:rsidTr="00303225">
        <w:trPr>
          <w:trHeight w:val="3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4E7959B"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3633D65"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Obsługa kardiomonitora poprzez ekran dotykowy. Możliwość podłączenia klawiatury i myszy do portu USB. Możliwość sterowania przyciskami na wybranych modułach. Możliwość podłączenia czytnika kodów kreskowych do portu USB.</w:t>
            </w:r>
          </w:p>
        </w:tc>
        <w:tc>
          <w:tcPr>
            <w:tcW w:w="1806" w:type="dxa"/>
            <w:tcBorders>
              <w:top w:val="single" w:sz="4" w:space="0" w:color="auto"/>
              <w:left w:val="single" w:sz="4" w:space="0" w:color="auto"/>
              <w:bottom w:val="single" w:sz="4" w:space="0" w:color="auto"/>
              <w:right w:val="single" w:sz="4" w:space="0" w:color="auto"/>
            </w:tcBorders>
            <w:vAlign w:val="center"/>
          </w:tcPr>
          <w:p w14:paraId="1136F641"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491D5B0"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067FF1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F91874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D00D0E5"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zaprogramowania min. 8 różnych konfiguracji (profili) monitora, zawierających m.in. ustawienia monitorowanych parametrów</w:t>
            </w:r>
          </w:p>
        </w:tc>
        <w:tc>
          <w:tcPr>
            <w:tcW w:w="1806" w:type="dxa"/>
            <w:tcBorders>
              <w:top w:val="single" w:sz="4" w:space="0" w:color="auto"/>
              <w:left w:val="single" w:sz="4" w:space="0" w:color="auto"/>
              <w:bottom w:val="single" w:sz="4" w:space="0" w:color="auto"/>
              <w:right w:val="single" w:sz="4" w:space="0" w:color="auto"/>
            </w:tcBorders>
            <w:vAlign w:val="center"/>
          </w:tcPr>
          <w:p w14:paraId="635AA9F2"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8369111"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228BA5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B1B487"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C676818"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wyboru spośród min. 16 różnych układów (widoków) ekranu, z możliwością edycji i zapisu przynajmniej 6 z nich</w:t>
            </w:r>
          </w:p>
        </w:tc>
        <w:tc>
          <w:tcPr>
            <w:tcW w:w="1806" w:type="dxa"/>
            <w:tcBorders>
              <w:top w:val="single" w:sz="4" w:space="0" w:color="auto"/>
              <w:left w:val="single" w:sz="4" w:space="0" w:color="auto"/>
              <w:bottom w:val="single" w:sz="4" w:space="0" w:color="auto"/>
              <w:right w:val="single" w:sz="4" w:space="0" w:color="auto"/>
            </w:tcBorders>
            <w:vAlign w:val="center"/>
          </w:tcPr>
          <w:p w14:paraId="261164BF"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452A8F7"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EA6EBAB" w14:textId="77777777" w:rsidTr="00303225">
        <w:trPr>
          <w:trHeight w:val="170"/>
        </w:trPr>
        <w:tc>
          <w:tcPr>
            <w:tcW w:w="15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F814E56"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b/>
                <w:sz w:val="20"/>
                <w:szCs w:val="20"/>
              </w:rPr>
              <w:t>Moduł transportowy</w:t>
            </w:r>
          </w:p>
        </w:tc>
      </w:tr>
      <w:tr w:rsidR="00210CBD" w:rsidRPr="00210CBD" w14:paraId="1B3A526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ABE25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11676D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Moduł transportowy wyposażony we wbudowany ekran o przekątnej min. 6,2” z funkcją automatycznego dostosowania wyświetlania do położenia monitora, tzw. „</w:t>
            </w:r>
            <w:proofErr w:type="spellStart"/>
            <w:r w:rsidRPr="00210CBD">
              <w:rPr>
                <w:rFonts w:asciiTheme="minorHAnsi" w:hAnsiTheme="minorHAnsi" w:cstheme="minorHAnsi"/>
                <w:sz w:val="20"/>
                <w:szCs w:val="20"/>
              </w:rPr>
              <w:t>flip-screen</w:t>
            </w:r>
            <w:proofErr w:type="spellEnd"/>
            <w:r w:rsidRPr="00210CBD">
              <w:rPr>
                <w:rFonts w:asciiTheme="minorHAnsi" w:hAnsiTheme="minorHAnsi" w:cstheme="minorHAnsi"/>
                <w:sz w:val="20"/>
                <w:szCs w:val="20"/>
              </w:rPr>
              <w:t>”, skokowo min. co 180°</w:t>
            </w:r>
          </w:p>
        </w:tc>
        <w:tc>
          <w:tcPr>
            <w:tcW w:w="1806" w:type="dxa"/>
            <w:tcBorders>
              <w:top w:val="single" w:sz="4" w:space="0" w:color="auto"/>
              <w:left w:val="single" w:sz="4" w:space="0" w:color="auto"/>
              <w:bottom w:val="single" w:sz="4" w:space="0" w:color="auto"/>
              <w:right w:val="single" w:sz="4" w:space="0" w:color="auto"/>
            </w:tcBorders>
            <w:vAlign w:val="center"/>
          </w:tcPr>
          <w:p w14:paraId="05DB385C"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60DD1E7"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867ACAD"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777F7D6"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06B8BF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Przekątna ekranu modułu transportowego ≥ 7”. Interfejs użytkownika modułu transportowego tożsamy z monitorem stacjonarnym (takie samo umiejscowienie przycisków ekranowych, wygląd i nawigacja po menu, itp.). Obsługa gestów.</w:t>
            </w:r>
          </w:p>
        </w:tc>
        <w:tc>
          <w:tcPr>
            <w:tcW w:w="1806" w:type="dxa"/>
            <w:tcBorders>
              <w:top w:val="single" w:sz="4" w:space="0" w:color="auto"/>
              <w:left w:val="single" w:sz="4" w:space="0" w:color="auto"/>
              <w:bottom w:val="single" w:sz="4" w:space="0" w:color="auto"/>
              <w:right w:val="single" w:sz="4" w:space="0" w:color="auto"/>
            </w:tcBorders>
            <w:vAlign w:val="center"/>
          </w:tcPr>
          <w:p w14:paraId="78E601B5"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ADC81AE"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159859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C585916"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45EA4F2"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Moduł transportowy umożliwia jednoczesną prezentację min. 3 krzywych dynamicznych</w:t>
            </w:r>
          </w:p>
        </w:tc>
        <w:tc>
          <w:tcPr>
            <w:tcW w:w="1806" w:type="dxa"/>
            <w:tcBorders>
              <w:top w:val="single" w:sz="4" w:space="0" w:color="auto"/>
              <w:left w:val="single" w:sz="4" w:space="0" w:color="auto"/>
              <w:bottom w:val="single" w:sz="4" w:space="0" w:color="auto"/>
              <w:right w:val="single" w:sz="4" w:space="0" w:color="auto"/>
            </w:tcBorders>
            <w:vAlign w:val="center"/>
          </w:tcPr>
          <w:p w14:paraId="0DEA8673"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934958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5140B42"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267674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3F0B0E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konfiguracji min. 2 widoków ekranu modułu transportowego</w:t>
            </w:r>
          </w:p>
        </w:tc>
        <w:tc>
          <w:tcPr>
            <w:tcW w:w="1806" w:type="dxa"/>
            <w:tcBorders>
              <w:top w:val="single" w:sz="4" w:space="0" w:color="auto"/>
              <w:left w:val="single" w:sz="4" w:space="0" w:color="auto"/>
              <w:bottom w:val="single" w:sz="4" w:space="0" w:color="auto"/>
              <w:right w:val="single" w:sz="4" w:space="0" w:color="auto"/>
            </w:tcBorders>
            <w:vAlign w:val="center"/>
          </w:tcPr>
          <w:p w14:paraId="63C07A84"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6A2914E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E328B5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D00A9E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D841031"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Moduł transportowy wyposażony we wbudowane zasilanie akumulatorowe na min. 4 godziny pracy</w:t>
            </w:r>
          </w:p>
        </w:tc>
        <w:tc>
          <w:tcPr>
            <w:tcW w:w="1806" w:type="dxa"/>
            <w:tcBorders>
              <w:top w:val="single" w:sz="4" w:space="0" w:color="auto"/>
              <w:left w:val="single" w:sz="4" w:space="0" w:color="auto"/>
              <w:bottom w:val="single" w:sz="4" w:space="0" w:color="auto"/>
              <w:right w:val="single" w:sz="4" w:space="0" w:color="auto"/>
            </w:tcBorders>
            <w:vAlign w:val="center"/>
          </w:tcPr>
          <w:p w14:paraId="1E6DDD87"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7D84095"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4952E4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4186225"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67A019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Akumulator wymienny przez użytkownika bez użycia narzędzi. Wskaźnik poziomu naładowania monitora bezpośrednio na akumulatorze.</w:t>
            </w:r>
          </w:p>
        </w:tc>
        <w:tc>
          <w:tcPr>
            <w:tcW w:w="1806" w:type="dxa"/>
            <w:tcBorders>
              <w:top w:val="single" w:sz="4" w:space="0" w:color="auto"/>
              <w:left w:val="single" w:sz="4" w:space="0" w:color="auto"/>
              <w:bottom w:val="single" w:sz="4" w:space="0" w:color="auto"/>
              <w:right w:val="single" w:sz="4" w:space="0" w:color="auto"/>
            </w:tcBorders>
            <w:vAlign w:val="center"/>
          </w:tcPr>
          <w:p w14:paraId="319C5AD2"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654F704"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B70E48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A1DC4EB"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31844C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Moduł transportowy przystosowany do warunków transportowych, odporny na upadek z wysokości min. 1 m</w:t>
            </w:r>
          </w:p>
        </w:tc>
        <w:tc>
          <w:tcPr>
            <w:tcW w:w="1806" w:type="dxa"/>
            <w:tcBorders>
              <w:top w:val="single" w:sz="4" w:space="0" w:color="auto"/>
              <w:left w:val="single" w:sz="4" w:space="0" w:color="auto"/>
              <w:bottom w:val="single" w:sz="4" w:space="0" w:color="auto"/>
              <w:right w:val="single" w:sz="4" w:space="0" w:color="auto"/>
            </w:tcBorders>
            <w:vAlign w:val="center"/>
          </w:tcPr>
          <w:p w14:paraId="7512BB10"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6A9F46ED"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14B5BF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4FB5D71"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A3C889A"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Moduł transportowy przystosowany do warunków transportowych, klasa odporności na zachlapanie wodą nie gorsza niż IPX4</w:t>
            </w:r>
          </w:p>
        </w:tc>
        <w:tc>
          <w:tcPr>
            <w:tcW w:w="1806" w:type="dxa"/>
            <w:tcBorders>
              <w:top w:val="single" w:sz="4" w:space="0" w:color="auto"/>
              <w:left w:val="single" w:sz="4" w:space="0" w:color="auto"/>
              <w:bottom w:val="single" w:sz="4" w:space="0" w:color="auto"/>
              <w:right w:val="single" w:sz="4" w:space="0" w:color="auto"/>
            </w:tcBorders>
            <w:vAlign w:val="center"/>
          </w:tcPr>
          <w:p w14:paraId="6F513989"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A192273"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8E5D8C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314B3F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C48769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Dodatkowa odporność przeciwko wnikaniu ciał stałych min. IP4X</w:t>
            </w:r>
          </w:p>
        </w:tc>
        <w:tc>
          <w:tcPr>
            <w:tcW w:w="1806" w:type="dxa"/>
            <w:tcBorders>
              <w:top w:val="single" w:sz="4" w:space="0" w:color="auto"/>
              <w:left w:val="single" w:sz="4" w:space="0" w:color="auto"/>
              <w:bottom w:val="single" w:sz="4" w:space="0" w:color="auto"/>
              <w:right w:val="single" w:sz="4" w:space="0" w:color="auto"/>
            </w:tcBorders>
            <w:vAlign w:val="center"/>
          </w:tcPr>
          <w:p w14:paraId="62F9C48F"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2F69604"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8C9F508"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BAA635"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7871D84"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Moduł transportowy przystosowany do warunków transportowych, posiada wbudowany uchwyt – rączkę umożliwiającą pełne objęcie dłonią, ułatwiającą przenoszenie, bez konieczności demontażu na czas zadokowania modułu do pracy na stanowisku.</w:t>
            </w:r>
          </w:p>
        </w:tc>
        <w:tc>
          <w:tcPr>
            <w:tcW w:w="1806" w:type="dxa"/>
            <w:tcBorders>
              <w:top w:val="single" w:sz="4" w:space="0" w:color="auto"/>
              <w:left w:val="single" w:sz="4" w:space="0" w:color="auto"/>
              <w:bottom w:val="single" w:sz="4" w:space="0" w:color="auto"/>
              <w:right w:val="single" w:sz="4" w:space="0" w:color="auto"/>
            </w:tcBorders>
            <w:vAlign w:val="center"/>
          </w:tcPr>
          <w:p w14:paraId="358417C3"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7906045"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5EEC296"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6CA161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1BD3BB4"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Moduł transportowy mocowany w dedykowanej stacji dokującej niezależnej od obudowy monitora głównego</w:t>
            </w:r>
          </w:p>
        </w:tc>
        <w:tc>
          <w:tcPr>
            <w:tcW w:w="1806" w:type="dxa"/>
            <w:tcBorders>
              <w:top w:val="single" w:sz="4" w:space="0" w:color="auto"/>
              <w:left w:val="single" w:sz="4" w:space="0" w:color="auto"/>
              <w:bottom w:val="single" w:sz="4" w:space="0" w:color="auto"/>
              <w:right w:val="single" w:sz="4" w:space="0" w:color="auto"/>
            </w:tcBorders>
            <w:vAlign w:val="center"/>
          </w:tcPr>
          <w:p w14:paraId="43A844B4"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9607ED7"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3FF6BE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ABF571"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6F3E11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Masa modułu transportowego wraz z wbudowanym ekranem oraz akumulatorem &lt; 2 kg</w:t>
            </w:r>
          </w:p>
        </w:tc>
        <w:tc>
          <w:tcPr>
            <w:tcW w:w="1806" w:type="dxa"/>
            <w:tcBorders>
              <w:top w:val="single" w:sz="4" w:space="0" w:color="auto"/>
              <w:left w:val="single" w:sz="4" w:space="0" w:color="auto"/>
              <w:bottom w:val="single" w:sz="4" w:space="0" w:color="auto"/>
              <w:right w:val="single" w:sz="4" w:space="0" w:color="auto"/>
            </w:tcBorders>
            <w:vAlign w:val="center"/>
          </w:tcPr>
          <w:p w14:paraId="65101968"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5AB9EFF"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C77622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8DBAA3A"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E1E5215"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Moduł transportowy umożliwia kontynuację monitorowania w czasie transportu min. następujących parametrów (zgodnie z ich wymogami opisanymi w dalszej części specyfikacji): EKG, SpO2, NIBP, 2x Temp., 2x IBP z możliwością rozbudowy o pomiar 2 dodatkowych kanałów IBP oraz CO2 w strumieniu bocznym. Dostępność parametrów zależna wyłącznie od podłączonych akcesoriów pomiarowych</w:t>
            </w:r>
          </w:p>
        </w:tc>
        <w:tc>
          <w:tcPr>
            <w:tcW w:w="1806" w:type="dxa"/>
            <w:tcBorders>
              <w:top w:val="single" w:sz="4" w:space="0" w:color="auto"/>
              <w:left w:val="single" w:sz="4" w:space="0" w:color="auto"/>
              <w:bottom w:val="single" w:sz="4" w:space="0" w:color="auto"/>
              <w:right w:val="single" w:sz="4" w:space="0" w:color="auto"/>
            </w:tcBorders>
            <w:vAlign w:val="center"/>
          </w:tcPr>
          <w:p w14:paraId="5C3FAF64"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2387F46"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508AB0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AFCE462"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2D24D42"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Moduł transportowy zapewnia nieprzerwane monitorowanie w/w parametrów, a także przenoszenie pomiędzy stanowiskami pamięci trendów i zdarzeń alarmowych, uzupełniając ją na nowym stanowisku o dane pozyskane w trakcie transportu</w:t>
            </w:r>
          </w:p>
        </w:tc>
        <w:tc>
          <w:tcPr>
            <w:tcW w:w="1806" w:type="dxa"/>
            <w:tcBorders>
              <w:top w:val="single" w:sz="4" w:space="0" w:color="auto"/>
              <w:left w:val="single" w:sz="4" w:space="0" w:color="auto"/>
              <w:bottom w:val="single" w:sz="4" w:space="0" w:color="auto"/>
              <w:right w:val="single" w:sz="4" w:space="0" w:color="auto"/>
            </w:tcBorders>
            <w:vAlign w:val="center"/>
          </w:tcPr>
          <w:p w14:paraId="18EAA5A9"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CE1FF36"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015FC2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895574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440FED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Moduły pomiarowe podłączane do monitora transportowego cyfrowe, w medycznym standardzie USB: możliwość podłączenia dowolnego modułu do dowolnie wybranego portu USB w monitorze transportowym, podłączenie modułu zapewnia automatyczne rozpoczęcie pomiaru, możliwość zdalnej weryfikacji (np. przez serwis) jakie moduły pomiarowe zostały podłączone do monitora transportowego (min. rodzaj modułu, numer seryjny)</w:t>
            </w:r>
          </w:p>
        </w:tc>
        <w:tc>
          <w:tcPr>
            <w:tcW w:w="1806" w:type="dxa"/>
            <w:tcBorders>
              <w:top w:val="single" w:sz="4" w:space="0" w:color="auto"/>
              <w:left w:val="single" w:sz="4" w:space="0" w:color="auto"/>
              <w:bottom w:val="single" w:sz="4" w:space="0" w:color="auto"/>
              <w:right w:val="single" w:sz="4" w:space="0" w:color="auto"/>
            </w:tcBorders>
            <w:vAlign w:val="center"/>
          </w:tcPr>
          <w:p w14:paraId="5C7CD6EB"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C4DCF49"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1EAE4A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677862A"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262C7DC"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Moduły pomiarowe podłączane do monitora transportowego odporne na uderzenia, upadek oraz wnikanie cieczy i pyłów do wnętrza obudowy - klasa ochrony min. IP47</w:t>
            </w:r>
          </w:p>
        </w:tc>
        <w:tc>
          <w:tcPr>
            <w:tcW w:w="1806" w:type="dxa"/>
            <w:tcBorders>
              <w:top w:val="single" w:sz="4" w:space="0" w:color="auto"/>
              <w:left w:val="single" w:sz="4" w:space="0" w:color="auto"/>
              <w:bottom w:val="single" w:sz="4" w:space="0" w:color="auto"/>
              <w:right w:val="single" w:sz="4" w:space="0" w:color="auto"/>
            </w:tcBorders>
            <w:vAlign w:val="center"/>
          </w:tcPr>
          <w:p w14:paraId="429A0B27"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AAAB4E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CD53E6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5383C2"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vAlign w:val="center"/>
          </w:tcPr>
          <w:p w14:paraId="2DF28B42" w14:textId="77777777" w:rsidR="00210CBD" w:rsidRPr="00210CBD" w:rsidRDefault="00210CBD" w:rsidP="00210CBD">
            <w:pPr>
              <w:spacing w:after="0" w:line="276" w:lineRule="auto"/>
              <w:rPr>
                <w:rFonts w:asciiTheme="minorHAnsi" w:hAnsiTheme="minorHAnsi" w:cstheme="minorHAnsi"/>
                <w:b/>
                <w:sz w:val="20"/>
                <w:szCs w:val="20"/>
              </w:rPr>
            </w:pPr>
            <w:r w:rsidRPr="00210CBD">
              <w:rPr>
                <w:rFonts w:asciiTheme="minorHAnsi" w:hAnsiTheme="minorHAnsi" w:cstheme="minorHAnsi"/>
                <w:b/>
                <w:sz w:val="20"/>
                <w:szCs w:val="20"/>
              </w:rPr>
              <w:t>Monitorowane parametry</w:t>
            </w:r>
          </w:p>
        </w:tc>
      </w:tr>
      <w:tr w:rsidR="00210CBD" w:rsidRPr="00210CBD" w14:paraId="6EE03B8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BC74CE2"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7DD49AE" w14:textId="77777777" w:rsidR="00210CBD" w:rsidRPr="00210CBD" w:rsidRDefault="00210CBD" w:rsidP="00210CBD">
            <w:pPr>
              <w:spacing w:after="0" w:line="276" w:lineRule="auto"/>
              <w:rPr>
                <w:rFonts w:asciiTheme="minorHAnsi" w:hAnsiTheme="minorHAnsi" w:cstheme="minorHAnsi"/>
                <w:b/>
                <w:sz w:val="20"/>
                <w:szCs w:val="20"/>
              </w:rPr>
            </w:pPr>
            <w:r w:rsidRPr="00210CBD">
              <w:rPr>
                <w:rFonts w:asciiTheme="minorHAnsi" w:hAnsiTheme="minorHAnsi" w:cstheme="minorHAnsi"/>
                <w:b/>
                <w:sz w:val="20"/>
                <w:szCs w:val="20"/>
              </w:rPr>
              <w:t>EKG</w:t>
            </w:r>
          </w:p>
        </w:tc>
        <w:tc>
          <w:tcPr>
            <w:tcW w:w="1806" w:type="dxa"/>
            <w:tcBorders>
              <w:top w:val="single" w:sz="4" w:space="0" w:color="auto"/>
              <w:left w:val="single" w:sz="4" w:space="0" w:color="auto"/>
              <w:bottom w:val="single" w:sz="4" w:space="0" w:color="auto"/>
              <w:right w:val="single" w:sz="4" w:space="0" w:color="auto"/>
            </w:tcBorders>
            <w:vAlign w:val="center"/>
          </w:tcPr>
          <w:p w14:paraId="1F6047F1"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BB4B713"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9C04CD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B588BE7"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EFBD915"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Monitorowanie min. 1 z 3, 7 i 12 </w:t>
            </w:r>
            <w:proofErr w:type="spellStart"/>
            <w:r w:rsidRPr="00210CBD">
              <w:rPr>
                <w:rFonts w:asciiTheme="minorHAnsi" w:hAnsiTheme="minorHAnsi" w:cstheme="minorHAnsi"/>
                <w:sz w:val="20"/>
                <w:szCs w:val="20"/>
              </w:rPr>
              <w:t>odprowadzeń</w:t>
            </w:r>
            <w:proofErr w:type="spellEnd"/>
            <w:r w:rsidRPr="00210CBD">
              <w:rPr>
                <w:rFonts w:asciiTheme="minorHAnsi" w:hAnsiTheme="minorHAnsi" w:cstheme="minorHAnsi"/>
                <w:sz w:val="20"/>
                <w:szCs w:val="20"/>
              </w:rPr>
              <w:t>, z jakością diagnostyczną, w zależności od użytego przewodu EKG</w:t>
            </w:r>
          </w:p>
        </w:tc>
        <w:tc>
          <w:tcPr>
            <w:tcW w:w="1806" w:type="dxa"/>
            <w:tcBorders>
              <w:top w:val="single" w:sz="4" w:space="0" w:color="auto"/>
              <w:left w:val="single" w:sz="4" w:space="0" w:color="auto"/>
              <w:bottom w:val="single" w:sz="4" w:space="0" w:color="auto"/>
              <w:right w:val="single" w:sz="4" w:space="0" w:color="auto"/>
            </w:tcBorders>
            <w:vAlign w:val="center"/>
          </w:tcPr>
          <w:p w14:paraId="1EC3F55D"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EA8B8A4"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09F8CAB"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1507EBE"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81B000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Możliwość monitorowania 12 </w:t>
            </w:r>
            <w:proofErr w:type="spellStart"/>
            <w:r w:rsidRPr="00210CBD">
              <w:rPr>
                <w:rFonts w:asciiTheme="minorHAnsi" w:hAnsiTheme="minorHAnsi" w:cstheme="minorHAnsi"/>
                <w:sz w:val="20"/>
                <w:szCs w:val="20"/>
              </w:rPr>
              <w:t>odprowadzeń</w:t>
            </w:r>
            <w:proofErr w:type="spellEnd"/>
            <w:r w:rsidRPr="00210CBD">
              <w:rPr>
                <w:rFonts w:asciiTheme="minorHAnsi" w:hAnsiTheme="minorHAnsi" w:cstheme="minorHAnsi"/>
                <w:sz w:val="20"/>
                <w:szCs w:val="20"/>
              </w:rPr>
              <w:t xml:space="preserve"> EKG metodą obliczeniową, z ograniczonej liczby elektrod (nie więcej niż 6). Algorytm pomiarowy wykorzystuje standardowe rozmieszczenie elektrod na ciele pacjenta</w:t>
            </w:r>
          </w:p>
        </w:tc>
        <w:tc>
          <w:tcPr>
            <w:tcW w:w="1806" w:type="dxa"/>
            <w:tcBorders>
              <w:top w:val="single" w:sz="4" w:space="0" w:color="auto"/>
              <w:left w:val="single" w:sz="4" w:space="0" w:color="auto"/>
              <w:bottom w:val="single" w:sz="4" w:space="0" w:color="auto"/>
              <w:right w:val="single" w:sz="4" w:space="0" w:color="auto"/>
            </w:tcBorders>
            <w:vAlign w:val="center"/>
          </w:tcPr>
          <w:p w14:paraId="3EDE32C4"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6D4E51A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76A7F6D"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3E47907"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F03D396"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Jednoczesna prezentacja min. 3 </w:t>
            </w:r>
            <w:proofErr w:type="spellStart"/>
            <w:r w:rsidRPr="00210CBD">
              <w:rPr>
                <w:rFonts w:asciiTheme="minorHAnsi" w:hAnsiTheme="minorHAnsi" w:cstheme="minorHAnsi"/>
                <w:sz w:val="20"/>
                <w:szCs w:val="20"/>
              </w:rPr>
              <w:t>odprowadzeń</w:t>
            </w:r>
            <w:proofErr w:type="spellEnd"/>
            <w:r w:rsidRPr="00210CBD">
              <w:rPr>
                <w:rFonts w:asciiTheme="minorHAnsi" w:hAnsiTheme="minorHAnsi" w:cstheme="minorHAnsi"/>
                <w:sz w:val="20"/>
                <w:szCs w:val="20"/>
              </w:rPr>
              <w:t xml:space="preserve"> EKG na ekranie głównym kardiomonitora (bez wykorzystania okna 12 </w:t>
            </w:r>
            <w:proofErr w:type="spellStart"/>
            <w:r w:rsidRPr="00210CBD">
              <w:rPr>
                <w:rFonts w:asciiTheme="minorHAnsi" w:hAnsiTheme="minorHAnsi" w:cstheme="minorHAnsi"/>
                <w:sz w:val="20"/>
                <w:szCs w:val="20"/>
              </w:rPr>
              <w:t>odprowadzeń</w:t>
            </w:r>
            <w:proofErr w:type="spellEnd"/>
            <w:r w:rsidRPr="00210CBD">
              <w:rPr>
                <w:rFonts w:asciiTheme="minorHAnsi" w:hAnsiTheme="minorHAnsi" w:cstheme="minorHAnsi"/>
                <w:sz w:val="20"/>
                <w:szCs w:val="20"/>
              </w:rPr>
              <w:t xml:space="preserve"> EKG): 3 różne odprowadzenia lub widok kaskady</w:t>
            </w:r>
          </w:p>
        </w:tc>
        <w:tc>
          <w:tcPr>
            <w:tcW w:w="1806" w:type="dxa"/>
            <w:tcBorders>
              <w:top w:val="single" w:sz="4" w:space="0" w:color="auto"/>
              <w:left w:val="single" w:sz="4" w:space="0" w:color="auto"/>
              <w:bottom w:val="single" w:sz="4" w:space="0" w:color="auto"/>
              <w:right w:val="single" w:sz="4" w:space="0" w:color="auto"/>
            </w:tcBorders>
            <w:vAlign w:val="center"/>
          </w:tcPr>
          <w:p w14:paraId="30D91DB9"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4562231"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2DE71216"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A7595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E1AD876"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Możliwość jednoczesnej prezentacji wszystkich 12 </w:t>
            </w:r>
            <w:proofErr w:type="spellStart"/>
            <w:r w:rsidRPr="00210CBD">
              <w:rPr>
                <w:rFonts w:asciiTheme="minorHAnsi" w:hAnsiTheme="minorHAnsi" w:cstheme="minorHAnsi"/>
                <w:sz w:val="20"/>
                <w:szCs w:val="20"/>
              </w:rPr>
              <w:t>odprowadzeń</w:t>
            </w:r>
            <w:proofErr w:type="spellEnd"/>
            <w:r w:rsidRPr="00210CBD">
              <w:rPr>
                <w:rFonts w:asciiTheme="minorHAnsi" w:hAnsiTheme="minorHAnsi" w:cstheme="minorHAnsi"/>
                <w:sz w:val="20"/>
                <w:szCs w:val="20"/>
              </w:rPr>
              <w:t xml:space="preserve"> EKG</w:t>
            </w:r>
          </w:p>
        </w:tc>
        <w:tc>
          <w:tcPr>
            <w:tcW w:w="1806" w:type="dxa"/>
            <w:tcBorders>
              <w:top w:val="single" w:sz="4" w:space="0" w:color="auto"/>
              <w:left w:val="single" w:sz="4" w:space="0" w:color="auto"/>
              <w:bottom w:val="single" w:sz="4" w:space="0" w:color="auto"/>
              <w:right w:val="single" w:sz="4" w:space="0" w:color="auto"/>
            </w:tcBorders>
            <w:vAlign w:val="center"/>
          </w:tcPr>
          <w:p w14:paraId="26EF04C1"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A962A71"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9919119"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4AD9216"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1CA2364"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Pomiar częstości akcji serca w zakresie min. 20 - 300 ud/min.</w:t>
            </w:r>
          </w:p>
        </w:tc>
        <w:tc>
          <w:tcPr>
            <w:tcW w:w="1806" w:type="dxa"/>
            <w:tcBorders>
              <w:top w:val="single" w:sz="4" w:space="0" w:color="auto"/>
              <w:left w:val="single" w:sz="4" w:space="0" w:color="auto"/>
              <w:bottom w:val="single" w:sz="4" w:space="0" w:color="auto"/>
              <w:right w:val="single" w:sz="4" w:space="0" w:color="auto"/>
            </w:tcBorders>
            <w:vAlign w:val="center"/>
          </w:tcPr>
          <w:p w14:paraId="22BCA585"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A26B243"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29AADF2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786756"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62146C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Oferowane monitory zapewniają analizę EKG spoczynkowego z 12-odprowadzeń z pomiarami i interpretacją oraz możliwością wydruku raportu z analizy na drukarce sieciowej. Funkcja analizy dostępna jednocześnie w każdym kardiomonitorze. Dopuszcza się realizację tej funkcjonalności przez zewnętrzny aparat EKG na podstawie jezdnej, z trybem monitorowania ciągłego - w takiej sytuacji należy zaoferować 1 szt. takiego aparatu na każdy oferowany kardiomonitor.</w:t>
            </w:r>
          </w:p>
        </w:tc>
        <w:tc>
          <w:tcPr>
            <w:tcW w:w="1806" w:type="dxa"/>
            <w:tcBorders>
              <w:top w:val="single" w:sz="4" w:space="0" w:color="auto"/>
              <w:left w:val="single" w:sz="4" w:space="0" w:color="auto"/>
              <w:bottom w:val="single" w:sz="4" w:space="0" w:color="auto"/>
              <w:right w:val="single" w:sz="4" w:space="0" w:color="auto"/>
            </w:tcBorders>
            <w:vAlign w:val="center"/>
          </w:tcPr>
          <w:p w14:paraId="45A60A47"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DE51D8A"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1CBBABE"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B3F6822"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A8AA416"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Analiza EKG dostępna bezpośrednio w monitorze pacjenta, uwzględnia kryteria specyficzne dla danej płci i wieku oraz występowanie bólu w klatce piersiowej, wyposażona w narzędzie do niezależnej czasowo predykcji ostrego niedokrwienia serca (ACI-TIPI oraz ACS), umożliwia eksport pomiarów w jakości diagnostycznej (</w:t>
            </w:r>
            <w:proofErr w:type="spellStart"/>
            <w:r w:rsidRPr="00210CBD">
              <w:rPr>
                <w:rFonts w:asciiTheme="minorHAnsi" w:hAnsiTheme="minorHAnsi" w:cstheme="minorHAnsi"/>
                <w:sz w:val="20"/>
                <w:szCs w:val="20"/>
              </w:rPr>
              <w:t>raw</w:t>
            </w:r>
            <w:proofErr w:type="spellEnd"/>
            <w:r w:rsidRPr="00210CBD">
              <w:rPr>
                <w:rFonts w:asciiTheme="minorHAnsi" w:hAnsiTheme="minorHAnsi" w:cstheme="minorHAnsi"/>
                <w:sz w:val="20"/>
                <w:szCs w:val="20"/>
              </w:rPr>
              <w:t>-data) do zewnętrznego systemu analizy EKG tego samego producenta, umożliwiającego automatyczną i ręczną opisową analizę EKG, z możliwością wyświetlania historycznych raportów z analizy na ekranie kardiomonitora oraz raportów z seryjnej analizy porównawczej. Funkcja automatycznego uruchomienia analizy po przekroczeniu granicy alarmu odchylenia ST.</w:t>
            </w:r>
          </w:p>
        </w:tc>
        <w:tc>
          <w:tcPr>
            <w:tcW w:w="1806" w:type="dxa"/>
            <w:tcBorders>
              <w:top w:val="single" w:sz="4" w:space="0" w:color="auto"/>
              <w:left w:val="single" w:sz="4" w:space="0" w:color="auto"/>
              <w:bottom w:val="single" w:sz="4" w:space="0" w:color="auto"/>
              <w:right w:val="single" w:sz="4" w:space="0" w:color="auto"/>
            </w:tcBorders>
            <w:vAlign w:val="center"/>
          </w:tcPr>
          <w:p w14:paraId="63C5C19F"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TAK/NIE</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4A1E49A"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36526A0" w14:textId="77777777" w:rsidTr="00210CBD">
        <w:trPr>
          <w:trHeight w:val="86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FC7D9D9"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0FD36F7"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W komplecie do każdego monitora: przewód do podłączenia 6-elektrod dla dorosłych i dzieci. Długość przewodów łączących monitor z pacjentem przynajmniej 4 m. Dodatkowo na całą instalację 1 komplet przewodów do diagnostycznego monitorowania 12 </w:t>
            </w:r>
            <w:proofErr w:type="spellStart"/>
            <w:r w:rsidRPr="00210CBD">
              <w:rPr>
                <w:rFonts w:asciiTheme="minorHAnsi" w:hAnsiTheme="minorHAnsi" w:cstheme="minorHAnsi"/>
                <w:sz w:val="20"/>
                <w:szCs w:val="20"/>
              </w:rPr>
              <w:t>odprowadzeń</w:t>
            </w:r>
            <w:proofErr w:type="spellEnd"/>
            <w:r w:rsidRPr="00210CBD">
              <w:rPr>
                <w:rFonts w:asciiTheme="minorHAnsi" w:hAnsiTheme="minorHAnsi" w:cstheme="minorHAnsi"/>
                <w:sz w:val="20"/>
                <w:szCs w:val="20"/>
              </w:rPr>
              <w:t xml:space="preserve"> EKG.</w:t>
            </w:r>
          </w:p>
        </w:tc>
        <w:tc>
          <w:tcPr>
            <w:tcW w:w="1806" w:type="dxa"/>
            <w:tcBorders>
              <w:top w:val="single" w:sz="4" w:space="0" w:color="auto"/>
              <w:left w:val="single" w:sz="4" w:space="0" w:color="auto"/>
              <w:bottom w:val="single" w:sz="4" w:space="0" w:color="auto"/>
              <w:right w:val="single" w:sz="4" w:space="0" w:color="auto"/>
            </w:tcBorders>
            <w:vAlign w:val="center"/>
          </w:tcPr>
          <w:p w14:paraId="3D329977"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9364E4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1CE630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A878A23"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CCB3B88" w14:textId="77777777" w:rsidR="00210CBD" w:rsidRPr="00210CBD" w:rsidRDefault="00210CBD" w:rsidP="00210CBD">
            <w:pPr>
              <w:spacing w:after="0" w:line="276" w:lineRule="auto"/>
              <w:rPr>
                <w:rFonts w:asciiTheme="minorHAnsi" w:hAnsiTheme="minorHAnsi" w:cstheme="minorHAnsi"/>
                <w:b/>
                <w:sz w:val="20"/>
                <w:szCs w:val="20"/>
              </w:rPr>
            </w:pPr>
            <w:r w:rsidRPr="00210CBD">
              <w:rPr>
                <w:rFonts w:asciiTheme="minorHAnsi" w:hAnsiTheme="minorHAnsi" w:cstheme="minorHAnsi"/>
                <w:b/>
                <w:sz w:val="20"/>
                <w:szCs w:val="20"/>
              </w:rPr>
              <w:t>Analiza arytmii</w:t>
            </w:r>
          </w:p>
        </w:tc>
        <w:tc>
          <w:tcPr>
            <w:tcW w:w="1806" w:type="dxa"/>
            <w:tcBorders>
              <w:top w:val="single" w:sz="4" w:space="0" w:color="auto"/>
              <w:left w:val="single" w:sz="4" w:space="0" w:color="auto"/>
              <w:bottom w:val="single" w:sz="4" w:space="0" w:color="auto"/>
              <w:right w:val="single" w:sz="4" w:space="0" w:color="auto"/>
            </w:tcBorders>
            <w:vAlign w:val="center"/>
          </w:tcPr>
          <w:p w14:paraId="0BB78994"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B25BCF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D58132D"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5B92E6D"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C36D840" w14:textId="77777777" w:rsidR="00210CBD" w:rsidRPr="00210CBD" w:rsidRDefault="00210CBD" w:rsidP="00210CBD">
            <w:pPr>
              <w:spacing w:after="0" w:line="276" w:lineRule="auto"/>
              <w:rPr>
                <w:rFonts w:asciiTheme="minorHAnsi" w:hAnsiTheme="minorHAnsi" w:cstheme="minorHAnsi"/>
                <w:sz w:val="20"/>
                <w:szCs w:val="20"/>
              </w:rPr>
            </w:pPr>
            <w:proofErr w:type="spellStart"/>
            <w:r w:rsidRPr="00210CBD">
              <w:rPr>
                <w:rFonts w:asciiTheme="minorHAnsi" w:hAnsiTheme="minorHAnsi" w:cstheme="minorHAnsi"/>
                <w:sz w:val="20"/>
                <w:szCs w:val="20"/>
              </w:rPr>
              <w:t>Wieloodprowadzeniowa</w:t>
            </w:r>
            <w:proofErr w:type="spellEnd"/>
            <w:r w:rsidRPr="00210CBD">
              <w:rPr>
                <w:rFonts w:asciiTheme="minorHAnsi" w:hAnsiTheme="minorHAnsi" w:cstheme="minorHAnsi"/>
                <w:sz w:val="20"/>
                <w:szCs w:val="20"/>
              </w:rPr>
              <w:t xml:space="preserve"> analiza arytmii</w:t>
            </w:r>
          </w:p>
        </w:tc>
        <w:tc>
          <w:tcPr>
            <w:tcW w:w="1806" w:type="dxa"/>
            <w:tcBorders>
              <w:top w:val="single" w:sz="4" w:space="0" w:color="auto"/>
              <w:left w:val="single" w:sz="4" w:space="0" w:color="auto"/>
              <w:bottom w:val="single" w:sz="4" w:space="0" w:color="auto"/>
              <w:right w:val="single" w:sz="4" w:space="0" w:color="auto"/>
            </w:tcBorders>
            <w:vAlign w:val="center"/>
          </w:tcPr>
          <w:p w14:paraId="7F12E21E"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279950F"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A9FD659"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6E47E11"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6C5080C"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Analiza arytmii w min. 4 </w:t>
            </w:r>
            <w:proofErr w:type="spellStart"/>
            <w:r w:rsidRPr="00210CBD">
              <w:rPr>
                <w:rFonts w:asciiTheme="minorHAnsi" w:hAnsiTheme="minorHAnsi" w:cstheme="minorHAnsi"/>
                <w:sz w:val="20"/>
                <w:szCs w:val="20"/>
              </w:rPr>
              <w:t>odprowadzeniach</w:t>
            </w:r>
            <w:proofErr w:type="spellEnd"/>
            <w:r w:rsidRPr="00210CBD">
              <w:rPr>
                <w:rFonts w:asciiTheme="minorHAnsi" w:hAnsiTheme="minorHAnsi" w:cstheme="minorHAnsi"/>
                <w:sz w:val="20"/>
                <w:szCs w:val="20"/>
              </w:rPr>
              <w:t xml:space="preserve"> EKG jednocześnie, zgodnie z zaleceniami AHA, w celu zapewnienia wysokiego poziomu detekcji rzeczywistych zaburzeń i minimalizowania wystąpień fałszywych alarmów arytmii</w:t>
            </w:r>
          </w:p>
        </w:tc>
        <w:tc>
          <w:tcPr>
            <w:tcW w:w="1806" w:type="dxa"/>
            <w:tcBorders>
              <w:top w:val="single" w:sz="4" w:space="0" w:color="auto"/>
              <w:left w:val="single" w:sz="4" w:space="0" w:color="auto"/>
              <w:bottom w:val="single" w:sz="4" w:space="0" w:color="auto"/>
              <w:right w:val="single" w:sz="4" w:space="0" w:color="auto"/>
            </w:tcBorders>
            <w:vAlign w:val="center"/>
          </w:tcPr>
          <w:p w14:paraId="5FD2A533"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F18847F"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863F3FB"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EF08D9"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tcPr>
          <w:p w14:paraId="2D33319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Zaawansowana analiza arytmii wg min. 12 definicji z rozpoznawaniem arytmii komorowych i przedsionkowych, w tym </w:t>
            </w:r>
            <w:proofErr w:type="spellStart"/>
            <w:r w:rsidRPr="00210CBD">
              <w:rPr>
                <w:rFonts w:asciiTheme="minorHAnsi" w:hAnsiTheme="minorHAnsi" w:cstheme="minorHAnsi"/>
                <w:sz w:val="20"/>
                <w:szCs w:val="20"/>
              </w:rPr>
              <w:t>SVTachy</w:t>
            </w:r>
            <w:proofErr w:type="spellEnd"/>
            <w:r w:rsidRPr="00210CBD">
              <w:rPr>
                <w:rFonts w:asciiTheme="minorHAnsi" w:hAnsiTheme="minorHAnsi" w:cstheme="minorHAnsi"/>
                <w:sz w:val="20"/>
                <w:szCs w:val="20"/>
              </w:rPr>
              <w:t xml:space="preserve"> i </w:t>
            </w:r>
            <w:proofErr w:type="spellStart"/>
            <w:r w:rsidRPr="00210CBD">
              <w:rPr>
                <w:rFonts w:asciiTheme="minorHAnsi" w:hAnsiTheme="minorHAnsi" w:cstheme="minorHAnsi"/>
                <w:sz w:val="20"/>
                <w:szCs w:val="20"/>
              </w:rPr>
              <w:t>AFib</w:t>
            </w:r>
            <w:proofErr w:type="spellEnd"/>
            <w:r w:rsidRPr="00210CBD">
              <w:rPr>
                <w:rFonts w:asciiTheme="minorHAnsi" w:hAnsiTheme="minorHAnsi" w:cstheme="minorHAnsi"/>
                <w:sz w:val="20"/>
                <w:szCs w:val="20"/>
              </w:rPr>
              <w:t xml:space="preserve">. Dopuszcza się realizację tej funkcjonalności przez zewnętrzny aparat </w:t>
            </w:r>
            <w:r w:rsidRPr="00210CBD">
              <w:rPr>
                <w:rFonts w:asciiTheme="minorHAnsi" w:hAnsiTheme="minorHAnsi" w:cstheme="minorHAnsi"/>
                <w:sz w:val="20"/>
                <w:szCs w:val="20"/>
              </w:rPr>
              <w:lastRenderedPageBreak/>
              <w:t>EKG na podstawie jezdnej, z trybem monitorowania ciągłego - w takiej sytuacji należy zaoferować 1 szt. takiego aparatu na każdy oferowany kardiomonitor.</w:t>
            </w:r>
          </w:p>
        </w:tc>
        <w:tc>
          <w:tcPr>
            <w:tcW w:w="1806" w:type="dxa"/>
            <w:tcBorders>
              <w:top w:val="single" w:sz="4" w:space="0" w:color="auto"/>
              <w:left w:val="single" w:sz="4" w:space="0" w:color="auto"/>
              <w:bottom w:val="single" w:sz="4" w:space="0" w:color="auto"/>
              <w:right w:val="single" w:sz="4" w:space="0" w:color="auto"/>
            </w:tcBorders>
            <w:vAlign w:val="center"/>
          </w:tcPr>
          <w:p w14:paraId="20034A80"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lastRenderedPageBreak/>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94DCAA5"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D57B9E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D93CE6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A6341A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b/>
                <w:sz w:val="20"/>
                <w:szCs w:val="20"/>
              </w:rPr>
              <w:t>Analiza ST</w:t>
            </w:r>
          </w:p>
        </w:tc>
        <w:tc>
          <w:tcPr>
            <w:tcW w:w="1806" w:type="dxa"/>
            <w:tcBorders>
              <w:top w:val="single" w:sz="4" w:space="0" w:color="auto"/>
              <w:left w:val="single" w:sz="4" w:space="0" w:color="auto"/>
              <w:bottom w:val="single" w:sz="4" w:space="0" w:color="auto"/>
              <w:right w:val="single" w:sz="4" w:space="0" w:color="auto"/>
            </w:tcBorders>
            <w:vAlign w:val="center"/>
          </w:tcPr>
          <w:p w14:paraId="6CDB8361"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C4C11E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30567F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98313AE"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496C85C"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Analiza odcinka ST ze wszystkich monitorowanych </w:t>
            </w:r>
            <w:proofErr w:type="spellStart"/>
            <w:r w:rsidRPr="00210CBD">
              <w:rPr>
                <w:rFonts w:asciiTheme="minorHAnsi" w:hAnsiTheme="minorHAnsi" w:cstheme="minorHAnsi"/>
                <w:sz w:val="20"/>
                <w:szCs w:val="20"/>
              </w:rPr>
              <w:t>odprowadzeń</w:t>
            </w:r>
            <w:proofErr w:type="spellEnd"/>
            <w:r w:rsidRPr="00210CBD">
              <w:rPr>
                <w:rFonts w:asciiTheme="minorHAnsi" w:hAnsiTheme="minorHAnsi" w:cstheme="minorHAnsi"/>
                <w:sz w:val="20"/>
                <w:szCs w:val="20"/>
              </w:rPr>
              <w:t xml:space="preserve"> (do 12)</w:t>
            </w:r>
          </w:p>
        </w:tc>
        <w:tc>
          <w:tcPr>
            <w:tcW w:w="1806" w:type="dxa"/>
            <w:tcBorders>
              <w:top w:val="single" w:sz="4" w:space="0" w:color="auto"/>
              <w:left w:val="single" w:sz="4" w:space="0" w:color="auto"/>
              <w:bottom w:val="single" w:sz="4" w:space="0" w:color="auto"/>
              <w:right w:val="single" w:sz="4" w:space="0" w:color="auto"/>
            </w:tcBorders>
            <w:vAlign w:val="center"/>
          </w:tcPr>
          <w:p w14:paraId="57915C91"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E991D49"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A253F2F"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1723EA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6DB6BC8"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Analiza prowadzona automatycznie z zapisywaniem wyników w pamięci trendów. Możliwość ręcznego ustawienia poziomu ISO oraz ST z funkcją zapisu pomiarów referencyjnych.</w:t>
            </w:r>
          </w:p>
        </w:tc>
        <w:tc>
          <w:tcPr>
            <w:tcW w:w="1806" w:type="dxa"/>
            <w:tcBorders>
              <w:top w:val="single" w:sz="4" w:space="0" w:color="auto"/>
              <w:left w:val="single" w:sz="4" w:space="0" w:color="auto"/>
              <w:bottom w:val="single" w:sz="4" w:space="0" w:color="auto"/>
              <w:right w:val="single" w:sz="4" w:space="0" w:color="auto"/>
            </w:tcBorders>
            <w:vAlign w:val="center"/>
          </w:tcPr>
          <w:p w14:paraId="0AC2B7F1"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6B175BAF"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2BD2A51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1F5DC99"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01C8A0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Zakres pomiarowy analizy odcinka ST min. -15,0 - (+)15,0 mm</w:t>
            </w:r>
          </w:p>
        </w:tc>
        <w:tc>
          <w:tcPr>
            <w:tcW w:w="1806" w:type="dxa"/>
            <w:tcBorders>
              <w:top w:val="single" w:sz="4" w:space="0" w:color="auto"/>
              <w:left w:val="single" w:sz="4" w:space="0" w:color="auto"/>
              <w:bottom w:val="single" w:sz="4" w:space="0" w:color="auto"/>
              <w:right w:val="single" w:sz="4" w:space="0" w:color="auto"/>
            </w:tcBorders>
            <w:vAlign w:val="center"/>
          </w:tcPr>
          <w:p w14:paraId="71E94F4B"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E93EC0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D99AA5E"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B13D69E"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31D49E2"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Pomiar i wyświetlenie na ekranie monitora wartości QT i/lub </w:t>
            </w:r>
            <w:proofErr w:type="spellStart"/>
            <w:r w:rsidRPr="00210CBD">
              <w:rPr>
                <w:rFonts w:asciiTheme="minorHAnsi" w:hAnsiTheme="minorHAnsi" w:cstheme="minorHAnsi"/>
                <w:sz w:val="20"/>
                <w:szCs w:val="20"/>
              </w:rPr>
              <w:t>QTc</w:t>
            </w:r>
            <w:proofErr w:type="spellEnd"/>
            <w:r w:rsidRPr="00210CBD">
              <w:rPr>
                <w:rFonts w:asciiTheme="minorHAnsi" w:hAnsiTheme="minorHAnsi" w:cstheme="minorHAnsi"/>
                <w:sz w:val="20"/>
                <w:szCs w:val="20"/>
              </w:rPr>
              <w:t>. Dopuszcza się ręczny pomiar, przez zewnętrzną aplikację, uruchamianą na ekranie kardiomonitora - ujęte w ofercie.</w:t>
            </w:r>
          </w:p>
        </w:tc>
        <w:tc>
          <w:tcPr>
            <w:tcW w:w="1806" w:type="dxa"/>
            <w:tcBorders>
              <w:top w:val="single" w:sz="4" w:space="0" w:color="auto"/>
              <w:left w:val="single" w:sz="4" w:space="0" w:color="auto"/>
              <w:bottom w:val="single" w:sz="4" w:space="0" w:color="auto"/>
              <w:right w:val="single" w:sz="4" w:space="0" w:color="auto"/>
            </w:tcBorders>
            <w:vAlign w:val="center"/>
          </w:tcPr>
          <w:p w14:paraId="25A83ED1"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27E97FD"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1936F6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29896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3880EAD"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b/>
                <w:sz w:val="20"/>
                <w:szCs w:val="20"/>
              </w:rPr>
              <w:t>Oddech</w:t>
            </w:r>
          </w:p>
        </w:tc>
        <w:tc>
          <w:tcPr>
            <w:tcW w:w="1806" w:type="dxa"/>
            <w:tcBorders>
              <w:top w:val="single" w:sz="4" w:space="0" w:color="auto"/>
              <w:left w:val="single" w:sz="4" w:space="0" w:color="auto"/>
              <w:bottom w:val="single" w:sz="4" w:space="0" w:color="auto"/>
              <w:right w:val="single" w:sz="4" w:space="0" w:color="auto"/>
            </w:tcBorders>
            <w:vAlign w:val="center"/>
          </w:tcPr>
          <w:p w14:paraId="75A7E4C7"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5008FA4"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139115B"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025A0AD"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E91FA05"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Pomiar częstości oddechu metodą impedancyjną w zakresie min. 4 - 120 </w:t>
            </w:r>
            <w:proofErr w:type="spellStart"/>
            <w:r w:rsidRPr="00210CBD">
              <w:rPr>
                <w:rFonts w:asciiTheme="minorHAnsi" w:hAnsiTheme="minorHAnsi" w:cstheme="minorHAnsi"/>
                <w:sz w:val="20"/>
                <w:szCs w:val="20"/>
              </w:rPr>
              <w:t>odd</w:t>
            </w:r>
            <w:proofErr w:type="spellEnd"/>
            <w:r w:rsidRPr="00210CBD">
              <w:rPr>
                <w:rFonts w:asciiTheme="minorHAnsi" w:hAnsiTheme="minorHAnsi" w:cstheme="minorHAnsi"/>
                <w:sz w:val="20"/>
                <w:szCs w:val="20"/>
              </w:rPr>
              <w:t>/min.</w:t>
            </w:r>
          </w:p>
        </w:tc>
        <w:tc>
          <w:tcPr>
            <w:tcW w:w="1806" w:type="dxa"/>
            <w:tcBorders>
              <w:top w:val="single" w:sz="4" w:space="0" w:color="auto"/>
              <w:left w:val="single" w:sz="4" w:space="0" w:color="auto"/>
              <w:bottom w:val="single" w:sz="4" w:space="0" w:color="auto"/>
              <w:right w:val="single" w:sz="4" w:space="0" w:color="auto"/>
            </w:tcBorders>
            <w:vAlign w:val="center"/>
          </w:tcPr>
          <w:p w14:paraId="51315E3E"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6DF954DA"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0829FB1"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55B81BC"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28CF38C"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Prezentacja częstości oddechu oraz krzywej oddechowej </w:t>
            </w:r>
          </w:p>
        </w:tc>
        <w:tc>
          <w:tcPr>
            <w:tcW w:w="1806" w:type="dxa"/>
            <w:tcBorders>
              <w:top w:val="single" w:sz="4" w:space="0" w:color="auto"/>
              <w:left w:val="single" w:sz="4" w:space="0" w:color="auto"/>
              <w:bottom w:val="single" w:sz="4" w:space="0" w:color="auto"/>
              <w:right w:val="single" w:sz="4" w:space="0" w:color="auto"/>
            </w:tcBorders>
            <w:vAlign w:val="center"/>
          </w:tcPr>
          <w:p w14:paraId="64680B10"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67D506A"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235250E"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35111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4DD2CE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Możliwość zmiany odprowadzenia wykorzystywanego do pomiaru oddechu, w celu dostosowania do pacjentów oddychających przeponą lub szczytami płuc, bez konieczności fizycznego przepinania przewodów do elektrod. Wybór min. pomiędzy </w:t>
            </w:r>
            <w:proofErr w:type="spellStart"/>
            <w:r w:rsidRPr="00210CBD">
              <w:rPr>
                <w:rFonts w:asciiTheme="minorHAnsi" w:hAnsiTheme="minorHAnsi" w:cstheme="minorHAnsi"/>
                <w:sz w:val="20"/>
                <w:szCs w:val="20"/>
              </w:rPr>
              <w:t>odprowadzeniami</w:t>
            </w:r>
            <w:proofErr w:type="spellEnd"/>
            <w:r w:rsidRPr="00210CBD">
              <w:rPr>
                <w:rFonts w:asciiTheme="minorHAnsi" w:hAnsiTheme="minorHAnsi" w:cstheme="minorHAnsi"/>
                <w:sz w:val="20"/>
                <w:szCs w:val="20"/>
              </w:rPr>
              <w:t xml:space="preserve"> I </w:t>
            </w:r>
            <w:proofErr w:type="spellStart"/>
            <w:r w:rsidRPr="00210CBD">
              <w:rPr>
                <w:rFonts w:asciiTheme="minorHAnsi" w:hAnsiTheme="minorHAnsi" w:cstheme="minorHAnsi"/>
                <w:sz w:val="20"/>
                <w:szCs w:val="20"/>
              </w:rPr>
              <w:t>i</w:t>
            </w:r>
            <w:proofErr w:type="spellEnd"/>
            <w:r w:rsidRPr="00210CBD">
              <w:rPr>
                <w:rFonts w:asciiTheme="minorHAnsi" w:hAnsiTheme="minorHAnsi" w:cstheme="minorHAnsi"/>
                <w:sz w:val="20"/>
                <w:szCs w:val="20"/>
              </w:rPr>
              <w:t xml:space="preserve"> II.</w:t>
            </w:r>
          </w:p>
        </w:tc>
        <w:tc>
          <w:tcPr>
            <w:tcW w:w="1806" w:type="dxa"/>
            <w:tcBorders>
              <w:top w:val="single" w:sz="4" w:space="0" w:color="auto"/>
              <w:left w:val="single" w:sz="4" w:space="0" w:color="auto"/>
              <w:bottom w:val="single" w:sz="4" w:space="0" w:color="auto"/>
              <w:right w:val="single" w:sz="4" w:space="0" w:color="auto"/>
            </w:tcBorders>
            <w:vAlign w:val="center"/>
          </w:tcPr>
          <w:p w14:paraId="44110891"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C826A4E"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59E0B9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BDB4116"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55CA8E8"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b/>
                <w:sz w:val="20"/>
                <w:szCs w:val="20"/>
              </w:rPr>
              <w:t>Saturacja (SpO2)</w:t>
            </w:r>
          </w:p>
        </w:tc>
        <w:tc>
          <w:tcPr>
            <w:tcW w:w="1806" w:type="dxa"/>
            <w:tcBorders>
              <w:top w:val="single" w:sz="4" w:space="0" w:color="auto"/>
              <w:left w:val="single" w:sz="4" w:space="0" w:color="auto"/>
              <w:bottom w:val="single" w:sz="4" w:space="0" w:color="auto"/>
              <w:right w:val="single" w:sz="4" w:space="0" w:color="auto"/>
            </w:tcBorders>
            <w:vAlign w:val="center"/>
          </w:tcPr>
          <w:p w14:paraId="0EC8A3CD"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240A8F1"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B436E7B"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2FFBEB"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AE05291"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Pomiar wysycenia hemoglobiny tlenem, z wykorzystaniem algorytmu odpornego na niską perfuzję i artefakty ruchowe: </w:t>
            </w:r>
            <w:proofErr w:type="spellStart"/>
            <w:r w:rsidRPr="00210CBD">
              <w:rPr>
                <w:rFonts w:asciiTheme="minorHAnsi" w:hAnsiTheme="minorHAnsi" w:cstheme="minorHAnsi"/>
                <w:sz w:val="20"/>
                <w:szCs w:val="20"/>
              </w:rPr>
              <w:t>TruSignal</w:t>
            </w:r>
            <w:proofErr w:type="spellEnd"/>
            <w:r w:rsidRPr="00210CBD">
              <w:rPr>
                <w:rFonts w:asciiTheme="minorHAnsi" w:hAnsiTheme="minorHAnsi" w:cstheme="minorHAnsi"/>
                <w:sz w:val="20"/>
                <w:szCs w:val="20"/>
              </w:rPr>
              <w:t xml:space="preserve"> lub </w:t>
            </w:r>
            <w:proofErr w:type="spellStart"/>
            <w:r w:rsidRPr="00210CBD">
              <w:rPr>
                <w:rFonts w:asciiTheme="minorHAnsi" w:hAnsiTheme="minorHAnsi" w:cstheme="minorHAnsi"/>
                <w:sz w:val="20"/>
                <w:szCs w:val="20"/>
              </w:rPr>
              <w:t>Masimo</w:t>
            </w:r>
            <w:proofErr w:type="spellEnd"/>
            <w:r w:rsidRPr="00210CBD">
              <w:rPr>
                <w:rFonts w:asciiTheme="minorHAnsi" w:hAnsiTheme="minorHAnsi" w:cstheme="minorHAnsi"/>
                <w:sz w:val="20"/>
                <w:szCs w:val="20"/>
              </w:rPr>
              <w:t xml:space="preserve"> </w:t>
            </w:r>
            <w:proofErr w:type="spellStart"/>
            <w:r w:rsidRPr="00210CBD">
              <w:rPr>
                <w:rFonts w:asciiTheme="minorHAnsi" w:hAnsiTheme="minorHAnsi" w:cstheme="minorHAnsi"/>
                <w:sz w:val="20"/>
                <w:szCs w:val="20"/>
              </w:rPr>
              <w:t>rainbow</w:t>
            </w:r>
            <w:proofErr w:type="spellEnd"/>
            <w:r w:rsidRPr="00210CBD">
              <w:rPr>
                <w:rFonts w:asciiTheme="minorHAnsi" w:hAnsiTheme="minorHAnsi" w:cstheme="minorHAnsi"/>
                <w:sz w:val="20"/>
                <w:szCs w:val="20"/>
              </w:rPr>
              <w:t xml:space="preserve"> SET</w:t>
            </w:r>
          </w:p>
        </w:tc>
        <w:tc>
          <w:tcPr>
            <w:tcW w:w="1806" w:type="dxa"/>
            <w:tcBorders>
              <w:top w:val="single" w:sz="4" w:space="0" w:color="auto"/>
              <w:left w:val="single" w:sz="4" w:space="0" w:color="auto"/>
              <w:bottom w:val="single" w:sz="4" w:space="0" w:color="auto"/>
              <w:right w:val="single" w:sz="4" w:space="0" w:color="auto"/>
            </w:tcBorders>
            <w:vAlign w:val="center"/>
          </w:tcPr>
          <w:p w14:paraId="6ACC699A"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EFC2C7C"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053C926"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4F251E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F3DEB02"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Możliwość rozbudowy o pomiar parametrów PVI i </w:t>
            </w:r>
            <w:proofErr w:type="spellStart"/>
            <w:r w:rsidRPr="00210CBD">
              <w:rPr>
                <w:rFonts w:asciiTheme="minorHAnsi" w:hAnsiTheme="minorHAnsi" w:cstheme="minorHAnsi"/>
                <w:sz w:val="20"/>
                <w:szCs w:val="20"/>
              </w:rPr>
              <w:t>SpHb</w:t>
            </w:r>
            <w:proofErr w:type="spellEnd"/>
            <w:r w:rsidRPr="00210CBD">
              <w:rPr>
                <w:rFonts w:asciiTheme="minorHAnsi" w:hAnsiTheme="minorHAnsi" w:cstheme="minorHAnsi"/>
                <w:sz w:val="20"/>
                <w:szCs w:val="20"/>
              </w:rPr>
              <w:t>, bez konieczności wymiany modułu transportowego i odsyłania go do serwisu</w:t>
            </w:r>
          </w:p>
        </w:tc>
        <w:tc>
          <w:tcPr>
            <w:tcW w:w="1806" w:type="dxa"/>
            <w:tcBorders>
              <w:top w:val="single" w:sz="4" w:space="0" w:color="auto"/>
              <w:left w:val="single" w:sz="4" w:space="0" w:color="auto"/>
              <w:bottom w:val="single" w:sz="4" w:space="0" w:color="auto"/>
              <w:right w:val="single" w:sz="4" w:space="0" w:color="auto"/>
            </w:tcBorders>
            <w:vAlign w:val="center"/>
          </w:tcPr>
          <w:p w14:paraId="756D7381"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2F51C85"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9595BE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9587E6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2F7720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Możliwość zmiany wykorzystywanego algorytmu pomiarowego na </w:t>
            </w:r>
            <w:proofErr w:type="spellStart"/>
            <w:r w:rsidRPr="00210CBD">
              <w:rPr>
                <w:rFonts w:asciiTheme="minorHAnsi" w:hAnsiTheme="minorHAnsi" w:cstheme="minorHAnsi"/>
                <w:sz w:val="20"/>
                <w:szCs w:val="20"/>
              </w:rPr>
              <w:t>Nellcor</w:t>
            </w:r>
            <w:proofErr w:type="spellEnd"/>
            <w:r w:rsidRPr="00210CBD">
              <w:rPr>
                <w:rFonts w:asciiTheme="minorHAnsi" w:hAnsiTheme="minorHAnsi" w:cstheme="minorHAnsi"/>
                <w:sz w:val="20"/>
                <w:szCs w:val="20"/>
              </w:rPr>
              <w:t xml:space="preserve"> </w:t>
            </w:r>
            <w:proofErr w:type="spellStart"/>
            <w:r w:rsidRPr="00210CBD">
              <w:rPr>
                <w:rFonts w:asciiTheme="minorHAnsi" w:hAnsiTheme="minorHAnsi" w:cstheme="minorHAnsi"/>
                <w:sz w:val="20"/>
                <w:szCs w:val="20"/>
              </w:rPr>
              <w:t>Oximax</w:t>
            </w:r>
            <w:proofErr w:type="spellEnd"/>
            <w:r w:rsidRPr="00210CBD">
              <w:rPr>
                <w:rFonts w:asciiTheme="minorHAnsi" w:hAnsiTheme="minorHAnsi" w:cstheme="minorHAnsi"/>
                <w:sz w:val="20"/>
                <w:szCs w:val="20"/>
              </w:rPr>
              <w:t xml:space="preserve"> bez konieczności wymiany modułu transportowego i odsyłania go do serwisu</w:t>
            </w:r>
          </w:p>
        </w:tc>
        <w:tc>
          <w:tcPr>
            <w:tcW w:w="1806" w:type="dxa"/>
            <w:tcBorders>
              <w:top w:val="single" w:sz="4" w:space="0" w:color="auto"/>
              <w:left w:val="single" w:sz="4" w:space="0" w:color="auto"/>
              <w:bottom w:val="single" w:sz="4" w:space="0" w:color="auto"/>
              <w:right w:val="single" w:sz="4" w:space="0" w:color="auto"/>
            </w:tcBorders>
            <w:vAlign w:val="center"/>
          </w:tcPr>
          <w:p w14:paraId="79DEE470"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6EE91B9"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F6720AE"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4282DF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479717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Pomiar saturacji w zakresie min. 70-100%</w:t>
            </w:r>
          </w:p>
        </w:tc>
        <w:tc>
          <w:tcPr>
            <w:tcW w:w="1806" w:type="dxa"/>
            <w:tcBorders>
              <w:top w:val="single" w:sz="4" w:space="0" w:color="auto"/>
              <w:left w:val="single" w:sz="4" w:space="0" w:color="auto"/>
              <w:bottom w:val="single" w:sz="4" w:space="0" w:color="auto"/>
              <w:right w:val="single" w:sz="4" w:space="0" w:color="auto"/>
            </w:tcBorders>
            <w:vAlign w:val="center"/>
          </w:tcPr>
          <w:p w14:paraId="4203D128"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77BB1F7"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FA3168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25D85C8"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8E229F1"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Prezentacja wartości saturacji, krzywej </w:t>
            </w:r>
            <w:proofErr w:type="spellStart"/>
            <w:r w:rsidRPr="00210CBD">
              <w:rPr>
                <w:rFonts w:asciiTheme="minorHAnsi" w:hAnsiTheme="minorHAnsi" w:cstheme="minorHAnsi"/>
                <w:sz w:val="20"/>
                <w:szCs w:val="20"/>
              </w:rPr>
              <w:t>pletyzmograficznej</w:t>
            </w:r>
            <w:proofErr w:type="spellEnd"/>
          </w:p>
        </w:tc>
        <w:tc>
          <w:tcPr>
            <w:tcW w:w="1806" w:type="dxa"/>
            <w:tcBorders>
              <w:top w:val="single" w:sz="4" w:space="0" w:color="auto"/>
              <w:left w:val="single" w:sz="4" w:space="0" w:color="auto"/>
              <w:bottom w:val="single" w:sz="4" w:space="0" w:color="auto"/>
              <w:right w:val="single" w:sz="4" w:space="0" w:color="auto"/>
            </w:tcBorders>
            <w:vAlign w:val="center"/>
          </w:tcPr>
          <w:p w14:paraId="376FC5B0"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5FFC12F"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99271E9"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EA3BC1E"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A748F89"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wyboru SPO2 jako źródła częstości rytmu serca</w:t>
            </w:r>
          </w:p>
        </w:tc>
        <w:tc>
          <w:tcPr>
            <w:tcW w:w="1806" w:type="dxa"/>
            <w:tcBorders>
              <w:top w:val="single" w:sz="4" w:space="0" w:color="auto"/>
              <w:left w:val="single" w:sz="4" w:space="0" w:color="auto"/>
              <w:bottom w:val="single" w:sz="4" w:space="0" w:color="auto"/>
              <w:right w:val="single" w:sz="4" w:space="0" w:color="auto"/>
            </w:tcBorders>
            <w:vAlign w:val="center"/>
          </w:tcPr>
          <w:p w14:paraId="54B33CEE"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B355F35"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D09A5DF"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228C2A7"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0C02D5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Modulacja dźwięku tętna przy zmianie wartości % SpO2.</w:t>
            </w:r>
          </w:p>
        </w:tc>
        <w:tc>
          <w:tcPr>
            <w:tcW w:w="1806" w:type="dxa"/>
            <w:tcBorders>
              <w:top w:val="single" w:sz="4" w:space="0" w:color="auto"/>
              <w:left w:val="single" w:sz="4" w:space="0" w:color="auto"/>
              <w:bottom w:val="single" w:sz="4" w:space="0" w:color="auto"/>
              <w:right w:val="single" w:sz="4" w:space="0" w:color="auto"/>
            </w:tcBorders>
            <w:vAlign w:val="center"/>
          </w:tcPr>
          <w:p w14:paraId="2797ACE2"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0D02AE1"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E5E0744"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62D3555"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F63AA3D"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 komplecie do każdego monitora: przewód podłączeniowy dł. min. 3m oraz wielorazowy czujnik na palec dla dorosłych. Oryginalne akcesoria pomiarowe producenta algorytmu pomiarowego – dwa komplety.</w:t>
            </w:r>
          </w:p>
        </w:tc>
        <w:tc>
          <w:tcPr>
            <w:tcW w:w="1806" w:type="dxa"/>
            <w:tcBorders>
              <w:top w:val="single" w:sz="4" w:space="0" w:color="auto"/>
              <w:left w:val="single" w:sz="4" w:space="0" w:color="auto"/>
              <w:bottom w:val="single" w:sz="4" w:space="0" w:color="auto"/>
              <w:right w:val="single" w:sz="4" w:space="0" w:color="auto"/>
            </w:tcBorders>
            <w:vAlign w:val="center"/>
          </w:tcPr>
          <w:p w14:paraId="7D86AE03"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2CEB0B6"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D5855A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8498AAE"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859F9EB" w14:textId="77777777" w:rsidR="00210CBD" w:rsidRPr="00210CBD" w:rsidRDefault="00210CBD" w:rsidP="00210CBD">
            <w:pPr>
              <w:spacing w:after="0" w:line="276" w:lineRule="auto"/>
              <w:rPr>
                <w:rFonts w:asciiTheme="minorHAnsi" w:hAnsiTheme="minorHAnsi" w:cstheme="minorHAnsi"/>
                <w:b/>
                <w:sz w:val="20"/>
                <w:szCs w:val="20"/>
              </w:rPr>
            </w:pPr>
            <w:r w:rsidRPr="00210CBD">
              <w:rPr>
                <w:rFonts w:asciiTheme="minorHAnsi" w:hAnsiTheme="minorHAnsi" w:cstheme="minorHAnsi"/>
                <w:b/>
                <w:sz w:val="20"/>
                <w:szCs w:val="20"/>
              </w:rPr>
              <w:t>Pomiar ciśnienia metodą nieinwazyjną (NIBP)</w:t>
            </w:r>
          </w:p>
        </w:tc>
        <w:tc>
          <w:tcPr>
            <w:tcW w:w="1806" w:type="dxa"/>
            <w:tcBorders>
              <w:top w:val="single" w:sz="4" w:space="0" w:color="auto"/>
              <w:left w:val="single" w:sz="4" w:space="0" w:color="auto"/>
              <w:bottom w:val="single" w:sz="4" w:space="0" w:color="auto"/>
              <w:right w:val="single" w:sz="4" w:space="0" w:color="auto"/>
            </w:tcBorders>
            <w:vAlign w:val="center"/>
          </w:tcPr>
          <w:p w14:paraId="2ED59BDE"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3C951EA"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523CAB6"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0DB954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2F9BC80"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Pomiar metodą oscylometryczną</w:t>
            </w:r>
          </w:p>
        </w:tc>
        <w:tc>
          <w:tcPr>
            <w:tcW w:w="1806" w:type="dxa"/>
            <w:tcBorders>
              <w:top w:val="single" w:sz="4" w:space="0" w:color="auto"/>
              <w:left w:val="single" w:sz="4" w:space="0" w:color="auto"/>
              <w:bottom w:val="single" w:sz="4" w:space="0" w:color="auto"/>
              <w:right w:val="single" w:sz="4" w:space="0" w:color="auto"/>
            </w:tcBorders>
            <w:vAlign w:val="center"/>
          </w:tcPr>
          <w:p w14:paraId="31C144E8"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E7D39EB"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BB5CB62"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9244F87"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10BDCB7"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Algorytm pomiarowy wykorzystuje dwutubowy systemem wężyków i mankietów, schodkową deflację, odporny na zakłócenia, artefakty i niemiarową akcję serca, skraca czas pomiarów przez antycypowanie wyniku pomiaru i odpowiednie, automatyczne dostosowanie wstępnego ciśnienia pompowania mankietu do ostatnio zmierzonych wartości ciśnienia</w:t>
            </w:r>
          </w:p>
        </w:tc>
        <w:tc>
          <w:tcPr>
            <w:tcW w:w="1806" w:type="dxa"/>
            <w:tcBorders>
              <w:top w:val="single" w:sz="4" w:space="0" w:color="auto"/>
              <w:left w:val="single" w:sz="4" w:space="0" w:color="auto"/>
              <w:bottom w:val="single" w:sz="4" w:space="0" w:color="auto"/>
              <w:right w:val="single" w:sz="4" w:space="0" w:color="auto"/>
            </w:tcBorders>
            <w:vAlign w:val="center"/>
          </w:tcPr>
          <w:p w14:paraId="0F1F16D3"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TAK/NIE</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6BB54ED"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78DB55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484CCA"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8B6A139"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Pomiar ręczny na żądanie, ciągły przez określony czas oraz automatyczny. Zakres przedziałów czasowych w trybie automatycznym min. 1 - 240 minut</w:t>
            </w:r>
          </w:p>
        </w:tc>
        <w:tc>
          <w:tcPr>
            <w:tcW w:w="1806" w:type="dxa"/>
            <w:tcBorders>
              <w:top w:val="single" w:sz="4" w:space="0" w:color="auto"/>
              <w:left w:val="single" w:sz="4" w:space="0" w:color="auto"/>
              <w:bottom w:val="single" w:sz="4" w:space="0" w:color="auto"/>
              <w:right w:val="single" w:sz="4" w:space="0" w:color="auto"/>
            </w:tcBorders>
            <w:vAlign w:val="center"/>
          </w:tcPr>
          <w:p w14:paraId="0153D842"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89C199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69F1A76"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27335B1"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8DFB059"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Pomiar ciśnienia w zakresie min. od 15 mmHg dla ciśnienia rozkurczowego do 250 mmHg dla ciśnienia skurczowego</w:t>
            </w:r>
          </w:p>
        </w:tc>
        <w:tc>
          <w:tcPr>
            <w:tcW w:w="1806" w:type="dxa"/>
            <w:tcBorders>
              <w:top w:val="single" w:sz="4" w:space="0" w:color="auto"/>
              <w:left w:val="single" w:sz="4" w:space="0" w:color="auto"/>
              <w:bottom w:val="single" w:sz="4" w:space="0" w:color="auto"/>
              <w:right w:val="single" w:sz="4" w:space="0" w:color="auto"/>
            </w:tcBorders>
            <w:vAlign w:val="center"/>
          </w:tcPr>
          <w:p w14:paraId="187D3980"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7139DF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78E611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0C7210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249A156"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Prezentacja wartości: skurczowej, rozkurczowej oraz średniej.</w:t>
            </w:r>
          </w:p>
        </w:tc>
        <w:tc>
          <w:tcPr>
            <w:tcW w:w="1806" w:type="dxa"/>
            <w:tcBorders>
              <w:top w:val="single" w:sz="4" w:space="0" w:color="auto"/>
              <w:left w:val="single" w:sz="4" w:space="0" w:color="auto"/>
              <w:bottom w:val="single" w:sz="4" w:space="0" w:color="auto"/>
              <w:right w:val="single" w:sz="4" w:space="0" w:color="auto"/>
            </w:tcBorders>
            <w:vAlign w:val="center"/>
          </w:tcPr>
          <w:p w14:paraId="0DBF641F"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270AC4B"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FAC8DE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C303AED"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1517915"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W komplecie do każdego monitora: wężyk z </w:t>
            </w:r>
            <w:proofErr w:type="spellStart"/>
            <w:r w:rsidRPr="00210CBD">
              <w:rPr>
                <w:rFonts w:asciiTheme="minorHAnsi" w:hAnsiTheme="minorHAnsi" w:cstheme="minorHAnsi"/>
                <w:sz w:val="20"/>
                <w:szCs w:val="20"/>
              </w:rPr>
              <w:t>szybkozłączką</w:t>
            </w:r>
            <w:proofErr w:type="spellEnd"/>
            <w:r w:rsidRPr="00210CBD">
              <w:rPr>
                <w:rFonts w:asciiTheme="minorHAnsi" w:hAnsiTheme="minorHAnsi" w:cstheme="minorHAnsi"/>
                <w:sz w:val="20"/>
                <w:szCs w:val="20"/>
              </w:rPr>
              <w:t xml:space="preserve"> dla dorosłych/dzieci oraz 3 mankiety wielorazowe dla dorosłych (w 3 różnych rozmiarach). Dodatkowo na całą instalację 20 szt. mankietów dla pacjentów otyłych.</w:t>
            </w:r>
          </w:p>
        </w:tc>
        <w:tc>
          <w:tcPr>
            <w:tcW w:w="1806" w:type="dxa"/>
            <w:tcBorders>
              <w:top w:val="single" w:sz="4" w:space="0" w:color="auto"/>
              <w:left w:val="single" w:sz="4" w:space="0" w:color="auto"/>
              <w:bottom w:val="single" w:sz="4" w:space="0" w:color="auto"/>
              <w:right w:val="single" w:sz="4" w:space="0" w:color="auto"/>
            </w:tcBorders>
            <w:vAlign w:val="center"/>
          </w:tcPr>
          <w:p w14:paraId="7D9ECC27"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00AF6D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A79DA9E"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9CD34DB"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0719026"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Mankiety dla pacjentów otyłych stożkowe, dedykowane i walidowane do pomiaru na przedramieniu</w:t>
            </w:r>
          </w:p>
        </w:tc>
        <w:tc>
          <w:tcPr>
            <w:tcW w:w="1806" w:type="dxa"/>
            <w:tcBorders>
              <w:top w:val="single" w:sz="4" w:space="0" w:color="auto"/>
              <w:left w:val="single" w:sz="4" w:space="0" w:color="auto"/>
              <w:bottom w:val="single" w:sz="4" w:space="0" w:color="auto"/>
              <w:right w:val="single" w:sz="4" w:space="0" w:color="auto"/>
            </w:tcBorders>
            <w:vAlign w:val="center"/>
          </w:tcPr>
          <w:p w14:paraId="5FB3CC6F"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TAK/NIE</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FB694DF"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E8AFD8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FC4D4A9"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D1F3B80" w14:textId="77777777" w:rsidR="00210CBD" w:rsidRPr="00210CBD" w:rsidRDefault="00210CBD" w:rsidP="00210CBD">
            <w:pPr>
              <w:spacing w:after="0" w:line="276" w:lineRule="auto"/>
              <w:rPr>
                <w:rFonts w:asciiTheme="minorHAnsi" w:hAnsiTheme="minorHAnsi" w:cstheme="minorHAnsi"/>
                <w:b/>
                <w:sz w:val="20"/>
                <w:szCs w:val="20"/>
              </w:rPr>
            </w:pPr>
            <w:r w:rsidRPr="00210CBD">
              <w:rPr>
                <w:rFonts w:asciiTheme="minorHAnsi" w:hAnsiTheme="minorHAnsi" w:cstheme="minorHAnsi"/>
                <w:b/>
                <w:sz w:val="20"/>
                <w:szCs w:val="20"/>
              </w:rPr>
              <w:t>Temperatura</w:t>
            </w:r>
          </w:p>
        </w:tc>
        <w:tc>
          <w:tcPr>
            <w:tcW w:w="1806" w:type="dxa"/>
            <w:tcBorders>
              <w:top w:val="single" w:sz="4" w:space="0" w:color="auto"/>
              <w:left w:val="single" w:sz="4" w:space="0" w:color="auto"/>
              <w:bottom w:val="single" w:sz="4" w:space="0" w:color="auto"/>
              <w:right w:val="single" w:sz="4" w:space="0" w:color="auto"/>
            </w:tcBorders>
            <w:vAlign w:val="center"/>
          </w:tcPr>
          <w:p w14:paraId="523A6AC0"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61E2C0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BC6557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2DE63C"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CE667BC"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Pomiar temperatury w min. 2 kanałach z możliwością rozbudowy przynajmniej o kolejne 2 kanały.</w:t>
            </w:r>
          </w:p>
        </w:tc>
        <w:tc>
          <w:tcPr>
            <w:tcW w:w="1806" w:type="dxa"/>
            <w:tcBorders>
              <w:top w:val="single" w:sz="4" w:space="0" w:color="auto"/>
              <w:left w:val="single" w:sz="4" w:space="0" w:color="auto"/>
              <w:bottom w:val="single" w:sz="4" w:space="0" w:color="auto"/>
              <w:right w:val="single" w:sz="4" w:space="0" w:color="auto"/>
            </w:tcBorders>
            <w:vAlign w:val="center"/>
          </w:tcPr>
          <w:p w14:paraId="1E266C45"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31445CB"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444C6C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2C96C1C"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445125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Jednoczesna prezentacja w polu parametru temperatury na ekranie głównym monitora stacjonarnego min. 3 wartości temperatury jednocześnie: dwóch zmierzonych (T1, T2) oraz ich różnicy (delta T).</w:t>
            </w:r>
          </w:p>
        </w:tc>
        <w:tc>
          <w:tcPr>
            <w:tcW w:w="1806" w:type="dxa"/>
            <w:tcBorders>
              <w:top w:val="single" w:sz="4" w:space="0" w:color="auto"/>
              <w:left w:val="single" w:sz="4" w:space="0" w:color="auto"/>
              <w:bottom w:val="single" w:sz="4" w:space="0" w:color="auto"/>
              <w:right w:val="single" w:sz="4" w:space="0" w:color="auto"/>
            </w:tcBorders>
            <w:vAlign w:val="center"/>
          </w:tcPr>
          <w:p w14:paraId="68DE495C"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2B13B8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237C74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D8A0D3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428EF49"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ustawienia etykiet temperatur wg. miejsca pomiaru – w tym wpisanie własnych nazw etykiet, łącznie min. 18 nazw</w:t>
            </w:r>
          </w:p>
        </w:tc>
        <w:tc>
          <w:tcPr>
            <w:tcW w:w="1806" w:type="dxa"/>
            <w:tcBorders>
              <w:top w:val="single" w:sz="4" w:space="0" w:color="auto"/>
              <w:left w:val="single" w:sz="4" w:space="0" w:color="auto"/>
              <w:bottom w:val="single" w:sz="4" w:space="0" w:color="auto"/>
              <w:right w:val="single" w:sz="4" w:space="0" w:color="auto"/>
            </w:tcBorders>
            <w:vAlign w:val="center"/>
          </w:tcPr>
          <w:p w14:paraId="11709F4F"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89C60BC"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40BD62B"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0E453AC"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26AAA66"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 komplecie do każdego monitora: wielorazowy czujnik temperatury skóry oraz wielorazowy czujnik temperatury głębokiej dla dorosłych/dzieci.</w:t>
            </w:r>
          </w:p>
        </w:tc>
        <w:tc>
          <w:tcPr>
            <w:tcW w:w="1806" w:type="dxa"/>
            <w:tcBorders>
              <w:top w:val="single" w:sz="4" w:space="0" w:color="auto"/>
              <w:left w:val="single" w:sz="4" w:space="0" w:color="auto"/>
              <w:bottom w:val="single" w:sz="4" w:space="0" w:color="auto"/>
              <w:right w:val="single" w:sz="4" w:space="0" w:color="auto"/>
            </w:tcBorders>
            <w:vAlign w:val="center"/>
          </w:tcPr>
          <w:p w14:paraId="6117FEBE"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094B5B5"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E33389D"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523FB6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06F5DDA"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b/>
                <w:sz w:val="20"/>
                <w:szCs w:val="20"/>
              </w:rPr>
              <w:t>Pomiar ciśnienia metodą inwazyjną (IBP)</w:t>
            </w:r>
          </w:p>
        </w:tc>
        <w:tc>
          <w:tcPr>
            <w:tcW w:w="1806" w:type="dxa"/>
            <w:tcBorders>
              <w:top w:val="single" w:sz="4" w:space="0" w:color="auto"/>
              <w:left w:val="single" w:sz="4" w:space="0" w:color="auto"/>
              <w:bottom w:val="single" w:sz="4" w:space="0" w:color="auto"/>
              <w:right w:val="single" w:sz="4" w:space="0" w:color="auto"/>
            </w:tcBorders>
            <w:vAlign w:val="center"/>
          </w:tcPr>
          <w:p w14:paraId="7B705513"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F7CB4DD"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AF7DCF9"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E0F8699"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4AB71D4"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Pomiar ciśnienia metodą inwazyjną w 2 kanałach. Możliwość rozbudowy każdego monitora o pomiar IBP w min. 4 kanałach (również w transporcie)</w:t>
            </w:r>
          </w:p>
        </w:tc>
        <w:tc>
          <w:tcPr>
            <w:tcW w:w="1806" w:type="dxa"/>
            <w:tcBorders>
              <w:top w:val="single" w:sz="4" w:space="0" w:color="auto"/>
              <w:left w:val="single" w:sz="4" w:space="0" w:color="auto"/>
              <w:bottom w:val="single" w:sz="4" w:space="0" w:color="auto"/>
              <w:right w:val="single" w:sz="4" w:space="0" w:color="auto"/>
            </w:tcBorders>
            <w:vAlign w:val="center"/>
          </w:tcPr>
          <w:p w14:paraId="103A881E"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0849FEC"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15FF75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E53E28"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28E6E8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Pomiar ciśnienia w zakresie min. -20 do 320 mmHg</w:t>
            </w:r>
          </w:p>
        </w:tc>
        <w:tc>
          <w:tcPr>
            <w:tcW w:w="1806" w:type="dxa"/>
            <w:tcBorders>
              <w:top w:val="single" w:sz="4" w:space="0" w:color="auto"/>
              <w:left w:val="single" w:sz="4" w:space="0" w:color="auto"/>
              <w:bottom w:val="single" w:sz="4" w:space="0" w:color="auto"/>
              <w:right w:val="single" w:sz="4" w:space="0" w:color="auto"/>
            </w:tcBorders>
            <w:vAlign w:val="center"/>
          </w:tcPr>
          <w:p w14:paraId="7D34183F"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29320D9"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0036D68"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A02AD5"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097F4A2"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monitorowania i wyboru nazw różnych ciśnień, w tym ciśnienia śródczaszkowego, wraz z automatycznym doborem skali i ustawień dla poszczególnych ciśnień</w:t>
            </w:r>
          </w:p>
        </w:tc>
        <w:tc>
          <w:tcPr>
            <w:tcW w:w="1806" w:type="dxa"/>
            <w:tcBorders>
              <w:top w:val="single" w:sz="4" w:space="0" w:color="auto"/>
              <w:left w:val="single" w:sz="4" w:space="0" w:color="auto"/>
              <w:bottom w:val="single" w:sz="4" w:space="0" w:color="auto"/>
              <w:right w:val="single" w:sz="4" w:space="0" w:color="auto"/>
            </w:tcBorders>
            <w:vAlign w:val="center"/>
          </w:tcPr>
          <w:p w14:paraId="4090E117"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117FAF6"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0C7A470"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8917E7"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C66F30C" w14:textId="77777777" w:rsidR="00210CBD" w:rsidRPr="00210CBD" w:rsidRDefault="00210CBD" w:rsidP="00210CBD">
            <w:pPr>
              <w:spacing w:after="0" w:line="276" w:lineRule="auto"/>
              <w:rPr>
                <w:rFonts w:asciiTheme="minorHAnsi" w:hAnsiTheme="minorHAnsi" w:cstheme="minorHAnsi"/>
                <w:b/>
                <w:sz w:val="20"/>
                <w:szCs w:val="20"/>
              </w:rPr>
            </w:pPr>
            <w:r w:rsidRPr="00210CBD">
              <w:rPr>
                <w:rFonts w:asciiTheme="minorHAnsi" w:hAnsiTheme="minorHAnsi" w:cstheme="minorHAnsi"/>
                <w:b/>
                <w:sz w:val="20"/>
                <w:szCs w:val="20"/>
              </w:rPr>
              <w:t>Pomiar SPV ręczny, w dedykowanej zakładce</w:t>
            </w:r>
          </w:p>
        </w:tc>
        <w:tc>
          <w:tcPr>
            <w:tcW w:w="1806" w:type="dxa"/>
            <w:tcBorders>
              <w:top w:val="single" w:sz="4" w:space="0" w:color="auto"/>
              <w:left w:val="single" w:sz="4" w:space="0" w:color="auto"/>
              <w:bottom w:val="single" w:sz="4" w:space="0" w:color="auto"/>
              <w:right w:val="single" w:sz="4" w:space="0" w:color="auto"/>
            </w:tcBorders>
            <w:vAlign w:val="center"/>
          </w:tcPr>
          <w:p w14:paraId="4487168F"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D7947E4"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DE98AEB"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5FC0F6B"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1E82E3A"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Automatyczny, ciągły pomiar i jednoczesna prezentacja na ekranie głównym kardiomonitora parametrów PPV i SPV, z wybranego kanału ciśnienia.</w:t>
            </w:r>
          </w:p>
        </w:tc>
        <w:tc>
          <w:tcPr>
            <w:tcW w:w="1806" w:type="dxa"/>
            <w:tcBorders>
              <w:top w:val="single" w:sz="4" w:space="0" w:color="auto"/>
              <w:left w:val="single" w:sz="4" w:space="0" w:color="auto"/>
              <w:bottom w:val="single" w:sz="4" w:space="0" w:color="auto"/>
              <w:right w:val="single" w:sz="4" w:space="0" w:color="auto"/>
            </w:tcBorders>
            <w:vAlign w:val="center"/>
          </w:tcPr>
          <w:p w14:paraId="33422871"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C16488A"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4FE5530"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3834515"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DFE0169"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 komplecie do każdego monitora przewody do podłączenia przetworników Edwards (po jednym na każdy oferowany kanał)</w:t>
            </w:r>
          </w:p>
        </w:tc>
        <w:tc>
          <w:tcPr>
            <w:tcW w:w="1806" w:type="dxa"/>
            <w:tcBorders>
              <w:top w:val="single" w:sz="4" w:space="0" w:color="auto"/>
              <w:left w:val="single" w:sz="4" w:space="0" w:color="auto"/>
              <w:bottom w:val="single" w:sz="4" w:space="0" w:color="auto"/>
              <w:right w:val="single" w:sz="4" w:space="0" w:color="auto"/>
            </w:tcBorders>
            <w:vAlign w:val="center"/>
          </w:tcPr>
          <w:p w14:paraId="0488D744"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0B6EF13"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97FF28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C16EF8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6EECBE7"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b/>
                <w:sz w:val="20"/>
                <w:szCs w:val="20"/>
              </w:rPr>
              <w:t>Pomiar kapnografii (CO2)</w:t>
            </w:r>
          </w:p>
        </w:tc>
        <w:tc>
          <w:tcPr>
            <w:tcW w:w="1806" w:type="dxa"/>
            <w:tcBorders>
              <w:top w:val="single" w:sz="4" w:space="0" w:color="auto"/>
              <w:left w:val="single" w:sz="4" w:space="0" w:color="auto"/>
              <w:bottom w:val="single" w:sz="4" w:space="0" w:color="auto"/>
              <w:right w:val="single" w:sz="4" w:space="0" w:color="auto"/>
            </w:tcBorders>
            <w:vAlign w:val="center"/>
          </w:tcPr>
          <w:p w14:paraId="221144EC"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B8DC9B6"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2D233EF"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C8813B7"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B6911D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Pomiar stężenia dwutlenku węgla w wydychanym powietrzu metodą strumienia bocznego, u pacjentów zaintubowanych i niezaintubowanych, dostępny stacjonarnie</w:t>
            </w:r>
          </w:p>
        </w:tc>
        <w:tc>
          <w:tcPr>
            <w:tcW w:w="1806" w:type="dxa"/>
            <w:tcBorders>
              <w:top w:val="single" w:sz="4" w:space="0" w:color="auto"/>
              <w:left w:val="single" w:sz="4" w:space="0" w:color="auto"/>
              <w:bottom w:val="single" w:sz="4" w:space="0" w:color="auto"/>
              <w:right w:val="single" w:sz="4" w:space="0" w:color="auto"/>
            </w:tcBorders>
            <w:vAlign w:val="center"/>
          </w:tcPr>
          <w:p w14:paraId="78DD83EC"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651ADE6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C8E8B01"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1F4BF6"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CB20B08"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 komplecie do każdego monitora komplet 10 akcesoriów jednorazowych do pomiaru u pacjentów zaintubowanych</w:t>
            </w:r>
          </w:p>
        </w:tc>
        <w:tc>
          <w:tcPr>
            <w:tcW w:w="1806" w:type="dxa"/>
            <w:tcBorders>
              <w:top w:val="single" w:sz="4" w:space="0" w:color="auto"/>
              <w:left w:val="single" w:sz="4" w:space="0" w:color="auto"/>
              <w:bottom w:val="single" w:sz="4" w:space="0" w:color="auto"/>
              <w:right w:val="single" w:sz="4" w:space="0" w:color="auto"/>
            </w:tcBorders>
            <w:vAlign w:val="center"/>
          </w:tcPr>
          <w:p w14:paraId="555E3CF9"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B55FB1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F50CE5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377838D"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vAlign w:val="center"/>
          </w:tcPr>
          <w:p w14:paraId="6AFE780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b/>
                <w:sz w:val="20"/>
                <w:szCs w:val="20"/>
              </w:rPr>
              <w:t>Dodatkowa rozbudowa</w:t>
            </w:r>
          </w:p>
        </w:tc>
      </w:tr>
      <w:tr w:rsidR="00210CBD" w:rsidRPr="00210CBD" w14:paraId="492F8D7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09837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A04BF6C"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rozbudowy kardiomonitora o pomiar wydatku energetycznego pacjenta metodą kalorymetrii pośredniej (zużycie tlenu i produkcja CO2). Monitorowanie parametrów min.: VO2, VCO2, VO2/m2, VCO2/m2, VO2/kg, VCO2/kg, EE i RQ. Pomiar realizowany z wykorzystaniem pojedynczego modułu gazowo-spirometrycznego, wykorzystującego paramagnetyczny czujnika tlenu i niewymagającego kalibracji przed każdym pomiarem, swobodnie przenoszonego pomiędzy stanowiskami przez Użytkownika, zapewniającego wyświetlanie monitorowanych parametrów na ekranie monitora i pełną obsługę funkcji monitorowania i alarmowania za pośrednictwem ekranu monitora pacjenta.</w:t>
            </w:r>
          </w:p>
        </w:tc>
        <w:tc>
          <w:tcPr>
            <w:tcW w:w="1806" w:type="dxa"/>
            <w:tcBorders>
              <w:top w:val="single" w:sz="4" w:space="0" w:color="auto"/>
              <w:left w:val="single" w:sz="4" w:space="0" w:color="auto"/>
              <w:bottom w:val="single" w:sz="4" w:space="0" w:color="auto"/>
              <w:right w:val="single" w:sz="4" w:space="0" w:color="auto"/>
            </w:tcBorders>
            <w:vAlign w:val="center"/>
          </w:tcPr>
          <w:p w14:paraId="23307A9D"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5DC8D90"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FB8B334"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526133"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367B500"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Możliwość rozbudowy kardiomonitora o ciągły pomiar rzutu minutowego serca metodą analizy kształtu fali ciśnienia tętniczego, kalibrowany metodą </w:t>
            </w:r>
            <w:proofErr w:type="spellStart"/>
            <w:r w:rsidRPr="00210CBD">
              <w:rPr>
                <w:rFonts w:asciiTheme="minorHAnsi" w:hAnsiTheme="minorHAnsi" w:cstheme="minorHAnsi"/>
                <w:sz w:val="20"/>
                <w:szCs w:val="20"/>
              </w:rPr>
              <w:t>termodylucji</w:t>
            </w:r>
            <w:proofErr w:type="spellEnd"/>
            <w:r w:rsidRPr="00210CBD">
              <w:rPr>
                <w:rFonts w:asciiTheme="minorHAnsi" w:hAnsiTheme="minorHAnsi" w:cstheme="minorHAnsi"/>
                <w:sz w:val="20"/>
                <w:szCs w:val="20"/>
              </w:rPr>
              <w:t xml:space="preserve"> </w:t>
            </w:r>
            <w:proofErr w:type="spellStart"/>
            <w:r w:rsidRPr="00210CBD">
              <w:rPr>
                <w:rFonts w:asciiTheme="minorHAnsi" w:hAnsiTheme="minorHAnsi" w:cstheme="minorHAnsi"/>
                <w:sz w:val="20"/>
                <w:szCs w:val="20"/>
              </w:rPr>
              <w:t>przezpłucnej</w:t>
            </w:r>
            <w:proofErr w:type="spellEnd"/>
            <w:r w:rsidRPr="00210CBD">
              <w:rPr>
                <w:rFonts w:asciiTheme="minorHAnsi" w:hAnsiTheme="minorHAnsi" w:cstheme="minorHAnsi"/>
                <w:sz w:val="20"/>
                <w:szCs w:val="20"/>
              </w:rPr>
              <w:t>. Prezentacja danych na ekranie głównym kardiomonitora w formie graficznej, z wykorzystaniem tzw. wykresu radarowego, w którym każdy wycinek radaru reprezentuje wybrany przez użytkownika parametr, a jego odchylenia od ustalonych zakresów sygnalizowane są kolorystycznie. 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w:t>
            </w:r>
          </w:p>
        </w:tc>
        <w:tc>
          <w:tcPr>
            <w:tcW w:w="1806" w:type="dxa"/>
            <w:tcBorders>
              <w:top w:val="single" w:sz="4" w:space="0" w:color="auto"/>
              <w:left w:val="single" w:sz="4" w:space="0" w:color="auto"/>
              <w:bottom w:val="single" w:sz="4" w:space="0" w:color="auto"/>
              <w:right w:val="single" w:sz="4" w:space="0" w:color="auto"/>
            </w:tcBorders>
            <w:vAlign w:val="center"/>
          </w:tcPr>
          <w:p w14:paraId="2C9781D1"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B5BE6F9"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7349DB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BBF961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FED3BF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rozbudowy o min. 4-kanałowy pomiar EEG z widokiem CSA i możliwością pojedynczego i ciągłego pomiaru słuchowych potencjałów wywołanych pnia mózgu (BAEP) oraz aktywności mięśnia czołowego. 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w:t>
            </w:r>
          </w:p>
        </w:tc>
        <w:tc>
          <w:tcPr>
            <w:tcW w:w="1806" w:type="dxa"/>
            <w:tcBorders>
              <w:top w:val="single" w:sz="4" w:space="0" w:color="auto"/>
              <w:left w:val="single" w:sz="4" w:space="0" w:color="auto"/>
              <w:bottom w:val="single" w:sz="4" w:space="0" w:color="auto"/>
              <w:right w:val="single" w:sz="4" w:space="0" w:color="auto"/>
            </w:tcBorders>
            <w:vAlign w:val="center"/>
          </w:tcPr>
          <w:p w14:paraId="5B22E74C"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651023A7"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DD36198"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893BD29"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6CCD0D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Wymagana rozbudowa o pomiar zwiotczenia mięśni przez monitorowanie transmisji nerwowo-mięśniowej NMT. Pomiar metodą nie wymagającą detekcji ruchu mięśni na skutek stymulacji bodźcem elektrycznym z możliwością zmiany metody pomiarowej na inną w trakcie użytkowania. Sygnalizacja dźwiękowa impulsów stymulacji oraz ustępowania blokady. Możliwość wykorzystania jednego czujnika u pacjentów dorosłych i dzieci, na dłoni i stopie. 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w:t>
            </w:r>
          </w:p>
        </w:tc>
        <w:tc>
          <w:tcPr>
            <w:tcW w:w="1806" w:type="dxa"/>
            <w:tcBorders>
              <w:top w:val="single" w:sz="4" w:space="0" w:color="auto"/>
              <w:left w:val="single" w:sz="4" w:space="0" w:color="auto"/>
              <w:bottom w:val="single" w:sz="4" w:space="0" w:color="auto"/>
              <w:right w:val="single" w:sz="4" w:space="0" w:color="auto"/>
            </w:tcBorders>
            <w:vAlign w:val="center"/>
          </w:tcPr>
          <w:p w14:paraId="0A75C1F9"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629F2175"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06A5A0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153C0C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516C9B1"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Wymagana rozbudowa o monitorowanie głębokości uśpienia metodą BIS z prezentacją wskaźnika </w:t>
            </w:r>
            <w:proofErr w:type="spellStart"/>
            <w:r w:rsidRPr="00210CBD">
              <w:rPr>
                <w:rFonts w:asciiTheme="minorHAnsi" w:hAnsiTheme="minorHAnsi" w:cstheme="minorHAnsi"/>
                <w:sz w:val="20"/>
                <w:szCs w:val="20"/>
              </w:rPr>
              <w:t>bispektralnego</w:t>
            </w:r>
            <w:proofErr w:type="spellEnd"/>
            <w:r w:rsidRPr="00210CBD">
              <w:rPr>
                <w:rFonts w:asciiTheme="minorHAnsi" w:hAnsiTheme="minorHAnsi" w:cstheme="minorHAnsi"/>
                <w:sz w:val="20"/>
                <w:szCs w:val="20"/>
              </w:rPr>
              <w:t xml:space="preserve"> BIS oraz wskaźnika jakości sygnału SQI. </w:t>
            </w:r>
          </w:p>
          <w:p w14:paraId="56443E67"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 – jedna sztuka.</w:t>
            </w:r>
          </w:p>
        </w:tc>
        <w:tc>
          <w:tcPr>
            <w:tcW w:w="1806" w:type="dxa"/>
            <w:tcBorders>
              <w:top w:val="single" w:sz="4" w:space="0" w:color="auto"/>
              <w:left w:val="single" w:sz="4" w:space="0" w:color="auto"/>
              <w:bottom w:val="single" w:sz="4" w:space="0" w:color="auto"/>
              <w:right w:val="single" w:sz="4" w:space="0" w:color="auto"/>
            </w:tcBorders>
            <w:vAlign w:val="center"/>
          </w:tcPr>
          <w:p w14:paraId="131AD61C"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794BEDA"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1FE1B4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B0CBE85"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2F5D772"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Wymagana rozbudowa o monitorowanie poziomu analgezji poprzez analizę reakcji hemodynamicznej pacjenta na bodźce </w:t>
            </w:r>
            <w:proofErr w:type="spellStart"/>
            <w:r w:rsidRPr="00210CBD">
              <w:rPr>
                <w:rFonts w:asciiTheme="minorHAnsi" w:hAnsiTheme="minorHAnsi" w:cstheme="minorHAnsi"/>
                <w:sz w:val="20"/>
                <w:szCs w:val="20"/>
              </w:rPr>
              <w:t>nocyceptywne</w:t>
            </w:r>
            <w:proofErr w:type="spellEnd"/>
            <w:r w:rsidRPr="00210CBD">
              <w:rPr>
                <w:rFonts w:asciiTheme="minorHAnsi" w:hAnsiTheme="minorHAnsi" w:cstheme="minorHAnsi"/>
                <w:sz w:val="20"/>
                <w:szCs w:val="20"/>
              </w:rPr>
              <w:t xml:space="preserve"> i środki przeciwbólowe. Pomiar realizowany bezpośrednio przez kardiomonitor, z wykorzystaniem czujnika saturacji - nie wymaga stosowania jednorazowych materiałów zużywalnych. Prezentacja wyników pomiaru na ekranie głównym, w formie graficznej, na jednym wykresie z pomiarem głębokości uśpienia, w sposób ułatwiający anestezjologowi ocenę prowadzonego znieczulenia.</w:t>
            </w:r>
          </w:p>
        </w:tc>
        <w:tc>
          <w:tcPr>
            <w:tcW w:w="1806" w:type="dxa"/>
            <w:tcBorders>
              <w:top w:val="single" w:sz="4" w:space="0" w:color="auto"/>
              <w:left w:val="single" w:sz="4" w:space="0" w:color="auto"/>
              <w:bottom w:val="single" w:sz="4" w:space="0" w:color="auto"/>
              <w:right w:val="single" w:sz="4" w:space="0" w:color="auto"/>
            </w:tcBorders>
            <w:vAlign w:val="center"/>
          </w:tcPr>
          <w:p w14:paraId="5C57162A"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3FA3CE0"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84C85F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C68DAE5"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DA238D8"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rozbudowy kardiomonitora o pomiar oksymetrii regionalnej (rSO2). Pomiar realizowany z metodą spektroskopii w bliskiej podczerwieni. Pomiar min. od 2 do 4 kanałów, w celu monitorowania oksymetrii mózgowej i somatycznej. Możliwość równoległego monitorowania oksymetrii mózgowej oraz głębokości uśpienia. 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w:t>
            </w:r>
          </w:p>
        </w:tc>
        <w:tc>
          <w:tcPr>
            <w:tcW w:w="1806" w:type="dxa"/>
            <w:tcBorders>
              <w:top w:val="single" w:sz="4" w:space="0" w:color="auto"/>
              <w:left w:val="single" w:sz="4" w:space="0" w:color="auto"/>
              <w:bottom w:val="single" w:sz="4" w:space="0" w:color="auto"/>
              <w:right w:val="single" w:sz="4" w:space="0" w:color="auto"/>
            </w:tcBorders>
            <w:vAlign w:val="center"/>
          </w:tcPr>
          <w:p w14:paraId="436B8309"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E8ED34A"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2097A28"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ABC2487"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vAlign w:val="center"/>
          </w:tcPr>
          <w:p w14:paraId="2ED23A0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b/>
                <w:sz w:val="20"/>
                <w:szCs w:val="20"/>
              </w:rPr>
              <w:t>Alarmy</w:t>
            </w:r>
          </w:p>
        </w:tc>
      </w:tr>
      <w:tr w:rsidR="00210CBD" w:rsidRPr="00210CBD" w14:paraId="6E8A89AF"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0A03948"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DC2567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Alarmy min. 3-stopniowe, sygnalizowane wizualnie i dźwiękowo, z wizualizacją parametru, który wywołał alarm</w:t>
            </w:r>
          </w:p>
        </w:tc>
        <w:tc>
          <w:tcPr>
            <w:tcW w:w="1806" w:type="dxa"/>
            <w:tcBorders>
              <w:top w:val="single" w:sz="4" w:space="0" w:color="auto"/>
              <w:left w:val="single" w:sz="4" w:space="0" w:color="auto"/>
              <w:bottom w:val="single" w:sz="4" w:space="0" w:color="auto"/>
              <w:right w:val="single" w:sz="4" w:space="0" w:color="auto"/>
            </w:tcBorders>
            <w:vAlign w:val="center"/>
          </w:tcPr>
          <w:p w14:paraId="137B44B5"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B079FCE"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63A5E9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3D0F57C"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2667A14"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zmiany priorytetu alarmów</w:t>
            </w:r>
          </w:p>
        </w:tc>
        <w:tc>
          <w:tcPr>
            <w:tcW w:w="1806" w:type="dxa"/>
            <w:tcBorders>
              <w:top w:val="single" w:sz="4" w:space="0" w:color="auto"/>
              <w:left w:val="single" w:sz="4" w:space="0" w:color="auto"/>
              <w:bottom w:val="single" w:sz="4" w:space="0" w:color="auto"/>
              <w:right w:val="single" w:sz="4" w:space="0" w:color="auto"/>
            </w:tcBorders>
            <w:vAlign w:val="center"/>
          </w:tcPr>
          <w:p w14:paraId="0066178D"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67A23E3B"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BC5458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4C7498"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821B09A"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Alarmy techniczne z podaniem przyczyny.</w:t>
            </w:r>
          </w:p>
        </w:tc>
        <w:tc>
          <w:tcPr>
            <w:tcW w:w="1806" w:type="dxa"/>
            <w:tcBorders>
              <w:top w:val="single" w:sz="4" w:space="0" w:color="auto"/>
              <w:left w:val="single" w:sz="4" w:space="0" w:color="auto"/>
              <w:bottom w:val="single" w:sz="4" w:space="0" w:color="auto"/>
              <w:right w:val="single" w:sz="4" w:space="0" w:color="auto"/>
            </w:tcBorders>
            <w:vAlign w:val="center"/>
          </w:tcPr>
          <w:p w14:paraId="4F80E56D"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EEE6C81"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21B24C0E"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098D36"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B7B0E6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Granice alarmowe regulowane ręcznie - przez użytkownika, i automatycznie (na żądanie) - na podstawie bieżących wartości parametrów.</w:t>
            </w:r>
          </w:p>
        </w:tc>
        <w:tc>
          <w:tcPr>
            <w:tcW w:w="1806" w:type="dxa"/>
            <w:tcBorders>
              <w:top w:val="single" w:sz="4" w:space="0" w:color="auto"/>
              <w:left w:val="single" w:sz="4" w:space="0" w:color="auto"/>
              <w:bottom w:val="single" w:sz="4" w:space="0" w:color="auto"/>
              <w:right w:val="single" w:sz="4" w:space="0" w:color="auto"/>
            </w:tcBorders>
            <w:vAlign w:val="center"/>
          </w:tcPr>
          <w:p w14:paraId="3AE58C8B"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34D90A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84B577D"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01C6736"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CB0704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wyciszenia alarmów. Regulacja czasu wyciszenia alarmów w zakresie min.: 2 i 5 minut oraz bez limitu czasowego.</w:t>
            </w:r>
          </w:p>
        </w:tc>
        <w:tc>
          <w:tcPr>
            <w:tcW w:w="1806" w:type="dxa"/>
            <w:tcBorders>
              <w:top w:val="single" w:sz="4" w:space="0" w:color="auto"/>
              <w:left w:val="single" w:sz="4" w:space="0" w:color="auto"/>
              <w:bottom w:val="single" w:sz="4" w:space="0" w:color="auto"/>
              <w:right w:val="single" w:sz="4" w:space="0" w:color="auto"/>
            </w:tcBorders>
            <w:vAlign w:val="center"/>
          </w:tcPr>
          <w:p w14:paraId="47D183E7"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BBE22D6"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9E3599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6837E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2350BBC"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zablokowania funkcji całkowitego wyłączenia bądź wyciszenia alarmów - zabezpieczona hasłem.</w:t>
            </w:r>
          </w:p>
        </w:tc>
        <w:tc>
          <w:tcPr>
            <w:tcW w:w="1806" w:type="dxa"/>
            <w:tcBorders>
              <w:top w:val="single" w:sz="4" w:space="0" w:color="auto"/>
              <w:left w:val="single" w:sz="4" w:space="0" w:color="auto"/>
              <w:bottom w:val="single" w:sz="4" w:space="0" w:color="auto"/>
              <w:right w:val="single" w:sz="4" w:space="0" w:color="auto"/>
            </w:tcBorders>
            <w:vAlign w:val="center"/>
          </w:tcPr>
          <w:p w14:paraId="480FDFF9"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4102189"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59998B2"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F0C102"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C294AA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 wyposażony w pamięć min. 150 zdarzeń alarmowych zawierających wycinki krzywych dynamicznych. Zdarzenia zapisywane automatycznie - w chwili wystąpienia zdarzenia alarmowego, a także ręcznie - po naciśnięciu odpowiedniego przycisku</w:t>
            </w:r>
          </w:p>
        </w:tc>
        <w:tc>
          <w:tcPr>
            <w:tcW w:w="1806" w:type="dxa"/>
            <w:tcBorders>
              <w:top w:val="single" w:sz="4" w:space="0" w:color="auto"/>
              <w:left w:val="single" w:sz="4" w:space="0" w:color="auto"/>
              <w:bottom w:val="single" w:sz="4" w:space="0" w:color="auto"/>
              <w:right w:val="single" w:sz="4" w:space="0" w:color="auto"/>
            </w:tcBorders>
            <w:vAlign w:val="center"/>
          </w:tcPr>
          <w:p w14:paraId="6722F70F"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36CF256"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BE2E17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083BB22"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8AED25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 wyposażony w pamięć min. 900 zdarzeń alarmowych i 400 wycinków zawierających fragmenty min. 5 krzywych dynamicznych z chwili wystąpienia zdarzenia</w:t>
            </w:r>
          </w:p>
        </w:tc>
        <w:tc>
          <w:tcPr>
            <w:tcW w:w="1806" w:type="dxa"/>
            <w:tcBorders>
              <w:top w:val="single" w:sz="4" w:space="0" w:color="auto"/>
              <w:left w:val="single" w:sz="4" w:space="0" w:color="auto"/>
              <w:bottom w:val="single" w:sz="4" w:space="0" w:color="auto"/>
              <w:right w:val="single" w:sz="4" w:space="0" w:color="auto"/>
            </w:tcBorders>
            <w:vAlign w:val="center"/>
          </w:tcPr>
          <w:p w14:paraId="75C8C014"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17DA2FF"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B9D432D" w14:textId="77777777" w:rsidTr="00210CBD">
        <w:trPr>
          <w:trHeight w:val="401"/>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F12B8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41F15CA"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zapisywania zdarzeń alarmowych wraz z opisem dodawanym ręcznie przez użytkownika</w:t>
            </w:r>
          </w:p>
        </w:tc>
        <w:tc>
          <w:tcPr>
            <w:tcW w:w="1806" w:type="dxa"/>
            <w:tcBorders>
              <w:top w:val="single" w:sz="4" w:space="0" w:color="auto"/>
              <w:left w:val="single" w:sz="4" w:space="0" w:color="auto"/>
              <w:bottom w:val="single" w:sz="4" w:space="0" w:color="auto"/>
              <w:right w:val="single" w:sz="4" w:space="0" w:color="auto"/>
            </w:tcBorders>
            <w:vAlign w:val="center"/>
          </w:tcPr>
          <w:p w14:paraId="379387A7"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1C7DE05"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C757369"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B26FBA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vAlign w:val="center"/>
          </w:tcPr>
          <w:p w14:paraId="619000A4" w14:textId="77777777" w:rsidR="00210CBD" w:rsidRPr="00210CBD" w:rsidRDefault="00210CBD" w:rsidP="00210CBD">
            <w:pPr>
              <w:spacing w:after="0" w:line="276" w:lineRule="auto"/>
              <w:rPr>
                <w:rFonts w:asciiTheme="minorHAnsi" w:hAnsiTheme="minorHAnsi" w:cstheme="minorHAnsi"/>
                <w:b/>
                <w:sz w:val="20"/>
                <w:szCs w:val="20"/>
              </w:rPr>
            </w:pPr>
            <w:r w:rsidRPr="00210CBD">
              <w:rPr>
                <w:rFonts w:asciiTheme="minorHAnsi" w:hAnsiTheme="minorHAnsi" w:cstheme="minorHAnsi"/>
                <w:b/>
                <w:sz w:val="20"/>
                <w:szCs w:val="20"/>
              </w:rPr>
              <w:t>Trendy</w:t>
            </w:r>
          </w:p>
        </w:tc>
      </w:tr>
      <w:tr w:rsidR="00210CBD" w:rsidRPr="00210CBD" w14:paraId="20FAC80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0D96932"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5FA58C49"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Stanowisko monitorowania pacjenta wyposażone w pamięć trendów z ostatnich min. 72 godzin z rozdzielczością 1-minutową.</w:t>
            </w:r>
          </w:p>
        </w:tc>
        <w:tc>
          <w:tcPr>
            <w:tcW w:w="1806" w:type="dxa"/>
            <w:tcBorders>
              <w:top w:val="single" w:sz="4" w:space="0" w:color="auto"/>
              <w:left w:val="single" w:sz="4" w:space="0" w:color="auto"/>
              <w:bottom w:val="single" w:sz="4" w:space="0" w:color="auto"/>
              <w:right w:val="single" w:sz="4" w:space="0" w:color="auto"/>
            </w:tcBorders>
            <w:vAlign w:val="center"/>
          </w:tcPr>
          <w:p w14:paraId="6D03C6BA"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 podać</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4EBB13A"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0D38B8D"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FD872BC"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DB666F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Możliwość wyświetlania trendów w formie graficznej i tabelarycznej</w:t>
            </w:r>
          </w:p>
        </w:tc>
        <w:tc>
          <w:tcPr>
            <w:tcW w:w="1806" w:type="dxa"/>
            <w:tcBorders>
              <w:top w:val="single" w:sz="4" w:space="0" w:color="auto"/>
              <w:left w:val="single" w:sz="4" w:space="0" w:color="auto"/>
              <w:bottom w:val="single" w:sz="4" w:space="0" w:color="auto"/>
              <w:right w:val="single" w:sz="4" w:space="0" w:color="auto"/>
            </w:tcBorders>
            <w:vAlign w:val="center"/>
          </w:tcPr>
          <w:p w14:paraId="199A102B"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66AF8B1"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C0BD8D1"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E9D4D42"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vAlign w:val="center"/>
          </w:tcPr>
          <w:p w14:paraId="13A996D3" w14:textId="77777777" w:rsidR="00210CBD" w:rsidRPr="00210CBD" w:rsidRDefault="00210CBD" w:rsidP="00210CBD">
            <w:pPr>
              <w:spacing w:after="0" w:line="276" w:lineRule="auto"/>
              <w:rPr>
                <w:rFonts w:asciiTheme="minorHAnsi" w:hAnsiTheme="minorHAnsi" w:cstheme="minorHAnsi"/>
                <w:b/>
                <w:sz w:val="20"/>
                <w:szCs w:val="20"/>
              </w:rPr>
            </w:pPr>
            <w:r w:rsidRPr="00210CBD">
              <w:rPr>
                <w:rFonts w:asciiTheme="minorHAnsi" w:hAnsiTheme="minorHAnsi" w:cstheme="minorHAnsi"/>
                <w:b/>
                <w:sz w:val="20"/>
                <w:szCs w:val="20"/>
              </w:rPr>
              <w:t>Inne</w:t>
            </w:r>
          </w:p>
        </w:tc>
      </w:tr>
      <w:tr w:rsidR="00210CBD" w:rsidRPr="00210CBD" w14:paraId="3D80D11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D89C4A9"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94A4F40"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 wyposażony w funkcję obliczeń hemodynamicznych, utlenowania oraz wentylacji</w:t>
            </w:r>
          </w:p>
        </w:tc>
        <w:tc>
          <w:tcPr>
            <w:tcW w:w="1806" w:type="dxa"/>
            <w:tcBorders>
              <w:top w:val="single" w:sz="4" w:space="0" w:color="auto"/>
              <w:left w:val="single" w:sz="4" w:space="0" w:color="auto"/>
              <w:bottom w:val="single" w:sz="4" w:space="0" w:color="auto"/>
              <w:right w:val="single" w:sz="4" w:space="0" w:color="auto"/>
            </w:tcBorders>
            <w:vAlign w:val="center"/>
          </w:tcPr>
          <w:p w14:paraId="42CF2B82"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0C4EB3A"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2A11BAF"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1E2EC20"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9895001"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Kalkulator dawek leków</w:t>
            </w:r>
          </w:p>
        </w:tc>
        <w:tc>
          <w:tcPr>
            <w:tcW w:w="1806" w:type="dxa"/>
            <w:tcBorders>
              <w:top w:val="single" w:sz="4" w:space="0" w:color="auto"/>
              <w:left w:val="single" w:sz="4" w:space="0" w:color="auto"/>
              <w:bottom w:val="single" w:sz="4" w:space="0" w:color="auto"/>
              <w:right w:val="single" w:sz="4" w:space="0" w:color="auto"/>
            </w:tcBorders>
            <w:vAlign w:val="center"/>
          </w:tcPr>
          <w:p w14:paraId="33CF2209"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C598DC9"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4F04DCD"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9AFBCD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5EDAEF9"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Możliwość zdalnego dostępu kardiomonitorów w celach serwisowych: wstępnej diagnostyki monitora i podłączonych modułów, zmiany ustawień, </w:t>
            </w:r>
            <w:proofErr w:type="spellStart"/>
            <w:r w:rsidRPr="00210CBD">
              <w:rPr>
                <w:rFonts w:asciiTheme="minorHAnsi" w:hAnsiTheme="minorHAnsi" w:cstheme="minorHAnsi"/>
                <w:sz w:val="20"/>
                <w:szCs w:val="20"/>
              </w:rPr>
              <w:t>wrgywania</w:t>
            </w:r>
            <w:proofErr w:type="spellEnd"/>
            <w:r w:rsidRPr="00210CBD">
              <w:rPr>
                <w:rFonts w:asciiTheme="minorHAnsi" w:hAnsiTheme="minorHAnsi" w:cstheme="minorHAnsi"/>
                <w:sz w:val="20"/>
                <w:szCs w:val="20"/>
              </w:rPr>
              <w:t xml:space="preserve"> licencji, itp.</w:t>
            </w:r>
          </w:p>
        </w:tc>
        <w:tc>
          <w:tcPr>
            <w:tcW w:w="1806" w:type="dxa"/>
            <w:tcBorders>
              <w:top w:val="single" w:sz="4" w:space="0" w:color="auto"/>
              <w:left w:val="single" w:sz="4" w:space="0" w:color="auto"/>
              <w:bottom w:val="single" w:sz="4" w:space="0" w:color="auto"/>
              <w:right w:val="single" w:sz="4" w:space="0" w:color="auto"/>
            </w:tcBorders>
            <w:vAlign w:val="center"/>
          </w:tcPr>
          <w:p w14:paraId="6A5E6FE1" w14:textId="77777777" w:rsidR="00210CBD" w:rsidRPr="00210CBD" w:rsidRDefault="00210CBD" w:rsidP="00210CBD">
            <w:pPr>
              <w:spacing w:after="0" w:line="276" w:lineRule="auto"/>
              <w:jc w:val="center"/>
              <w:rPr>
                <w:rFonts w:asciiTheme="minorHAnsi" w:hAnsiTheme="minorHAnsi" w:cstheme="minorHAnsi"/>
                <w:bCs/>
                <w:snapToGrid w:val="0"/>
                <w:sz w:val="20"/>
                <w:szCs w:val="20"/>
              </w:rPr>
            </w:pPr>
            <w:r w:rsidRPr="00210CBD">
              <w:rPr>
                <w:rFonts w:asciiTheme="minorHAnsi" w:hAnsiTheme="minorHAnsi" w:cstheme="minorHAnsi"/>
                <w:bCs/>
                <w:snapToGrid w:val="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3F6FA6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022207A6"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E5A743"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24E7D7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Monitory kompatybilne w zakresie min. akcesoriów, modułów pomiarowych i systemu centralnego monitorowania z posiadanymi monitorami serii CARESCAPE</w:t>
            </w:r>
          </w:p>
        </w:tc>
        <w:tc>
          <w:tcPr>
            <w:tcW w:w="1806" w:type="dxa"/>
            <w:tcBorders>
              <w:top w:val="single" w:sz="4" w:space="0" w:color="auto"/>
              <w:left w:val="single" w:sz="4" w:space="0" w:color="auto"/>
              <w:bottom w:val="single" w:sz="4" w:space="0" w:color="auto"/>
              <w:right w:val="single" w:sz="4" w:space="0" w:color="auto"/>
            </w:tcBorders>
            <w:vAlign w:val="center"/>
          </w:tcPr>
          <w:p w14:paraId="383147E8" w14:textId="77777777" w:rsidR="00210CBD" w:rsidRPr="00210CBD" w:rsidRDefault="00210CBD" w:rsidP="00210CBD">
            <w:pPr>
              <w:spacing w:after="0" w:line="276" w:lineRule="auto"/>
              <w:jc w:val="center"/>
              <w:rPr>
                <w:rFonts w:asciiTheme="minorHAnsi" w:hAnsiTheme="minorHAnsi" w:cstheme="minorHAnsi"/>
                <w:bCs/>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5A04FCB"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D99565D"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E8C2A2B"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vAlign w:val="center"/>
          </w:tcPr>
          <w:p w14:paraId="123A9CAD" w14:textId="77777777" w:rsidR="00210CBD" w:rsidRPr="00210CBD" w:rsidRDefault="00210CBD" w:rsidP="00210CBD">
            <w:pPr>
              <w:spacing w:after="0" w:line="276" w:lineRule="auto"/>
              <w:rPr>
                <w:rFonts w:asciiTheme="minorHAnsi" w:hAnsiTheme="minorHAnsi" w:cstheme="minorHAnsi"/>
                <w:b/>
                <w:sz w:val="20"/>
                <w:szCs w:val="20"/>
              </w:rPr>
            </w:pPr>
            <w:r w:rsidRPr="00210CBD">
              <w:rPr>
                <w:rFonts w:asciiTheme="minorHAnsi" w:hAnsiTheme="minorHAnsi" w:cstheme="minorHAnsi"/>
                <w:b/>
                <w:sz w:val="20"/>
                <w:szCs w:val="20"/>
              </w:rPr>
              <w:t>Wymagania informatyczne</w:t>
            </w:r>
          </w:p>
        </w:tc>
      </w:tr>
      <w:tr w:rsidR="00210CBD" w:rsidRPr="00210CBD" w14:paraId="44278C64"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930C7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vAlign w:val="center"/>
          </w:tcPr>
          <w:p w14:paraId="5A532E64"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Wymagania dotyczące oprogramowania</w:t>
            </w:r>
          </w:p>
        </w:tc>
      </w:tr>
      <w:tr w:rsidR="00210CBD" w:rsidRPr="00210CBD" w14:paraId="0A551589"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C41BEE8"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145974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Oprogramowanie oraz jego elementy służące do komunikacji z innymi systemami posiadanymi przez Zamawiającego, powinno posiadać pełną funkcjonalność na standardowym koncie użytkownika systemu operacyjnego (bez uprawnień Administratora, bez możliwości zapisu plików bezpośrednio na dysku C, bez dostępu do wprowadzania zapisów na urządzenie przenośne współpracujące z komputerem poprzez port USB - pendrive), lub pracować jako autoryzowana usługa serwisowa w systemie operacyjnym.</w:t>
            </w:r>
          </w:p>
        </w:tc>
        <w:tc>
          <w:tcPr>
            <w:tcW w:w="1806" w:type="dxa"/>
            <w:tcBorders>
              <w:top w:val="single" w:sz="4" w:space="0" w:color="auto"/>
              <w:left w:val="single" w:sz="4" w:space="0" w:color="auto"/>
              <w:bottom w:val="single" w:sz="4" w:space="0" w:color="auto"/>
              <w:right w:val="single" w:sz="4" w:space="0" w:color="auto"/>
            </w:tcBorders>
            <w:vAlign w:val="center"/>
          </w:tcPr>
          <w:p w14:paraId="25CA810D"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64C590E9"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3553EE41"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D27E8E8"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F1EF8B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Oprogramowanie w języku polskim posiadające interfejs graficzny oraz dostępny instruktaż w 100 % w języku polskim</w:t>
            </w:r>
          </w:p>
        </w:tc>
        <w:tc>
          <w:tcPr>
            <w:tcW w:w="1806" w:type="dxa"/>
            <w:tcBorders>
              <w:top w:val="single" w:sz="4" w:space="0" w:color="auto"/>
              <w:left w:val="single" w:sz="4" w:space="0" w:color="auto"/>
              <w:bottom w:val="single" w:sz="4" w:space="0" w:color="auto"/>
              <w:right w:val="single" w:sz="4" w:space="0" w:color="auto"/>
            </w:tcBorders>
            <w:vAlign w:val="center"/>
          </w:tcPr>
          <w:p w14:paraId="6237E4EF"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556930C"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48DB10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FE8049C"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305BC1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Zamawiający powinien zapewnić oprogramowanie w najwyższej stabilnej wersji</w:t>
            </w:r>
          </w:p>
        </w:tc>
        <w:tc>
          <w:tcPr>
            <w:tcW w:w="1806" w:type="dxa"/>
            <w:tcBorders>
              <w:top w:val="single" w:sz="4" w:space="0" w:color="auto"/>
              <w:left w:val="single" w:sz="4" w:space="0" w:color="auto"/>
              <w:bottom w:val="single" w:sz="4" w:space="0" w:color="auto"/>
              <w:right w:val="single" w:sz="4" w:space="0" w:color="auto"/>
            </w:tcBorders>
            <w:vAlign w:val="center"/>
          </w:tcPr>
          <w:p w14:paraId="7E0CF1DA"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1A726F0"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22E20C08"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CC822E"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2AADA21"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Dostarczone systemy/oprogramowanie (jeżeli dostarczenia systemu wymaga specyfikacja i/lub obsługa dostarczanego sprzętu) powinno spełniać wymogi pracy w szpitalnym środowisku Active Directory, w środowisku szpitalnej infrastruktury LAN, w tym wykorzystywać możliwości identyfikacji i logowania poprzez LDAP do dostarczonego oprogramowania/systemu w tym możliwość wykorzystania grup LDAP do określania schematu uprawnień.</w:t>
            </w:r>
          </w:p>
        </w:tc>
        <w:tc>
          <w:tcPr>
            <w:tcW w:w="1806" w:type="dxa"/>
            <w:tcBorders>
              <w:top w:val="single" w:sz="4" w:space="0" w:color="auto"/>
              <w:left w:val="single" w:sz="4" w:space="0" w:color="auto"/>
              <w:bottom w:val="single" w:sz="4" w:space="0" w:color="auto"/>
              <w:right w:val="single" w:sz="4" w:space="0" w:color="auto"/>
            </w:tcBorders>
            <w:vAlign w:val="center"/>
          </w:tcPr>
          <w:p w14:paraId="5F7EFF66"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2618DCF9"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5F89B2E"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F464F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3ED37F86"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Licencja oprogramowania powinna umożliwiać pracę wszystkim pracownikom szpitala wykorzystującym oprogramowanie, niezależnie od lokalizacji, grupy zawodowej (lekarz, farmaceuta) jednocześnie</w:t>
            </w:r>
          </w:p>
        </w:tc>
        <w:tc>
          <w:tcPr>
            <w:tcW w:w="1806" w:type="dxa"/>
            <w:tcBorders>
              <w:top w:val="single" w:sz="4" w:space="0" w:color="auto"/>
              <w:left w:val="single" w:sz="4" w:space="0" w:color="auto"/>
              <w:bottom w:val="single" w:sz="4" w:space="0" w:color="auto"/>
              <w:right w:val="single" w:sz="4" w:space="0" w:color="auto"/>
            </w:tcBorders>
            <w:vAlign w:val="center"/>
          </w:tcPr>
          <w:p w14:paraId="52D01F4E"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54DD53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D2DF22A"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D662083"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1F9EB2D"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Aplikacja powinna być wywoływana bezpośrednio na stacji użytkownika</w:t>
            </w:r>
          </w:p>
        </w:tc>
        <w:tc>
          <w:tcPr>
            <w:tcW w:w="1806" w:type="dxa"/>
            <w:tcBorders>
              <w:top w:val="single" w:sz="4" w:space="0" w:color="auto"/>
              <w:left w:val="single" w:sz="4" w:space="0" w:color="auto"/>
              <w:bottom w:val="single" w:sz="4" w:space="0" w:color="auto"/>
              <w:right w:val="single" w:sz="4" w:space="0" w:color="auto"/>
            </w:tcBorders>
            <w:vAlign w:val="center"/>
          </w:tcPr>
          <w:p w14:paraId="0BBFEFEC"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D63EAA7"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5099EBF"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6B02BD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F8FD217"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 przypadku konieczności instalacji systemu – Wykonawca, już na etapie przedstawiania oferty wskaże minimalne wymagania sprzętowe zarówno w zakresie oprogramowania na stacjach/komputerach użytkowników jak i części serwerowej (Zamawiający preferuje serwery wirtualne)</w:t>
            </w:r>
          </w:p>
        </w:tc>
        <w:tc>
          <w:tcPr>
            <w:tcW w:w="1806" w:type="dxa"/>
            <w:tcBorders>
              <w:top w:val="single" w:sz="4" w:space="0" w:color="auto"/>
              <w:left w:val="single" w:sz="4" w:space="0" w:color="auto"/>
              <w:bottom w:val="single" w:sz="4" w:space="0" w:color="auto"/>
              <w:right w:val="single" w:sz="4" w:space="0" w:color="auto"/>
            </w:tcBorders>
            <w:vAlign w:val="center"/>
          </w:tcPr>
          <w:p w14:paraId="7B7BB284"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37C5D06"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213053E"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D1BF0FC"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3F8C717"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Zamawiający dopuszcza jedynie urządzenia z fabrycznie nowymi, wspieranymi przez producenta w dniu podpisania umowy przez Wykonawcę, systemami operacyjnymi. Zamawiający na systemach operacyjnych wymaga Wsparcia na poziomie podstawowym (o ile wymogi specyfikacji nie określają inaczej). Jeśli w chwili podpisania umowy, Wykonawca nie posiada w swoim portfolio urządzeń ze wspieraną wersję systemów operacyjnych (przez producenta systemu operacyjnego), jest zobowiązany do wskazania terminu dostarczenia oraz podniesienia systemów do wersji wspieranych (przez producenta systemu operacyjnego)</w:t>
            </w:r>
          </w:p>
        </w:tc>
        <w:tc>
          <w:tcPr>
            <w:tcW w:w="1806" w:type="dxa"/>
            <w:tcBorders>
              <w:top w:val="single" w:sz="4" w:space="0" w:color="auto"/>
              <w:left w:val="single" w:sz="4" w:space="0" w:color="auto"/>
              <w:bottom w:val="single" w:sz="4" w:space="0" w:color="auto"/>
              <w:right w:val="single" w:sz="4" w:space="0" w:color="auto"/>
            </w:tcBorders>
            <w:vAlign w:val="center"/>
          </w:tcPr>
          <w:p w14:paraId="29FAAB80"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109227F1"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2960D79"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EBCFA4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2DB79E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Zamawiający wymaga Interoperacyjności systemów teleinformatycznych, w ramach oferowanej ceny, zgodnie z:</w:t>
            </w:r>
          </w:p>
          <w:p w14:paraId="68E128AD"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a) ustawą z dnia 17 lutego 2005 roku o informatyzacji działalności podmiotów realizujących zadania publiczne (Dz.U.  z 2024 r. poz. 1557 z </w:t>
            </w:r>
            <w:proofErr w:type="spellStart"/>
            <w:r w:rsidRPr="00210CBD">
              <w:rPr>
                <w:rFonts w:asciiTheme="minorHAnsi" w:hAnsiTheme="minorHAnsi" w:cstheme="minorHAnsi"/>
                <w:sz w:val="20"/>
                <w:szCs w:val="20"/>
              </w:rPr>
              <w:t>późn</w:t>
            </w:r>
            <w:proofErr w:type="spellEnd"/>
            <w:r w:rsidRPr="00210CBD">
              <w:rPr>
                <w:rFonts w:asciiTheme="minorHAnsi" w:hAnsiTheme="minorHAnsi" w:cstheme="minorHAnsi"/>
                <w:sz w:val="20"/>
                <w:szCs w:val="20"/>
              </w:rPr>
              <w:t>. zm.);</w:t>
            </w:r>
          </w:p>
          <w:p w14:paraId="20E25BE0"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b) Rozporządzeniem Rady Ministrów z dnia 21 maja 2024 r. w sprawie Krajowych Ram Interoperacyjności, minimalnych wymagań dla rejestrów publicznych i wymiany informacji w postaci elektronicznej oraz minimalnych wymagań dla systemów teleinformatycznych (Dz.U. poz. 773);</w:t>
            </w:r>
          </w:p>
          <w:p w14:paraId="26EB70DA"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c) ustawą z dnia 28 kwietnia 2011 r. o systemie informacji w ochronie zdrowia (Dz.U. z 2023 r. poz. 2465 z późn.zm.);</w:t>
            </w:r>
          </w:p>
          <w:p w14:paraId="315511D2"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d) minimalnymi wymaganiami dla systemów określonych w treści art. 8a ustawy z dnia 28 kwietnia 2011 r. o systemie informacji w ochronie zdrowia (Dz.U. </w:t>
            </w:r>
            <w:proofErr w:type="spellStart"/>
            <w:r w:rsidRPr="00210CBD">
              <w:rPr>
                <w:rFonts w:asciiTheme="minorHAnsi" w:hAnsiTheme="minorHAnsi" w:cstheme="minorHAnsi"/>
                <w:sz w:val="20"/>
                <w:szCs w:val="20"/>
              </w:rPr>
              <w:t>j.w</w:t>
            </w:r>
            <w:proofErr w:type="spellEnd"/>
            <w:r w:rsidRPr="00210CBD">
              <w:rPr>
                <w:rFonts w:asciiTheme="minorHAnsi" w:hAnsiTheme="minorHAnsi" w:cstheme="minorHAnsi"/>
                <w:sz w:val="20"/>
                <w:szCs w:val="20"/>
              </w:rPr>
              <w:t>.);</w:t>
            </w:r>
          </w:p>
        </w:tc>
        <w:tc>
          <w:tcPr>
            <w:tcW w:w="1806" w:type="dxa"/>
            <w:tcBorders>
              <w:top w:val="single" w:sz="4" w:space="0" w:color="auto"/>
              <w:left w:val="single" w:sz="4" w:space="0" w:color="auto"/>
              <w:bottom w:val="single" w:sz="4" w:space="0" w:color="auto"/>
              <w:right w:val="single" w:sz="4" w:space="0" w:color="auto"/>
            </w:tcBorders>
            <w:vAlign w:val="center"/>
          </w:tcPr>
          <w:p w14:paraId="279968BA"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3536D54"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2AF93090"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18FD29F"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58FD46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Zamawiający wymaga zapewnienia możliwości eksportu i importu danych, w szczególności poprzez udostępnienie otwartych interfejsów oraz dokumentacji pozwalającej na przeprowadzenie procesu eksportu i importu danych, w tym specyfikację danych, które są przedmiotem wymiany, zgodnie z zapotrzebowaniem danego szpitala.</w:t>
            </w:r>
          </w:p>
        </w:tc>
        <w:tc>
          <w:tcPr>
            <w:tcW w:w="1806" w:type="dxa"/>
            <w:tcBorders>
              <w:top w:val="single" w:sz="4" w:space="0" w:color="auto"/>
              <w:left w:val="single" w:sz="4" w:space="0" w:color="auto"/>
              <w:bottom w:val="single" w:sz="4" w:space="0" w:color="auto"/>
              <w:right w:val="single" w:sz="4" w:space="0" w:color="auto"/>
            </w:tcBorders>
            <w:vAlign w:val="center"/>
          </w:tcPr>
          <w:p w14:paraId="79D39D66"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464A49AC"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853CCA2"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4C8DF6D"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vAlign w:val="center"/>
          </w:tcPr>
          <w:p w14:paraId="19302DA5"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Wymagania dotyczące bezpieczeństwa sieciowego:</w:t>
            </w:r>
          </w:p>
        </w:tc>
      </w:tr>
      <w:tr w:rsidR="00210CBD" w:rsidRPr="00210CBD" w14:paraId="7985CB3D"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1DE5DCE"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AC1AACF"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Działania wymagające uprawnień administracyjnych powinny być realizowane z poziomu udostępnionego konta. Każda zmiana wykonana na stacji roboczej powinna być informowana przez serwis wiadomością email wysłaną na adres wskazany podczas wdrożenia. Zakres i sposób wykorzystania podanych przez Dział Informatyki adresów IP powinien być zgodny z wewnętrznymi procedurami obowiązującymi w szpitalu. Wykonawca powinien przekazać informacje o liczbie potrzebnych adresów sieciowych co najmniej na 3 dni przed pojawieniem się osób wdrażających wymagających tych danych i ustalić termin i czas wymagający zaangażowania informatyka szpitalnego w godzinach pracy zespołu informatycznego</w:t>
            </w:r>
          </w:p>
        </w:tc>
        <w:tc>
          <w:tcPr>
            <w:tcW w:w="1806" w:type="dxa"/>
            <w:tcBorders>
              <w:top w:val="single" w:sz="4" w:space="0" w:color="auto"/>
              <w:left w:val="single" w:sz="4" w:space="0" w:color="auto"/>
              <w:bottom w:val="single" w:sz="4" w:space="0" w:color="auto"/>
              <w:right w:val="single" w:sz="4" w:space="0" w:color="auto"/>
            </w:tcBorders>
            <w:vAlign w:val="center"/>
          </w:tcPr>
          <w:p w14:paraId="72C2B484"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2942CC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898BCB2"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CD2EF47"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6332440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W przypadku realizacji prac wdrożeniowych i/lub serwisowych zdalnie, prace te powinny być realizowane przy wykorzystaniu tunelu VPN opartego na zbiorze protokołów </w:t>
            </w:r>
            <w:proofErr w:type="spellStart"/>
            <w:r w:rsidRPr="00210CBD">
              <w:rPr>
                <w:rFonts w:asciiTheme="minorHAnsi" w:hAnsiTheme="minorHAnsi" w:cstheme="minorHAnsi"/>
                <w:sz w:val="20"/>
                <w:szCs w:val="20"/>
              </w:rPr>
              <w:t>IPsec</w:t>
            </w:r>
            <w:proofErr w:type="spellEnd"/>
            <w:r w:rsidRPr="00210CBD">
              <w:rPr>
                <w:rFonts w:asciiTheme="minorHAnsi" w:hAnsiTheme="minorHAnsi" w:cstheme="minorHAnsi"/>
                <w:sz w:val="20"/>
                <w:szCs w:val="20"/>
              </w:rPr>
              <w:t xml:space="preserve"> . Szpital udostępni dwa typy połączeń:</w:t>
            </w:r>
            <w:r w:rsidRPr="00210CBD">
              <w:rPr>
                <w:rFonts w:asciiTheme="minorHAnsi" w:hAnsiTheme="minorHAnsi" w:cstheme="minorHAnsi"/>
                <w:sz w:val="20"/>
                <w:szCs w:val="20"/>
              </w:rPr>
              <w:br/>
              <w:t>- tunel Site-to-Site (preferowany typ),</w:t>
            </w:r>
            <w:r w:rsidRPr="00210CBD">
              <w:rPr>
                <w:rFonts w:asciiTheme="minorHAnsi" w:hAnsiTheme="minorHAnsi" w:cstheme="minorHAnsi"/>
                <w:sz w:val="20"/>
                <w:szCs w:val="20"/>
              </w:rPr>
              <w:br/>
              <w:t>- tunel Client-to-Site</w:t>
            </w:r>
          </w:p>
        </w:tc>
        <w:tc>
          <w:tcPr>
            <w:tcW w:w="1806" w:type="dxa"/>
            <w:tcBorders>
              <w:top w:val="single" w:sz="4" w:space="0" w:color="auto"/>
              <w:left w:val="single" w:sz="4" w:space="0" w:color="auto"/>
              <w:bottom w:val="single" w:sz="4" w:space="0" w:color="auto"/>
              <w:right w:val="single" w:sz="4" w:space="0" w:color="auto"/>
            </w:tcBorders>
            <w:vAlign w:val="center"/>
          </w:tcPr>
          <w:p w14:paraId="1A693E41"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5285F870"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15FAC8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68BFAF8"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327AAC7"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W przypadku braku możliwości technicznych w celu zrealizowania połączenie typu: Site-to-Site, skonfigurowany może zostać tunel typu Client-to-Site. Wymagać to będzie zainstalowania na komputerach serwisu oprogramowania VPN Client. </w:t>
            </w:r>
            <w:r w:rsidRPr="00210CBD">
              <w:rPr>
                <w:rFonts w:asciiTheme="minorHAnsi" w:hAnsiTheme="minorHAnsi" w:cstheme="minorHAnsi"/>
                <w:sz w:val="20"/>
                <w:szCs w:val="20"/>
              </w:rPr>
              <w:br/>
              <w:t>Realizacja dostępu zdalnego będzie możliwa tylko przy wykorzystaniu zainstalowanych w szpitalu urządzeń UTM</w:t>
            </w:r>
          </w:p>
        </w:tc>
        <w:tc>
          <w:tcPr>
            <w:tcW w:w="1806" w:type="dxa"/>
            <w:tcBorders>
              <w:top w:val="single" w:sz="4" w:space="0" w:color="auto"/>
              <w:left w:val="single" w:sz="4" w:space="0" w:color="auto"/>
              <w:bottom w:val="single" w:sz="4" w:space="0" w:color="auto"/>
              <w:right w:val="single" w:sz="4" w:space="0" w:color="auto"/>
            </w:tcBorders>
            <w:vAlign w:val="center"/>
          </w:tcPr>
          <w:p w14:paraId="73CF4DFC"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2EFB780"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5748A06C"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6B6B38"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9FD46FD"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Serwis, chcąc realizować zadania na konkretnej stacji użytkownika, powinien się połączyć poprzez VPN używając połączenia zdalnego (wymagania w punkcie 2.2 oraz 2.4) z serwera inicjując połączenie do komputera Użytkownika poprzez oprogramowanie VNC po porcie ustalonym w czasie wdrożenia. Zamawiający zastrzega również wykorzystanie oprogramowania </w:t>
            </w:r>
            <w:proofErr w:type="spellStart"/>
            <w:r w:rsidRPr="00210CBD">
              <w:rPr>
                <w:rFonts w:asciiTheme="minorHAnsi" w:hAnsiTheme="minorHAnsi" w:cstheme="minorHAnsi"/>
                <w:sz w:val="20"/>
                <w:szCs w:val="20"/>
              </w:rPr>
              <w:t>TightVnc</w:t>
            </w:r>
            <w:proofErr w:type="spellEnd"/>
            <w:r w:rsidRPr="00210CBD">
              <w:rPr>
                <w:rFonts w:asciiTheme="minorHAnsi" w:hAnsiTheme="minorHAnsi" w:cstheme="minorHAnsi"/>
                <w:sz w:val="20"/>
                <w:szCs w:val="20"/>
              </w:rPr>
              <w:t xml:space="preserve"> (może zasugerować np. </w:t>
            </w:r>
            <w:proofErr w:type="spellStart"/>
            <w:r w:rsidRPr="00210CBD">
              <w:rPr>
                <w:rFonts w:asciiTheme="minorHAnsi" w:hAnsiTheme="minorHAnsi" w:cstheme="minorHAnsi"/>
                <w:sz w:val="20"/>
                <w:szCs w:val="20"/>
              </w:rPr>
              <w:t>UltraVNC</w:t>
            </w:r>
            <w:proofErr w:type="spellEnd"/>
            <w:r w:rsidRPr="00210CBD">
              <w:rPr>
                <w:rFonts w:asciiTheme="minorHAnsi" w:hAnsiTheme="minorHAnsi" w:cstheme="minorHAnsi"/>
                <w:sz w:val="20"/>
                <w:szCs w:val="20"/>
              </w:rPr>
              <w:t>)</w:t>
            </w:r>
          </w:p>
        </w:tc>
        <w:tc>
          <w:tcPr>
            <w:tcW w:w="1806" w:type="dxa"/>
            <w:tcBorders>
              <w:top w:val="single" w:sz="4" w:space="0" w:color="auto"/>
              <w:left w:val="single" w:sz="4" w:space="0" w:color="auto"/>
              <w:bottom w:val="single" w:sz="4" w:space="0" w:color="auto"/>
              <w:right w:val="single" w:sz="4" w:space="0" w:color="auto"/>
            </w:tcBorders>
            <w:vAlign w:val="center"/>
          </w:tcPr>
          <w:p w14:paraId="04995DA9"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AAAD8B7"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6DD2173F"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3F3511"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BE37AE2"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 przypadku konieczności, w ramach wdrożenia, wstawienia i konfiguracji urządzeń/aparatów – Wykonawca jest zobowiązany (o ile wymogi specyfikacji nie określają inaczej) dostarczyć dodatkowy, wymagany sprzęt, konieczne okablowanie, adaptery itp. niezbędne do podłączenia urządzeń</w:t>
            </w:r>
          </w:p>
        </w:tc>
        <w:tc>
          <w:tcPr>
            <w:tcW w:w="1806" w:type="dxa"/>
            <w:tcBorders>
              <w:top w:val="single" w:sz="4" w:space="0" w:color="auto"/>
              <w:left w:val="single" w:sz="4" w:space="0" w:color="auto"/>
              <w:bottom w:val="single" w:sz="4" w:space="0" w:color="auto"/>
              <w:right w:val="single" w:sz="4" w:space="0" w:color="auto"/>
            </w:tcBorders>
            <w:vAlign w:val="center"/>
          </w:tcPr>
          <w:p w14:paraId="70EE024C"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5DB0169"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5B69E97"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FD2C0B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433773C3"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Wykonawca już na etapie przedstawienia oferty jest zobowiązany do wskazania koniecznej do działania liczby gniazd sieciowych</w:t>
            </w:r>
          </w:p>
        </w:tc>
        <w:tc>
          <w:tcPr>
            <w:tcW w:w="1806" w:type="dxa"/>
            <w:tcBorders>
              <w:top w:val="single" w:sz="4" w:space="0" w:color="auto"/>
              <w:left w:val="single" w:sz="4" w:space="0" w:color="auto"/>
              <w:bottom w:val="single" w:sz="4" w:space="0" w:color="auto"/>
              <w:right w:val="single" w:sz="4" w:space="0" w:color="auto"/>
            </w:tcBorders>
            <w:vAlign w:val="center"/>
          </w:tcPr>
          <w:p w14:paraId="4160C66C"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8A8FB1F"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777C1822"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EEE7E4"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vAlign w:val="center"/>
          </w:tcPr>
          <w:p w14:paraId="2D42D1EC"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Wymagania dotyczące integracji</w:t>
            </w:r>
          </w:p>
        </w:tc>
      </w:tr>
      <w:tr w:rsidR="00210CBD" w:rsidRPr="00210CBD" w14:paraId="5109AC6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EB6C28A"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74522170"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Wykonawca dostarczy urządzenia przygotowane do przyszłych integracji z systemem CIS.</w:t>
            </w:r>
          </w:p>
        </w:tc>
        <w:tc>
          <w:tcPr>
            <w:tcW w:w="1806" w:type="dxa"/>
            <w:tcBorders>
              <w:top w:val="single" w:sz="4" w:space="0" w:color="auto"/>
              <w:left w:val="single" w:sz="4" w:space="0" w:color="auto"/>
              <w:bottom w:val="single" w:sz="4" w:space="0" w:color="auto"/>
              <w:right w:val="single" w:sz="4" w:space="0" w:color="auto"/>
            </w:tcBorders>
            <w:vAlign w:val="center"/>
          </w:tcPr>
          <w:p w14:paraId="0DD9C8E4"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6FC8866"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6350CB5"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B272B33"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28B1508B"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Wykonawca we własnym zakresie udostępni Zamawiającemu dokumentację użytkową oraz specyfikację protokołu komunikacji w wersji elektronicznej.</w:t>
            </w:r>
          </w:p>
        </w:tc>
        <w:tc>
          <w:tcPr>
            <w:tcW w:w="1806" w:type="dxa"/>
            <w:tcBorders>
              <w:top w:val="single" w:sz="4" w:space="0" w:color="auto"/>
              <w:left w:val="single" w:sz="4" w:space="0" w:color="auto"/>
              <w:bottom w:val="single" w:sz="4" w:space="0" w:color="auto"/>
              <w:right w:val="single" w:sz="4" w:space="0" w:color="auto"/>
            </w:tcBorders>
            <w:vAlign w:val="center"/>
          </w:tcPr>
          <w:p w14:paraId="356BB8A4"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009744BF"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29B241F2"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C3553DE"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14742" w:type="dxa"/>
            <w:gridSpan w:val="3"/>
            <w:tcBorders>
              <w:top w:val="single" w:sz="4" w:space="0" w:color="auto"/>
              <w:left w:val="single" w:sz="4" w:space="0" w:color="auto"/>
              <w:bottom w:val="single" w:sz="4" w:space="0" w:color="auto"/>
              <w:right w:val="single" w:sz="4" w:space="0" w:color="auto"/>
            </w:tcBorders>
            <w:vAlign w:val="center"/>
          </w:tcPr>
          <w:p w14:paraId="24DF6855"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Pozostałe wymagania</w:t>
            </w:r>
          </w:p>
        </w:tc>
      </w:tr>
      <w:tr w:rsidR="00210CBD" w:rsidRPr="00210CBD" w14:paraId="74B86946"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698BC2D"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C77ED55"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Wykonawca jest zobowiązany do opracowania i przekazania użytkownikowi procedur / instrukcji wprowadzania danych, które wymagane są do prawidłowych działania integracji/systemów/aparatów w tym instrukcji realizowanych na wypadek sytuacji awaryjnych: np. awaria infrastruktury sieciowej</w:t>
            </w:r>
          </w:p>
        </w:tc>
        <w:tc>
          <w:tcPr>
            <w:tcW w:w="1806" w:type="dxa"/>
            <w:tcBorders>
              <w:top w:val="single" w:sz="4" w:space="0" w:color="auto"/>
              <w:left w:val="single" w:sz="4" w:space="0" w:color="auto"/>
              <w:bottom w:val="single" w:sz="4" w:space="0" w:color="auto"/>
              <w:right w:val="single" w:sz="4" w:space="0" w:color="auto"/>
            </w:tcBorders>
            <w:vAlign w:val="center"/>
          </w:tcPr>
          <w:p w14:paraId="3FD88755"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70CC9D38"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4F7D48E3"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1AB8D0D"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0D4F17D9"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 xml:space="preserve">Wykonawca opracuje z Zamawiającym dokumenty - procedurę tworzenia kopii zapasowej ze szczegółową instrukcją odzyskiwania systemu i danych z kopii. Opracowana procedura będzie musiała zawierać specyfikacje baz danych, plików konfiguracyjnych, które muszą być objęte systemem kopii zapasowej. Specyfikacja będzie </w:t>
            </w:r>
            <w:proofErr w:type="spellStart"/>
            <w:r w:rsidRPr="00210CBD">
              <w:rPr>
                <w:rFonts w:asciiTheme="minorHAnsi" w:hAnsiTheme="minorHAnsi" w:cstheme="minorHAnsi"/>
                <w:sz w:val="20"/>
                <w:szCs w:val="20"/>
              </w:rPr>
              <w:t>musiałą</w:t>
            </w:r>
            <w:proofErr w:type="spellEnd"/>
            <w:r w:rsidRPr="00210CBD">
              <w:rPr>
                <w:rFonts w:asciiTheme="minorHAnsi" w:hAnsiTheme="minorHAnsi" w:cstheme="minorHAnsi"/>
                <w:sz w:val="20"/>
                <w:szCs w:val="20"/>
              </w:rPr>
              <w:t xml:space="preserve"> w sposób jasny i przejrzysty wskazywać wszystkie pliki jakie należy </w:t>
            </w:r>
            <w:r w:rsidRPr="00210CBD">
              <w:rPr>
                <w:rFonts w:asciiTheme="minorHAnsi" w:hAnsiTheme="minorHAnsi" w:cstheme="minorHAnsi"/>
                <w:sz w:val="20"/>
                <w:szCs w:val="20"/>
              </w:rPr>
              <w:lastRenderedPageBreak/>
              <w:t>archiwizować, aby wykonać prawidłową i pełną kopię bezpieczeństwa systemu. Wykonawca, w ramach wdrożenia, przeprowadzi wraz z Zamawiającym, próbne utworzenie i prawidłowe odtworzenie kopii bezpieczeństwa</w:t>
            </w:r>
          </w:p>
        </w:tc>
        <w:tc>
          <w:tcPr>
            <w:tcW w:w="1806" w:type="dxa"/>
            <w:tcBorders>
              <w:top w:val="single" w:sz="4" w:space="0" w:color="auto"/>
              <w:left w:val="single" w:sz="4" w:space="0" w:color="auto"/>
              <w:bottom w:val="single" w:sz="4" w:space="0" w:color="auto"/>
              <w:right w:val="single" w:sz="4" w:space="0" w:color="auto"/>
            </w:tcBorders>
            <w:vAlign w:val="center"/>
          </w:tcPr>
          <w:p w14:paraId="2E52976E"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lastRenderedPageBreak/>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1882842" w14:textId="77777777" w:rsidR="00210CBD" w:rsidRPr="00210CBD" w:rsidRDefault="00210CBD" w:rsidP="00210CBD">
            <w:pPr>
              <w:spacing w:after="0" w:line="276" w:lineRule="auto"/>
              <w:rPr>
                <w:rFonts w:asciiTheme="minorHAnsi" w:hAnsiTheme="minorHAnsi" w:cstheme="minorHAnsi"/>
                <w:sz w:val="20"/>
                <w:szCs w:val="20"/>
              </w:rPr>
            </w:pPr>
          </w:p>
        </w:tc>
      </w:tr>
      <w:tr w:rsidR="00210CBD" w:rsidRPr="00210CBD" w14:paraId="1109CAA9" w14:textId="77777777" w:rsidTr="00303225">
        <w:trPr>
          <w:trHeight w:val="17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4620F4C" w14:textId="77777777" w:rsidR="00210CBD" w:rsidRPr="00210CBD" w:rsidRDefault="00210CBD" w:rsidP="00210CBD">
            <w:pPr>
              <w:numPr>
                <w:ilvl w:val="0"/>
                <w:numId w:val="18"/>
              </w:numPr>
              <w:spacing w:after="0" w:line="276" w:lineRule="auto"/>
              <w:ind w:left="356" w:right="355"/>
              <w:rPr>
                <w:rFonts w:asciiTheme="minorHAnsi" w:hAnsiTheme="minorHAnsi" w:cstheme="minorHAnsi"/>
                <w:sz w:val="20"/>
                <w:szCs w:val="20"/>
              </w:rPr>
            </w:pPr>
          </w:p>
        </w:tc>
        <w:tc>
          <w:tcPr>
            <w:tcW w:w="9072" w:type="dxa"/>
            <w:tcBorders>
              <w:top w:val="single" w:sz="4" w:space="0" w:color="auto"/>
              <w:left w:val="single" w:sz="4" w:space="0" w:color="auto"/>
              <w:bottom w:val="single" w:sz="4" w:space="0" w:color="auto"/>
              <w:right w:val="single" w:sz="4" w:space="0" w:color="auto"/>
            </w:tcBorders>
            <w:vAlign w:val="center"/>
          </w:tcPr>
          <w:p w14:paraId="10F1A07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Wykonawca oświadcza, że wszystkie domyślne hasła (w tym hasła do kont serwisowych oraz ustawień administracyjnych) zostaną zmienione, i w dokumencie oświadczenia wskaże pracownika szpitala, któremu przekazał zmienione hasła.</w:t>
            </w:r>
          </w:p>
        </w:tc>
        <w:tc>
          <w:tcPr>
            <w:tcW w:w="1806" w:type="dxa"/>
            <w:tcBorders>
              <w:top w:val="single" w:sz="4" w:space="0" w:color="auto"/>
              <w:left w:val="single" w:sz="4" w:space="0" w:color="auto"/>
              <w:bottom w:val="single" w:sz="4" w:space="0" w:color="auto"/>
              <w:right w:val="single" w:sz="4" w:space="0" w:color="auto"/>
            </w:tcBorders>
            <w:vAlign w:val="center"/>
          </w:tcPr>
          <w:p w14:paraId="20A6B8FF" w14:textId="77777777" w:rsidR="00210CBD" w:rsidRPr="00210CBD" w:rsidRDefault="00210CBD" w:rsidP="00210CBD">
            <w:pPr>
              <w:spacing w:after="0" w:line="276" w:lineRule="auto"/>
              <w:jc w:val="center"/>
              <w:rPr>
                <w:rFonts w:asciiTheme="minorHAnsi" w:hAnsiTheme="minorHAnsi" w:cstheme="minorHAnsi"/>
                <w:color w:val="000000"/>
                <w:sz w:val="20"/>
                <w:szCs w:val="20"/>
              </w:rPr>
            </w:pPr>
            <w:r w:rsidRPr="00210CBD">
              <w:rPr>
                <w:rFonts w:asciiTheme="minorHAnsi" w:hAnsiTheme="minorHAnsi" w:cstheme="minorHAnsi"/>
                <w:color w:val="000000"/>
                <w:sz w:val="20"/>
                <w:szCs w:val="20"/>
              </w:rPr>
              <w:t>TAK</w:t>
            </w:r>
          </w:p>
        </w:tc>
        <w:tc>
          <w:tcPr>
            <w:tcW w:w="3864" w:type="dxa"/>
            <w:tcBorders>
              <w:top w:val="single" w:sz="4" w:space="0" w:color="auto"/>
              <w:left w:val="single" w:sz="4" w:space="0" w:color="auto"/>
              <w:bottom w:val="single" w:sz="4" w:space="0" w:color="auto"/>
              <w:right w:val="single" w:sz="4" w:space="0" w:color="auto"/>
            </w:tcBorders>
            <w:shd w:val="clear" w:color="auto" w:fill="FFFFFF"/>
            <w:vAlign w:val="center"/>
          </w:tcPr>
          <w:p w14:paraId="3713E375" w14:textId="77777777" w:rsidR="00210CBD" w:rsidRPr="00210CBD" w:rsidRDefault="00210CBD" w:rsidP="00210CBD">
            <w:pPr>
              <w:spacing w:after="0" w:line="276" w:lineRule="auto"/>
              <w:rPr>
                <w:rFonts w:asciiTheme="minorHAnsi" w:hAnsiTheme="minorHAnsi" w:cstheme="minorHAnsi"/>
                <w:sz w:val="20"/>
                <w:szCs w:val="20"/>
              </w:rPr>
            </w:pPr>
          </w:p>
        </w:tc>
      </w:tr>
    </w:tbl>
    <w:p w14:paraId="3D61BB08" w14:textId="38088030" w:rsidR="002964F5" w:rsidRPr="002859BD" w:rsidRDefault="002964F5" w:rsidP="002964F5">
      <w:pPr>
        <w:suppressAutoHyphens w:val="0"/>
        <w:spacing w:after="0" w:line="276" w:lineRule="auto"/>
        <w:rPr>
          <w:rFonts w:asciiTheme="minorHAnsi" w:eastAsia="Times New Roman" w:hAnsiTheme="minorHAnsi" w:cstheme="minorHAnsi"/>
          <w:b/>
          <w:sz w:val="20"/>
          <w:szCs w:val="20"/>
          <w:lang w:eastAsia="pl-PL"/>
        </w:rPr>
      </w:pPr>
    </w:p>
    <w:p w14:paraId="1C5B55F9" w14:textId="77777777" w:rsidR="002859BD" w:rsidRPr="002859BD" w:rsidRDefault="002859BD" w:rsidP="008346C1">
      <w:pPr>
        <w:suppressAutoHyphens w:val="0"/>
        <w:spacing w:line="240" w:lineRule="auto"/>
        <w:ind w:hanging="709"/>
        <w:rPr>
          <w:rFonts w:asciiTheme="minorHAnsi" w:eastAsia="Times New Roman" w:hAnsiTheme="minorHAnsi" w:cstheme="minorHAnsi"/>
          <w:b/>
          <w:sz w:val="20"/>
          <w:szCs w:val="20"/>
          <w:lang w:eastAsia="pl-PL"/>
        </w:rPr>
      </w:pPr>
      <w:r w:rsidRPr="002859BD">
        <w:rPr>
          <w:rFonts w:asciiTheme="minorHAnsi" w:eastAsia="Times New Roman" w:hAnsiTheme="minorHAnsi" w:cstheme="minorHAnsi"/>
          <w:b/>
          <w:sz w:val="20"/>
          <w:szCs w:val="20"/>
          <w:lang w:eastAsia="pl-PL"/>
        </w:rPr>
        <w:t>Kryteria oce</w:t>
      </w:r>
      <w:bookmarkStart w:id="0" w:name="_GoBack"/>
      <w:bookmarkEnd w:id="0"/>
      <w:r w:rsidRPr="002859BD">
        <w:rPr>
          <w:rFonts w:asciiTheme="minorHAnsi" w:eastAsia="Times New Roman" w:hAnsiTheme="minorHAnsi" w:cstheme="minorHAnsi"/>
          <w:b/>
          <w:sz w:val="20"/>
          <w:szCs w:val="20"/>
          <w:lang w:eastAsia="pl-PL"/>
        </w:rPr>
        <w:t>ny jakościowej</w:t>
      </w:r>
    </w:p>
    <w:tbl>
      <w:tblPr>
        <w:tblW w:w="15324" w:type="dxa"/>
        <w:tblInd w:w="-72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57" w:type="dxa"/>
          <w:left w:w="65" w:type="dxa"/>
          <w:bottom w:w="57" w:type="dxa"/>
          <w:right w:w="70" w:type="dxa"/>
        </w:tblCellMar>
        <w:tblLook w:val="04A0" w:firstRow="1" w:lastRow="0" w:firstColumn="1" w:lastColumn="0" w:noHBand="0" w:noVBand="1"/>
      </w:tblPr>
      <w:tblGrid>
        <w:gridCol w:w="418"/>
        <w:gridCol w:w="8669"/>
        <w:gridCol w:w="3685"/>
        <w:gridCol w:w="1262"/>
        <w:gridCol w:w="1290"/>
      </w:tblGrid>
      <w:tr w:rsidR="00210CBD" w:rsidRPr="00210CBD" w14:paraId="063140A0" w14:textId="77777777" w:rsidTr="009B3AA9">
        <w:trPr>
          <w:trHeight w:val="499"/>
        </w:trPr>
        <w:tc>
          <w:tcPr>
            <w:tcW w:w="418" w:type="dxa"/>
            <w:tcBorders>
              <w:top w:val="single" w:sz="4" w:space="0" w:color="auto"/>
              <w:left w:val="single" w:sz="4" w:space="0" w:color="auto"/>
              <w:bottom w:val="single" w:sz="4" w:space="0" w:color="auto"/>
              <w:right w:val="single" w:sz="4" w:space="0" w:color="auto"/>
            </w:tcBorders>
            <w:shd w:val="clear" w:color="auto" w:fill="BFBFBF"/>
            <w:tcMar>
              <w:left w:w="65" w:type="dxa"/>
            </w:tcMar>
            <w:vAlign w:val="center"/>
          </w:tcPr>
          <w:p w14:paraId="4BB4E7BC" w14:textId="77777777" w:rsidR="00210CBD" w:rsidRPr="00210CBD" w:rsidRDefault="00210CBD" w:rsidP="00210CBD">
            <w:pPr>
              <w:spacing w:after="0" w:line="276" w:lineRule="auto"/>
              <w:jc w:val="center"/>
              <w:rPr>
                <w:rFonts w:asciiTheme="minorHAnsi" w:hAnsiTheme="minorHAnsi" w:cstheme="minorHAnsi"/>
                <w:b/>
                <w:sz w:val="20"/>
                <w:szCs w:val="20"/>
              </w:rPr>
            </w:pPr>
            <w:r w:rsidRPr="00210CBD">
              <w:rPr>
                <w:rFonts w:asciiTheme="minorHAnsi" w:hAnsiTheme="minorHAnsi" w:cstheme="minorHAnsi"/>
                <w:b/>
                <w:sz w:val="20"/>
                <w:szCs w:val="20"/>
              </w:rPr>
              <w:t>lp.</w:t>
            </w:r>
          </w:p>
        </w:tc>
        <w:tc>
          <w:tcPr>
            <w:tcW w:w="8669" w:type="dxa"/>
            <w:tcBorders>
              <w:top w:val="single" w:sz="4" w:space="0" w:color="00000A"/>
              <w:left w:val="single" w:sz="4" w:space="0" w:color="auto"/>
              <w:bottom w:val="single" w:sz="4" w:space="0" w:color="00000A"/>
              <w:right w:val="single" w:sz="4" w:space="0" w:color="00000A"/>
            </w:tcBorders>
            <w:shd w:val="clear" w:color="auto" w:fill="BFBFBF"/>
            <w:tcMar>
              <w:left w:w="65" w:type="dxa"/>
            </w:tcMar>
            <w:vAlign w:val="center"/>
          </w:tcPr>
          <w:p w14:paraId="762AE811" w14:textId="77777777" w:rsidR="00210CBD" w:rsidRPr="00210CBD" w:rsidRDefault="00210CBD" w:rsidP="00210CBD">
            <w:pPr>
              <w:spacing w:after="0" w:line="276" w:lineRule="auto"/>
              <w:jc w:val="center"/>
              <w:rPr>
                <w:rFonts w:asciiTheme="minorHAnsi" w:hAnsiTheme="minorHAnsi" w:cstheme="minorHAnsi"/>
                <w:b/>
                <w:sz w:val="20"/>
                <w:szCs w:val="20"/>
              </w:rPr>
            </w:pPr>
            <w:r w:rsidRPr="00210CBD">
              <w:rPr>
                <w:rFonts w:asciiTheme="minorHAnsi" w:hAnsiTheme="minorHAnsi" w:cstheme="minorHAnsi"/>
                <w:b/>
                <w:sz w:val="20"/>
                <w:szCs w:val="20"/>
              </w:rPr>
              <w:t>PARAMETR OCENIANY</w:t>
            </w:r>
          </w:p>
        </w:tc>
        <w:tc>
          <w:tcPr>
            <w:tcW w:w="3685" w:type="dxa"/>
            <w:tcBorders>
              <w:top w:val="single" w:sz="4" w:space="0" w:color="00000A"/>
              <w:left w:val="single" w:sz="4" w:space="0" w:color="00000A"/>
              <w:bottom w:val="single" w:sz="4" w:space="0" w:color="00000A"/>
              <w:right w:val="single" w:sz="4" w:space="0" w:color="00000A"/>
            </w:tcBorders>
            <w:shd w:val="clear" w:color="auto" w:fill="BFBFBF"/>
            <w:tcMar>
              <w:left w:w="65" w:type="dxa"/>
            </w:tcMar>
            <w:vAlign w:val="center"/>
          </w:tcPr>
          <w:p w14:paraId="6715CD08" w14:textId="77777777" w:rsidR="00210CBD" w:rsidRPr="00210CBD" w:rsidRDefault="00210CBD" w:rsidP="00210CBD">
            <w:pPr>
              <w:spacing w:after="0" w:line="276" w:lineRule="auto"/>
              <w:jc w:val="center"/>
              <w:rPr>
                <w:rFonts w:asciiTheme="minorHAnsi" w:hAnsiTheme="minorHAnsi" w:cstheme="minorHAnsi"/>
                <w:b/>
                <w:sz w:val="20"/>
                <w:szCs w:val="20"/>
              </w:rPr>
            </w:pPr>
            <w:r w:rsidRPr="00210CBD">
              <w:rPr>
                <w:rFonts w:asciiTheme="minorHAnsi" w:hAnsiTheme="minorHAnsi" w:cstheme="minorHAnsi"/>
                <w:b/>
                <w:sz w:val="20"/>
                <w:szCs w:val="20"/>
              </w:rPr>
              <w:t>PUNKTACJA</w:t>
            </w:r>
          </w:p>
        </w:tc>
        <w:tc>
          <w:tcPr>
            <w:tcW w:w="2552" w:type="dxa"/>
            <w:gridSpan w:val="2"/>
            <w:tcBorders>
              <w:top w:val="single" w:sz="4" w:space="0" w:color="00000A"/>
              <w:left w:val="single" w:sz="4" w:space="0" w:color="00000A"/>
              <w:bottom w:val="single" w:sz="4" w:space="0" w:color="auto"/>
              <w:right w:val="single" w:sz="4" w:space="0" w:color="00000A"/>
            </w:tcBorders>
            <w:shd w:val="clear" w:color="auto" w:fill="BFBFBF"/>
            <w:tcMar>
              <w:left w:w="65" w:type="dxa"/>
            </w:tcMar>
            <w:vAlign w:val="center"/>
          </w:tcPr>
          <w:p w14:paraId="4A67ABA9" w14:textId="77777777" w:rsidR="00210CBD" w:rsidRPr="00210CBD" w:rsidRDefault="00210CBD" w:rsidP="00210CBD">
            <w:pPr>
              <w:spacing w:after="0" w:line="276" w:lineRule="auto"/>
              <w:jc w:val="center"/>
              <w:rPr>
                <w:rFonts w:asciiTheme="minorHAnsi" w:hAnsiTheme="minorHAnsi" w:cstheme="minorHAnsi"/>
                <w:b/>
                <w:sz w:val="20"/>
                <w:szCs w:val="20"/>
              </w:rPr>
            </w:pPr>
            <w:r w:rsidRPr="00210CBD">
              <w:rPr>
                <w:rFonts w:asciiTheme="minorHAnsi" w:hAnsiTheme="minorHAnsi" w:cstheme="minorHAnsi"/>
                <w:b/>
                <w:sz w:val="20"/>
                <w:szCs w:val="20"/>
              </w:rPr>
              <w:t xml:space="preserve">WARTOŚĆ OFEROWANA </w:t>
            </w:r>
            <w:r w:rsidRPr="00210CBD">
              <w:rPr>
                <w:rFonts w:asciiTheme="minorHAnsi" w:hAnsiTheme="minorHAnsi" w:cstheme="minorHAnsi"/>
                <w:b/>
                <w:sz w:val="20"/>
                <w:szCs w:val="20"/>
              </w:rPr>
              <w:br/>
              <w:t>i LICZBA PKT (WPISAĆ)</w:t>
            </w:r>
          </w:p>
        </w:tc>
      </w:tr>
      <w:tr w:rsidR="00210CBD" w:rsidRPr="00210CBD" w14:paraId="3A2FE22A" w14:textId="77777777" w:rsidTr="009B3AA9">
        <w:trPr>
          <w:trHeight w:val="397"/>
        </w:trPr>
        <w:tc>
          <w:tcPr>
            <w:tcW w:w="418" w:type="dxa"/>
            <w:tcBorders>
              <w:top w:val="single" w:sz="4" w:space="0" w:color="auto"/>
              <w:left w:val="single" w:sz="4" w:space="0" w:color="auto"/>
              <w:bottom w:val="single" w:sz="4" w:space="0" w:color="auto"/>
              <w:right w:val="single" w:sz="4" w:space="0" w:color="auto"/>
            </w:tcBorders>
            <w:shd w:val="clear" w:color="auto" w:fill="F2F2F2"/>
            <w:vAlign w:val="center"/>
          </w:tcPr>
          <w:p w14:paraId="2A88DF84" w14:textId="77777777" w:rsidR="00210CBD" w:rsidRPr="00210CBD" w:rsidRDefault="00210CBD" w:rsidP="00210CBD">
            <w:pPr>
              <w:spacing w:after="0" w:line="276" w:lineRule="auto"/>
              <w:jc w:val="center"/>
              <w:rPr>
                <w:rFonts w:asciiTheme="minorHAnsi" w:hAnsiTheme="minorHAnsi" w:cstheme="minorHAnsi"/>
                <w:sz w:val="20"/>
                <w:szCs w:val="20"/>
              </w:rPr>
            </w:pPr>
            <w:r w:rsidRPr="00210CBD">
              <w:rPr>
                <w:rFonts w:asciiTheme="minorHAnsi" w:hAnsiTheme="minorHAnsi" w:cstheme="minorHAnsi"/>
                <w:sz w:val="20"/>
                <w:szCs w:val="20"/>
              </w:rPr>
              <w:t>1</w:t>
            </w:r>
          </w:p>
        </w:tc>
        <w:tc>
          <w:tcPr>
            <w:tcW w:w="8669" w:type="dxa"/>
            <w:tcBorders>
              <w:top w:val="single" w:sz="4" w:space="0" w:color="000000"/>
              <w:left w:val="single" w:sz="4" w:space="0" w:color="000000"/>
              <w:bottom w:val="single" w:sz="4" w:space="0" w:color="000000"/>
              <w:right w:val="single" w:sz="4" w:space="0" w:color="000000"/>
            </w:tcBorders>
            <w:tcMar>
              <w:left w:w="69" w:type="dxa"/>
            </w:tcMar>
            <w:vAlign w:val="center"/>
          </w:tcPr>
          <w:p w14:paraId="5FF396E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Analiza EKG dostępna bezpośrednio w monitorze pacjenta, uwzględnia kryteria specyficzne dla danej płci i wieku oraz występowanie bólu w klatce piersiowej, wyposażona w narzędzie do niezależnej czasowo predykcji ostrego niedokrwienia serca (ACI-TIPI oraz ACS), umożliwia eksport pomiarów w jakości diagnostycznej (</w:t>
            </w:r>
            <w:proofErr w:type="spellStart"/>
            <w:r w:rsidRPr="00210CBD">
              <w:rPr>
                <w:rFonts w:asciiTheme="minorHAnsi" w:hAnsiTheme="minorHAnsi" w:cstheme="minorHAnsi"/>
                <w:sz w:val="20"/>
                <w:szCs w:val="20"/>
              </w:rPr>
              <w:t>raw</w:t>
            </w:r>
            <w:proofErr w:type="spellEnd"/>
            <w:r w:rsidRPr="00210CBD">
              <w:rPr>
                <w:rFonts w:asciiTheme="minorHAnsi" w:hAnsiTheme="minorHAnsi" w:cstheme="minorHAnsi"/>
                <w:sz w:val="20"/>
                <w:szCs w:val="20"/>
              </w:rPr>
              <w:t>-data) do zewnętrznego systemu analizy EKG tego samego producenta, umożliwiającego automatyczną i ręczną opisową analizę EKG, z możliwością wyświetlania historycznych raportów z analizy na ekranie kardiomonitora oraz raportów z seryjnej analizy porównawczej. Funkcja automatycznego uruchomienia analizy po przekroczeniu granicy alarmu odchylenia ST.</w:t>
            </w:r>
          </w:p>
        </w:tc>
        <w:tc>
          <w:tcPr>
            <w:tcW w:w="3685" w:type="dxa"/>
            <w:tcBorders>
              <w:top w:val="single" w:sz="4" w:space="0" w:color="000000"/>
              <w:left w:val="single" w:sz="4" w:space="0" w:color="000000"/>
              <w:bottom w:val="single" w:sz="4" w:space="0" w:color="000000"/>
              <w:right w:val="single" w:sz="4" w:space="0" w:color="000000"/>
            </w:tcBorders>
            <w:tcMar>
              <w:left w:w="65" w:type="dxa"/>
            </w:tcMar>
            <w:vAlign w:val="center"/>
          </w:tcPr>
          <w:p w14:paraId="1EF20958" w14:textId="40E9D5BE" w:rsidR="00210CBD" w:rsidRPr="00210CBD" w:rsidRDefault="008346C1" w:rsidP="00210CBD">
            <w:pPr>
              <w:spacing w:after="0" w:line="276" w:lineRule="auto"/>
              <w:jc w:val="center"/>
              <w:rPr>
                <w:rFonts w:asciiTheme="minorHAnsi" w:hAnsiTheme="minorHAnsi" w:cstheme="minorHAnsi"/>
                <w:sz w:val="20"/>
                <w:szCs w:val="20"/>
              </w:rPr>
            </w:pPr>
            <w:r>
              <w:rPr>
                <w:rFonts w:asciiTheme="minorHAnsi" w:hAnsiTheme="minorHAnsi" w:cstheme="minorHAnsi"/>
                <w:sz w:val="20"/>
                <w:szCs w:val="20"/>
              </w:rPr>
              <w:t>TAK – 10 pkt</w:t>
            </w:r>
          </w:p>
          <w:p w14:paraId="465D497D" w14:textId="7805F0DC" w:rsidR="00210CBD" w:rsidRPr="00210CBD" w:rsidRDefault="008346C1" w:rsidP="00210CBD">
            <w:pPr>
              <w:pStyle w:val="Default"/>
              <w:jc w:val="center"/>
              <w:rPr>
                <w:rFonts w:asciiTheme="minorHAnsi" w:eastAsia="Times New Roman" w:hAnsiTheme="minorHAnsi" w:cstheme="minorHAnsi"/>
                <w:color w:val="auto"/>
                <w:sz w:val="20"/>
                <w:szCs w:val="20"/>
              </w:rPr>
            </w:pPr>
            <w:r>
              <w:rPr>
                <w:rFonts w:asciiTheme="minorHAnsi" w:eastAsia="Times New Roman" w:hAnsiTheme="minorHAnsi" w:cstheme="minorHAnsi"/>
                <w:color w:val="auto"/>
                <w:sz w:val="20"/>
                <w:szCs w:val="20"/>
              </w:rPr>
              <w:t>NIE – 0 pkt</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3D9160F" w14:textId="77777777" w:rsidR="00210CBD" w:rsidRPr="00210CBD" w:rsidRDefault="00210CBD" w:rsidP="00210CBD">
            <w:pPr>
              <w:spacing w:after="0" w:line="276" w:lineRule="auto"/>
              <w:jc w:val="center"/>
              <w:rPr>
                <w:rFonts w:asciiTheme="minorHAnsi" w:hAnsiTheme="minorHAnsi" w:cstheme="minorHAnsi"/>
                <w:color w:val="FF0000"/>
                <w:sz w:val="20"/>
                <w:szCs w:val="20"/>
              </w:rPr>
            </w:pPr>
          </w:p>
        </w:tc>
      </w:tr>
      <w:tr w:rsidR="00210CBD" w:rsidRPr="00210CBD" w14:paraId="0CB1AADB" w14:textId="77777777" w:rsidTr="009B3AA9">
        <w:trPr>
          <w:trHeight w:val="397"/>
        </w:trPr>
        <w:tc>
          <w:tcPr>
            <w:tcW w:w="418" w:type="dxa"/>
            <w:tcBorders>
              <w:top w:val="single" w:sz="4" w:space="0" w:color="auto"/>
              <w:left w:val="single" w:sz="4" w:space="0" w:color="auto"/>
              <w:bottom w:val="single" w:sz="4" w:space="0" w:color="auto"/>
              <w:right w:val="single" w:sz="4" w:space="0" w:color="auto"/>
            </w:tcBorders>
            <w:shd w:val="clear" w:color="auto" w:fill="F2F2F2"/>
            <w:vAlign w:val="center"/>
          </w:tcPr>
          <w:p w14:paraId="5A043F3F" w14:textId="77777777" w:rsidR="00210CBD" w:rsidRPr="00210CBD" w:rsidRDefault="00210CBD" w:rsidP="00210CBD">
            <w:pPr>
              <w:spacing w:after="0" w:line="276" w:lineRule="auto"/>
              <w:jc w:val="center"/>
              <w:rPr>
                <w:rFonts w:asciiTheme="minorHAnsi" w:hAnsiTheme="minorHAnsi" w:cstheme="minorHAnsi"/>
                <w:sz w:val="20"/>
                <w:szCs w:val="20"/>
              </w:rPr>
            </w:pPr>
            <w:r w:rsidRPr="00210CBD">
              <w:rPr>
                <w:rFonts w:asciiTheme="minorHAnsi" w:hAnsiTheme="minorHAnsi" w:cstheme="minorHAnsi"/>
                <w:sz w:val="20"/>
                <w:szCs w:val="20"/>
              </w:rPr>
              <w:t>2</w:t>
            </w:r>
          </w:p>
        </w:tc>
        <w:tc>
          <w:tcPr>
            <w:tcW w:w="8669" w:type="dxa"/>
            <w:tcBorders>
              <w:top w:val="single" w:sz="4" w:space="0" w:color="000000"/>
              <w:left w:val="single" w:sz="4" w:space="0" w:color="000000"/>
              <w:bottom w:val="single" w:sz="4" w:space="0" w:color="000000"/>
              <w:right w:val="single" w:sz="4" w:space="0" w:color="000000"/>
            </w:tcBorders>
            <w:vAlign w:val="center"/>
          </w:tcPr>
          <w:p w14:paraId="6FFB337E"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Algorytm pomiarowy wykorzystuje dwutubowy systemem wężyków i mankietów, schodkową deflację, odporny na zakłócenia, artefakty i niemiarową akcję serca, skraca czas pomiarów przez antycypowanie wyniku pomiaru i odpowiednie, automatyczne dostosowanie wstępnego ciśnienia pompowania mankietu do ostatnio zmierzonych wartości ciśnienia</w:t>
            </w:r>
          </w:p>
        </w:tc>
        <w:tc>
          <w:tcPr>
            <w:tcW w:w="3685" w:type="dxa"/>
            <w:tcBorders>
              <w:top w:val="single" w:sz="4" w:space="0" w:color="000000"/>
              <w:left w:val="single" w:sz="4" w:space="0" w:color="000000"/>
              <w:bottom w:val="single" w:sz="4" w:space="0" w:color="000000"/>
              <w:right w:val="single" w:sz="4" w:space="0" w:color="000000"/>
            </w:tcBorders>
            <w:vAlign w:val="center"/>
          </w:tcPr>
          <w:p w14:paraId="12F3604A" w14:textId="3F8ECC93" w:rsidR="00210CBD" w:rsidRPr="00210CBD" w:rsidRDefault="008346C1" w:rsidP="00210CBD">
            <w:pPr>
              <w:spacing w:after="0" w:line="276" w:lineRule="auto"/>
              <w:jc w:val="center"/>
              <w:rPr>
                <w:rFonts w:asciiTheme="minorHAnsi" w:hAnsiTheme="minorHAnsi" w:cstheme="minorHAnsi"/>
                <w:sz w:val="20"/>
                <w:szCs w:val="20"/>
              </w:rPr>
            </w:pPr>
            <w:r>
              <w:rPr>
                <w:rFonts w:asciiTheme="minorHAnsi" w:hAnsiTheme="minorHAnsi" w:cstheme="minorHAnsi"/>
                <w:sz w:val="20"/>
                <w:szCs w:val="20"/>
              </w:rPr>
              <w:t>TAK – 10 pkt</w:t>
            </w:r>
          </w:p>
          <w:p w14:paraId="1DC19F92" w14:textId="391DC1E3" w:rsidR="00210CBD" w:rsidRPr="00210CBD" w:rsidRDefault="008346C1" w:rsidP="00210CBD">
            <w:pPr>
              <w:pStyle w:val="Default"/>
              <w:jc w:val="center"/>
              <w:rPr>
                <w:rFonts w:asciiTheme="minorHAnsi" w:eastAsia="Times New Roman" w:hAnsiTheme="minorHAnsi" w:cstheme="minorHAnsi"/>
                <w:color w:val="auto"/>
                <w:sz w:val="20"/>
                <w:szCs w:val="20"/>
              </w:rPr>
            </w:pPr>
            <w:r>
              <w:rPr>
                <w:rFonts w:asciiTheme="minorHAnsi" w:eastAsia="Times New Roman" w:hAnsiTheme="minorHAnsi" w:cstheme="minorHAnsi"/>
                <w:color w:val="auto"/>
                <w:sz w:val="20"/>
                <w:szCs w:val="20"/>
              </w:rPr>
              <w:t>NIE – 0 pkt</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8136FB8" w14:textId="77777777" w:rsidR="00210CBD" w:rsidRPr="00210CBD" w:rsidRDefault="00210CBD" w:rsidP="00210CBD">
            <w:pPr>
              <w:spacing w:after="0" w:line="276" w:lineRule="auto"/>
              <w:jc w:val="center"/>
              <w:rPr>
                <w:rFonts w:asciiTheme="minorHAnsi" w:hAnsiTheme="minorHAnsi" w:cstheme="minorHAnsi"/>
                <w:color w:val="FF0000"/>
                <w:sz w:val="20"/>
                <w:szCs w:val="20"/>
              </w:rPr>
            </w:pPr>
          </w:p>
        </w:tc>
      </w:tr>
      <w:tr w:rsidR="00210CBD" w:rsidRPr="00210CBD" w14:paraId="364F4566" w14:textId="77777777" w:rsidTr="009B3AA9">
        <w:trPr>
          <w:trHeight w:val="454"/>
        </w:trPr>
        <w:tc>
          <w:tcPr>
            <w:tcW w:w="418" w:type="dxa"/>
            <w:tcBorders>
              <w:top w:val="single" w:sz="4" w:space="0" w:color="auto"/>
              <w:left w:val="single" w:sz="4" w:space="0" w:color="000001"/>
              <w:bottom w:val="single" w:sz="4" w:space="0" w:color="auto"/>
              <w:right w:val="nil"/>
            </w:tcBorders>
            <w:shd w:val="clear" w:color="auto" w:fill="F2F2F2"/>
            <w:tcMar>
              <w:left w:w="65" w:type="dxa"/>
            </w:tcMar>
            <w:vAlign w:val="center"/>
          </w:tcPr>
          <w:p w14:paraId="16F45234" w14:textId="77777777" w:rsidR="00210CBD" w:rsidRPr="00210CBD" w:rsidRDefault="00210CBD" w:rsidP="00210CBD">
            <w:pPr>
              <w:spacing w:after="0" w:line="276" w:lineRule="auto"/>
              <w:jc w:val="center"/>
              <w:rPr>
                <w:rFonts w:asciiTheme="minorHAnsi" w:hAnsiTheme="minorHAnsi" w:cstheme="minorHAnsi"/>
                <w:sz w:val="20"/>
                <w:szCs w:val="20"/>
              </w:rPr>
            </w:pPr>
            <w:r w:rsidRPr="00210CBD">
              <w:rPr>
                <w:rFonts w:asciiTheme="minorHAnsi" w:hAnsiTheme="minorHAnsi" w:cstheme="minorHAnsi"/>
                <w:sz w:val="20"/>
                <w:szCs w:val="20"/>
              </w:rPr>
              <w:t>3</w:t>
            </w:r>
          </w:p>
        </w:tc>
        <w:tc>
          <w:tcPr>
            <w:tcW w:w="8669" w:type="dxa"/>
            <w:tcBorders>
              <w:top w:val="single" w:sz="4" w:space="0" w:color="000000"/>
              <w:left w:val="single" w:sz="4" w:space="0" w:color="000000"/>
              <w:bottom w:val="single" w:sz="4" w:space="0" w:color="000000"/>
            </w:tcBorders>
            <w:shd w:val="clear" w:color="auto" w:fill="auto"/>
            <w:tcMar>
              <w:left w:w="65" w:type="dxa"/>
            </w:tcMar>
            <w:vAlign w:val="center"/>
          </w:tcPr>
          <w:p w14:paraId="360242AC" w14:textId="77777777" w:rsidR="00210CBD" w:rsidRPr="00210CBD"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Mankiety dla pacjentów otyłych stożkowe, dedykowane i walidowane do pomiaru na przedramieniu</w:t>
            </w:r>
          </w:p>
        </w:tc>
        <w:tc>
          <w:tcPr>
            <w:tcW w:w="3685" w:type="dxa"/>
            <w:tcBorders>
              <w:top w:val="single" w:sz="4" w:space="0" w:color="000000"/>
              <w:left w:val="single" w:sz="4" w:space="0" w:color="000000"/>
              <w:bottom w:val="single" w:sz="4" w:space="0" w:color="000000"/>
              <w:right w:val="single" w:sz="4" w:space="0" w:color="000000"/>
            </w:tcBorders>
            <w:vAlign w:val="center"/>
          </w:tcPr>
          <w:p w14:paraId="0FC499A7" w14:textId="7CDBB430" w:rsidR="00210CBD" w:rsidRPr="00210CBD" w:rsidRDefault="008346C1" w:rsidP="00210CBD">
            <w:pPr>
              <w:spacing w:after="0" w:line="276" w:lineRule="auto"/>
              <w:jc w:val="center"/>
              <w:rPr>
                <w:rFonts w:asciiTheme="minorHAnsi" w:hAnsiTheme="minorHAnsi" w:cstheme="minorHAnsi"/>
                <w:sz w:val="20"/>
                <w:szCs w:val="20"/>
              </w:rPr>
            </w:pPr>
            <w:r>
              <w:rPr>
                <w:rFonts w:asciiTheme="minorHAnsi" w:hAnsiTheme="minorHAnsi" w:cstheme="minorHAnsi"/>
                <w:sz w:val="20"/>
                <w:szCs w:val="20"/>
              </w:rPr>
              <w:t>TAK – 10 pkt</w:t>
            </w:r>
          </w:p>
          <w:p w14:paraId="044754FE" w14:textId="71E6218C" w:rsidR="00210CBD" w:rsidRPr="00210CBD" w:rsidRDefault="008346C1" w:rsidP="00210CBD">
            <w:pPr>
              <w:pStyle w:val="Default"/>
              <w:jc w:val="center"/>
              <w:rPr>
                <w:rFonts w:asciiTheme="minorHAnsi" w:eastAsia="Times New Roman" w:hAnsiTheme="minorHAnsi" w:cstheme="minorHAnsi"/>
                <w:color w:val="auto"/>
                <w:sz w:val="20"/>
                <w:szCs w:val="20"/>
              </w:rPr>
            </w:pPr>
            <w:r>
              <w:rPr>
                <w:rFonts w:asciiTheme="minorHAnsi" w:eastAsia="Times New Roman" w:hAnsiTheme="minorHAnsi" w:cstheme="minorHAnsi"/>
                <w:color w:val="auto"/>
                <w:sz w:val="20"/>
                <w:szCs w:val="20"/>
              </w:rPr>
              <w:t>NIE – 0 pkt</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F944607" w14:textId="77777777" w:rsidR="00210CBD" w:rsidRPr="00210CBD" w:rsidRDefault="00210CBD" w:rsidP="00210CBD">
            <w:pPr>
              <w:spacing w:after="0" w:line="276" w:lineRule="auto"/>
              <w:jc w:val="center"/>
              <w:rPr>
                <w:rFonts w:asciiTheme="minorHAnsi" w:hAnsiTheme="minorHAnsi" w:cstheme="minorHAnsi"/>
                <w:color w:val="FF0000"/>
                <w:sz w:val="20"/>
                <w:szCs w:val="20"/>
              </w:rPr>
            </w:pPr>
          </w:p>
        </w:tc>
      </w:tr>
      <w:tr w:rsidR="00210CBD" w:rsidRPr="00210CBD" w14:paraId="40BEA6B6" w14:textId="77777777" w:rsidTr="009B3AA9">
        <w:trPr>
          <w:trHeight w:val="454"/>
        </w:trPr>
        <w:tc>
          <w:tcPr>
            <w:tcW w:w="418" w:type="dxa"/>
            <w:tcBorders>
              <w:top w:val="single" w:sz="4" w:space="0" w:color="auto"/>
              <w:left w:val="single" w:sz="4" w:space="0" w:color="000001"/>
              <w:bottom w:val="single" w:sz="4" w:space="0" w:color="auto"/>
              <w:right w:val="nil"/>
            </w:tcBorders>
            <w:shd w:val="clear" w:color="auto" w:fill="F2F2F2"/>
            <w:tcMar>
              <w:left w:w="65" w:type="dxa"/>
            </w:tcMar>
            <w:vAlign w:val="center"/>
          </w:tcPr>
          <w:p w14:paraId="1A261F24" w14:textId="77777777" w:rsidR="00210CBD" w:rsidRPr="00210CBD" w:rsidRDefault="00210CBD" w:rsidP="00210CBD">
            <w:pPr>
              <w:spacing w:after="0" w:line="276" w:lineRule="auto"/>
              <w:jc w:val="center"/>
              <w:rPr>
                <w:rFonts w:asciiTheme="minorHAnsi" w:hAnsiTheme="minorHAnsi" w:cstheme="minorHAnsi"/>
                <w:sz w:val="20"/>
                <w:szCs w:val="20"/>
              </w:rPr>
            </w:pPr>
            <w:r w:rsidRPr="00210CBD">
              <w:rPr>
                <w:rFonts w:asciiTheme="minorHAnsi" w:hAnsiTheme="minorHAnsi" w:cstheme="minorHAnsi"/>
                <w:sz w:val="20"/>
                <w:szCs w:val="20"/>
              </w:rPr>
              <w:t>4</w:t>
            </w:r>
          </w:p>
        </w:tc>
        <w:tc>
          <w:tcPr>
            <w:tcW w:w="8669" w:type="dxa"/>
            <w:tcBorders>
              <w:top w:val="single" w:sz="4" w:space="0" w:color="000000"/>
              <w:left w:val="single" w:sz="4" w:space="0" w:color="000000"/>
              <w:bottom w:val="single" w:sz="4" w:space="0" w:color="000000"/>
            </w:tcBorders>
            <w:shd w:val="clear" w:color="auto" w:fill="auto"/>
            <w:tcMar>
              <w:left w:w="65" w:type="dxa"/>
            </w:tcMar>
            <w:vAlign w:val="center"/>
          </w:tcPr>
          <w:p w14:paraId="70CDC8F5" w14:textId="4AA019C8" w:rsidR="00210CBD" w:rsidRPr="0091342B" w:rsidRDefault="00210CBD" w:rsidP="00210CBD">
            <w:pPr>
              <w:spacing w:after="0" w:line="276" w:lineRule="auto"/>
              <w:rPr>
                <w:rFonts w:asciiTheme="minorHAnsi" w:hAnsiTheme="minorHAnsi" w:cstheme="minorHAnsi"/>
                <w:sz w:val="20"/>
                <w:szCs w:val="20"/>
              </w:rPr>
            </w:pPr>
            <w:r w:rsidRPr="00210CBD">
              <w:rPr>
                <w:rFonts w:asciiTheme="minorHAnsi" w:hAnsiTheme="minorHAnsi" w:cstheme="minorHAnsi"/>
                <w:sz w:val="20"/>
                <w:szCs w:val="20"/>
              </w:rPr>
              <w:t>Okres gwarancji min. 24 miesiące od daty podpisania „Protokołu instalacji i</w:t>
            </w:r>
            <w:r w:rsidR="0091342B">
              <w:rPr>
                <w:rFonts w:asciiTheme="minorHAnsi" w:hAnsiTheme="minorHAnsi" w:cstheme="minorHAnsi"/>
                <w:sz w:val="20"/>
                <w:szCs w:val="20"/>
              </w:rPr>
              <w:t xml:space="preserve"> </w:t>
            </w:r>
            <w:r w:rsidRPr="00210CBD">
              <w:rPr>
                <w:rFonts w:asciiTheme="minorHAnsi" w:hAnsiTheme="minorHAnsi" w:cstheme="minorHAnsi"/>
                <w:sz w:val="20"/>
                <w:szCs w:val="20"/>
              </w:rPr>
              <w:t>szkolenie”.</w:t>
            </w:r>
          </w:p>
        </w:tc>
        <w:tc>
          <w:tcPr>
            <w:tcW w:w="3685" w:type="dxa"/>
            <w:tcBorders>
              <w:top w:val="single" w:sz="4" w:space="0" w:color="000000"/>
              <w:left w:val="single" w:sz="4" w:space="0" w:color="000000"/>
              <w:bottom w:val="single" w:sz="4" w:space="0" w:color="000000"/>
              <w:right w:val="single" w:sz="4" w:space="0" w:color="000000"/>
            </w:tcBorders>
            <w:vAlign w:val="center"/>
          </w:tcPr>
          <w:p w14:paraId="21A35EE9" w14:textId="77777777" w:rsidR="00210CBD" w:rsidRPr="00210CBD" w:rsidRDefault="00210CBD" w:rsidP="00210CBD">
            <w:pPr>
              <w:spacing w:after="0" w:line="276" w:lineRule="auto"/>
              <w:jc w:val="center"/>
              <w:rPr>
                <w:rFonts w:asciiTheme="minorHAnsi" w:hAnsiTheme="minorHAnsi" w:cstheme="minorHAnsi"/>
                <w:sz w:val="20"/>
                <w:szCs w:val="20"/>
              </w:rPr>
            </w:pPr>
            <w:r w:rsidRPr="00210CBD">
              <w:rPr>
                <w:rFonts w:asciiTheme="minorHAnsi" w:hAnsiTheme="minorHAnsi" w:cstheme="minorHAnsi"/>
                <w:sz w:val="20"/>
                <w:szCs w:val="20"/>
              </w:rPr>
              <w:t>= 24 miesiące = 0 pkt</w:t>
            </w:r>
          </w:p>
          <w:p w14:paraId="137CC685" w14:textId="77777777" w:rsidR="00210CBD" w:rsidRPr="00210CBD" w:rsidRDefault="00210CBD" w:rsidP="00210CBD">
            <w:pPr>
              <w:spacing w:after="0" w:line="276" w:lineRule="auto"/>
              <w:jc w:val="center"/>
              <w:rPr>
                <w:rFonts w:asciiTheme="minorHAnsi" w:hAnsiTheme="minorHAnsi" w:cstheme="minorHAnsi"/>
                <w:sz w:val="20"/>
                <w:szCs w:val="20"/>
              </w:rPr>
            </w:pPr>
            <w:r w:rsidRPr="00210CBD">
              <w:rPr>
                <w:rFonts w:asciiTheme="minorHAnsi" w:hAnsiTheme="minorHAnsi" w:cstheme="minorHAnsi"/>
                <w:sz w:val="20"/>
                <w:szCs w:val="20"/>
              </w:rPr>
              <w:t>Pomiędzy 25 a 36 miesięcy = 5 pkt</w:t>
            </w:r>
          </w:p>
          <w:p w14:paraId="34D8A6CC" w14:textId="77777777" w:rsidR="00210CBD" w:rsidRPr="00210CBD" w:rsidRDefault="00210CBD" w:rsidP="00210CBD">
            <w:pPr>
              <w:spacing w:after="0" w:line="276" w:lineRule="auto"/>
              <w:jc w:val="center"/>
              <w:rPr>
                <w:rFonts w:asciiTheme="minorHAnsi" w:hAnsiTheme="minorHAnsi" w:cstheme="minorHAnsi"/>
                <w:sz w:val="20"/>
                <w:szCs w:val="20"/>
              </w:rPr>
            </w:pPr>
            <w:r w:rsidRPr="00210CBD">
              <w:rPr>
                <w:rFonts w:asciiTheme="minorHAnsi" w:hAnsiTheme="minorHAnsi" w:cstheme="minorHAnsi"/>
                <w:sz w:val="20"/>
                <w:szCs w:val="20"/>
              </w:rPr>
              <w:t>Powyżej 36 miesięcy = 10 pkt</w:t>
            </w:r>
          </w:p>
          <w:p w14:paraId="7683A8B6" w14:textId="77777777" w:rsidR="00210CBD" w:rsidRPr="00210CBD" w:rsidRDefault="00210CBD" w:rsidP="00210CBD">
            <w:pPr>
              <w:spacing w:after="0" w:line="276" w:lineRule="auto"/>
              <w:jc w:val="center"/>
              <w:rPr>
                <w:rFonts w:asciiTheme="minorHAnsi" w:hAnsiTheme="minorHAnsi" w:cstheme="minorHAnsi"/>
                <w:sz w:val="20"/>
                <w:szCs w:val="20"/>
              </w:rPr>
            </w:pPr>
            <w:r w:rsidRPr="00210CBD">
              <w:rPr>
                <w:rFonts w:asciiTheme="minorHAnsi" w:hAnsiTheme="minorHAnsi" w:cstheme="minorHAnsi"/>
                <w:sz w:val="20"/>
                <w:szCs w:val="20"/>
              </w:rPr>
              <w:t>Wykonawca poda:….…….</w:t>
            </w:r>
          </w:p>
          <w:p w14:paraId="33EC4EB2" w14:textId="77777777" w:rsidR="00210CBD" w:rsidRPr="00210CBD" w:rsidRDefault="00210CBD" w:rsidP="00210CBD">
            <w:pPr>
              <w:spacing w:after="0" w:line="276" w:lineRule="auto"/>
              <w:jc w:val="center"/>
              <w:rPr>
                <w:rFonts w:asciiTheme="minorHAnsi" w:hAnsiTheme="minorHAnsi" w:cstheme="minorHAnsi"/>
                <w:sz w:val="20"/>
                <w:szCs w:val="20"/>
              </w:rPr>
            </w:pPr>
            <w:r w:rsidRPr="00210CBD">
              <w:rPr>
                <w:rFonts w:asciiTheme="minorHAnsi" w:hAnsiTheme="minorHAnsi" w:cstheme="minorHAnsi"/>
                <w:sz w:val="20"/>
                <w:szCs w:val="20"/>
              </w:rPr>
              <w:lastRenderedPageBreak/>
              <w:t>W przypadku braku informacji o gwarancji Zamawiający przyjmuje min 24 miesiące</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B93D0D1" w14:textId="77777777" w:rsidR="00210CBD" w:rsidRPr="00210CBD" w:rsidRDefault="00210CBD" w:rsidP="00210CBD">
            <w:pPr>
              <w:spacing w:after="0" w:line="276" w:lineRule="auto"/>
              <w:jc w:val="center"/>
              <w:rPr>
                <w:rFonts w:asciiTheme="minorHAnsi" w:hAnsiTheme="minorHAnsi" w:cstheme="minorHAnsi"/>
                <w:color w:val="FF0000"/>
                <w:sz w:val="20"/>
                <w:szCs w:val="20"/>
              </w:rPr>
            </w:pPr>
          </w:p>
        </w:tc>
      </w:tr>
      <w:tr w:rsidR="00210CBD" w:rsidRPr="00210CBD" w14:paraId="705FFD73" w14:textId="77777777" w:rsidTr="009B3AA9">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bottom w:w="0" w:type="dxa"/>
          </w:tblCellMar>
          <w:tblLook w:val="0000" w:firstRow="0" w:lastRow="0" w:firstColumn="0" w:lastColumn="0" w:noHBand="0" w:noVBand="0"/>
        </w:tblPrEx>
        <w:trPr>
          <w:gridBefore w:val="3"/>
          <w:wBefore w:w="12772" w:type="dxa"/>
          <w:trHeight w:val="377"/>
        </w:trPr>
        <w:tc>
          <w:tcPr>
            <w:tcW w:w="1262" w:type="dxa"/>
            <w:tcBorders>
              <w:top w:val="single" w:sz="4" w:space="0" w:color="auto"/>
              <w:left w:val="single" w:sz="4" w:space="0" w:color="auto"/>
              <w:bottom w:val="single" w:sz="4" w:space="0" w:color="auto"/>
              <w:right w:val="single" w:sz="4" w:space="0" w:color="auto"/>
            </w:tcBorders>
            <w:vAlign w:val="center"/>
          </w:tcPr>
          <w:p w14:paraId="6D0E6437" w14:textId="77777777" w:rsidR="00210CBD" w:rsidRPr="00210CBD" w:rsidRDefault="00210CBD" w:rsidP="00210CBD">
            <w:pPr>
              <w:spacing w:after="0"/>
              <w:jc w:val="right"/>
              <w:rPr>
                <w:rFonts w:asciiTheme="minorHAnsi" w:hAnsiTheme="minorHAnsi" w:cstheme="minorHAnsi"/>
                <w:b/>
                <w:sz w:val="20"/>
                <w:szCs w:val="20"/>
              </w:rPr>
            </w:pPr>
            <w:r w:rsidRPr="00210CBD">
              <w:rPr>
                <w:rFonts w:asciiTheme="minorHAnsi" w:hAnsiTheme="minorHAnsi" w:cstheme="minorHAnsi"/>
                <w:b/>
                <w:sz w:val="20"/>
                <w:szCs w:val="20"/>
              </w:rPr>
              <w:lastRenderedPageBreak/>
              <w:t>ŁĄCZNIE:</w:t>
            </w:r>
          </w:p>
        </w:tc>
        <w:tc>
          <w:tcPr>
            <w:tcW w:w="1290" w:type="dxa"/>
            <w:tcBorders>
              <w:top w:val="single" w:sz="4" w:space="0" w:color="auto"/>
              <w:left w:val="single" w:sz="4" w:space="0" w:color="auto"/>
              <w:bottom w:val="single" w:sz="4" w:space="0" w:color="auto"/>
              <w:right w:val="single" w:sz="4" w:space="0" w:color="auto"/>
            </w:tcBorders>
            <w:vAlign w:val="center"/>
          </w:tcPr>
          <w:p w14:paraId="5C27727D" w14:textId="77777777" w:rsidR="00210CBD" w:rsidRPr="00210CBD" w:rsidRDefault="00210CBD" w:rsidP="00210CBD">
            <w:pPr>
              <w:spacing w:after="0"/>
              <w:jc w:val="center"/>
              <w:rPr>
                <w:rFonts w:asciiTheme="minorHAnsi" w:hAnsiTheme="minorHAnsi" w:cstheme="minorHAnsi"/>
                <w:b/>
                <w:sz w:val="20"/>
                <w:szCs w:val="20"/>
              </w:rPr>
            </w:pPr>
          </w:p>
        </w:tc>
      </w:tr>
    </w:tbl>
    <w:p w14:paraId="1F9458A3" w14:textId="36E00093" w:rsidR="0019196D" w:rsidRPr="00061423" w:rsidRDefault="0019196D" w:rsidP="008346C1">
      <w:pPr>
        <w:tabs>
          <w:tab w:val="left" w:pos="12030"/>
        </w:tabs>
        <w:spacing w:after="0" w:line="240" w:lineRule="auto"/>
        <w:rPr>
          <w:rFonts w:asciiTheme="minorHAnsi" w:eastAsia="Times New Roman" w:hAnsiTheme="minorHAnsi" w:cstheme="minorHAnsi"/>
          <w:sz w:val="20"/>
          <w:szCs w:val="20"/>
          <w:lang w:eastAsia="pl-PL"/>
        </w:rPr>
      </w:pPr>
    </w:p>
    <w:sectPr w:rsidR="0019196D" w:rsidRPr="00061423" w:rsidSect="00061423">
      <w:headerReference w:type="default" r:id="rId8"/>
      <w:footerReference w:type="default" r:id="rId9"/>
      <w:pgSz w:w="16838" w:h="11906" w:orient="landscape"/>
      <w:pgMar w:top="1911" w:right="1418" w:bottom="1418" w:left="1418" w:header="709" w:footer="709" w:gutter="0"/>
      <w:cols w:space="708"/>
      <w:formProt w:val="0"/>
      <w:docGrid w:linePitch="360" w:charSpace="-204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CB8A41" w16cid:durableId="2A2F96E0"/>
  <w16cid:commentId w16cid:paraId="61A1FF07" w16cid:durableId="2A2F9712"/>
  <w16cid:commentId w16cid:paraId="402951D3" w16cid:durableId="2A2F973A"/>
  <w16cid:commentId w16cid:paraId="322ECA50" w16cid:durableId="2A2F974F"/>
  <w16cid:commentId w16cid:paraId="13F432AF" w16cid:durableId="2A2F976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C36DF" w14:textId="77777777" w:rsidR="00B86BE1" w:rsidRDefault="00B86BE1" w:rsidP="007E5A5D">
      <w:pPr>
        <w:spacing w:after="0" w:line="240" w:lineRule="auto"/>
      </w:pPr>
      <w:r>
        <w:separator/>
      </w:r>
    </w:p>
  </w:endnote>
  <w:endnote w:type="continuationSeparator" w:id="0">
    <w:p w14:paraId="170CFC6E" w14:textId="77777777" w:rsidR="00B86BE1" w:rsidRDefault="00B86BE1" w:rsidP="007E5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Droid Sans Fallback">
    <w:altName w:val="Segoe UI"/>
    <w:charset w:val="00"/>
    <w:family w:val="roman"/>
    <w:pitch w:val="default"/>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2501542"/>
      <w:docPartObj>
        <w:docPartGallery w:val="Page Numbers (Bottom of Page)"/>
        <w:docPartUnique/>
      </w:docPartObj>
    </w:sdtPr>
    <w:sdtEndPr/>
    <w:sdtContent>
      <w:sdt>
        <w:sdtPr>
          <w:id w:val="517357263"/>
          <w:docPartObj>
            <w:docPartGallery w:val="Page Numbers (Top of Page)"/>
            <w:docPartUnique/>
          </w:docPartObj>
        </w:sdtPr>
        <w:sdtEndPr/>
        <w:sdtContent>
          <w:p w14:paraId="436E341B" w14:textId="77777777" w:rsidR="00061423" w:rsidRDefault="00061423" w:rsidP="005F3646">
            <w:pPr>
              <w:pStyle w:val="Stopka"/>
              <w:jc w:val="center"/>
            </w:pPr>
          </w:p>
          <w:p w14:paraId="00B711D5" w14:textId="2CA1F183" w:rsidR="002964F5" w:rsidRDefault="002964F5" w:rsidP="00061423">
            <w:pPr>
              <w:pStyle w:val="Stopka"/>
              <w:jc w:val="center"/>
            </w:pPr>
            <w:r w:rsidRPr="005F3646">
              <w:t xml:space="preserve">Strona </w:t>
            </w:r>
            <w:r w:rsidRPr="005F3646">
              <w:rPr>
                <w:bCs/>
                <w:sz w:val="24"/>
                <w:szCs w:val="24"/>
              </w:rPr>
              <w:fldChar w:fldCharType="begin"/>
            </w:r>
            <w:r w:rsidRPr="005F3646">
              <w:rPr>
                <w:bCs/>
              </w:rPr>
              <w:instrText>PAGE</w:instrText>
            </w:r>
            <w:r w:rsidRPr="005F3646">
              <w:rPr>
                <w:bCs/>
                <w:sz w:val="24"/>
                <w:szCs w:val="24"/>
              </w:rPr>
              <w:fldChar w:fldCharType="separate"/>
            </w:r>
            <w:r w:rsidR="008346C1">
              <w:rPr>
                <w:bCs/>
                <w:noProof/>
              </w:rPr>
              <w:t>2</w:t>
            </w:r>
            <w:r w:rsidRPr="005F3646">
              <w:rPr>
                <w:bCs/>
                <w:sz w:val="24"/>
                <w:szCs w:val="24"/>
              </w:rPr>
              <w:fldChar w:fldCharType="end"/>
            </w:r>
            <w:r w:rsidRPr="005F3646">
              <w:t xml:space="preserve"> z </w:t>
            </w:r>
            <w:r w:rsidRPr="005F3646">
              <w:rPr>
                <w:bCs/>
                <w:sz w:val="24"/>
                <w:szCs w:val="24"/>
              </w:rPr>
              <w:fldChar w:fldCharType="begin"/>
            </w:r>
            <w:r w:rsidRPr="005F3646">
              <w:rPr>
                <w:bCs/>
              </w:rPr>
              <w:instrText>NUMPAGES</w:instrText>
            </w:r>
            <w:r w:rsidRPr="005F3646">
              <w:rPr>
                <w:bCs/>
                <w:sz w:val="24"/>
                <w:szCs w:val="24"/>
              </w:rPr>
              <w:fldChar w:fldCharType="separate"/>
            </w:r>
            <w:r w:rsidR="008346C1">
              <w:rPr>
                <w:bCs/>
                <w:noProof/>
              </w:rPr>
              <w:t>17</w:t>
            </w:r>
            <w:r w:rsidRPr="005F3646">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B5701" w14:textId="77777777" w:rsidR="00B86BE1" w:rsidRDefault="00B86BE1" w:rsidP="007E5A5D">
      <w:pPr>
        <w:spacing w:after="0" w:line="240" w:lineRule="auto"/>
      </w:pPr>
      <w:r>
        <w:separator/>
      </w:r>
    </w:p>
  </w:footnote>
  <w:footnote w:type="continuationSeparator" w:id="0">
    <w:p w14:paraId="247A5142" w14:textId="77777777" w:rsidR="00B86BE1" w:rsidRDefault="00B86BE1" w:rsidP="007E5A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929D8" w14:textId="2A81B5A0" w:rsidR="002964F5" w:rsidRDefault="002964F5" w:rsidP="00061423">
    <w:pPr>
      <w:jc w:val="center"/>
    </w:pPr>
  </w:p>
  <w:p w14:paraId="4ECF9DBF" w14:textId="35EEE4F6" w:rsidR="00061423" w:rsidRDefault="00210CBD" w:rsidP="00061423">
    <w:pPr>
      <w:jc w:val="right"/>
    </w:pPr>
    <w:r>
      <w:t>Znak sprawy: DZP/105</w:t>
    </w:r>
    <w:r w:rsidR="000F7FD1" w:rsidRPr="000F7FD1">
      <w:t>/2026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0"/>
        </w:tabs>
        <w:ind w:left="170" w:hanging="17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23725A0"/>
    <w:multiLevelType w:val="hybridMultilevel"/>
    <w:tmpl w:val="C4B61720"/>
    <w:lvl w:ilvl="0" w:tplc="04150017">
      <w:start w:val="1"/>
      <w:numFmt w:val="lowerLetter"/>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9147541"/>
    <w:multiLevelType w:val="multilevel"/>
    <w:tmpl w:val="D1764E60"/>
    <w:lvl w:ilvl="0">
      <w:start w:val="1"/>
      <w:numFmt w:val="decimal"/>
      <w:lvlText w:val="%1."/>
      <w:lvlJc w:val="left"/>
      <w:pPr>
        <w:ind w:left="644" w:hanging="360"/>
      </w:pPr>
      <w:rPr>
        <w:rFonts w:hint="default"/>
        <w:sz w:val="18"/>
        <w:szCs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13B31A6"/>
    <w:multiLevelType w:val="hybridMultilevel"/>
    <w:tmpl w:val="F15AD448"/>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15D83314"/>
    <w:multiLevelType w:val="multilevel"/>
    <w:tmpl w:val="47F620D0"/>
    <w:lvl w:ilvl="0">
      <w:start w:val="1"/>
      <w:numFmt w:val="decimal"/>
      <w:lvlText w:val="%1."/>
      <w:lvlJc w:val="left"/>
      <w:pPr>
        <w:ind w:left="644" w:hanging="360"/>
      </w:pPr>
      <w:rPr>
        <w:rFonts w:hint="default"/>
        <w:sz w:val="18"/>
        <w:szCs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4C7AE9"/>
    <w:multiLevelType w:val="multilevel"/>
    <w:tmpl w:val="DB387294"/>
    <w:lvl w:ilvl="0">
      <w:start w:val="1"/>
      <w:numFmt w:val="decimal"/>
      <w:lvlText w:val="%1."/>
      <w:lvlJc w:val="left"/>
      <w:pPr>
        <w:ind w:left="64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CA280B"/>
    <w:multiLevelType w:val="multilevel"/>
    <w:tmpl w:val="551CA478"/>
    <w:lvl w:ilvl="0">
      <w:start w:val="1"/>
      <w:numFmt w:val="decimal"/>
      <w:lvlText w:val="%1."/>
      <w:lvlJc w:val="left"/>
      <w:pPr>
        <w:ind w:left="64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3081402"/>
    <w:multiLevelType w:val="multilevel"/>
    <w:tmpl w:val="A508CBEC"/>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C16B07"/>
    <w:multiLevelType w:val="hybridMultilevel"/>
    <w:tmpl w:val="5EA41632"/>
    <w:lvl w:ilvl="0" w:tplc="25F6D5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C7365E0"/>
    <w:multiLevelType w:val="hybridMultilevel"/>
    <w:tmpl w:val="26446DD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273FCD"/>
    <w:multiLevelType w:val="hybridMultilevel"/>
    <w:tmpl w:val="942A8594"/>
    <w:lvl w:ilvl="0" w:tplc="C204AA1E">
      <w:start w:val="1"/>
      <w:numFmt w:val="lowerLetter"/>
      <w:lvlText w:val="%1)"/>
      <w:lvlJc w:val="left"/>
      <w:pPr>
        <w:ind w:left="360" w:hanging="360"/>
      </w:pPr>
      <w:rPr>
        <w:b w:val="0"/>
      </w:rPr>
    </w:lvl>
    <w:lvl w:ilvl="1" w:tplc="04150001">
      <w:start w:val="1"/>
      <w:numFmt w:val="bullet"/>
      <w:lvlText w:val=""/>
      <w:lvlJc w:val="left"/>
      <w:pPr>
        <w:ind w:left="1080" w:hanging="360"/>
      </w:pPr>
      <w:rPr>
        <w:rFonts w:ascii="Symbol" w:hAnsi="Symbo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3C251A56"/>
    <w:multiLevelType w:val="hybridMultilevel"/>
    <w:tmpl w:val="372857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F722706"/>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21497D"/>
    <w:multiLevelType w:val="hybridMultilevel"/>
    <w:tmpl w:val="11AC56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51B56EE"/>
    <w:multiLevelType w:val="hybridMultilevel"/>
    <w:tmpl w:val="F17A93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7123F2D"/>
    <w:multiLevelType w:val="hybridMultilevel"/>
    <w:tmpl w:val="4590197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225BDD"/>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726F1C"/>
    <w:multiLevelType w:val="hybridMultilevel"/>
    <w:tmpl w:val="B96601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D2A0A38"/>
    <w:multiLevelType w:val="hybridMultilevel"/>
    <w:tmpl w:val="8E527D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60CB0DDA"/>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D24EBA"/>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9B2E7E"/>
    <w:multiLevelType w:val="multilevel"/>
    <w:tmpl w:val="AB7EA864"/>
    <w:lvl w:ilvl="0">
      <w:start w:val="1"/>
      <w:numFmt w:val="decimal"/>
      <w:lvlText w:val="%1."/>
      <w:lvlJc w:val="left"/>
      <w:pPr>
        <w:ind w:left="644"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C0937CB"/>
    <w:multiLevelType w:val="hybridMultilevel"/>
    <w:tmpl w:val="E6BA14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9"/>
  </w:num>
  <w:num w:numId="4">
    <w:abstractNumId w:val="4"/>
  </w:num>
  <w:num w:numId="5">
    <w:abstractNumId w:val="19"/>
  </w:num>
  <w:num w:numId="6">
    <w:abstractNumId w:val="15"/>
  </w:num>
  <w:num w:numId="7">
    <w:abstractNumId w:val="8"/>
  </w:num>
  <w:num w:numId="8">
    <w:abstractNumId w:val="6"/>
  </w:num>
  <w:num w:numId="9">
    <w:abstractNumId w:val="7"/>
  </w:num>
  <w:num w:numId="10">
    <w:abstractNumId w:val="13"/>
  </w:num>
  <w:num w:numId="11">
    <w:abstractNumId w:val="16"/>
  </w:num>
  <w:num w:numId="12">
    <w:abstractNumId w:val="23"/>
  </w:num>
  <w:num w:numId="13">
    <w:abstractNumId w:val="18"/>
  </w:num>
  <w:num w:numId="14">
    <w:abstractNumId w:val="22"/>
  </w:num>
  <w:num w:numId="15">
    <w:abstractNumId w:val="1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7"/>
  </w:num>
  <w:num w:numId="2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BC5"/>
    <w:rsid w:val="000053C9"/>
    <w:rsid w:val="00033B70"/>
    <w:rsid w:val="00035A2A"/>
    <w:rsid w:val="0004542C"/>
    <w:rsid w:val="00061423"/>
    <w:rsid w:val="00067B76"/>
    <w:rsid w:val="000835C4"/>
    <w:rsid w:val="000A22A1"/>
    <w:rsid w:val="000B3D24"/>
    <w:rsid w:val="000F7FD1"/>
    <w:rsid w:val="001139C6"/>
    <w:rsid w:val="0011663D"/>
    <w:rsid w:val="001303C9"/>
    <w:rsid w:val="00146092"/>
    <w:rsid w:val="001606E4"/>
    <w:rsid w:val="00182440"/>
    <w:rsid w:val="001915EA"/>
    <w:rsid w:val="0019196D"/>
    <w:rsid w:val="001B55FE"/>
    <w:rsid w:val="001C4FE1"/>
    <w:rsid w:val="00200D3C"/>
    <w:rsid w:val="00201C79"/>
    <w:rsid w:val="00210CBD"/>
    <w:rsid w:val="00224394"/>
    <w:rsid w:val="00233402"/>
    <w:rsid w:val="00250F76"/>
    <w:rsid w:val="00255674"/>
    <w:rsid w:val="00276625"/>
    <w:rsid w:val="002859BD"/>
    <w:rsid w:val="002964F5"/>
    <w:rsid w:val="002A74D4"/>
    <w:rsid w:val="002E324C"/>
    <w:rsid w:val="002E4240"/>
    <w:rsid w:val="002E435B"/>
    <w:rsid w:val="002F715F"/>
    <w:rsid w:val="00311673"/>
    <w:rsid w:val="00335D12"/>
    <w:rsid w:val="003655DE"/>
    <w:rsid w:val="0037259E"/>
    <w:rsid w:val="00382BC5"/>
    <w:rsid w:val="003E2691"/>
    <w:rsid w:val="003E2DF1"/>
    <w:rsid w:val="003F5122"/>
    <w:rsid w:val="00455871"/>
    <w:rsid w:val="00470415"/>
    <w:rsid w:val="00493AF2"/>
    <w:rsid w:val="004D7738"/>
    <w:rsid w:val="004D791C"/>
    <w:rsid w:val="005075B9"/>
    <w:rsid w:val="005270C8"/>
    <w:rsid w:val="00530F26"/>
    <w:rsid w:val="0054274F"/>
    <w:rsid w:val="00552EAD"/>
    <w:rsid w:val="0055366A"/>
    <w:rsid w:val="00560100"/>
    <w:rsid w:val="005B0907"/>
    <w:rsid w:val="005C057C"/>
    <w:rsid w:val="005E64F3"/>
    <w:rsid w:val="005E6FA6"/>
    <w:rsid w:val="005F2983"/>
    <w:rsid w:val="005F3646"/>
    <w:rsid w:val="00625CFE"/>
    <w:rsid w:val="00636784"/>
    <w:rsid w:val="006901E1"/>
    <w:rsid w:val="006A20FD"/>
    <w:rsid w:val="006A2837"/>
    <w:rsid w:val="006B0D83"/>
    <w:rsid w:val="006C2D52"/>
    <w:rsid w:val="006C5BBF"/>
    <w:rsid w:val="00702DA2"/>
    <w:rsid w:val="00721ED7"/>
    <w:rsid w:val="0073144E"/>
    <w:rsid w:val="00757E0F"/>
    <w:rsid w:val="0076462E"/>
    <w:rsid w:val="00765C6E"/>
    <w:rsid w:val="0077568F"/>
    <w:rsid w:val="007A619D"/>
    <w:rsid w:val="007B40F8"/>
    <w:rsid w:val="007C603A"/>
    <w:rsid w:val="007E5A5D"/>
    <w:rsid w:val="007F3961"/>
    <w:rsid w:val="007F528F"/>
    <w:rsid w:val="008346C1"/>
    <w:rsid w:val="00835D68"/>
    <w:rsid w:val="0087780B"/>
    <w:rsid w:val="008A2BD1"/>
    <w:rsid w:val="008B5699"/>
    <w:rsid w:val="008D0723"/>
    <w:rsid w:val="008F5B07"/>
    <w:rsid w:val="0091342B"/>
    <w:rsid w:val="00917A12"/>
    <w:rsid w:val="00953BD8"/>
    <w:rsid w:val="009601E6"/>
    <w:rsid w:val="009B3AA9"/>
    <w:rsid w:val="009F5639"/>
    <w:rsid w:val="00A3193F"/>
    <w:rsid w:val="00A40750"/>
    <w:rsid w:val="00A42AE7"/>
    <w:rsid w:val="00A57B31"/>
    <w:rsid w:val="00A64BD0"/>
    <w:rsid w:val="00A949C7"/>
    <w:rsid w:val="00AA3A85"/>
    <w:rsid w:val="00AE621C"/>
    <w:rsid w:val="00B151D9"/>
    <w:rsid w:val="00B51FE7"/>
    <w:rsid w:val="00B660D9"/>
    <w:rsid w:val="00B76031"/>
    <w:rsid w:val="00B86BE1"/>
    <w:rsid w:val="00B94899"/>
    <w:rsid w:val="00BB73E3"/>
    <w:rsid w:val="00C31709"/>
    <w:rsid w:val="00C32E65"/>
    <w:rsid w:val="00C365FB"/>
    <w:rsid w:val="00C376E7"/>
    <w:rsid w:val="00C7103A"/>
    <w:rsid w:val="00C74517"/>
    <w:rsid w:val="00CA0F82"/>
    <w:rsid w:val="00CC756D"/>
    <w:rsid w:val="00CE6D04"/>
    <w:rsid w:val="00D177F2"/>
    <w:rsid w:val="00D2692A"/>
    <w:rsid w:val="00D4420E"/>
    <w:rsid w:val="00D465FA"/>
    <w:rsid w:val="00D71030"/>
    <w:rsid w:val="00D75727"/>
    <w:rsid w:val="00D765EC"/>
    <w:rsid w:val="00DC6765"/>
    <w:rsid w:val="00DE3841"/>
    <w:rsid w:val="00E25127"/>
    <w:rsid w:val="00E66763"/>
    <w:rsid w:val="00E70AC8"/>
    <w:rsid w:val="00E74334"/>
    <w:rsid w:val="00E74916"/>
    <w:rsid w:val="00EE1F10"/>
    <w:rsid w:val="00EE4DC9"/>
    <w:rsid w:val="00F14D6D"/>
    <w:rsid w:val="00F20286"/>
    <w:rsid w:val="00F34114"/>
    <w:rsid w:val="00F500B6"/>
    <w:rsid w:val="00F52C94"/>
    <w:rsid w:val="00F8192D"/>
    <w:rsid w:val="00F8438C"/>
    <w:rsid w:val="00FD44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B5799"/>
  <w15:docId w15:val="{AE8F1142-97EA-A145-9CB9-55E4C4AF6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Calibri"/>
        <w:sz w:val="22"/>
        <w:szCs w:val="22"/>
        <w:lang w:val="pl-PL"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64F3"/>
    <w:pPr>
      <w:suppressAutoHyphens/>
      <w:spacing w:after="160"/>
    </w:pPr>
  </w:style>
  <w:style w:type="paragraph" w:styleId="Nagwek1">
    <w:name w:val="heading 1"/>
    <w:basedOn w:val="Normalny"/>
    <w:next w:val="Normalny"/>
    <w:link w:val="Nagwek1Znak"/>
    <w:uiPriority w:val="9"/>
    <w:qFormat/>
    <w:rsid w:val="002859B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qFormat/>
    <w:rsid w:val="0059122E"/>
    <w:pPr>
      <w:keepNext/>
      <w:spacing w:after="0" w:line="240" w:lineRule="auto"/>
      <w:outlineLvl w:val="1"/>
    </w:pPr>
    <w:rPr>
      <w:rFonts w:ascii="Arial" w:eastAsia="Times New Roman" w:hAnsi="Arial" w:cs="Times New Roman"/>
      <w:b/>
      <w:sz w:val="20"/>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59122E"/>
    <w:rPr>
      <w:rFonts w:ascii="Arial" w:eastAsia="Times New Roman" w:hAnsi="Arial" w:cs="Times New Roman"/>
      <w:b/>
      <w:sz w:val="20"/>
      <w:szCs w:val="24"/>
      <w:lang w:eastAsia="pl-PL"/>
    </w:rPr>
  </w:style>
  <w:style w:type="character" w:customStyle="1" w:styleId="TekstdymkaZnak">
    <w:name w:val="Tekst dymka Znak"/>
    <w:basedOn w:val="Domylnaczcionkaakapitu"/>
    <w:link w:val="Tekstdymka"/>
    <w:uiPriority w:val="99"/>
    <w:semiHidden/>
    <w:rsid w:val="009E044C"/>
    <w:rPr>
      <w:rFonts w:ascii="Segoe UI" w:hAnsi="Segoe UI" w:cs="Segoe UI"/>
      <w:sz w:val="18"/>
      <w:szCs w:val="18"/>
    </w:rPr>
  </w:style>
  <w:style w:type="character" w:customStyle="1" w:styleId="Wyrnienie">
    <w:name w:val="Wyróżnienie"/>
    <w:basedOn w:val="Domylnaczcionkaakapitu"/>
    <w:uiPriority w:val="20"/>
    <w:qFormat/>
    <w:rsid w:val="00E23252"/>
    <w:rPr>
      <w:i/>
      <w:iCs/>
    </w:rPr>
  </w:style>
  <w:style w:type="character" w:customStyle="1" w:styleId="apple-converted-space">
    <w:name w:val="apple-converted-space"/>
    <w:basedOn w:val="Domylnaczcionkaakapitu"/>
    <w:rsid w:val="00F609A0"/>
  </w:style>
  <w:style w:type="character" w:customStyle="1" w:styleId="WW8Num18z0">
    <w:name w:val="WW8Num18z0"/>
    <w:rsid w:val="00F609A0"/>
    <w:rPr>
      <w:b w:val="0"/>
      <w:color w:val="00000A"/>
    </w:rPr>
  </w:style>
  <w:style w:type="character" w:customStyle="1" w:styleId="ListLabel1">
    <w:name w:val="ListLabel 1"/>
    <w:rPr>
      <w:rFonts w:cs="Courier New"/>
    </w:rPr>
  </w:style>
  <w:style w:type="paragraph" w:styleId="Nagwek">
    <w:name w:val="header"/>
    <w:basedOn w:val="Normalny"/>
    <w:next w:val="Tretekstu"/>
    <w:pPr>
      <w:keepNext/>
      <w:spacing w:before="240" w:after="120"/>
    </w:pPr>
    <w:rPr>
      <w:rFonts w:ascii="Liberation Sans" w:hAnsi="Liberation Sans" w:cs="FreeSans"/>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FreeSans"/>
    </w:rPr>
  </w:style>
  <w:style w:type="paragraph" w:styleId="Podpis">
    <w:name w:val="Signature"/>
    <w:basedOn w:val="Normalny"/>
    <w:pPr>
      <w:suppressLineNumbers/>
      <w:spacing w:before="120" w:after="120"/>
    </w:pPr>
    <w:rPr>
      <w:rFonts w:cs="FreeSans"/>
      <w:i/>
      <w:iCs/>
      <w:sz w:val="24"/>
      <w:szCs w:val="24"/>
    </w:rPr>
  </w:style>
  <w:style w:type="paragraph" w:customStyle="1" w:styleId="Indeks">
    <w:name w:val="Indeks"/>
    <w:basedOn w:val="Normalny"/>
    <w:pPr>
      <w:suppressLineNumbers/>
    </w:pPr>
    <w:rPr>
      <w:rFonts w:cs="FreeSans"/>
    </w:rPr>
  </w:style>
  <w:style w:type="paragraph" w:styleId="Akapitzlist">
    <w:name w:val="List Paragraph"/>
    <w:aliases w:val="Podsis rysunku,BulletC,Bullet Number,List Paragraph1,List Paragraph2,ISCG Numerowanie,lp11,List Paragraph11,Bullet 1,Use Case List Paragraph,Body MS Bullet,Kolorowa lista — akcent 11,Średnia siatka 1 — akcent 21,Medium Grid 1 - Accent 21"/>
    <w:basedOn w:val="Normalny"/>
    <w:link w:val="AkapitzlistZnak"/>
    <w:uiPriority w:val="34"/>
    <w:qFormat/>
    <w:rsid w:val="004023E8"/>
    <w:pPr>
      <w:ind w:left="720"/>
      <w:contextualSpacing/>
    </w:pPr>
  </w:style>
  <w:style w:type="paragraph" w:styleId="Tekstdymka">
    <w:name w:val="Balloon Text"/>
    <w:basedOn w:val="Normalny"/>
    <w:link w:val="TekstdymkaZnak"/>
    <w:uiPriority w:val="99"/>
    <w:semiHidden/>
    <w:unhideWhenUsed/>
    <w:rsid w:val="009E044C"/>
    <w:pPr>
      <w:spacing w:after="0" w:line="240" w:lineRule="auto"/>
    </w:pPr>
    <w:rPr>
      <w:rFonts w:ascii="Segoe UI" w:hAnsi="Segoe UI" w:cs="Segoe UI"/>
      <w:sz w:val="18"/>
      <w:szCs w:val="18"/>
    </w:rPr>
  </w:style>
  <w:style w:type="table" w:styleId="Tabela-Siatka">
    <w:name w:val="Table Grid"/>
    <w:basedOn w:val="Standardowy"/>
    <w:uiPriority w:val="99"/>
    <w:rsid w:val="00B61F96"/>
    <w:pPr>
      <w:spacing w:line="240" w:lineRule="auto"/>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link w:val="Stopka"/>
    <w:uiPriority w:val="99"/>
    <w:qFormat/>
    <w:rsid w:val="0011663D"/>
    <w:rPr>
      <w:rFonts w:eastAsia="Times New Roman"/>
      <w:lang w:eastAsia="pl-PL"/>
    </w:rPr>
  </w:style>
  <w:style w:type="paragraph" w:styleId="Stopka">
    <w:name w:val="footer"/>
    <w:basedOn w:val="Normalny"/>
    <w:link w:val="StopkaZnak"/>
    <w:uiPriority w:val="99"/>
    <w:rsid w:val="0011663D"/>
    <w:pPr>
      <w:tabs>
        <w:tab w:val="center" w:pos="4536"/>
        <w:tab w:val="right" w:pos="9072"/>
      </w:tabs>
      <w:spacing w:after="0" w:line="240" w:lineRule="auto"/>
    </w:pPr>
    <w:rPr>
      <w:rFonts w:eastAsia="Times New Roman"/>
      <w:lang w:eastAsia="pl-PL"/>
    </w:rPr>
  </w:style>
  <w:style w:type="character" w:customStyle="1" w:styleId="StopkaZnak1">
    <w:name w:val="Stopka Znak1"/>
    <w:basedOn w:val="Domylnaczcionkaakapitu"/>
    <w:uiPriority w:val="99"/>
    <w:semiHidden/>
    <w:rsid w:val="0011663D"/>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
    <w:link w:val="Akapitzlist"/>
    <w:uiPriority w:val="34"/>
    <w:qFormat/>
    <w:rsid w:val="00E74334"/>
  </w:style>
  <w:style w:type="paragraph" w:customStyle="1" w:styleId="TableParagraph">
    <w:name w:val="Table Paragraph"/>
    <w:basedOn w:val="Normalny"/>
    <w:uiPriority w:val="1"/>
    <w:qFormat/>
    <w:rsid w:val="005075B9"/>
    <w:pPr>
      <w:widowControl w:val="0"/>
      <w:suppressAutoHyphens w:val="0"/>
      <w:autoSpaceDE w:val="0"/>
      <w:autoSpaceDN w:val="0"/>
      <w:spacing w:after="0" w:line="240" w:lineRule="auto"/>
      <w:ind w:left="108"/>
    </w:pPr>
    <w:rPr>
      <w:rFonts w:ascii="Times New Roman" w:eastAsia="Times New Roman" w:hAnsi="Times New Roman" w:cs="Times New Roman"/>
      <w:lang w:eastAsia="pl-PL"/>
    </w:rPr>
  </w:style>
  <w:style w:type="paragraph" w:customStyle="1" w:styleId="Akapitzlist1">
    <w:name w:val="Akapit z listą1"/>
    <w:basedOn w:val="Normalny"/>
    <w:rsid w:val="00033B70"/>
    <w:pPr>
      <w:spacing w:after="200" w:line="276" w:lineRule="auto"/>
      <w:ind w:left="720"/>
    </w:pPr>
    <w:rPr>
      <w:rFonts w:eastAsia="Times New Roman" w:cs="Times New Roman"/>
      <w:lang w:eastAsia="ar-SA"/>
    </w:rPr>
  </w:style>
  <w:style w:type="paragraph" w:customStyle="1" w:styleId="Default">
    <w:name w:val="Default"/>
    <w:rsid w:val="002E324C"/>
    <w:pPr>
      <w:autoSpaceDE w:val="0"/>
      <w:autoSpaceDN w:val="0"/>
      <w:adjustRightInd w:val="0"/>
      <w:spacing w:line="240" w:lineRule="auto"/>
    </w:pPr>
    <w:rPr>
      <w:rFonts w:ascii="Arial" w:eastAsiaTheme="minorHAnsi" w:hAnsi="Arial" w:cs="Arial"/>
      <w:color w:val="000000"/>
      <w:sz w:val="24"/>
      <w:szCs w:val="24"/>
    </w:rPr>
  </w:style>
  <w:style w:type="character" w:styleId="Odwoaniedokomentarza">
    <w:name w:val="annotation reference"/>
    <w:basedOn w:val="Domylnaczcionkaakapitu"/>
    <w:uiPriority w:val="99"/>
    <w:semiHidden/>
    <w:unhideWhenUsed/>
    <w:rsid w:val="007F528F"/>
    <w:rPr>
      <w:sz w:val="16"/>
      <w:szCs w:val="16"/>
    </w:rPr>
  </w:style>
  <w:style w:type="paragraph" w:styleId="Tekstkomentarza">
    <w:name w:val="annotation text"/>
    <w:basedOn w:val="Normalny"/>
    <w:link w:val="TekstkomentarzaZnak"/>
    <w:uiPriority w:val="99"/>
    <w:semiHidden/>
    <w:unhideWhenUsed/>
    <w:rsid w:val="007F528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F528F"/>
    <w:rPr>
      <w:sz w:val="20"/>
      <w:szCs w:val="20"/>
    </w:rPr>
  </w:style>
  <w:style w:type="paragraph" w:styleId="Tematkomentarza">
    <w:name w:val="annotation subject"/>
    <w:basedOn w:val="Tekstkomentarza"/>
    <w:next w:val="Tekstkomentarza"/>
    <w:link w:val="TematkomentarzaZnak"/>
    <w:uiPriority w:val="99"/>
    <w:semiHidden/>
    <w:unhideWhenUsed/>
    <w:rsid w:val="007F528F"/>
    <w:rPr>
      <w:b/>
      <w:bCs/>
    </w:rPr>
  </w:style>
  <w:style w:type="character" w:customStyle="1" w:styleId="TematkomentarzaZnak">
    <w:name w:val="Temat komentarza Znak"/>
    <w:basedOn w:val="TekstkomentarzaZnak"/>
    <w:link w:val="Tematkomentarza"/>
    <w:uiPriority w:val="99"/>
    <w:semiHidden/>
    <w:rsid w:val="007F528F"/>
    <w:rPr>
      <w:b/>
      <w:bCs/>
      <w:sz w:val="20"/>
      <w:szCs w:val="20"/>
    </w:rPr>
  </w:style>
  <w:style w:type="paragraph" w:styleId="Bezodstpw">
    <w:name w:val="No Spacing"/>
    <w:uiPriority w:val="1"/>
    <w:qFormat/>
    <w:rsid w:val="00F500B6"/>
    <w:pPr>
      <w:spacing w:line="240" w:lineRule="auto"/>
    </w:pPr>
    <w:rPr>
      <w:rFonts w:eastAsia="Times New Roman" w:cs="Times New Roman"/>
      <w:lang w:eastAsia="pl-PL"/>
    </w:rPr>
  </w:style>
  <w:style w:type="character" w:customStyle="1" w:styleId="Nagwek1Znak">
    <w:name w:val="Nagłówek 1 Znak"/>
    <w:basedOn w:val="Domylnaczcionkaakapitu"/>
    <w:link w:val="Nagwek1"/>
    <w:uiPriority w:val="9"/>
    <w:rsid w:val="002859BD"/>
    <w:rPr>
      <w:rFonts w:asciiTheme="majorHAnsi" w:eastAsiaTheme="majorEastAsia" w:hAnsiTheme="majorHAnsi" w:cstheme="majorBidi"/>
      <w:color w:val="2F5496" w:themeColor="accent1" w:themeShade="BF"/>
      <w:sz w:val="32"/>
      <w:szCs w:val="32"/>
    </w:rPr>
  </w:style>
  <w:style w:type="table" w:customStyle="1" w:styleId="Tabela-Siatka1">
    <w:name w:val="Tabela - Siatka1"/>
    <w:basedOn w:val="Standardowy"/>
    <w:next w:val="Tabela-Siatka"/>
    <w:uiPriority w:val="99"/>
    <w:rsid w:val="002859BD"/>
    <w:pPr>
      <w:spacing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7817">
      <w:bodyDiv w:val="1"/>
      <w:marLeft w:val="0"/>
      <w:marRight w:val="0"/>
      <w:marTop w:val="0"/>
      <w:marBottom w:val="0"/>
      <w:divBdr>
        <w:top w:val="none" w:sz="0" w:space="0" w:color="auto"/>
        <w:left w:val="none" w:sz="0" w:space="0" w:color="auto"/>
        <w:bottom w:val="none" w:sz="0" w:space="0" w:color="auto"/>
        <w:right w:val="none" w:sz="0" w:space="0" w:color="auto"/>
      </w:divBdr>
    </w:div>
    <w:div w:id="773791539">
      <w:bodyDiv w:val="1"/>
      <w:marLeft w:val="0"/>
      <w:marRight w:val="0"/>
      <w:marTop w:val="0"/>
      <w:marBottom w:val="0"/>
      <w:divBdr>
        <w:top w:val="none" w:sz="0" w:space="0" w:color="auto"/>
        <w:left w:val="none" w:sz="0" w:space="0" w:color="auto"/>
        <w:bottom w:val="none" w:sz="0" w:space="0" w:color="auto"/>
        <w:right w:val="none" w:sz="0" w:space="0" w:color="auto"/>
      </w:divBdr>
    </w:div>
    <w:div w:id="928780578">
      <w:bodyDiv w:val="1"/>
      <w:marLeft w:val="0"/>
      <w:marRight w:val="0"/>
      <w:marTop w:val="0"/>
      <w:marBottom w:val="0"/>
      <w:divBdr>
        <w:top w:val="none" w:sz="0" w:space="0" w:color="auto"/>
        <w:left w:val="none" w:sz="0" w:space="0" w:color="auto"/>
        <w:bottom w:val="none" w:sz="0" w:space="0" w:color="auto"/>
        <w:right w:val="none" w:sz="0" w:space="0" w:color="auto"/>
      </w:divBdr>
    </w:div>
    <w:div w:id="989481615">
      <w:bodyDiv w:val="1"/>
      <w:marLeft w:val="0"/>
      <w:marRight w:val="0"/>
      <w:marTop w:val="0"/>
      <w:marBottom w:val="0"/>
      <w:divBdr>
        <w:top w:val="none" w:sz="0" w:space="0" w:color="auto"/>
        <w:left w:val="none" w:sz="0" w:space="0" w:color="auto"/>
        <w:bottom w:val="none" w:sz="0" w:space="0" w:color="auto"/>
        <w:right w:val="none" w:sz="0" w:space="0" w:color="auto"/>
      </w:divBdr>
    </w:div>
    <w:div w:id="1005280961">
      <w:bodyDiv w:val="1"/>
      <w:marLeft w:val="0"/>
      <w:marRight w:val="0"/>
      <w:marTop w:val="0"/>
      <w:marBottom w:val="0"/>
      <w:divBdr>
        <w:top w:val="none" w:sz="0" w:space="0" w:color="auto"/>
        <w:left w:val="none" w:sz="0" w:space="0" w:color="auto"/>
        <w:bottom w:val="none" w:sz="0" w:space="0" w:color="auto"/>
        <w:right w:val="none" w:sz="0" w:space="0" w:color="auto"/>
      </w:divBdr>
    </w:div>
    <w:div w:id="1048453648">
      <w:bodyDiv w:val="1"/>
      <w:marLeft w:val="0"/>
      <w:marRight w:val="0"/>
      <w:marTop w:val="0"/>
      <w:marBottom w:val="0"/>
      <w:divBdr>
        <w:top w:val="none" w:sz="0" w:space="0" w:color="auto"/>
        <w:left w:val="none" w:sz="0" w:space="0" w:color="auto"/>
        <w:bottom w:val="none" w:sz="0" w:space="0" w:color="auto"/>
        <w:right w:val="none" w:sz="0" w:space="0" w:color="auto"/>
      </w:divBdr>
    </w:div>
    <w:div w:id="1110856807">
      <w:bodyDiv w:val="1"/>
      <w:marLeft w:val="0"/>
      <w:marRight w:val="0"/>
      <w:marTop w:val="0"/>
      <w:marBottom w:val="0"/>
      <w:divBdr>
        <w:top w:val="none" w:sz="0" w:space="0" w:color="auto"/>
        <w:left w:val="none" w:sz="0" w:space="0" w:color="auto"/>
        <w:bottom w:val="none" w:sz="0" w:space="0" w:color="auto"/>
        <w:right w:val="none" w:sz="0" w:space="0" w:color="auto"/>
      </w:divBdr>
    </w:div>
    <w:div w:id="1373460717">
      <w:bodyDiv w:val="1"/>
      <w:marLeft w:val="0"/>
      <w:marRight w:val="0"/>
      <w:marTop w:val="0"/>
      <w:marBottom w:val="0"/>
      <w:divBdr>
        <w:top w:val="none" w:sz="0" w:space="0" w:color="auto"/>
        <w:left w:val="none" w:sz="0" w:space="0" w:color="auto"/>
        <w:bottom w:val="none" w:sz="0" w:space="0" w:color="auto"/>
        <w:right w:val="none" w:sz="0" w:space="0" w:color="auto"/>
      </w:divBdr>
    </w:div>
    <w:div w:id="1482847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991DA-5BBD-4F68-A2B4-853A8097D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4362</Words>
  <Characters>26175</Characters>
  <Application>Microsoft Office Word</Application>
  <DocSecurity>0</DocSecurity>
  <Lines>218</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Mateusz Grelus</cp:lastModifiedBy>
  <cp:revision>20</cp:revision>
  <cp:lastPrinted>2024-11-26T12:28:00Z</cp:lastPrinted>
  <dcterms:created xsi:type="dcterms:W3CDTF">2025-05-07T09:15:00Z</dcterms:created>
  <dcterms:modified xsi:type="dcterms:W3CDTF">2026-04-27T09:16:00Z</dcterms:modified>
  <dc:language>pl-PL</dc:language>
</cp:coreProperties>
</file>