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DF01F" w14:textId="77777777" w:rsidR="00265C19" w:rsidRDefault="00265C19" w:rsidP="00265C19">
      <w:pPr>
        <w:spacing w:after="0"/>
        <w:jc w:val="center"/>
        <w:rPr>
          <w:rFonts w:asciiTheme="majorHAnsi" w:hAnsiTheme="majorHAnsi" w:cstheme="majorHAnsi"/>
          <w:b/>
          <w:sz w:val="28"/>
        </w:rPr>
      </w:pPr>
      <w:bookmarkStart w:id="0" w:name="_thaq8pg7vtq7" w:colFirst="0" w:colLast="0"/>
      <w:bookmarkEnd w:id="0"/>
    </w:p>
    <w:p w14:paraId="6B577B87" w14:textId="5E91C8B7" w:rsidR="00265C19" w:rsidRPr="00265C19" w:rsidRDefault="00265C19" w:rsidP="00265C19">
      <w:pPr>
        <w:spacing w:after="0"/>
        <w:jc w:val="center"/>
        <w:rPr>
          <w:rFonts w:asciiTheme="majorHAnsi" w:hAnsiTheme="majorHAnsi" w:cstheme="majorHAnsi"/>
          <w:b/>
          <w:sz w:val="28"/>
        </w:rPr>
      </w:pPr>
      <w:r w:rsidRPr="00265C19">
        <w:rPr>
          <w:rFonts w:asciiTheme="majorHAnsi" w:hAnsiTheme="majorHAnsi" w:cstheme="majorHAnsi"/>
          <w:b/>
          <w:sz w:val="28"/>
        </w:rPr>
        <w:t>P</w:t>
      </w:r>
      <w:r>
        <w:rPr>
          <w:rFonts w:asciiTheme="majorHAnsi" w:hAnsiTheme="majorHAnsi" w:cstheme="majorHAnsi"/>
          <w:b/>
          <w:sz w:val="28"/>
        </w:rPr>
        <w:t>AKIET NR 1</w:t>
      </w:r>
    </w:p>
    <w:p w14:paraId="162AE467" w14:textId="77777777" w:rsidR="00265C19" w:rsidRPr="00265C19" w:rsidRDefault="00265C19" w:rsidP="00265C19">
      <w:pPr>
        <w:keepNext/>
        <w:keepLines/>
        <w:spacing w:before="240" w:after="0"/>
        <w:ind w:left="720"/>
        <w:jc w:val="center"/>
        <w:outlineLvl w:val="0"/>
        <w:rPr>
          <w:rFonts w:asciiTheme="majorHAnsi" w:eastAsia="Calibri" w:hAnsiTheme="majorHAnsi" w:cstheme="majorHAnsi"/>
          <w:b/>
          <w:color w:val="2E75B5"/>
          <w:sz w:val="32"/>
          <w:szCs w:val="32"/>
          <w:lang w:val="pl" w:eastAsia="pl-PL"/>
        </w:rPr>
      </w:pPr>
      <w:r w:rsidRPr="00265C19">
        <w:rPr>
          <w:rFonts w:asciiTheme="majorHAnsi" w:eastAsia="Calibri" w:hAnsiTheme="majorHAnsi" w:cstheme="majorHAnsi"/>
          <w:b/>
          <w:color w:val="2E75B5"/>
          <w:sz w:val="32"/>
          <w:szCs w:val="32"/>
          <w:lang w:val="pl" w:eastAsia="pl-PL"/>
        </w:rPr>
        <w:t>SZCZEGÓŁOWY OPIS PRZEDMIOTU ZAMÓWIENIA</w:t>
      </w:r>
    </w:p>
    <w:p w14:paraId="3D1EE3ED" w14:textId="77777777" w:rsidR="00265C19" w:rsidRDefault="00265C19" w:rsidP="00FA7C74">
      <w:pPr>
        <w:jc w:val="both"/>
        <w:rPr>
          <w:rFonts w:asciiTheme="majorHAnsi" w:hAnsiTheme="majorHAnsi" w:cstheme="majorHAnsi"/>
        </w:rPr>
      </w:pPr>
    </w:p>
    <w:p w14:paraId="2F71C80F" w14:textId="23A2F1B1" w:rsidR="000A254A" w:rsidRPr="00E70796" w:rsidRDefault="000A254A" w:rsidP="00FA7C74">
      <w:pPr>
        <w:pStyle w:val="Nagwek1"/>
        <w:numPr>
          <w:ilvl w:val="0"/>
          <w:numId w:val="1"/>
        </w:numPr>
        <w:jc w:val="both"/>
        <w:rPr>
          <w:rFonts w:asciiTheme="majorHAnsi" w:hAnsiTheme="majorHAnsi" w:cstheme="majorHAnsi"/>
        </w:rPr>
      </w:pPr>
      <w:r w:rsidRPr="00E70796">
        <w:rPr>
          <w:rFonts w:asciiTheme="majorHAnsi" w:hAnsiTheme="majorHAnsi" w:cstheme="majorHAnsi"/>
        </w:rPr>
        <w:t>Założenia początkowe oraz wymagania ogólne</w:t>
      </w:r>
    </w:p>
    <w:p w14:paraId="22AED7C9" w14:textId="3D6F81EE" w:rsidR="000A254A" w:rsidRPr="00E70796" w:rsidRDefault="000A254A" w:rsidP="006C1522">
      <w:pPr>
        <w:spacing w:before="240" w:after="0"/>
        <w:jc w:val="both"/>
        <w:rPr>
          <w:rFonts w:asciiTheme="majorHAnsi" w:hAnsiTheme="majorHAnsi" w:cstheme="majorHAnsi"/>
        </w:rPr>
      </w:pPr>
      <w:r w:rsidRPr="00E70796">
        <w:rPr>
          <w:rFonts w:asciiTheme="majorHAnsi" w:hAnsiTheme="majorHAnsi" w:cstheme="majorHAnsi"/>
        </w:rPr>
        <w:t xml:space="preserve">Celem projektu: </w:t>
      </w:r>
      <w:r w:rsidRPr="00E70796">
        <w:rPr>
          <w:rFonts w:asciiTheme="majorHAnsi" w:hAnsiTheme="majorHAnsi" w:cstheme="majorHAnsi"/>
          <w:i/>
          <w:iCs/>
        </w:rPr>
        <w:t>„</w:t>
      </w:r>
      <w:r w:rsidR="0004370B" w:rsidRPr="0004370B">
        <w:rPr>
          <w:rFonts w:asciiTheme="majorHAnsi" w:hAnsiTheme="majorHAnsi" w:cstheme="majorHAnsi"/>
          <w:i/>
          <w:iCs/>
        </w:rPr>
        <w:t xml:space="preserve">Rozszerzenie wykorzystania nowoczesnych e-Usług poprzez wdrożenie zdalnego monitorowania pacjentów oraz wdrożenie systemu </w:t>
      </w:r>
      <w:proofErr w:type="spellStart"/>
      <w:r w:rsidR="0004370B" w:rsidRPr="0004370B">
        <w:rPr>
          <w:rFonts w:asciiTheme="majorHAnsi" w:hAnsiTheme="majorHAnsi" w:cstheme="majorHAnsi"/>
          <w:i/>
          <w:iCs/>
        </w:rPr>
        <w:t>Clinical</w:t>
      </w:r>
      <w:proofErr w:type="spellEnd"/>
      <w:r w:rsidR="0004370B" w:rsidRPr="0004370B">
        <w:rPr>
          <w:rFonts w:asciiTheme="majorHAnsi" w:hAnsiTheme="majorHAnsi" w:cstheme="majorHAnsi"/>
          <w:i/>
          <w:iCs/>
        </w:rPr>
        <w:t xml:space="preserve"> Information System (CIS) wraz komponentem AI</w:t>
      </w:r>
      <w:r w:rsidRPr="00E70796">
        <w:rPr>
          <w:rFonts w:asciiTheme="majorHAnsi" w:hAnsiTheme="majorHAnsi" w:cstheme="majorHAnsi"/>
          <w:i/>
          <w:iCs/>
        </w:rPr>
        <w:t xml:space="preserve">” </w:t>
      </w:r>
      <w:r w:rsidRPr="00E70796">
        <w:rPr>
          <w:rFonts w:asciiTheme="majorHAnsi" w:hAnsiTheme="majorHAnsi" w:cstheme="majorHAnsi"/>
        </w:rPr>
        <w:t>jest wdrożenie strategicznych rozwiązań cyfrowych, które mają na celu zwiększenie efektywności działania, poprawę jakości diagnostyki i leczenia, a także podniesienie poziomu bezpieczeństwa zarówno pacjentów, jak i personelu. Dzięki optymalizacji zarządzania danymi i dokumentacją medyczną, a także wsparciem decyzyjnym w zakresie prowadzenia leczenia poprzez wdrożenie mechanizmów sztucznej inteligencji zostanie zwiększona dostępność i jakość świadczeń medycznych prowadzonych przez Zamawiającego.</w:t>
      </w:r>
    </w:p>
    <w:p w14:paraId="2898FAAF" w14:textId="77777777" w:rsidR="000A254A" w:rsidRPr="00E70796" w:rsidRDefault="000A254A" w:rsidP="006C1522">
      <w:pPr>
        <w:spacing w:after="0"/>
        <w:jc w:val="both"/>
        <w:rPr>
          <w:rFonts w:asciiTheme="majorHAnsi" w:hAnsiTheme="majorHAnsi" w:cstheme="majorHAnsi"/>
        </w:rPr>
      </w:pPr>
    </w:p>
    <w:p w14:paraId="4782D82F" w14:textId="77777777" w:rsidR="000774C5" w:rsidRDefault="000A254A" w:rsidP="006C1522">
      <w:pPr>
        <w:spacing w:after="0"/>
        <w:jc w:val="both"/>
      </w:pPr>
      <w:bookmarkStart w:id="1" w:name="_mcf538vxh1qm" w:colFirst="0" w:colLast="0"/>
      <w:bookmarkEnd w:id="1"/>
      <w:r w:rsidRPr="00E70796">
        <w:rPr>
          <w:rFonts w:asciiTheme="majorHAnsi" w:hAnsiTheme="majorHAnsi" w:cstheme="majorHAnsi"/>
        </w:rPr>
        <w:t xml:space="preserve">Przedmiotem zamówienia jest rozbudowa eksploatowanego obecnie Szpitalnego Systemu Informatycznego (SSI) o kolejne rozwiązania specjalistyczne. </w:t>
      </w:r>
      <w:r w:rsidR="00D12A39" w:rsidRPr="00D12A39">
        <w:t xml:space="preserve"> </w:t>
      </w:r>
    </w:p>
    <w:p w14:paraId="0FD5DC0D" w14:textId="4543AC48" w:rsidR="000A254A" w:rsidRPr="00E70796" w:rsidRDefault="00D12A39" w:rsidP="006C1522">
      <w:pPr>
        <w:spacing w:after="0"/>
        <w:jc w:val="both"/>
        <w:rPr>
          <w:rFonts w:asciiTheme="majorHAnsi" w:hAnsiTheme="majorHAnsi" w:cstheme="majorHAnsi"/>
        </w:rPr>
      </w:pPr>
      <w:r w:rsidRPr="00D12A39">
        <w:rPr>
          <w:rFonts w:asciiTheme="majorHAnsi" w:hAnsiTheme="majorHAnsi" w:cstheme="majorHAnsi"/>
        </w:rPr>
        <w:t xml:space="preserve">Zamawiający </w:t>
      </w:r>
      <w:r>
        <w:rPr>
          <w:rFonts w:asciiTheme="majorHAnsi" w:hAnsiTheme="majorHAnsi" w:cstheme="majorHAnsi"/>
        </w:rPr>
        <w:t>wymaga</w:t>
      </w:r>
      <w:r w:rsidRPr="00D12A39">
        <w:rPr>
          <w:rFonts w:asciiTheme="majorHAnsi" w:hAnsiTheme="majorHAnsi" w:cstheme="majorHAnsi"/>
        </w:rPr>
        <w:t xml:space="preserve">,  </w:t>
      </w:r>
      <w:r>
        <w:rPr>
          <w:rFonts w:asciiTheme="majorHAnsi" w:hAnsiTheme="majorHAnsi" w:cstheme="majorHAnsi"/>
        </w:rPr>
        <w:t xml:space="preserve">aby </w:t>
      </w:r>
      <w:r w:rsidRPr="00D12A39">
        <w:rPr>
          <w:rFonts w:asciiTheme="majorHAnsi" w:hAnsiTheme="majorHAnsi" w:cstheme="majorHAnsi"/>
        </w:rPr>
        <w:t xml:space="preserve">wprowadzany system CIS </w:t>
      </w:r>
      <w:r>
        <w:rPr>
          <w:rFonts w:asciiTheme="majorHAnsi" w:hAnsiTheme="majorHAnsi" w:cstheme="majorHAnsi"/>
        </w:rPr>
        <w:t>był</w:t>
      </w:r>
      <w:r w:rsidRPr="00D12A39">
        <w:rPr>
          <w:rFonts w:asciiTheme="majorHAnsi" w:hAnsiTheme="majorHAnsi" w:cstheme="majorHAnsi"/>
        </w:rPr>
        <w:t xml:space="preserve"> na 5 poziomie dojrzałości</w:t>
      </w:r>
      <w:r w:rsidR="005C59BE">
        <w:rPr>
          <w:rFonts w:asciiTheme="majorHAnsi" w:hAnsiTheme="majorHAnsi" w:cstheme="majorHAnsi"/>
        </w:rPr>
        <w:t xml:space="preserve"> cyfrowej</w:t>
      </w:r>
      <w:r w:rsidRPr="00D12A39">
        <w:rPr>
          <w:rFonts w:asciiTheme="majorHAnsi" w:hAnsiTheme="majorHAnsi" w:cstheme="majorHAnsi"/>
        </w:rPr>
        <w:t>.</w:t>
      </w:r>
    </w:p>
    <w:p w14:paraId="1A679559" w14:textId="244ECCED" w:rsidR="000A254A" w:rsidRPr="00E70796" w:rsidRDefault="000A254A" w:rsidP="006C1522">
      <w:pPr>
        <w:spacing w:before="240" w:after="240"/>
        <w:jc w:val="both"/>
        <w:rPr>
          <w:rFonts w:asciiTheme="majorHAnsi" w:hAnsiTheme="majorHAnsi" w:cstheme="majorHAnsi"/>
        </w:rPr>
      </w:pPr>
      <w:bookmarkStart w:id="2" w:name="_8v3lqcaaruue" w:colFirst="0" w:colLast="0"/>
      <w:bookmarkEnd w:id="2"/>
      <w:r w:rsidRPr="0001152D">
        <w:rPr>
          <w:rFonts w:asciiTheme="majorHAnsi" w:hAnsiTheme="majorHAnsi" w:cstheme="majorHAnsi"/>
        </w:rPr>
        <w:t xml:space="preserve">Szpital posiada budynki w </w:t>
      </w:r>
      <w:r w:rsidR="0004370B" w:rsidRPr="0001152D">
        <w:rPr>
          <w:rFonts w:asciiTheme="majorHAnsi" w:hAnsiTheme="majorHAnsi" w:cstheme="majorHAnsi"/>
        </w:rPr>
        <w:t>6</w:t>
      </w:r>
      <w:r w:rsidRPr="0001152D">
        <w:rPr>
          <w:rFonts w:asciiTheme="majorHAnsi" w:hAnsiTheme="majorHAnsi" w:cstheme="majorHAnsi"/>
        </w:rPr>
        <w:t xml:space="preserve"> lokalizacjach, w których przygotowanych jest ok. </w:t>
      </w:r>
      <w:r w:rsidR="0004370B" w:rsidRPr="0001152D">
        <w:rPr>
          <w:rFonts w:asciiTheme="majorHAnsi" w:hAnsiTheme="majorHAnsi" w:cstheme="majorHAnsi"/>
        </w:rPr>
        <w:t>3000</w:t>
      </w:r>
      <w:r w:rsidRPr="0001152D">
        <w:rPr>
          <w:rFonts w:asciiTheme="majorHAnsi" w:hAnsiTheme="majorHAnsi" w:cstheme="majorHAnsi"/>
        </w:rPr>
        <w:t xml:space="preserve"> stanowisk do pracy w systemie medycznym globalnie - wydajność Systemu powinna umożliwiać bezproblemową (bez opóźnień) jednoczesną pracę w systemie co najmniej </w:t>
      </w:r>
      <w:r w:rsidR="00B22BB1">
        <w:rPr>
          <w:rFonts w:asciiTheme="majorHAnsi" w:hAnsiTheme="majorHAnsi" w:cstheme="majorHAnsi"/>
        </w:rPr>
        <w:t>177</w:t>
      </w:r>
      <w:r w:rsidRPr="0001152D">
        <w:rPr>
          <w:rFonts w:asciiTheme="majorHAnsi" w:hAnsiTheme="majorHAnsi" w:cstheme="majorHAnsi"/>
        </w:rPr>
        <w:t xml:space="preserve"> (zgodnie z liczbą posiadanych licencji) użytkowników</w:t>
      </w:r>
      <w:r w:rsidR="00AA5785">
        <w:rPr>
          <w:rFonts w:asciiTheme="majorHAnsi" w:hAnsiTheme="majorHAnsi" w:cstheme="majorHAnsi"/>
        </w:rPr>
        <w:t xml:space="preserve"> będących </w:t>
      </w:r>
      <w:r w:rsidR="00AA5785" w:rsidRPr="009413E3">
        <w:rPr>
          <w:rFonts w:asciiTheme="majorHAnsi" w:hAnsiTheme="majorHAnsi" w:cstheme="majorHAnsi"/>
        </w:rPr>
        <w:t>przedstawicielami różnych grup zawodowych i działających w różnych zakresach</w:t>
      </w:r>
      <w:r w:rsidR="00271533">
        <w:rPr>
          <w:rFonts w:asciiTheme="majorHAnsi" w:hAnsiTheme="majorHAnsi" w:cstheme="majorHAnsi"/>
        </w:rPr>
        <w:t xml:space="preserve">, </w:t>
      </w:r>
      <w:r w:rsidR="00271533" w:rsidRPr="00915855">
        <w:rPr>
          <w:rFonts w:asciiTheme="majorHAnsi" w:hAnsiTheme="majorHAnsi" w:cstheme="majorHAnsi"/>
        </w:rPr>
        <w:t>z możliwością przeskalowania do 2000</w:t>
      </w:r>
      <w:r w:rsidR="00AA5785">
        <w:rPr>
          <w:rFonts w:asciiTheme="majorHAnsi" w:hAnsiTheme="majorHAnsi" w:cstheme="majorHAnsi"/>
        </w:rPr>
        <w:t>.</w:t>
      </w:r>
    </w:p>
    <w:p w14:paraId="12D93AC5" w14:textId="77777777" w:rsidR="000A254A" w:rsidRPr="00E70796" w:rsidRDefault="000A254A" w:rsidP="006C1522">
      <w:p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 xml:space="preserve">Przedmiot zamówienia obejmuje wszystkie usługi niezbędne do umożliwienia Zamawiającemu eksploatacji dostarczanego Przedmiotu Zamówienia w specyfikacji funkcjonalnej przewidzianej w niniejszym OPZ. </w:t>
      </w:r>
    </w:p>
    <w:p w14:paraId="32B05D53" w14:textId="60781E15" w:rsidR="000A254A" w:rsidRDefault="000A254A" w:rsidP="006C1522">
      <w:pPr>
        <w:spacing w:after="0" w:line="240" w:lineRule="auto"/>
        <w:jc w:val="both"/>
        <w:rPr>
          <w:rFonts w:asciiTheme="majorHAnsi" w:hAnsiTheme="majorHAnsi" w:cstheme="majorHAnsi"/>
        </w:rPr>
      </w:pPr>
      <w:r w:rsidRPr="00E70796">
        <w:rPr>
          <w:rFonts w:asciiTheme="majorHAnsi" w:hAnsiTheme="majorHAnsi" w:cstheme="majorHAnsi"/>
        </w:rPr>
        <w:t>W ramach zamówienia Wykonawca jest zobowiązany do realizacji integracji z posiadanymi przez Zamawiającego systemami medycznymi oraz integracji z aparaturą/sprzętem niezbędnych do realizacji celu.</w:t>
      </w:r>
    </w:p>
    <w:p w14:paraId="7B26EA1C" w14:textId="47FB34B6" w:rsidR="0004370B" w:rsidRPr="00CA05FF" w:rsidRDefault="0004370B" w:rsidP="006C1522">
      <w:pPr>
        <w:spacing w:after="0" w:line="240" w:lineRule="auto"/>
        <w:jc w:val="both"/>
        <w:rPr>
          <w:rFonts w:asciiTheme="majorHAnsi" w:hAnsiTheme="majorHAnsi" w:cstheme="majorHAnsi"/>
        </w:rPr>
      </w:pPr>
      <w:r w:rsidRPr="00CA05FF">
        <w:rPr>
          <w:rFonts w:asciiTheme="majorHAnsi" w:hAnsiTheme="majorHAnsi" w:cstheme="majorHAnsi"/>
        </w:rPr>
        <w:t>Zamawiający załącza wstępną listę urządzeń do integracji w załączniku nr 1 do OPZ przy założeniu, że Analiza Przedwdrożeniowa może wykazać dodatkowe urządzenia do integracji.</w:t>
      </w:r>
    </w:p>
    <w:p w14:paraId="1A24BB4A" w14:textId="7E18791C" w:rsidR="00195FDF" w:rsidRPr="0001152D" w:rsidRDefault="00195FDF" w:rsidP="0001152D">
      <w:pPr>
        <w:pStyle w:val="NormalnyWeb"/>
        <w:jc w:val="both"/>
        <w:rPr>
          <w:rFonts w:asciiTheme="majorHAnsi" w:hAnsiTheme="majorHAnsi" w:cstheme="majorHAnsi"/>
          <w:sz w:val="22"/>
          <w:szCs w:val="22"/>
        </w:rPr>
      </w:pPr>
      <w:r w:rsidRPr="0001152D">
        <w:rPr>
          <w:rFonts w:asciiTheme="majorHAnsi" w:hAnsiTheme="majorHAnsi" w:cstheme="majorHAnsi"/>
          <w:sz w:val="22"/>
          <w:szCs w:val="22"/>
        </w:rPr>
        <w:t xml:space="preserve">Zamawiający wymaga, aby Wykonawca przeprowadził kompleksowe szkolenia oraz instruktaż dla personelu, który będzie korzystał z systemu CIS. Szkolenia i instruktaż powinny odbywać się w formie stacjonarnej, na żywo, w siedzibie USK w Poznaniu, z udziałem personelu wskazanego przez Zamawiającego. Celem szkoleń jest zapewnienie, że personel Zamawiającego nabędzie pełne </w:t>
      </w:r>
      <w:r w:rsidR="004E5221" w:rsidRPr="0001152D">
        <w:rPr>
          <w:rFonts w:asciiTheme="majorHAnsi" w:hAnsiTheme="majorHAnsi" w:cstheme="majorHAnsi"/>
          <w:sz w:val="22"/>
          <w:szCs w:val="22"/>
        </w:rPr>
        <w:t>umiejętności</w:t>
      </w:r>
      <w:r w:rsidRPr="0001152D">
        <w:rPr>
          <w:rFonts w:asciiTheme="majorHAnsi" w:hAnsiTheme="majorHAnsi" w:cstheme="majorHAnsi"/>
          <w:sz w:val="22"/>
          <w:szCs w:val="22"/>
        </w:rPr>
        <w:t xml:space="preserve"> niezbędne do prawidłowej obsługi systemu, w tym do jego bieżącej eksploatacji, administrowania oraz realizacji czynności operacyjnych związanych z dostarczonym rozwiązaniem.</w:t>
      </w:r>
    </w:p>
    <w:p w14:paraId="0E31BE75" w14:textId="0BEB1F49" w:rsidR="00195FDF" w:rsidRPr="0001152D" w:rsidRDefault="00195FDF" w:rsidP="0001152D">
      <w:pPr>
        <w:pStyle w:val="NormalnyWeb"/>
        <w:jc w:val="both"/>
        <w:rPr>
          <w:rFonts w:asciiTheme="majorHAnsi" w:hAnsiTheme="majorHAnsi" w:cstheme="majorHAnsi"/>
          <w:sz w:val="22"/>
          <w:szCs w:val="22"/>
        </w:rPr>
      </w:pPr>
      <w:r w:rsidRPr="0001152D">
        <w:rPr>
          <w:rFonts w:asciiTheme="majorHAnsi" w:hAnsiTheme="majorHAnsi" w:cstheme="majorHAnsi"/>
          <w:sz w:val="22"/>
          <w:szCs w:val="22"/>
        </w:rPr>
        <w:t>Dodatkowo Wykonawca zobowiązany jest do dostarczenia materiałów instruktażowych w formie elektronicznej lub zapewnienia bezterminowego dostępu do platformy e</w:t>
      </w:r>
      <w:r w:rsidR="004E5221" w:rsidRPr="0001152D">
        <w:rPr>
          <w:rFonts w:asciiTheme="majorHAnsi" w:hAnsiTheme="majorHAnsi" w:cstheme="majorHAnsi"/>
          <w:sz w:val="22"/>
          <w:szCs w:val="22"/>
        </w:rPr>
        <w:t>-</w:t>
      </w:r>
      <w:r w:rsidRPr="0001152D">
        <w:rPr>
          <w:rFonts w:asciiTheme="majorHAnsi" w:hAnsiTheme="majorHAnsi" w:cstheme="majorHAnsi"/>
          <w:sz w:val="22"/>
          <w:szCs w:val="22"/>
        </w:rPr>
        <w:t>learningowej obejmującej zakres funkcjonalny wdrażanego systemu.</w:t>
      </w:r>
    </w:p>
    <w:p w14:paraId="2564474D" w14:textId="77777777" w:rsidR="00195FDF" w:rsidRPr="0001152D" w:rsidRDefault="00195FDF" w:rsidP="0001152D">
      <w:pPr>
        <w:pStyle w:val="NormalnyWeb"/>
        <w:jc w:val="both"/>
        <w:rPr>
          <w:rFonts w:asciiTheme="majorHAnsi" w:hAnsiTheme="majorHAnsi" w:cstheme="majorHAnsi"/>
          <w:sz w:val="22"/>
          <w:szCs w:val="22"/>
        </w:rPr>
      </w:pPr>
      <w:r w:rsidRPr="0001152D">
        <w:rPr>
          <w:rFonts w:asciiTheme="majorHAnsi" w:hAnsiTheme="majorHAnsi" w:cstheme="majorHAnsi"/>
          <w:sz w:val="22"/>
          <w:szCs w:val="22"/>
        </w:rPr>
        <w:t>Zakres usług szkoleniowych obejmuje wszystkie zadania wskazane w poszczególnych rozdziałach dokumentacji zamówienia.</w:t>
      </w:r>
    </w:p>
    <w:p w14:paraId="32F9171D" w14:textId="08768AEE" w:rsidR="000A254A" w:rsidRPr="00E70796" w:rsidRDefault="000A254A" w:rsidP="006C1522">
      <w:pPr>
        <w:pBdr>
          <w:top w:val="nil"/>
          <w:left w:val="nil"/>
          <w:bottom w:val="nil"/>
          <w:right w:val="nil"/>
          <w:between w:val="nil"/>
        </w:pBdr>
        <w:spacing w:after="240" w:line="240" w:lineRule="auto"/>
        <w:jc w:val="both"/>
        <w:rPr>
          <w:rFonts w:asciiTheme="majorHAnsi" w:hAnsiTheme="majorHAnsi" w:cstheme="majorHAnsi"/>
          <w:color w:val="000000"/>
        </w:rPr>
      </w:pPr>
      <w:r w:rsidRPr="00E70796">
        <w:rPr>
          <w:rFonts w:asciiTheme="majorHAnsi" w:hAnsiTheme="majorHAnsi" w:cstheme="majorHAnsi"/>
          <w:color w:val="000000"/>
        </w:rPr>
        <w:t xml:space="preserve">W zakres usług koniecznych do wykonania wchodzą zadania przewidziane w poszczególnych rozdziałach. </w:t>
      </w:r>
    </w:p>
    <w:p w14:paraId="18F884D6" w14:textId="77777777" w:rsidR="000A254A" w:rsidRPr="00E70796" w:rsidRDefault="000A254A" w:rsidP="006C1522">
      <w:pPr>
        <w:spacing w:after="0"/>
        <w:jc w:val="both"/>
        <w:rPr>
          <w:rFonts w:asciiTheme="majorHAnsi" w:hAnsiTheme="majorHAnsi" w:cstheme="majorHAnsi"/>
        </w:rPr>
      </w:pPr>
      <w:bookmarkStart w:id="3" w:name="_t8a6cpspzmzc" w:colFirst="0" w:colLast="0"/>
      <w:bookmarkEnd w:id="3"/>
      <w:r w:rsidRPr="00E70796">
        <w:rPr>
          <w:rFonts w:asciiTheme="majorHAnsi" w:hAnsiTheme="majorHAnsi" w:cstheme="majorHAnsi"/>
        </w:rPr>
        <w:lastRenderedPageBreak/>
        <w:t xml:space="preserve">Przedmiot zamówienia obejmuje: </w:t>
      </w:r>
    </w:p>
    <w:p w14:paraId="110CBC4B" w14:textId="77777777" w:rsidR="000A254A" w:rsidRPr="00E70796" w:rsidRDefault="000A254A" w:rsidP="00FA7C74">
      <w:pPr>
        <w:pStyle w:val="Akapitzlist"/>
        <w:numPr>
          <w:ilvl w:val="0"/>
          <w:numId w:val="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Wdrożenie systemu</w:t>
      </w:r>
    </w:p>
    <w:p w14:paraId="30A045B7" w14:textId="77777777" w:rsidR="000A254A" w:rsidRPr="00E70796" w:rsidRDefault="000A254A" w:rsidP="00FA7C74">
      <w:pPr>
        <w:pStyle w:val="Akapitzlist"/>
        <w:numPr>
          <w:ilvl w:val="0"/>
          <w:numId w:val="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Dostawę licencji</w:t>
      </w:r>
    </w:p>
    <w:p w14:paraId="0F9F475D" w14:textId="77777777" w:rsidR="000A254A" w:rsidRPr="00E70796" w:rsidRDefault="000A254A" w:rsidP="00FA7C74">
      <w:pPr>
        <w:pStyle w:val="Akapitzlist"/>
        <w:numPr>
          <w:ilvl w:val="0"/>
          <w:numId w:val="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Przeprowadzenie szkoleń stanowiskowych</w:t>
      </w:r>
    </w:p>
    <w:p w14:paraId="6C817201" w14:textId="77777777" w:rsidR="000A254A" w:rsidRPr="00E70796" w:rsidRDefault="000A254A" w:rsidP="00FA7C74">
      <w:pPr>
        <w:pStyle w:val="Akapitzlist"/>
        <w:numPr>
          <w:ilvl w:val="0"/>
          <w:numId w:val="6"/>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Odbiór dokumentacji powdrożeniowej</w:t>
      </w:r>
    </w:p>
    <w:p w14:paraId="3CFF8B8C" w14:textId="77777777" w:rsidR="000A254A" w:rsidRPr="00E70796" w:rsidRDefault="000A254A" w:rsidP="006C1522">
      <w:pPr>
        <w:spacing w:after="0"/>
        <w:jc w:val="both"/>
        <w:rPr>
          <w:rFonts w:asciiTheme="majorHAnsi" w:hAnsiTheme="majorHAnsi" w:cstheme="majorHAnsi"/>
        </w:rPr>
      </w:pPr>
      <w:r w:rsidRPr="00E70796">
        <w:rPr>
          <w:rFonts w:asciiTheme="majorHAnsi" w:hAnsiTheme="majorHAnsi" w:cstheme="majorHAnsi"/>
        </w:rPr>
        <w:t>Zamawiający oczekuje dostawy licencji i dokumentacji oraz wdrożenia, uruchomienia oraz szkolenia personelu w zakresie wszystkich dostarczanych modułów i nowych funkcjonalności.</w:t>
      </w:r>
    </w:p>
    <w:p w14:paraId="32994503" w14:textId="77777777" w:rsidR="000A254A" w:rsidRPr="00E70796" w:rsidRDefault="000A254A" w:rsidP="006C1522">
      <w:pPr>
        <w:pBdr>
          <w:top w:val="nil"/>
          <w:left w:val="nil"/>
          <w:bottom w:val="nil"/>
          <w:right w:val="nil"/>
          <w:between w:val="nil"/>
        </w:pBdr>
        <w:spacing w:before="120" w:after="0" w:line="240" w:lineRule="auto"/>
        <w:jc w:val="both"/>
        <w:rPr>
          <w:rFonts w:asciiTheme="majorHAnsi" w:hAnsiTheme="majorHAnsi" w:cstheme="majorHAnsi"/>
          <w:color w:val="000000"/>
        </w:rPr>
      </w:pPr>
      <w:r w:rsidRPr="00E70796">
        <w:rPr>
          <w:rFonts w:asciiTheme="majorHAnsi" w:hAnsiTheme="majorHAnsi" w:cstheme="majorHAnsi"/>
          <w:color w:val="000000"/>
        </w:rPr>
        <w:t>Realizacja Przedmiotu Zamówienia musi odbywać się:</w:t>
      </w:r>
    </w:p>
    <w:p w14:paraId="3CF9650C" w14:textId="77777777" w:rsidR="000A254A" w:rsidRPr="00E70796" w:rsidRDefault="000A254A" w:rsidP="00FA7C74">
      <w:pPr>
        <w:pStyle w:val="Akapitzlist"/>
        <w:numPr>
          <w:ilvl w:val="0"/>
          <w:numId w:val="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zgodnie z zasadami i wytycznymi Zamawiającego opisanymi w OPZ oraz Umowie będącej załącznikiem SWZ,</w:t>
      </w:r>
    </w:p>
    <w:p w14:paraId="46A658D9" w14:textId="77777777" w:rsidR="000A254A" w:rsidRPr="00E70796" w:rsidRDefault="000A254A" w:rsidP="00FA7C74">
      <w:pPr>
        <w:pStyle w:val="Akapitzlist"/>
        <w:numPr>
          <w:ilvl w:val="0"/>
          <w:numId w:val="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 xml:space="preserve">opracowanym przez Wykonawcę i przedstawionym Zamawiającemu </w:t>
      </w:r>
      <w:r w:rsidRPr="00E70796">
        <w:rPr>
          <w:rFonts w:asciiTheme="majorHAnsi" w:hAnsiTheme="majorHAnsi" w:cstheme="majorHAnsi"/>
        </w:rPr>
        <w:t>harmonogramem</w:t>
      </w:r>
      <w:r w:rsidRPr="00E70796">
        <w:rPr>
          <w:rFonts w:asciiTheme="majorHAnsi" w:hAnsiTheme="majorHAnsi" w:cstheme="majorHAnsi"/>
          <w:color w:val="000000"/>
        </w:rPr>
        <w:t xml:space="preserve"> prac w terminie do 10 dni roboczych od dnia podpisania umowy, </w:t>
      </w:r>
    </w:p>
    <w:p w14:paraId="5544D7E8" w14:textId="1D1ACCAB" w:rsidR="000A254A" w:rsidRPr="00E70796" w:rsidRDefault="000A254A" w:rsidP="00FA7C74">
      <w:pPr>
        <w:pStyle w:val="Akapitzlist"/>
        <w:numPr>
          <w:ilvl w:val="0"/>
          <w:numId w:val="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dokumentacją Analizy Przedwdrożeniowej (DAP);</w:t>
      </w:r>
    </w:p>
    <w:p w14:paraId="2E5130E1" w14:textId="2DF222E6" w:rsidR="000A254A" w:rsidRPr="00E70796" w:rsidRDefault="000A254A" w:rsidP="00FA7C74">
      <w:pPr>
        <w:pStyle w:val="Nagwek1"/>
        <w:numPr>
          <w:ilvl w:val="0"/>
          <w:numId w:val="1"/>
        </w:numPr>
        <w:jc w:val="both"/>
        <w:rPr>
          <w:rFonts w:asciiTheme="majorHAnsi" w:hAnsiTheme="majorHAnsi" w:cstheme="majorHAnsi"/>
        </w:rPr>
      </w:pPr>
      <w:r w:rsidRPr="00E70796">
        <w:rPr>
          <w:rFonts w:asciiTheme="majorHAnsi" w:hAnsiTheme="majorHAnsi" w:cstheme="majorHAnsi"/>
        </w:rPr>
        <w:t>Szczegółowy opis przedmiotu zamówienia</w:t>
      </w:r>
    </w:p>
    <w:p w14:paraId="3CB6A0E7" w14:textId="4B98886C" w:rsidR="000A254A" w:rsidRPr="00E70796" w:rsidRDefault="000A254A" w:rsidP="006C1522">
      <w:pPr>
        <w:pBdr>
          <w:top w:val="nil"/>
          <w:left w:val="nil"/>
          <w:bottom w:val="nil"/>
          <w:right w:val="nil"/>
          <w:between w:val="nil"/>
        </w:pBdr>
        <w:spacing w:before="120" w:after="0" w:line="240" w:lineRule="auto"/>
        <w:jc w:val="both"/>
        <w:rPr>
          <w:rFonts w:asciiTheme="majorHAnsi" w:hAnsiTheme="majorHAnsi" w:cstheme="majorHAnsi"/>
          <w:color w:val="000000"/>
        </w:rPr>
      </w:pPr>
      <w:r w:rsidRPr="00E70796">
        <w:rPr>
          <w:rFonts w:asciiTheme="majorHAnsi" w:hAnsiTheme="majorHAnsi" w:cstheme="majorHAnsi"/>
          <w:color w:val="000000"/>
        </w:rPr>
        <w:t>Dostarczone</w:t>
      </w:r>
      <w:r w:rsidR="00195FDF">
        <w:rPr>
          <w:rFonts w:asciiTheme="majorHAnsi" w:hAnsiTheme="majorHAnsi" w:cstheme="majorHAnsi"/>
          <w:color w:val="000000"/>
        </w:rPr>
        <w:t xml:space="preserve"> bezterminowe licencje</w:t>
      </w:r>
      <w:r w:rsidRPr="00E70796">
        <w:rPr>
          <w:rFonts w:asciiTheme="majorHAnsi" w:hAnsiTheme="majorHAnsi" w:cstheme="majorHAnsi"/>
          <w:color w:val="000000"/>
        </w:rPr>
        <w:t xml:space="preserve"> </w:t>
      </w:r>
      <w:r w:rsidR="00195FDF">
        <w:rPr>
          <w:rFonts w:asciiTheme="majorHAnsi" w:hAnsiTheme="majorHAnsi" w:cstheme="majorHAnsi"/>
          <w:color w:val="000000"/>
        </w:rPr>
        <w:t xml:space="preserve">do </w:t>
      </w:r>
      <w:r w:rsidRPr="00E70796">
        <w:rPr>
          <w:rFonts w:asciiTheme="majorHAnsi" w:hAnsiTheme="majorHAnsi" w:cstheme="majorHAnsi"/>
          <w:color w:val="000000"/>
        </w:rPr>
        <w:t>rozwiązania informatyczne</w:t>
      </w:r>
      <w:r w:rsidR="00195FDF">
        <w:rPr>
          <w:rFonts w:asciiTheme="majorHAnsi" w:hAnsiTheme="majorHAnsi" w:cstheme="majorHAnsi"/>
          <w:color w:val="000000"/>
        </w:rPr>
        <w:t>go</w:t>
      </w:r>
      <w:r w:rsidRPr="00E70796">
        <w:rPr>
          <w:rFonts w:asciiTheme="majorHAnsi" w:hAnsiTheme="majorHAnsi" w:cstheme="majorHAnsi"/>
          <w:color w:val="000000"/>
        </w:rPr>
        <w:t xml:space="preserve">, ze szczególnym uwzględnieniem dostarczanego i wdrażanego </w:t>
      </w:r>
      <w:r w:rsidR="00B22BB1">
        <w:rPr>
          <w:rFonts w:asciiTheme="majorHAnsi" w:hAnsiTheme="majorHAnsi" w:cstheme="majorHAnsi"/>
          <w:color w:val="000000"/>
        </w:rPr>
        <w:t>o</w:t>
      </w:r>
      <w:r w:rsidRPr="00E70796">
        <w:rPr>
          <w:rFonts w:asciiTheme="majorHAnsi" w:hAnsiTheme="majorHAnsi" w:cstheme="majorHAnsi"/>
          <w:color w:val="000000"/>
        </w:rPr>
        <w:t xml:space="preserve">programowania, muszą być zgodne z powszechnie obowiązującymi przepisami prawa polskiego i europejskiego. Rozwiązania muszą pozwalać na gromadzenie, przetwarzanie i analizowanie danych i informacji w obszarach objętych wdrożeniem, na bazie tych danych musi istnieć możliwość wytwarzania prawidłowej, kompletnej, ujętej w obowiązujących przepisach prawa dokumentacji (dokumenty, raporty, wykazy, oświadczenia, zaświadczenia itp.) i w zakresie ochrony danych osobowych (dane udostępniane użytkownikom powinny nie przekraczać potrzeb do realizacji zadań wykonywanych w szpitalu w odniesieniu do zakresu treści merytorycznych np. dla pacjenta jak i obejmujących zakresu związanego komórkami medycznymi). </w:t>
      </w:r>
    </w:p>
    <w:p w14:paraId="45478300" w14:textId="35B6865B" w:rsidR="000A254A" w:rsidRPr="00E70796" w:rsidRDefault="000A254A" w:rsidP="006C1522">
      <w:pPr>
        <w:pBdr>
          <w:top w:val="nil"/>
          <w:left w:val="nil"/>
          <w:bottom w:val="nil"/>
          <w:right w:val="nil"/>
          <w:between w:val="nil"/>
        </w:pBdr>
        <w:spacing w:before="120" w:after="0" w:line="240" w:lineRule="auto"/>
        <w:jc w:val="both"/>
        <w:rPr>
          <w:rFonts w:asciiTheme="majorHAnsi" w:hAnsiTheme="majorHAnsi" w:cstheme="majorHAnsi"/>
          <w:color w:val="000000"/>
        </w:rPr>
      </w:pPr>
      <w:r w:rsidRPr="00E70796">
        <w:rPr>
          <w:rFonts w:asciiTheme="majorHAnsi" w:hAnsiTheme="majorHAnsi" w:cstheme="majorHAnsi"/>
          <w:color w:val="000000"/>
        </w:rPr>
        <w:t>System powinien wspierać realizację wymagań ustaw i rozporządzeń dotyczących podmiotów objętych ustawą o działalności lecznicze</w:t>
      </w:r>
      <w:r w:rsidR="00271533">
        <w:rPr>
          <w:rFonts w:asciiTheme="majorHAnsi" w:hAnsiTheme="majorHAnsi" w:cstheme="majorHAnsi"/>
          <w:color w:val="000000"/>
        </w:rPr>
        <w:t xml:space="preserve"> w kontekście danych przekazywanych do systemu HIS w ramach integracji:</w:t>
      </w:r>
    </w:p>
    <w:p w14:paraId="637982F8"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rozliczeń i sprawozdawczości do NFZ,</w:t>
      </w:r>
    </w:p>
    <w:p w14:paraId="47A25A7B"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rodzaju i zakresu dokumentacji medycznej oraz sposobu jej przetwarzania,</w:t>
      </w:r>
    </w:p>
    <w:p w14:paraId="3A75FA39"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ochrony danych osobowych,</w:t>
      </w:r>
    </w:p>
    <w:p w14:paraId="5B0D38DE"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informatyzacji podmiotów realizujących zadania publiczne,</w:t>
      </w:r>
    </w:p>
    <w:p w14:paraId="254B8686"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 xml:space="preserve">rachunkowości i sposobu liczenia kosztów w układzie przedmiotowym, </w:t>
      </w:r>
    </w:p>
    <w:p w14:paraId="5D748F68" w14:textId="77777777" w:rsidR="000A254A" w:rsidRPr="00E70796" w:rsidRDefault="000A254A" w:rsidP="00FA7C74">
      <w:pPr>
        <w:pStyle w:val="Akapitzlist"/>
        <w:numPr>
          <w:ilvl w:val="0"/>
          <w:numId w:val="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systemu informacji w ochronie zdrowia.</w:t>
      </w:r>
    </w:p>
    <w:p w14:paraId="5BAE629E" w14:textId="77777777" w:rsidR="000A254A" w:rsidRPr="00E70796" w:rsidRDefault="000A254A" w:rsidP="006C1522">
      <w:pPr>
        <w:pBdr>
          <w:top w:val="nil"/>
          <w:left w:val="nil"/>
          <w:bottom w:val="nil"/>
          <w:right w:val="nil"/>
          <w:between w:val="nil"/>
        </w:pBdr>
        <w:spacing w:before="120" w:after="0" w:line="240" w:lineRule="auto"/>
        <w:jc w:val="both"/>
        <w:rPr>
          <w:rFonts w:asciiTheme="majorHAnsi" w:hAnsiTheme="majorHAnsi" w:cstheme="majorHAnsi"/>
          <w:color w:val="000000"/>
        </w:rPr>
      </w:pPr>
      <w:r w:rsidRPr="00E70796">
        <w:rPr>
          <w:rFonts w:asciiTheme="majorHAnsi" w:hAnsiTheme="majorHAnsi" w:cstheme="majorHAnsi"/>
          <w:color w:val="000000"/>
        </w:rPr>
        <w:t>W szczególności do zbioru tego Zamawiający zalicza:</w:t>
      </w:r>
    </w:p>
    <w:p w14:paraId="4C0A3F6F"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prawach pacjenta i Rzeczniku Praw Pacjenta</w:t>
      </w:r>
    </w:p>
    <w:p w14:paraId="40305EB7"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Rozporządzenie MZ z 6 kwietnia 2020 r. (dokumentacja medyczna)</w:t>
      </w:r>
    </w:p>
    <w:p w14:paraId="1AAE60B5"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Rozporządzenie MZ z 8 maja 2018 r. (EDM)</w:t>
      </w:r>
    </w:p>
    <w:p w14:paraId="2EC0CB82"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systemie informacji w ochronie zdrowia (interoperacyjność)</w:t>
      </w:r>
    </w:p>
    <w:p w14:paraId="354C0634"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RODO (UE 2016/679)</w:t>
      </w:r>
    </w:p>
    <w:p w14:paraId="4096D9C6"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ochronie danych osobowych</w:t>
      </w:r>
    </w:p>
    <w:p w14:paraId="762D5572"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działalności leczniczej</w:t>
      </w:r>
    </w:p>
    <w:p w14:paraId="4433F26C"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świadczeniach opieki zdrowotnej finansowanych ze środków publicznych</w:t>
      </w:r>
    </w:p>
    <w:p w14:paraId="17E7E464"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Rozporządzenie MZ w sprawie OWU NFZ</w:t>
      </w:r>
    </w:p>
    <w:p w14:paraId="36318AEC"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krajowym systemie cyberbezpieczeństwa</w:t>
      </w:r>
    </w:p>
    <w:p w14:paraId="25AB5B39"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Ustawa o informatyzacji działalności podmiotów realizujących zadania publiczne</w:t>
      </w:r>
    </w:p>
    <w:p w14:paraId="39D76B3B" w14:textId="77777777"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Rozporządzenie w sprawie KRI</w:t>
      </w:r>
    </w:p>
    <w:p w14:paraId="3D31A2C7" w14:textId="76406425" w:rsidR="000A254A" w:rsidRPr="00E70796" w:rsidRDefault="000A254A" w:rsidP="00FA7C74">
      <w:pPr>
        <w:pStyle w:val="Akapitzlist"/>
        <w:numPr>
          <w:ilvl w:val="0"/>
          <w:numId w:val="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Prawo farmaceutyczne</w:t>
      </w:r>
    </w:p>
    <w:p w14:paraId="1F4ECD70" w14:textId="77777777" w:rsidR="009F0747" w:rsidRPr="00E70796" w:rsidRDefault="009F0747" w:rsidP="006C1522">
      <w:pPr>
        <w:pBdr>
          <w:top w:val="nil"/>
          <w:left w:val="nil"/>
          <w:bottom w:val="nil"/>
          <w:right w:val="nil"/>
          <w:between w:val="nil"/>
        </w:pBdr>
        <w:spacing w:after="0" w:line="240" w:lineRule="auto"/>
        <w:jc w:val="both"/>
        <w:rPr>
          <w:rFonts w:asciiTheme="majorHAnsi" w:hAnsiTheme="majorHAnsi" w:cstheme="majorHAnsi"/>
          <w:color w:val="000000"/>
        </w:rPr>
      </w:pPr>
    </w:p>
    <w:p w14:paraId="43878708" w14:textId="4158A7EF" w:rsidR="009F0747" w:rsidRPr="00E70796" w:rsidRDefault="009F0747" w:rsidP="00FA7C74">
      <w:pPr>
        <w:pStyle w:val="Nagwek2"/>
        <w:numPr>
          <w:ilvl w:val="0"/>
          <w:numId w:val="7"/>
        </w:numPr>
        <w:jc w:val="both"/>
        <w:rPr>
          <w:rFonts w:cstheme="majorHAnsi"/>
          <w:lang w:val="pl" w:eastAsia="pl-PL"/>
        </w:rPr>
      </w:pPr>
      <w:r w:rsidRPr="00E70796">
        <w:rPr>
          <w:rFonts w:cstheme="majorHAnsi"/>
        </w:rPr>
        <w:t>Usługi</w:t>
      </w:r>
    </w:p>
    <w:p w14:paraId="41540430"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Przedmiot zamówienia obejmuje wszystkie usługi niezbędne do umożliwienia Zamawiającemu eksploatacji Oprogramowania w specyfikacji funkcjonalnej przewidzianej w niniejszym OPZ.  W zakres usług koniecznych do wykonania wchodzą zadania przewidziane w niniejszym rozdziale.</w:t>
      </w:r>
    </w:p>
    <w:p w14:paraId="4F318DD0"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Przedmiot zamówienia musi być dostarczony, wdrożony i zainstalowany w całości w siedzibach Zamawiającego.</w:t>
      </w:r>
    </w:p>
    <w:p w14:paraId="3B1A3F60"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Przedmiot zamówienia musi zostać zainstalowany przez Wykonawcę w środowisku informatycznym Zamawiającego.</w:t>
      </w:r>
    </w:p>
    <w:p w14:paraId="78FE2568" w14:textId="0B347385" w:rsidR="009F0747" w:rsidRPr="00E70796" w:rsidRDefault="009F0747" w:rsidP="00FA7C74">
      <w:pPr>
        <w:pStyle w:val="Nagwek2"/>
        <w:numPr>
          <w:ilvl w:val="0"/>
          <w:numId w:val="7"/>
        </w:numPr>
        <w:jc w:val="both"/>
        <w:rPr>
          <w:rFonts w:cstheme="majorHAnsi"/>
        </w:rPr>
      </w:pPr>
      <w:r w:rsidRPr="00E70796">
        <w:rPr>
          <w:rFonts w:cstheme="majorHAnsi"/>
        </w:rPr>
        <w:t>Wdrożenie</w:t>
      </w:r>
    </w:p>
    <w:p w14:paraId="48EDF753" w14:textId="77777777" w:rsidR="009F0747" w:rsidRPr="00E70796" w:rsidRDefault="009F0747" w:rsidP="0001152D">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Wdrożenie należy rozumieć jako szereg zaplanowanych, uporządkowanych i zorganizowanych działań mających na celu wykonanie Przedmiotu zamówienia zgodnie z niniejszym OPZ, Umową oraz opracowaną w trakcie Projektu Dokumentacją. </w:t>
      </w:r>
    </w:p>
    <w:p w14:paraId="6C35FE65" w14:textId="77777777" w:rsidR="009F0747" w:rsidRPr="00E70796" w:rsidRDefault="009F0747" w:rsidP="0001152D">
      <w:pPr>
        <w:pBdr>
          <w:top w:val="nil"/>
          <w:left w:val="nil"/>
          <w:bottom w:val="nil"/>
          <w:right w:val="nil"/>
          <w:between w:val="nil"/>
        </w:pBdr>
        <w:spacing w:before="240"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Usługi instalacji, konfiguracji i wdrożenia Wykonawca przeprowadzi zgodnie z zapisami niniejszego OPZ w uzgodnieniu z Zamawiającym, zgodnie z obowiązującymi przepisami, zasadami wykonywania projektów teleinformatycznych oraz najlepszymi praktykami. Zamawiający deklaruje pełną współpracę z Wykonawcą w toku realizacji Projektu, przy czym oczekuje opracowania w Dokumentacji Projektowej jednoznacznego wykazu zadań Zamawiającego. </w:t>
      </w:r>
    </w:p>
    <w:p w14:paraId="6E6D6153" w14:textId="77777777" w:rsidR="009F0747" w:rsidRPr="00E70796" w:rsidRDefault="009F0747" w:rsidP="0001152D">
      <w:pPr>
        <w:pBdr>
          <w:top w:val="nil"/>
          <w:left w:val="nil"/>
          <w:bottom w:val="nil"/>
          <w:right w:val="nil"/>
          <w:between w:val="nil"/>
        </w:pBdr>
        <w:spacing w:after="0"/>
        <w:jc w:val="both"/>
        <w:rPr>
          <w:rFonts w:asciiTheme="majorHAnsi" w:hAnsiTheme="majorHAnsi" w:cstheme="majorHAnsi"/>
          <w:color w:val="000000"/>
          <w:sz w:val="24"/>
          <w:szCs w:val="24"/>
        </w:rPr>
      </w:pPr>
    </w:p>
    <w:p w14:paraId="753B9812" w14:textId="364D12D9" w:rsidR="009F0747" w:rsidRPr="00E70796" w:rsidRDefault="009F0747" w:rsidP="0001152D">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Prace wdrożeniowe z udziałem Zamawiającego będą wykonywane w godzinach pracy pracowników Zamawiającego tj. 08:00 – </w:t>
      </w:r>
      <w:r w:rsidR="003F497D" w:rsidRPr="00E70796">
        <w:rPr>
          <w:rFonts w:asciiTheme="majorHAnsi" w:eastAsia="Calibri" w:hAnsiTheme="majorHAnsi" w:cstheme="majorHAnsi"/>
          <w:color w:val="000000"/>
        </w:rPr>
        <w:t>1</w:t>
      </w:r>
      <w:r w:rsidR="003F497D">
        <w:rPr>
          <w:rFonts w:asciiTheme="majorHAnsi" w:eastAsia="Calibri" w:hAnsiTheme="majorHAnsi" w:cstheme="majorHAnsi"/>
          <w:color w:val="000000"/>
        </w:rPr>
        <w:t>6</w:t>
      </w:r>
      <w:r w:rsidRPr="00E70796">
        <w:rPr>
          <w:rFonts w:asciiTheme="majorHAnsi" w:eastAsia="Calibri" w:hAnsiTheme="majorHAnsi" w:cstheme="majorHAnsi"/>
          <w:color w:val="000000"/>
        </w:rPr>
        <w:t>:00. Dopuszcza się wykonywanie prac wdrożeniowych w innym czasie niż wskazany, po odpowiednim uzgodnieniu z Zamawiającym.</w:t>
      </w:r>
    </w:p>
    <w:p w14:paraId="0A45F28A" w14:textId="77777777" w:rsidR="009F0747" w:rsidRPr="00E70796" w:rsidRDefault="009F0747" w:rsidP="0001152D">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Wykonawca zobowiązany jest przeprowadzić dostawy Przedmiotu Zamówienia w terminach i godzinach uzgodnionych z Zamawiającym z uwzględnieniem postanowień Harmonogramu Wdrożenia. </w:t>
      </w:r>
    </w:p>
    <w:p w14:paraId="38763F52" w14:textId="77777777" w:rsidR="009F0747" w:rsidRPr="00E70796" w:rsidRDefault="009F0747" w:rsidP="0001152D">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Wykonawca zorganizuje prace tak, aby w maksymalnym stopniu nie zakłócać ciągłości funkcjonowania prac u Zamawiającego. Obiekty podlegające inwestycji (obiekty służby zdrowia w których świadczone są usługi medyczne) są użytkowane w trybie ciągłym w czasie godzin pracy przez cały okres wykonywania Przedmiotu Zamówienia, co może powodować utrudnienia w miejscu prowadzenia prac. Nie ma możliwości całkowitego wyłączenia i zamknięcia w/w obiektów lub ich części na czas realizacji Przedmiotu Zamówienia. Poszczególne prace muszą być realizowane etapowo, tak aby zachować ciągłość świadczenia usług medycznych.</w:t>
      </w:r>
    </w:p>
    <w:p w14:paraId="2B68068E" w14:textId="77777777" w:rsidR="009F0747" w:rsidRPr="00E70796" w:rsidRDefault="009F0747" w:rsidP="0001152D">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Wykonawca musi uwzględnić, że wszystkie prace wykonywane będą w użytkowanych obiektach przy dużym ruchu pracowników i chorych, tzn. organizacja prac powinna przede wszystkim zapewniać bezpieczeństwo przebywających w oddziałach pracowników i chorych oraz zachowanie ciszy nocnej w godzinach właściwych dla Zamawiającego.</w:t>
      </w:r>
    </w:p>
    <w:p w14:paraId="50D0404A" w14:textId="77777777" w:rsidR="009F0747" w:rsidRPr="00E70796" w:rsidRDefault="009F0747" w:rsidP="0001152D">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Wykonawca na wezwanie Zamawiającego, zapewni obecność w siedzibie Zamawiającego, osoby odpowiedzialnej za wdrożenie lub za realizowany etap wdrożenia.</w:t>
      </w:r>
    </w:p>
    <w:p w14:paraId="603F3464" w14:textId="77777777" w:rsidR="009F0747" w:rsidRPr="00E70796" w:rsidRDefault="009F0747" w:rsidP="0001152D">
      <w:pPr>
        <w:pBdr>
          <w:top w:val="nil"/>
          <w:left w:val="nil"/>
          <w:bottom w:val="nil"/>
          <w:right w:val="nil"/>
          <w:between w:val="nil"/>
        </w:pBdr>
        <w:tabs>
          <w:tab w:val="left" w:pos="710"/>
        </w:tabs>
        <w:spacing w:after="0"/>
        <w:jc w:val="both"/>
        <w:rPr>
          <w:rFonts w:asciiTheme="majorHAnsi" w:hAnsiTheme="majorHAnsi" w:cstheme="majorHAnsi"/>
        </w:rPr>
      </w:pPr>
      <w:r w:rsidRPr="00E70796">
        <w:rPr>
          <w:rFonts w:asciiTheme="majorHAnsi" w:eastAsia="Calibri" w:hAnsiTheme="majorHAnsi" w:cstheme="majorHAnsi"/>
          <w:color w:val="000000"/>
        </w:rPr>
        <w:t xml:space="preserve">Wykonawca ponosi pełną odpowiedzialność za ewentualne szkody wyrządzone przez jego pracowników, współpracowników, podwykonawców, powstałe w wyniku działań prowadzonych przez Wykonawcę u Zamawiającego w związku z realizacją wykonywanych prac. </w:t>
      </w:r>
    </w:p>
    <w:p w14:paraId="73C9D48A" w14:textId="77777777" w:rsidR="009F0747" w:rsidRPr="00E70796" w:rsidRDefault="009F0747" w:rsidP="006C1522">
      <w:pPr>
        <w:jc w:val="both"/>
        <w:rPr>
          <w:rFonts w:asciiTheme="majorHAnsi" w:hAnsiTheme="majorHAnsi" w:cstheme="majorHAnsi"/>
        </w:rPr>
      </w:pPr>
    </w:p>
    <w:p w14:paraId="20EBA7C6" w14:textId="77777777" w:rsidR="009F0747" w:rsidRPr="00E70796" w:rsidRDefault="009F0747" w:rsidP="006C1522">
      <w:p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color w:val="000000"/>
        </w:rPr>
        <w:t>Zakres prac wdrożeniowych obejmuje:</w:t>
      </w:r>
    </w:p>
    <w:p w14:paraId="0B90114D"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Przeprowadzenie analizy przedwdrożeniowej i opracowanie Dokumentacji Analizy Przedwdrożeniowej (DAP),</w:t>
      </w:r>
    </w:p>
    <w:p w14:paraId="30F47D8E"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Opracowanie harmonogramu wdrożenia,</w:t>
      </w:r>
    </w:p>
    <w:p w14:paraId="2E818E79"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Instalację Modułów,</w:t>
      </w:r>
    </w:p>
    <w:p w14:paraId="3B438249"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Konfigurację Modułów:</w:t>
      </w:r>
    </w:p>
    <w:p w14:paraId="27EA0B8E" w14:textId="77777777" w:rsidR="009F0747" w:rsidRPr="00E70796"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hAnsiTheme="majorHAnsi" w:cstheme="majorHAnsi"/>
          <w:color w:val="000000"/>
        </w:rPr>
        <w:t>Parametryzację Modułów,</w:t>
      </w:r>
    </w:p>
    <w:p w14:paraId="58CA02AD" w14:textId="77777777" w:rsidR="009F0747" w:rsidRPr="00E70796"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hAnsiTheme="majorHAnsi" w:cstheme="majorHAnsi"/>
          <w:color w:val="000000"/>
        </w:rPr>
        <w:t>Zasilenie Modułów w katalogi podstawowe oraz słowniki,</w:t>
      </w:r>
    </w:p>
    <w:p w14:paraId="58D59A9C" w14:textId="77777777" w:rsidR="009F0747" w:rsidRPr="00E70796"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hAnsiTheme="majorHAnsi" w:cstheme="majorHAnsi"/>
          <w:color w:val="000000"/>
        </w:rPr>
        <w:t>Zasilenie treści szablonów i podpowiedzi (treść przekazuje Zamawiający w toku Analizy),</w:t>
      </w:r>
    </w:p>
    <w:p w14:paraId="159944DE" w14:textId="77777777" w:rsidR="009F0747" w:rsidRPr="00E70796"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hAnsiTheme="majorHAnsi" w:cstheme="majorHAnsi"/>
          <w:color w:val="000000"/>
        </w:rPr>
        <w:t xml:space="preserve">Poinstruowanie Zamawiającego o sposobie nadawania uprawnień użytkownikom, </w:t>
      </w:r>
    </w:p>
    <w:p w14:paraId="33F3A53B" w14:textId="77777777" w:rsidR="009F0747" w:rsidRPr="00E70796" w:rsidRDefault="009F0747" w:rsidP="00FA7C74">
      <w:pPr>
        <w:pStyle w:val="Akapitzlist"/>
        <w:numPr>
          <w:ilvl w:val="1"/>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hAnsiTheme="majorHAnsi" w:cstheme="majorHAnsi"/>
          <w:color w:val="000000"/>
        </w:rPr>
        <w:t>Implementację raportów oraz wydruków standardowych dostępnych w Modułach,</w:t>
      </w:r>
    </w:p>
    <w:p w14:paraId="2516A532"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Przeszkolenie personelu Zamawiającego,</w:t>
      </w:r>
    </w:p>
    <w:p w14:paraId="70CC440E"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Przekazanie poszczególnych modułów do użytkowania (uruchomienie produkcyjne),</w:t>
      </w:r>
    </w:p>
    <w:p w14:paraId="675BC592"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Wsparcie przy rozpoczęciu pracy produkcyjnej przez pracowników Zamawiającego,</w:t>
      </w:r>
    </w:p>
    <w:p w14:paraId="46B74EE0" w14:textId="77777777" w:rsidR="009F0747" w:rsidRPr="00E70796" w:rsidRDefault="009F0747" w:rsidP="00FA7C74">
      <w:pPr>
        <w:pStyle w:val="Akapitzlist"/>
        <w:numPr>
          <w:ilvl w:val="0"/>
          <w:numId w:val="5"/>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Opracowanie Dokumentacji Powykonawczej.</w:t>
      </w:r>
    </w:p>
    <w:p w14:paraId="0159C33E" w14:textId="77777777" w:rsidR="009F0747" w:rsidRPr="00E70796" w:rsidRDefault="009F0747" w:rsidP="006C1522">
      <w:pPr>
        <w:pBdr>
          <w:top w:val="nil"/>
          <w:left w:val="nil"/>
          <w:bottom w:val="nil"/>
          <w:right w:val="nil"/>
          <w:between w:val="nil"/>
        </w:pBdr>
        <w:spacing w:after="0"/>
        <w:ind w:left="360"/>
        <w:jc w:val="both"/>
        <w:rPr>
          <w:rFonts w:asciiTheme="majorHAnsi" w:hAnsiTheme="majorHAnsi" w:cstheme="majorHAnsi"/>
          <w:color w:val="000000"/>
        </w:rPr>
      </w:pPr>
    </w:p>
    <w:p w14:paraId="6BA3C928" w14:textId="77777777" w:rsidR="009F0747" w:rsidRPr="00E70796" w:rsidRDefault="009F0747" w:rsidP="00B417E9">
      <w:pPr>
        <w:pBdr>
          <w:top w:val="nil"/>
          <w:left w:val="nil"/>
          <w:bottom w:val="nil"/>
          <w:right w:val="nil"/>
          <w:between w:val="nil"/>
        </w:pBdr>
        <w:tabs>
          <w:tab w:val="left" w:pos="710"/>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Dokumentacja będzie zawierać bazowe zapisy opisujące budowane rozwiązania, procesy oraz sposób organizacji prac i wdrożenia. Na podstawie zapisów w Dokumentacji będą prowadzone i odbierane poszczególne etapy realizowane w ramach Przedmiotu zamówienia. Dokumenty te wraz z załącznikami, będę stanowiły podstawę do weryfikacji realizacji przedmiotu zamówienia w trakcie odbiorów.</w:t>
      </w:r>
    </w:p>
    <w:p w14:paraId="0569071C" w14:textId="77777777" w:rsidR="009F0747" w:rsidRPr="00E70796" w:rsidRDefault="009F0747" w:rsidP="00B417E9">
      <w:pPr>
        <w:pBdr>
          <w:top w:val="nil"/>
          <w:left w:val="nil"/>
          <w:bottom w:val="nil"/>
          <w:right w:val="nil"/>
          <w:between w:val="nil"/>
        </w:pBdr>
        <w:tabs>
          <w:tab w:val="left" w:pos="710"/>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 xml:space="preserve">Dokumentacja podlega </w:t>
      </w:r>
      <w:r w:rsidRPr="00E70796">
        <w:rPr>
          <w:rFonts w:asciiTheme="majorHAnsi" w:hAnsiTheme="majorHAnsi" w:cstheme="majorHAnsi"/>
        </w:rPr>
        <w:t>uzgodnieniu</w:t>
      </w:r>
      <w:r w:rsidRPr="00E70796">
        <w:rPr>
          <w:rFonts w:asciiTheme="majorHAnsi" w:eastAsia="Calibri" w:hAnsiTheme="majorHAnsi" w:cstheme="majorHAnsi"/>
          <w:color w:val="000000"/>
        </w:rPr>
        <w:t xml:space="preserve"> i akceptacji Zamawiającego. Akceptacja Harmonogramu wdrożenia i DAP warunkuje rozpoczęcie prac Wykonawcy.</w:t>
      </w:r>
    </w:p>
    <w:p w14:paraId="29427AB1" w14:textId="77777777" w:rsidR="009F0747" w:rsidRPr="00E70796" w:rsidRDefault="009F0747" w:rsidP="00B417E9">
      <w:pPr>
        <w:pBdr>
          <w:top w:val="nil"/>
          <w:left w:val="nil"/>
          <w:bottom w:val="nil"/>
          <w:right w:val="nil"/>
          <w:between w:val="nil"/>
        </w:pBdr>
        <w:tabs>
          <w:tab w:val="left" w:pos="710"/>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Dokumentacja Analizy Przedwdrożeniowej DAP wraz z harmonogramem wdrożenia zostaną opracowane w oparciu o wymagania określone w niniejszym OPZ.</w:t>
      </w:r>
    </w:p>
    <w:p w14:paraId="766990A5" w14:textId="77777777" w:rsidR="009F0747" w:rsidRPr="00E70796" w:rsidRDefault="009F0747" w:rsidP="006C1522">
      <w:pPr>
        <w:spacing w:after="0" w:line="240" w:lineRule="auto"/>
        <w:ind w:left="360"/>
        <w:jc w:val="both"/>
        <w:rPr>
          <w:rFonts w:asciiTheme="majorHAnsi" w:hAnsiTheme="majorHAnsi" w:cstheme="majorHAnsi"/>
        </w:rPr>
      </w:pPr>
    </w:p>
    <w:p w14:paraId="4ADEFA8F" w14:textId="7714C8BD" w:rsidR="009F0747" w:rsidRPr="00E70796" w:rsidRDefault="009F0747" w:rsidP="006C1522">
      <w:pPr>
        <w:spacing w:after="0" w:line="240" w:lineRule="auto"/>
        <w:jc w:val="both"/>
        <w:rPr>
          <w:rFonts w:asciiTheme="majorHAnsi" w:hAnsiTheme="majorHAnsi" w:cstheme="majorHAnsi"/>
        </w:rPr>
      </w:pPr>
      <w:r w:rsidRPr="00E70796">
        <w:rPr>
          <w:rFonts w:asciiTheme="majorHAnsi" w:hAnsiTheme="majorHAnsi" w:cstheme="majorHAnsi"/>
        </w:rPr>
        <w:t>Po zakończeniu Wdrożenia Oprogramowanie Aplikacyjne musi zostać skonfigurowane  i przekazane do użytkowania przez Zamawiającego w sposób kompleksowy tak, aby oferowało wszystkie funkcjonalności opisane w SWZ zgodnie z Dokumentacją i wskazanymi przez Zamawiającego wytycznymi na etapie analizy przedwdrożeniowej oraz oczekiwaniami konfiguracyjnymi samego procesu wdrażania (w zakresie opisanych w OPZ wymagań funkcjonalnych).</w:t>
      </w:r>
    </w:p>
    <w:p w14:paraId="7365E1E9" w14:textId="76A73719" w:rsidR="009F0747" w:rsidRPr="00E70796" w:rsidRDefault="009F0747" w:rsidP="006C1522">
      <w:pPr>
        <w:spacing w:after="0" w:line="240" w:lineRule="auto"/>
        <w:jc w:val="both"/>
        <w:rPr>
          <w:rFonts w:asciiTheme="majorHAnsi" w:hAnsiTheme="majorHAnsi" w:cstheme="majorHAnsi"/>
        </w:rPr>
      </w:pPr>
      <w:r w:rsidRPr="00E70796">
        <w:rPr>
          <w:rFonts w:asciiTheme="majorHAnsi" w:hAnsiTheme="majorHAnsi" w:cstheme="majorHAnsi"/>
        </w:rPr>
        <w:tab/>
      </w:r>
    </w:p>
    <w:p w14:paraId="15D5EF24" w14:textId="6D1207F7" w:rsidR="000A254A" w:rsidRPr="00E70796" w:rsidRDefault="009F0747" w:rsidP="00FA7C74">
      <w:pPr>
        <w:pStyle w:val="Nagwek3"/>
        <w:numPr>
          <w:ilvl w:val="0"/>
          <w:numId w:val="10"/>
        </w:numPr>
        <w:jc w:val="both"/>
        <w:rPr>
          <w:rFonts w:cstheme="majorHAnsi"/>
        </w:rPr>
      </w:pPr>
      <w:r w:rsidRPr="00E70796">
        <w:rPr>
          <w:rFonts w:cstheme="majorHAnsi"/>
        </w:rPr>
        <w:t>Zarządzanie projektem</w:t>
      </w:r>
    </w:p>
    <w:p w14:paraId="1B8B783D"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 xml:space="preserve">W celu efektywnej realizacji Przedmiotu Zamówienia, projekt powinien być realizowany zgodnie z zaproponowaną przez Wykonawcę i zaakceptowaną przez Zamawiającego metodyką projektową zgodą ze standardami realizacji projektów, np.: PRINCE2, Agile, </w:t>
      </w:r>
      <w:proofErr w:type="spellStart"/>
      <w:r w:rsidRPr="00E70796">
        <w:rPr>
          <w:rFonts w:asciiTheme="majorHAnsi" w:hAnsiTheme="majorHAnsi" w:cstheme="majorHAnsi"/>
        </w:rPr>
        <w:t>Waterfall</w:t>
      </w:r>
      <w:proofErr w:type="spellEnd"/>
      <w:r w:rsidRPr="00E70796">
        <w:rPr>
          <w:rFonts w:asciiTheme="majorHAnsi" w:hAnsiTheme="majorHAnsi" w:cstheme="majorHAnsi"/>
        </w:rPr>
        <w:t xml:space="preserve">, PMI lub innymi równoważnymi standardami zarządzania projektami informatycznymi. Zamawiający zezwala na łączenie zastosowanych metod (np. </w:t>
      </w:r>
      <w:proofErr w:type="spellStart"/>
      <w:r w:rsidRPr="00E70796">
        <w:rPr>
          <w:rFonts w:asciiTheme="majorHAnsi" w:hAnsiTheme="majorHAnsi" w:cstheme="majorHAnsi"/>
        </w:rPr>
        <w:t>Scrum+Kaban</w:t>
      </w:r>
      <w:proofErr w:type="spellEnd"/>
      <w:r w:rsidRPr="00E70796">
        <w:rPr>
          <w:rFonts w:asciiTheme="majorHAnsi" w:hAnsiTheme="majorHAnsi" w:cstheme="majorHAnsi"/>
        </w:rPr>
        <w:t xml:space="preserve">). Zamawiający pozostawia Wykonawcy wybór metody zarządzania projektem. </w:t>
      </w:r>
    </w:p>
    <w:p w14:paraId="5090855D" w14:textId="77777777" w:rsidR="009F0747" w:rsidRPr="00E70796" w:rsidRDefault="009F0747" w:rsidP="006C1522">
      <w:pPr>
        <w:spacing w:after="0"/>
        <w:jc w:val="both"/>
        <w:rPr>
          <w:rFonts w:asciiTheme="majorHAnsi" w:hAnsiTheme="majorHAnsi" w:cstheme="majorHAnsi"/>
        </w:rPr>
      </w:pPr>
      <w:r w:rsidRPr="00E70796">
        <w:rPr>
          <w:rFonts w:asciiTheme="majorHAnsi" w:hAnsiTheme="majorHAnsi" w:cstheme="majorHAnsi"/>
        </w:rPr>
        <w:t xml:space="preserve">W ramach struktury organizacyjnej zarządzania Projektem powołane zostaną odpowiednie struktury projektowe: </w:t>
      </w:r>
    </w:p>
    <w:p w14:paraId="53592C62" w14:textId="77777777" w:rsidR="009F0747" w:rsidRPr="00E70796" w:rsidRDefault="009F0747" w:rsidP="00FA7C74">
      <w:pPr>
        <w:pStyle w:val="Akapitzlist"/>
        <w:numPr>
          <w:ilvl w:val="0"/>
          <w:numId w:val="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Komitet Sterujący, w skład którego wchodzą wyznaczone przez Zamawiającego i Wykonawcę osoby upoważnione do podejmowania istotnych decyzji projektowych,</w:t>
      </w:r>
    </w:p>
    <w:p w14:paraId="1F087F26" w14:textId="77777777" w:rsidR="009F0747" w:rsidRPr="00E70796" w:rsidRDefault="009F0747" w:rsidP="00FA7C74">
      <w:pPr>
        <w:pStyle w:val="Akapitzlist"/>
        <w:numPr>
          <w:ilvl w:val="0"/>
          <w:numId w:val="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Kierownik Projektu po stronie Zamawiającego, </w:t>
      </w:r>
    </w:p>
    <w:p w14:paraId="24029C97" w14:textId="77777777" w:rsidR="009F0747" w:rsidRPr="00E70796" w:rsidRDefault="009F0747" w:rsidP="00FA7C74">
      <w:pPr>
        <w:pStyle w:val="Akapitzlist"/>
        <w:numPr>
          <w:ilvl w:val="0"/>
          <w:numId w:val="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Kierownik Projektu po stronie Wykonawcy. </w:t>
      </w:r>
    </w:p>
    <w:p w14:paraId="133E00C9"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 xml:space="preserve">Komitet Sterujący jest najważniejszym organem pełniącym nadzór nad przebiegiem Wdrożenia, reagującym na pojawiające się problemy i zagrożenia, natomiast szczegółowe zadania Kierowników Projektów zostaną określone w treści DAP. Dokument ten określi także sposób organizacji prac i wdrożenia, m.in. kontroli postępu prac, częstotliwość punktów kontrolnych, sposobu raportowania o postępach w realizacji projektu oraz sposób zarządzania problemami w realizacji projektu, analizę </w:t>
      </w:r>
      <w:proofErr w:type="spellStart"/>
      <w:r w:rsidRPr="00E70796">
        <w:rPr>
          <w:rFonts w:asciiTheme="majorHAnsi" w:hAnsiTheme="majorHAnsi" w:cstheme="majorHAnsi"/>
        </w:rPr>
        <w:t>ryzyk</w:t>
      </w:r>
      <w:proofErr w:type="spellEnd"/>
      <w:r w:rsidRPr="00E70796">
        <w:rPr>
          <w:rFonts w:asciiTheme="majorHAnsi" w:hAnsiTheme="majorHAnsi" w:cstheme="majorHAnsi"/>
        </w:rPr>
        <w:t xml:space="preserve"> przed rozpoczęciem projektu i sposób zarządzania ryzykiem w trakcie jego realizacji, sposób zarządzania zmianami, w tym rodzaje modyfikacji oraz procedury kontroli zmian . </w:t>
      </w:r>
    </w:p>
    <w:p w14:paraId="4CB0CDC6" w14:textId="77777777" w:rsidR="009F0747" w:rsidRPr="00E70796" w:rsidRDefault="009F0747" w:rsidP="006C1522">
      <w:pPr>
        <w:pBdr>
          <w:top w:val="nil"/>
          <w:left w:val="nil"/>
          <w:bottom w:val="nil"/>
          <w:right w:val="nil"/>
          <w:between w:val="nil"/>
        </w:pBdr>
        <w:spacing w:after="0" w:line="240" w:lineRule="auto"/>
        <w:jc w:val="both"/>
        <w:rPr>
          <w:rFonts w:asciiTheme="majorHAnsi" w:hAnsiTheme="majorHAnsi" w:cstheme="majorHAnsi"/>
          <w:color w:val="000009"/>
        </w:rPr>
      </w:pPr>
      <w:r w:rsidRPr="00E70796">
        <w:rPr>
          <w:rFonts w:asciiTheme="majorHAnsi" w:eastAsia="Calibri" w:hAnsiTheme="majorHAnsi" w:cstheme="majorHAnsi"/>
          <w:color w:val="000009"/>
        </w:rPr>
        <w:t>Wykonawca zobowiązany będzie, przez cały okres trwania Umowy, do realizacji działań zarządczych (m.in. zarządzanie ryzykiem, zagadnieniami, komunikacją, zmianami, konfiguracją, jakością).</w:t>
      </w:r>
    </w:p>
    <w:p w14:paraId="35D30BF5" w14:textId="77777777" w:rsidR="009F0747" w:rsidRPr="00E70796" w:rsidRDefault="009F0747" w:rsidP="006C1522">
      <w:pPr>
        <w:pBdr>
          <w:top w:val="nil"/>
          <w:left w:val="nil"/>
          <w:bottom w:val="nil"/>
          <w:right w:val="nil"/>
          <w:between w:val="nil"/>
        </w:pBdr>
        <w:spacing w:after="0" w:line="276" w:lineRule="auto"/>
        <w:ind w:hanging="10"/>
        <w:jc w:val="both"/>
        <w:rPr>
          <w:rFonts w:asciiTheme="majorHAnsi" w:hAnsiTheme="majorHAnsi" w:cstheme="majorHAnsi"/>
          <w:color w:val="000000"/>
        </w:rPr>
      </w:pPr>
      <w:r w:rsidRPr="00E70796">
        <w:rPr>
          <w:rFonts w:asciiTheme="majorHAnsi" w:eastAsia="Calibri" w:hAnsiTheme="majorHAnsi" w:cstheme="majorHAnsi"/>
          <w:color w:val="000000"/>
        </w:rPr>
        <w:t>Podczas wdrożenia będą obowiązywały następujące założenia dotyczące wzajemnej współpracy Zamawiającego i Wykonawcy:</w:t>
      </w:r>
    </w:p>
    <w:p w14:paraId="7C7E8679"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Komunikacja między uczestnikami Projektu po stronie Wykonawcy i Zamawiającego będzie się odbywać na poziomie Kierowników Projektów obu stron oraz innych wyznaczonych osób po stronie Zamawiającego.</w:t>
      </w:r>
    </w:p>
    <w:p w14:paraId="1CF9D34F"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Przewiduje się wykorzystanie różnych mediów komunikacyjnych uzależnionych od poziomu oraz wagi uzgodnień w tym: (w przypadku posiadania przez Wykonawcę takiego systemu): system typu </w:t>
      </w:r>
      <w:proofErr w:type="spellStart"/>
      <w:r w:rsidRPr="00E70796">
        <w:rPr>
          <w:rFonts w:asciiTheme="majorHAnsi" w:eastAsia="Calibri" w:hAnsiTheme="majorHAnsi" w:cstheme="majorHAnsi"/>
          <w:color w:val="000000"/>
        </w:rPr>
        <w:t>HelpDesk</w:t>
      </w:r>
      <w:proofErr w:type="spellEnd"/>
      <w:r w:rsidRPr="00E70796">
        <w:rPr>
          <w:rFonts w:asciiTheme="majorHAnsi" w:eastAsia="Calibri" w:hAnsiTheme="majorHAnsi" w:cstheme="majorHAnsi"/>
          <w:color w:val="000000"/>
        </w:rPr>
        <w:t xml:space="preserve">, spotkania uczestników, poczta elektroniczna i kontakt telefoniczny, z zastrzeżeniem, że ustalenia projektowe powinny być odzwierciedlone w formie dokumentacji elektronicznej (poczta elektroniczna, dokumenty elektroniczne, wpisy w systemie </w:t>
      </w:r>
      <w:proofErr w:type="spellStart"/>
      <w:r w:rsidRPr="00E70796">
        <w:rPr>
          <w:rFonts w:asciiTheme="majorHAnsi" w:eastAsia="Calibri" w:hAnsiTheme="majorHAnsi" w:cstheme="majorHAnsi"/>
          <w:color w:val="000000"/>
        </w:rPr>
        <w:t>HelpDesk</w:t>
      </w:r>
      <w:proofErr w:type="spellEnd"/>
      <w:r w:rsidRPr="00E70796">
        <w:rPr>
          <w:rFonts w:asciiTheme="majorHAnsi" w:eastAsia="Calibri" w:hAnsiTheme="majorHAnsi" w:cstheme="majorHAnsi"/>
          <w:color w:val="000000"/>
        </w:rPr>
        <w:t>).</w:t>
      </w:r>
    </w:p>
    <w:p w14:paraId="372C4136"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Prace wspólne specjalistów po obu stronach (spotkania, szkolenia) będą każdorazowo potwierdzone notatką ze spotkania sporządzaną przez przedstawiciela Wykonawcy lub stosownym protokołem, z listą uczestników i wykonanych zadań, opisem poruszanych zagadnień, czy ustaleniami.</w:t>
      </w:r>
    </w:p>
    <w:p w14:paraId="37CE8158"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Spotkania poświęcone kontroli realizacji wdrożenia będą organizowane w miarę bieżących potrzeb. Wykonawca będzie odpowiedzialny za przedstawienie raportu o bieżącym zaawansowaniu prac i informacji o zagrożeniach w realizacji projektu oraz sposobach rozwiązywania tych problemów na żądanie Zamawiającego, nie częściej niż raz w miesiącu.</w:t>
      </w:r>
    </w:p>
    <w:p w14:paraId="0844E6D0" w14:textId="77777777" w:rsidR="009F0747" w:rsidRPr="00E70796" w:rsidRDefault="009F0747" w:rsidP="00FA7C74">
      <w:pPr>
        <w:pStyle w:val="Akapitzlist"/>
        <w:numPr>
          <w:ilvl w:val="0"/>
          <w:numId w:val="9"/>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Zgłoszenie zagadnienia wymagającego decyzji Komitetu Sterującego przez Wykonawcę będzie miało formę pisemną.</w:t>
      </w:r>
    </w:p>
    <w:p w14:paraId="07F88D94" w14:textId="3FAF6D1B" w:rsidR="009F0747" w:rsidRPr="00E70796" w:rsidRDefault="009F0747" w:rsidP="00FA7C74">
      <w:pPr>
        <w:pStyle w:val="Nagwek3"/>
        <w:numPr>
          <w:ilvl w:val="0"/>
          <w:numId w:val="10"/>
        </w:numPr>
        <w:jc w:val="both"/>
        <w:rPr>
          <w:rFonts w:cstheme="majorHAnsi"/>
        </w:rPr>
      </w:pPr>
      <w:r w:rsidRPr="00E70796">
        <w:rPr>
          <w:rFonts w:cstheme="majorHAnsi"/>
        </w:rPr>
        <w:t>Dokumentacja projektowa</w:t>
      </w:r>
    </w:p>
    <w:p w14:paraId="045B925B" w14:textId="77777777" w:rsidR="009F0747" w:rsidRPr="00E70796" w:rsidRDefault="009F0747" w:rsidP="006C1522">
      <w:pPr>
        <w:spacing w:after="0"/>
        <w:jc w:val="both"/>
        <w:rPr>
          <w:rFonts w:asciiTheme="majorHAnsi" w:hAnsiTheme="majorHAnsi" w:cstheme="majorHAnsi"/>
        </w:rPr>
      </w:pPr>
      <w:r w:rsidRPr="00E70796">
        <w:rPr>
          <w:rFonts w:asciiTheme="majorHAnsi" w:hAnsiTheme="majorHAnsi" w:cstheme="majorHAnsi"/>
        </w:rPr>
        <w:t>W ramach zakresu prac Wykonawca opracuje dla Zamawiającego Dokumentację Przedmiotu Zamówienia (zwaną dalej Dokumentacją), która składa się z nw. zakresów:</w:t>
      </w:r>
    </w:p>
    <w:p w14:paraId="480A71EB" w14:textId="77777777" w:rsidR="009F0747" w:rsidRPr="00E70796" w:rsidRDefault="009F0747" w:rsidP="00FA7C74">
      <w:pPr>
        <w:pStyle w:val="Akapitzlist"/>
        <w:numPr>
          <w:ilvl w:val="0"/>
          <w:numId w:val="11"/>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Dokumentacja Analizy Przedwdrożeniowej (DAP),</w:t>
      </w:r>
    </w:p>
    <w:p w14:paraId="53C11B70" w14:textId="77777777" w:rsidR="009F0747" w:rsidRPr="00E70796" w:rsidRDefault="009F0747" w:rsidP="00FA7C74">
      <w:pPr>
        <w:pStyle w:val="Akapitzlist"/>
        <w:numPr>
          <w:ilvl w:val="0"/>
          <w:numId w:val="11"/>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Harmonogram Wdrożenia,</w:t>
      </w:r>
    </w:p>
    <w:p w14:paraId="32467413" w14:textId="77777777" w:rsidR="009F0747" w:rsidRPr="00E70796" w:rsidRDefault="009F0747" w:rsidP="00FA7C74">
      <w:pPr>
        <w:pStyle w:val="Akapitzlist"/>
        <w:numPr>
          <w:ilvl w:val="0"/>
          <w:numId w:val="11"/>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Dokumentacja Powykonawcza.</w:t>
      </w:r>
    </w:p>
    <w:p w14:paraId="53DFD551"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 xml:space="preserve">Dokumentacja powyższa będzie zawierać bazowe zapisy opisujące budowane rozwiązanie, jeśli podczas analizy przedwdrożeniowej funkcjonalności OPZ wymagają doprecyzowania, procesy oraz sposób organizacji prac i wdrożenia. </w:t>
      </w:r>
    </w:p>
    <w:p w14:paraId="4D076B27"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Na podstawie zapisów w Dokumentacji będą prowadzone i odbierane poszczególne etapy realizowanego Przedmiotu zamówienia. Dokumenty te wraz z SWZ i OPZ będą stanowiły podstawę do weryfikacji wdrożenia w trakcie odbiorów.</w:t>
      </w:r>
    </w:p>
    <w:p w14:paraId="30A69222" w14:textId="77777777" w:rsidR="009F0747" w:rsidRPr="00E70796" w:rsidRDefault="009F0747" w:rsidP="006C1522">
      <w:pPr>
        <w:jc w:val="both"/>
        <w:rPr>
          <w:rFonts w:asciiTheme="majorHAnsi" w:hAnsiTheme="majorHAnsi" w:cstheme="majorHAnsi"/>
        </w:rPr>
      </w:pPr>
      <w:r w:rsidRPr="00E70796">
        <w:rPr>
          <w:rFonts w:asciiTheme="majorHAnsi" w:hAnsiTheme="majorHAnsi" w:cstheme="majorHAnsi"/>
        </w:rPr>
        <w:t xml:space="preserve">Dokumentacja Analizy Przedwdrożeniowej DAP wraz z Harmonogramem Wdrożenia zostaną opracowane w oparciu o wymagania określone w niniejszym OPZ. Dokumentacja Analizy Przedwdrożeniowej zostanie przekazana Zamawiającemu w terminie do 10 Dni od daty udostępnienia Wykonawcy przez Zamawiającego kompletu danych niezbędnych do realizacji Przedmiotu Zamówienia, o które zawnioskuje Wykonawca. Zakres tych danych wraz z ewentualnymi szablonami określającymi formę w jakiej należy je opracować Wykonawca jest zobowiązany przekazać Zamawiającemu w terminie 5 dni od daty zawarcia Umowy. </w:t>
      </w:r>
    </w:p>
    <w:p w14:paraId="0140E976" w14:textId="7D96F965" w:rsidR="009F0747" w:rsidRPr="00E70796" w:rsidRDefault="009F0747" w:rsidP="006C1522">
      <w:pPr>
        <w:jc w:val="both"/>
        <w:rPr>
          <w:rFonts w:asciiTheme="majorHAnsi" w:hAnsiTheme="majorHAnsi" w:cstheme="majorHAnsi"/>
        </w:rPr>
      </w:pPr>
      <w:bookmarkStart w:id="4" w:name="_lxwfwyz8tvp6" w:colFirst="0" w:colLast="0"/>
      <w:bookmarkEnd w:id="4"/>
      <w:r w:rsidRPr="00E70796">
        <w:rPr>
          <w:rFonts w:asciiTheme="majorHAnsi" w:hAnsiTheme="majorHAnsi" w:cstheme="majorHAnsi"/>
        </w:rPr>
        <w:t>Dokumentacja podlega uzgadnianiu i akceptacji Zamawiającego, która następuje w terminie 5 Dni od daty przekazania DAP przez Wykonawcę. Akceptacja DAP warunkuje rozpoczęcie prac wdrożeniowych Wykonawcy i rozpoczyna bieg terminu realizacji Przedmiotu Umowy.</w:t>
      </w:r>
    </w:p>
    <w:p w14:paraId="26490741" w14:textId="7596397F" w:rsidR="008C666F" w:rsidRPr="00E70796" w:rsidRDefault="008C666F" w:rsidP="00FA7C74">
      <w:pPr>
        <w:pStyle w:val="Nagwek3"/>
        <w:numPr>
          <w:ilvl w:val="0"/>
          <w:numId w:val="10"/>
        </w:numPr>
        <w:jc w:val="both"/>
        <w:rPr>
          <w:rFonts w:cstheme="majorHAnsi"/>
        </w:rPr>
      </w:pPr>
      <w:r w:rsidRPr="00E70796">
        <w:rPr>
          <w:rFonts w:cstheme="majorHAnsi"/>
        </w:rPr>
        <w:t>Analiza przedwdrożeniowa</w:t>
      </w:r>
    </w:p>
    <w:p w14:paraId="6FCE25E0" w14:textId="77777777" w:rsidR="008C666F" w:rsidRPr="00E70796" w:rsidRDefault="008C666F" w:rsidP="006C1522">
      <w:pPr>
        <w:jc w:val="both"/>
        <w:rPr>
          <w:rFonts w:asciiTheme="majorHAnsi" w:hAnsiTheme="majorHAnsi" w:cstheme="majorHAnsi"/>
          <w:color w:val="FF0000"/>
        </w:rPr>
      </w:pPr>
      <w:r w:rsidRPr="00E70796">
        <w:rPr>
          <w:rFonts w:asciiTheme="majorHAnsi" w:hAnsiTheme="majorHAnsi" w:cstheme="majorHAnsi"/>
        </w:rPr>
        <w:t xml:space="preserve">Analizę przedwdrożeniową należy rozumieć jako zakres czynności do wykonania przez Wykonawcę mający na celu analizę środowiska biznesowego i informatycznego Zamawiającego. W wyniku przeprowadzenia Analizy przedwdrożeniowej Wykonawca przedstawi Zamawiającemu DAP, na podstawie której będzie realizowany organizacyjnie i technicznie Przedmiot Zamówienia. </w:t>
      </w:r>
    </w:p>
    <w:p w14:paraId="35ED7332" w14:textId="77777777" w:rsidR="008C666F" w:rsidRPr="00E70796" w:rsidRDefault="008C666F" w:rsidP="006C1522">
      <w:p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Dokumentacja Analizy Przedwdrożeniowej (DAP) powinna zawierać w szczególności:</w:t>
      </w:r>
    </w:p>
    <w:p w14:paraId="7169158F"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założenia metodyki projektowej,</w:t>
      </w:r>
    </w:p>
    <w:p w14:paraId="676D0B54"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plan i sposób komunikacji w projekcie,</w:t>
      </w:r>
    </w:p>
    <w:p w14:paraId="5D58836F"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zadania stron przydzielone do ról w projekcie,</w:t>
      </w:r>
    </w:p>
    <w:p w14:paraId="27B72513"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sposób obsługi zmian projektowych,</w:t>
      </w:r>
    </w:p>
    <w:p w14:paraId="38160506"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plan zarządzania ryzykiem,</w:t>
      </w:r>
    </w:p>
    <w:p w14:paraId="3FCB76B8"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architekturę rozwiązania,</w:t>
      </w:r>
    </w:p>
    <w:p w14:paraId="7B964BE1"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jednoznacznie określone założenia integracji z innymi systemami informatycznymi, które posiada Zamawiający</w:t>
      </w:r>
    </w:p>
    <w:p w14:paraId="4FE9EB2D"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plan pracy na dalsze etapy Wdrożenia,</w:t>
      </w:r>
    </w:p>
    <w:p w14:paraId="5BF001AD"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zakresy szkoleń użytkowników,</w:t>
      </w:r>
    </w:p>
    <w:p w14:paraId="217D2C02"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szczegółową specyfikację Oprogramowania Aplikacyjnego oraz towarzyszącego podlegającego wdrożeniu, </w:t>
      </w:r>
    </w:p>
    <w:p w14:paraId="5A0DFA41"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założenia wdrożenia / konfiguracji modułów, </w:t>
      </w:r>
    </w:p>
    <w:p w14:paraId="65466BEC"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proponowany harmonogram instruktażu personelu oraz administratorów,</w:t>
      </w:r>
    </w:p>
    <w:p w14:paraId="59A7348B"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propozycje scenariuszy testów (akceptacyjnych, wdrożeniowych, konfiguracyjnych, bezpieczeństwa)</w:t>
      </w:r>
    </w:p>
    <w:p w14:paraId="7E97A357" w14:textId="77777777" w:rsidR="008C666F" w:rsidRPr="00E70796" w:rsidRDefault="008C666F" w:rsidP="00FA7C74">
      <w:pPr>
        <w:pStyle w:val="Akapitzlist"/>
        <w:numPr>
          <w:ilvl w:val="0"/>
          <w:numId w:val="13"/>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procedurę odbiorów,</w:t>
      </w:r>
    </w:p>
    <w:p w14:paraId="1A62418F" w14:textId="77777777" w:rsidR="008C666F" w:rsidRPr="00E70796" w:rsidRDefault="008C666F" w:rsidP="00FA7C74">
      <w:pPr>
        <w:pStyle w:val="Akapitzlist"/>
        <w:numPr>
          <w:ilvl w:val="0"/>
          <w:numId w:val="13"/>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 xml:space="preserve">stwierdzone zagrożenia projektowe. </w:t>
      </w:r>
    </w:p>
    <w:p w14:paraId="53D48E64" w14:textId="77777777" w:rsidR="008C666F" w:rsidRPr="00E70796" w:rsidRDefault="008C666F" w:rsidP="006C1522">
      <w:pPr>
        <w:pBdr>
          <w:top w:val="nil"/>
          <w:left w:val="nil"/>
          <w:bottom w:val="nil"/>
          <w:right w:val="nil"/>
          <w:between w:val="nil"/>
        </w:pBdr>
        <w:tabs>
          <w:tab w:val="left" w:pos="69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W zakresie analizy przedwdrożeniowej Wykonawca zobowiązany będzie co najmniej do przeprowadzenia analizy istniejącego w środowisku Zamawiającego rozwiązania celem identyfikacji i inwentaryzacji konfiguracji elementów niestandardowych w szczególności:</w:t>
      </w:r>
    </w:p>
    <w:p w14:paraId="1C676A12"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Funkcjonalności,</w:t>
      </w:r>
    </w:p>
    <w:p w14:paraId="465D02EA"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Raportów,</w:t>
      </w:r>
    </w:p>
    <w:p w14:paraId="7945A4B2"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Wydruków,</w:t>
      </w:r>
    </w:p>
    <w:p w14:paraId="7FCC2AC2"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Formularzy,</w:t>
      </w:r>
    </w:p>
    <w:p w14:paraId="56915C78"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Usług,</w:t>
      </w:r>
    </w:p>
    <w:p w14:paraId="21955B83"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Typów i grup użytkowników,</w:t>
      </w:r>
    </w:p>
    <w:p w14:paraId="79E463FD"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Przebiegu istniejących procesów,</w:t>
      </w:r>
    </w:p>
    <w:p w14:paraId="49DCD1FA"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Jednostek organizacyjnych,</w:t>
      </w:r>
    </w:p>
    <w:p w14:paraId="37704168"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Integracji z innymi systemami,</w:t>
      </w:r>
    </w:p>
    <w:p w14:paraId="688A0799"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Bieżącej konfiguracji wykorzystywanej w tym obszarze funkcji,</w:t>
      </w:r>
    </w:p>
    <w:p w14:paraId="12526A1A" w14:textId="77777777" w:rsidR="008C666F" w:rsidRPr="00E70796" w:rsidRDefault="008C666F" w:rsidP="00FA7C74">
      <w:pPr>
        <w:pStyle w:val="Akapitzlist"/>
        <w:numPr>
          <w:ilvl w:val="0"/>
          <w:numId w:val="14"/>
        </w:numPr>
        <w:pBdr>
          <w:top w:val="nil"/>
          <w:left w:val="nil"/>
          <w:bottom w:val="nil"/>
          <w:right w:val="nil"/>
          <w:between w:val="nil"/>
        </w:pBdr>
        <w:tabs>
          <w:tab w:val="left" w:pos="826"/>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Bieżącej i przyszłej konfiguracji systemu w ramach integracji z HIS/RIS/PACS,</w:t>
      </w:r>
    </w:p>
    <w:p w14:paraId="7EBD2209" w14:textId="77777777" w:rsidR="008C666F" w:rsidRPr="00E70796" w:rsidRDefault="008C666F" w:rsidP="00FA7C74">
      <w:pPr>
        <w:pStyle w:val="Akapitzlist"/>
        <w:numPr>
          <w:ilvl w:val="0"/>
          <w:numId w:val="1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Bieżącej i przyszłej konfiguracji systemu z modułem Apteki,</w:t>
      </w:r>
    </w:p>
    <w:p w14:paraId="38CFB51F" w14:textId="0C3D998A" w:rsidR="008C666F" w:rsidRPr="00E70796" w:rsidRDefault="008C666F" w:rsidP="00FA7C74">
      <w:pPr>
        <w:pStyle w:val="Akapitzlist"/>
        <w:numPr>
          <w:ilvl w:val="0"/>
          <w:numId w:val="14"/>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Procesów integracji pomiędzy systemem HIS/RIS/PACS/LIS/</w:t>
      </w:r>
      <w:proofErr w:type="spellStart"/>
      <w:r w:rsidRPr="00E70796">
        <w:rPr>
          <w:rFonts w:asciiTheme="majorHAnsi" w:eastAsia="Calibri" w:hAnsiTheme="majorHAnsi" w:cstheme="majorHAnsi"/>
          <w:color w:val="000000"/>
        </w:rPr>
        <w:t>eUsługi</w:t>
      </w:r>
      <w:proofErr w:type="spellEnd"/>
      <w:r w:rsidRPr="00E70796">
        <w:rPr>
          <w:rFonts w:asciiTheme="majorHAnsi" w:eastAsia="Calibri" w:hAnsiTheme="majorHAnsi" w:cstheme="majorHAnsi"/>
          <w:color w:val="000000"/>
        </w:rPr>
        <w:t>.</w:t>
      </w:r>
    </w:p>
    <w:p w14:paraId="4DA8C6AA" w14:textId="7F267048" w:rsidR="008C666F" w:rsidRPr="00E70796" w:rsidRDefault="008C666F" w:rsidP="00FA7C74">
      <w:pPr>
        <w:pStyle w:val="Nagwek3"/>
        <w:numPr>
          <w:ilvl w:val="0"/>
          <w:numId w:val="10"/>
        </w:numPr>
        <w:jc w:val="both"/>
        <w:rPr>
          <w:rFonts w:cstheme="majorHAnsi"/>
        </w:rPr>
      </w:pPr>
      <w:r w:rsidRPr="00E70796">
        <w:rPr>
          <w:rFonts w:cstheme="majorHAnsi"/>
        </w:rPr>
        <w:t>Harmonogram wdrożenia</w:t>
      </w:r>
    </w:p>
    <w:p w14:paraId="2E03D15C" w14:textId="743E61BF" w:rsidR="008C666F" w:rsidRPr="00E70796" w:rsidRDefault="008C666F" w:rsidP="006C1522">
      <w:pPr>
        <w:jc w:val="both"/>
        <w:rPr>
          <w:rFonts w:asciiTheme="majorHAnsi" w:hAnsiTheme="majorHAnsi" w:cstheme="majorHAnsi"/>
        </w:rPr>
      </w:pPr>
      <w:r w:rsidRPr="00E70796">
        <w:rPr>
          <w:rFonts w:asciiTheme="majorHAnsi" w:hAnsiTheme="majorHAnsi" w:cstheme="majorHAnsi"/>
        </w:rPr>
        <w:t>Wykonawca zobowiązany jest opracować na podstawie SWZ, OPZ oraz przeprowadzonej analizy przedwdrożeniowej szczegółowy harmonogram wdrożenia. Harmonogram należy przedstawić Zamawiającemu w terminie do 5 dni od akceptacji DAP.</w:t>
      </w:r>
    </w:p>
    <w:p w14:paraId="4DA12F33" w14:textId="77777777" w:rsidR="008C666F" w:rsidRPr="00E70796" w:rsidRDefault="008C666F" w:rsidP="00AB4B40">
      <w:pPr>
        <w:pStyle w:val="Akapitzlist"/>
        <w:numPr>
          <w:ilvl w:val="0"/>
          <w:numId w:val="15"/>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Harmonogram Prac powinien uwzględniać podstawowe etapy wdrożenia:</w:t>
      </w:r>
    </w:p>
    <w:p w14:paraId="3B9C8980" w14:textId="77777777" w:rsidR="008C666F" w:rsidRPr="00E70796" w:rsidRDefault="008C666F" w:rsidP="00AB4B40">
      <w:pPr>
        <w:pStyle w:val="Akapitzlist"/>
        <w:numPr>
          <w:ilvl w:val="1"/>
          <w:numId w:val="15"/>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 xml:space="preserve">Analiza przedwdrożeniowa </w:t>
      </w:r>
    </w:p>
    <w:p w14:paraId="7F53C265" w14:textId="77777777" w:rsidR="008C666F" w:rsidRPr="00E70796" w:rsidRDefault="008C666F" w:rsidP="00AB4B40">
      <w:pPr>
        <w:pStyle w:val="Akapitzlist"/>
        <w:numPr>
          <w:ilvl w:val="1"/>
          <w:numId w:val="15"/>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 xml:space="preserve">Dostawa tytułów prawnych (licencji) uprawniających Zamawiającego do eksploatacji oprogramowania stanowiącego przedmiot zamówienia. </w:t>
      </w:r>
    </w:p>
    <w:p w14:paraId="4B55A729" w14:textId="77777777" w:rsidR="008C666F" w:rsidRPr="00E70796" w:rsidRDefault="008C666F" w:rsidP="00AB4B40">
      <w:pPr>
        <w:pStyle w:val="Akapitzlist"/>
        <w:numPr>
          <w:ilvl w:val="1"/>
          <w:numId w:val="15"/>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 xml:space="preserve">Realizacja integracji ze sprzętem, aparaturą, systemami medycznymi w kolejności wskazanej w analizie przedwdrożeniowej </w:t>
      </w:r>
    </w:p>
    <w:p w14:paraId="2FFA9D26" w14:textId="77777777" w:rsidR="008C666F" w:rsidRPr="00E70796" w:rsidRDefault="008C666F" w:rsidP="00AB4B40">
      <w:pPr>
        <w:pStyle w:val="Akapitzlist"/>
        <w:numPr>
          <w:ilvl w:val="1"/>
          <w:numId w:val="15"/>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Realizacja konfiguracja oprogramowania i systemu, przygotowanie systemu bazodanowego, warsztaty i szkolenia administracyjne dla zespołu IT</w:t>
      </w:r>
    </w:p>
    <w:p w14:paraId="3C6B78B2" w14:textId="77777777" w:rsidR="008C666F" w:rsidRPr="00E70796" w:rsidRDefault="008C666F" w:rsidP="00AB4B40">
      <w:pPr>
        <w:pStyle w:val="Akapitzlist"/>
        <w:numPr>
          <w:ilvl w:val="1"/>
          <w:numId w:val="15"/>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Realizacja wdrożenia modułów posiadających krótsze terminy uruchomienia konieczne z uwagi na zachowanie właściwej kolejności wdrażanych rozwiązań</w:t>
      </w:r>
    </w:p>
    <w:p w14:paraId="02021FDB" w14:textId="77777777" w:rsidR="008C666F" w:rsidRPr="00E70796" w:rsidRDefault="008C666F" w:rsidP="00AB4B40">
      <w:pPr>
        <w:pStyle w:val="Akapitzlist"/>
        <w:numPr>
          <w:ilvl w:val="1"/>
          <w:numId w:val="15"/>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Realizacja wdrożenia z terminami określonym w załącznikach Opisu Przedmiotu Zamówienia– konfiguracja systemu, testy akceptacyjne, szkolenia końcowe związane z wdrażana funkcjonalnością.</w:t>
      </w:r>
    </w:p>
    <w:p w14:paraId="268CCA36" w14:textId="5A01BC2E" w:rsidR="008C666F" w:rsidRPr="003F4838" w:rsidRDefault="008C666F" w:rsidP="00AB4B40">
      <w:pPr>
        <w:pStyle w:val="Akapitzlist"/>
        <w:numPr>
          <w:ilvl w:val="0"/>
          <w:numId w:val="15"/>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Zakończenie elementów integracji, realizacja testów bezpieczeństwa we wskazanym zakresie, przekazanie dokumentacji powykonawczej i podpisanie protokołów.</w:t>
      </w:r>
    </w:p>
    <w:p w14:paraId="0F9D23A7" w14:textId="77777777" w:rsidR="003F4838" w:rsidRPr="00E70796" w:rsidRDefault="003F4838" w:rsidP="003F4838">
      <w:pPr>
        <w:pStyle w:val="Akapitzlist"/>
        <w:pBdr>
          <w:top w:val="nil"/>
          <w:left w:val="nil"/>
          <w:bottom w:val="nil"/>
          <w:right w:val="nil"/>
          <w:between w:val="nil"/>
        </w:pBdr>
        <w:spacing w:after="0" w:line="240" w:lineRule="auto"/>
        <w:ind w:left="0"/>
        <w:jc w:val="both"/>
        <w:rPr>
          <w:rFonts w:asciiTheme="majorHAnsi" w:hAnsiTheme="majorHAnsi" w:cstheme="majorHAnsi"/>
          <w:color w:val="000000"/>
        </w:rPr>
      </w:pPr>
    </w:p>
    <w:p w14:paraId="6D4F29F2" w14:textId="39D7DF75" w:rsidR="008C666F" w:rsidRPr="00E70796" w:rsidRDefault="008C666F" w:rsidP="00FA7C74">
      <w:pPr>
        <w:pStyle w:val="Nagwek3"/>
        <w:numPr>
          <w:ilvl w:val="0"/>
          <w:numId w:val="10"/>
        </w:numPr>
        <w:jc w:val="both"/>
        <w:rPr>
          <w:rFonts w:cstheme="majorHAnsi"/>
        </w:rPr>
      </w:pPr>
      <w:r w:rsidRPr="00E70796">
        <w:rPr>
          <w:rFonts w:cstheme="majorHAnsi"/>
        </w:rPr>
        <w:t>Dokumentacja Powykonawcza</w:t>
      </w:r>
    </w:p>
    <w:p w14:paraId="2A873919" w14:textId="77777777" w:rsidR="008C666F" w:rsidRPr="00E70796" w:rsidRDefault="008C666F" w:rsidP="006C1522">
      <w:pPr>
        <w:jc w:val="both"/>
        <w:rPr>
          <w:rFonts w:asciiTheme="majorHAnsi" w:hAnsiTheme="majorHAnsi" w:cstheme="majorHAnsi"/>
        </w:rPr>
      </w:pPr>
      <w:r w:rsidRPr="00E70796">
        <w:rPr>
          <w:rFonts w:asciiTheme="majorHAnsi" w:hAnsiTheme="majorHAnsi" w:cstheme="majorHAnsi"/>
        </w:rPr>
        <w:t xml:space="preserve">Warunkiem dokonania Odbioru Końcowego jest dostarczenie przez Wykonawcę Dokumentacji Powykonawczej obejmującej dokumentację użytkową i eksploatacyjną. Dokumentacja Powykonawcza musi być dostarczona w języku polskim, w wersji elektronicznej lub być dostępna on-line. Zamawiający dopuszcza dla dostarczanej infrastruktury technicznej dokumentację w języku angielskim. </w:t>
      </w:r>
    </w:p>
    <w:p w14:paraId="20A6387E" w14:textId="77777777" w:rsidR="008C666F" w:rsidRPr="00E70796" w:rsidRDefault="008C666F" w:rsidP="006C1522">
      <w:pPr>
        <w:jc w:val="both"/>
        <w:rPr>
          <w:rFonts w:asciiTheme="majorHAnsi" w:hAnsiTheme="majorHAnsi" w:cstheme="majorHAnsi"/>
          <w:color w:val="000000"/>
        </w:rPr>
      </w:pPr>
      <w:r w:rsidRPr="00E70796">
        <w:rPr>
          <w:rFonts w:asciiTheme="majorHAnsi" w:eastAsia="Calibri" w:hAnsiTheme="majorHAnsi" w:cstheme="majorHAnsi"/>
          <w:color w:val="000000"/>
        </w:rPr>
        <w:t>W dokumentacji muszą być zawarte opisy wszelkich cech, właściwości i funkcjonalności pozwalających na poprawną z punktu widzenia technicznego eksploatację rozwiązań</w:t>
      </w:r>
    </w:p>
    <w:p w14:paraId="23D20D65" w14:textId="77777777" w:rsidR="008C666F" w:rsidRPr="00E70796" w:rsidRDefault="008C666F" w:rsidP="006C1522">
      <w:pPr>
        <w:jc w:val="both"/>
        <w:rPr>
          <w:rFonts w:asciiTheme="majorHAnsi" w:hAnsiTheme="majorHAnsi" w:cstheme="majorHAnsi"/>
        </w:rPr>
      </w:pPr>
      <w:r w:rsidRPr="00E70796">
        <w:rPr>
          <w:rFonts w:asciiTheme="majorHAnsi" w:eastAsia="Calibri" w:hAnsiTheme="majorHAnsi" w:cstheme="majorHAnsi"/>
          <w:color w:val="000000"/>
        </w:rPr>
        <w:t>Wykonawca w ramach odbioru przekazuje dostępy administracyjne (loginy i hasła) do wszystkich systemów związanych z działaniem wdrażanego oprogramowania systemu  w tym dostępu do podsystemów medycznych ściśle zintegrowanych z tym systemem oraz systemów bazodanowych</w:t>
      </w:r>
    </w:p>
    <w:p w14:paraId="1CED6B1F" w14:textId="77777777" w:rsidR="006C1522" w:rsidRPr="00E70796" w:rsidRDefault="006C1522" w:rsidP="006C1522">
      <w:pPr>
        <w:spacing w:after="0"/>
        <w:jc w:val="both"/>
        <w:rPr>
          <w:rFonts w:asciiTheme="majorHAnsi" w:hAnsiTheme="majorHAnsi" w:cstheme="majorHAnsi"/>
        </w:rPr>
      </w:pPr>
      <w:r w:rsidRPr="00E70796">
        <w:rPr>
          <w:rFonts w:asciiTheme="majorHAnsi" w:hAnsiTheme="majorHAnsi" w:cstheme="majorHAnsi"/>
        </w:rPr>
        <w:t>W szczególności Dokumentacja ta powinna zawierać następujące elementy:</w:t>
      </w:r>
    </w:p>
    <w:p w14:paraId="5B33472C" w14:textId="77777777"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Opis sposobu licencjonowania Oprogramowania Aplikacyjnego.</w:t>
      </w:r>
    </w:p>
    <w:p w14:paraId="593E44B1" w14:textId="77777777"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Opis architektury technicznej: </w:t>
      </w:r>
    </w:p>
    <w:p w14:paraId="44DE0EBF"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wyszczególnienie oraz opis minimalnych wymagań sprzętowych, systemowych i aplikacyjnych wymaganych do poprawnej pracy Oprogramowania zgodnie z wymaganiami wydajności, funkcjonalności i bezpieczeństwa,</w:t>
      </w:r>
    </w:p>
    <w:p w14:paraId="15E88410"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szczegóły wykonanej konfiguracji wdrożonych modułów Oprogramowania Aplikacyjnego oraz urządzeń, zainstalowanych w ramach budowy systemu IT objętych dostawą, </w:t>
      </w:r>
    </w:p>
    <w:p w14:paraId="141F2904"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opis struktury bazy danych,</w:t>
      </w:r>
    </w:p>
    <w:p w14:paraId="0A7531B5"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specyfikację funkcjonalną interfejsu</w:t>
      </w:r>
    </w:p>
    <w:p w14:paraId="4D00A985"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specyfikację danych podlegających wymianie oraz kierunek przepływu danych w zakresie uznanym przez Wykonawcę za niezbędny lecz nie mniejszy niż:  pełne dane osobowe i teleadresowe pacjenta, lista wykonanych i zaplanowanych świadczeń pacjenta, kolejki oczekujących na dany dzień, recepty i skierowania pacjenta, zlecenia i wyniki Pacjenta, udostępnione dokumenty elektroniczne pacjenta</w:t>
      </w:r>
    </w:p>
    <w:p w14:paraId="2D743912" w14:textId="77777777" w:rsidR="006C1522" w:rsidRPr="00E70796" w:rsidRDefault="006C1522" w:rsidP="00FA7C74">
      <w:pPr>
        <w:pStyle w:val="Akapitzlist"/>
        <w:numPr>
          <w:ilvl w:val="1"/>
          <w:numId w:val="16"/>
        </w:numPr>
        <w:pBdr>
          <w:top w:val="nil"/>
          <w:left w:val="nil"/>
          <w:bottom w:val="nil"/>
          <w:right w:val="nil"/>
          <w:between w:val="nil"/>
        </w:pBdr>
        <w:spacing w:after="0" w:line="276" w:lineRule="auto"/>
        <w:jc w:val="both"/>
        <w:rPr>
          <w:rFonts w:asciiTheme="majorHAnsi" w:hAnsiTheme="majorHAnsi" w:cstheme="majorHAnsi"/>
          <w:color w:val="000000"/>
        </w:rPr>
      </w:pPr>
      <w:r w:rsidRPr="00E70796">
        <w:rPr>
          <w:rFonts w:asciiTheme="majorHAnsi" w:eastAsia="Calibri" w:hAnsiTheme="majorHAnsi" w:cstheme="majorHAnsi"/>
          <w:color w:val="000000"/>
        </w:rPr>
        <w:t>specyfikację zawartości komunikatów,</w:t>
      </w:r>
    </w:p>
    <w:p w14:paraId="5EBE34A4" w14:textId="77777777" w:rsidR="006C1522" w:rsidRPr="00E70796" w:rsidRDefault="006C1522" w:rsidP="00FA7C74">
      <w:pPr>
        <w:pStyle w:val="Akapitzlist"/>
        <w:numPr>
          <w:ilvl w:val="1"/>
          <w:numId w:val="16"/>
        </w:numPr>
        <w:pBdr>
          <w:top w:val="nil"/>
          <w:left w:val="nil"/>
          <w:bottom w:val="nil"/>
          <w:right w:val="nil"/>
          <w:between w:val="nil"/>
        </w:pBdr>
        <w:spacing w:after="0" w:line="276" w:lineRule="auto"/>
        <w:jc w:val="both"/>
        <w:rPr>
          <w:rFonts w:asciiTheme="majorHAnsi" w:hAnsiTheme="majorHAnsi" w:cstheme="majorHAnsi"/>
          <w:color w:val="000000"/>
        </w:rPr>
      </w:pPr>
      <w:r w:rsidRPr="00E70796">
        <w:rPr>
          <w:rFonts w:asciiTheme="majorHAnsi" w:eastAsia="Calibri" w:hAnsiTheme="majorHAnsi" w:cstheme="majorHAnsi"/>
          <w:color w:val="000000"/>
        </w:rPr>
        <w:t>specyfikację parametrów,</w:t>
      </w:r>
    </w:p>
    <w:p w14:paraId="41F64DE5" w14:textId="77777777" w:rsidR="006C1522" w:rsidRPr="00E70796" w:rsidRDefault="006C1522" w:rsidP="00FA7C74">
      <w:pPr>
        <w:pStyle w:val="Akapitzlist"/>
        <w:numPr>
          <w:ilvl w:val="1"/>
          <w:numId w:val="16"/>
        </w:numPr>
        <w:pBdr>
          <w:top w:val="nil"/>
          <w:left w:val="nil"/>
          <w:bottom w:val="nil"/>
          <w:right w:val="nil"/>
          <w:between w:val="nil"/>
        </w:pBdr>
        <w:spacing w:after="0" w:line="276" w:lineRule="auto"/>
        <w:jc w:val="both"/>
        <w:rPr>
          <w:rFonts w:asciiTheme="majorHAnsi" w:hAnsiTheme="majorHAnsi" w:cstheme="majorHAnsi"/>
          <w:color w:val="000000"/>
        </w:rPr>
      </w:pPr>
      <w:r w:rsidRPr="00E70796">
        <w:rPr>
          <w:rFonts w:asciiTheme="majorHAnsi" w:eastAsia="Calibri" w:hAnsiTheme="majorHAnsi" w:cstheme="majorHAnsi"/>
          <w:color w:val="000000"/>
        </w:rPr>
        <w:t>przypadki użycia (jeżeli dotyczy),</w:t>
      </w:r>
    </w:p>
    <w:p w14:paraId="21172DA0"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medium wymiany dany</w:t>
      </w:r>
    </w:p>
    <w:p w14:paraId="113E0807"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wykaz używanych certyfikatów.</w:t>
      </w:r>
    </w:p>
    <w:p w14:paraId="13C6B12A" w14:textId="77777777"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Dokumentacja administracyjna związana z poprawną eksploatacją</w:t>
      </w:r>
    </w:p>
    <w:p w14:paraId="488749B6"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opis (w postaci procedur lub instrukcji) głównych czynności administracyjnych w zakresie wdrażanych Modułów i dostarczanych systemów informatycznych,</w:t>
      </w:r>
    </w:p>
    <w:p w14:paraId="0923A077"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opis zalecanego trybu backupu Oprogramowania i elementów infrastruktury software’owej, oraz zakres danych podlegających backupowi.</w:t>
      </w:r>
    </w:p>
    <w:p w14:paraId="36CFA470" w14:textId="77777777"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Dokumentacja administracyjna związana z realizacją wymagań informatycznych (opisanych w pkt III)</w:t>
      </w:r>
    </w:p>
    <w:p w14:paraId="56E420CC" w14:textId="77777777" w:rsidR="006C1522" w:rsidRPr="00E70796" w:rsidRDefault="006C1522" w:rsidP="00FA7C74">
      <w:pPr>
        <w:pStyle w:val="Akapitzlist"/>
        <w:numPr>
          <w:ilvl w:val="0"/>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Dokumentacja wdrożeniowa: zawiera opis wykonanych czynności instalacyjnych oraz konfiguracyjnych wszystkich komponentów systemu.</w:t>
      </w:r>
    </w:p>
    <w:p w14:paraId="08CB1039"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Instrukcje obsługi i instrukcje użytkowania dla wersji dostarczonego oprogramowania z podziałem na poszczególne moduły. Zamawiający dopuszcza w ramach instrukcji dokumentację udostępnioną online oraz filmy szkoleniowe.</w:t>
      </w:r>
    </w:p>
    <w:p w14:paraId="713A1393" w14:textId="77777777" w:rsidR="006C1522" w:rsidRPr="00E70796" w:rsidRDefault="006C1522" w:rsidP="00FA7C74">
      <w:pPr>
        <w:pStyle w:val="Akapitzlist"/>
        <w:numPr>
          <w:ilvl w:val="1"/>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 zakresie obszarów administratora Dokumentacja powinna zawierać dodatkowo co najmniej:</w:t>
      </w:r>
    </w:p>
    <w:p w14:paraId="5C0DE96F" w14:textId="77777777" w:rsidR="006C1522" w:rsidRPr="00E70796" w:rsidRDefault="006C1522" w:rsidP="00FA7C74">
      <w:pPr>
        <w:pStyle w:val="Akapitzlist"/>
        <w:numPr>
          <w:ilvl w:val="2"/>
          <w:numId w:val="16"/>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opis podstawowych ról użytkowników,</w:t>
      </w:r>
    </w:p>
    <w:p w14:paraId="1CC12B0E" w14:textId="77777777" w:rsidR="006C1522" w:rsidRPr="00E70796" w:rsidRDefault="006C1522" w:rsidP="00FA7C74">
      <w:pPr>
        <w:pStyle w:val="Akapitzlist"/>
        <w:numPr>
          <w:ilvl w:val="2"/>
          <w:numId w:val="16"/>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opis zarządzania uprawnieniami użytkownika.</w:t>
      </w:r>
    </w:p>
    <w:p w14:paraId="0617D271" w14:textId="2020E654" w:rsidR="006C1522" w:rsidRPr="00E70796" w:rsidRDefault="006C1522" w:rsidP="00FA7C74">
      <w:pPr>
        <w:pStyle w:val="Nagwek3"/>
        <w:numPr>
          <w:ilvl w:val="0"/>
          <w:numId w:val="10"/>
        </w:numPr>
        <w:jc w:val="both"/>
        <w:rPr>
          <w:rFonts w:cstheme="majorHAnsi"/>
        </w:rPr>
      </w:pPr>
      <w:r w:rsidRPr="00E70796">
        <w:rPr>
          <w:rFonts w:cstheme="majorHAnsi"/>
        </w:rPr>
        <w:t>Szkolenia/instruktaże</w:t>
      </w:r>
    </w:p>
    <w:p w14:paraId="3F7AC3E9" w14:textId="77777777" w:rsidR="006C1522" w:rsidRPr="00E70796" w:rsidRDefault="006C1522" w:rsidP="006C1522">
      <w:pPr>
        <w:pBdr>
          <w:top w:val="nil"/>
          <w:left w:val="nil"/>
          <w:bottom w:val="nil"/>
          <w:right w:val="nil"/>
          <w:between w:val="nil"/>
        </w:pBdr>
        <w:spacing w:before="22" w:after="12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 xml:space="preserve">Szkolenia mają na celu przekazanie użytkownikom końcowym wdrożonego Przedmiotu Zamówienia wiedzy z zakresu jego używania na odpowiednich stanowiskach służbowych. Przeprowadzenie pakietu szkoleń powinno zostać odpowiednio skoordynowane z przeprowadzeniem procesu wdrożenia oraz udokumentowane protokołami wraz z listą obecności. </w:t>
      </w:r>
    </w:p>
    <w:p w14:paraId="63BA8D05" w14:textId="77777777" w:rsidR="006C1522" w:rsidRPr="00E70796" w:rsidRDefault="006C1522" w:rsidP="006C1522">
      <w:pPr>
        <w:spacing w:after="0"/>
        <w:jc w:val="both"/>
        <w:rPr>
          <w:rFonts w:asciiTheme="majorHAnsi" w:hAnsiTheme="majorHAnsi" w:cstheme="majorHAnsi"/>
        </w:rPr>
      </w:pPr>
      <w:r w:rsidRPr="00E70796">
        <w:rPr>
          <w:rFonts w:asciiTheme="majorHAnsi" w:hAnsiTheme="majorHAnsi" w:cstheme="majorHAnsi"/>
        </w:rPr>
        <w:t>Szkolenia będą prowadzone w dwóch kategoriach:</w:t>
      </w:r>
    </w:p>
    <w:p w14:paraId="06C0EEAF" w14:textId="77777777" w:rsidR="006C1522" w:rsidRPr="00E70796" w:rsidRDefault="006C1522" w:rsidP="00FA7C74">
      <w:pPr>
        <w:pStyle w:val="Akapitzlist"/>
        <w:numPr>
          <w:ilvl w:val="0"/>
          <w:numId w:val="17"/>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dla użytkowników oprogramowania  </w:t>
      </w:r>
    </w:p>
    <w:p w14:paraId="32915856" w14:textId="5A6FD6AF" w:rsidR="006C1522" w:rsidRPr="00E70796" w:rsidRDefault="006C1522" w:rsidP="00FA7C74">
      <w:pPr>
        <w:pStyle w:val="Akapitzlist"/>
        <w:numPr>
          <w:ilvl w:val="0"/>
          <w:numId w:val="17"/>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 xml:space="preserve">dla administratorów </w:t>
      </w:r>
    </w:p>
    <w:p w14:paraId="77648C8F" w14:textId="77777777" w:rsidR="006C1522" w:rsidRPr="00E70796" w:rsidRDefault="006C1522" w:rsidP="006C1522">
      <w:pPr>
        <w:pBdr>
          <w:top w:val="nil"/>
          <w:left w:val="nil"/>
          <w:bottom w:val="nil"/>
          <w:right w:val="nil"/>
          <w:between w:val="nil"/>
        </w:pBdr>
        <w:spacing w:before="22" w:after="0" w:line="240" w:lineRule="auto"/>
        <w:ind w:right="394"/>
        <w:jc w:val="both"/>
        <w:rPr>
          <w:rFonts w:asciiTheme="majorHAnsi" w:hAnsiTheme="majorHAnsi" w:cstheme="majorHAnsi"/>
          <w:color w:val="000000"/>
        </w:rPr>
      </w:pPr>
      <w:r w:rsidRPr="00E70796">
        <w:rPr>
          <w:rFonts w:asciiTheme="majorHAnsi" w:eastAsia="Calibri" w:hAnsiTheme="majorHAnsi" w:cstheme="majorHAnsi"/>
          <w:color w:val="000000"/>
        </w:rPr>
        <w:t>Założenia do szkoleń:</w:t>
      </w:r>
    </w:p>
    <w:p w14:paraId="677131B9"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 uwagi na to, iż w ramach projektu planuje się wdrożenie specjalistycznego Oprogramowania, konieczne jest przeszkolenie personelu Zamawiającego. W związku z tym w ramach tego zadania zostaną zrealizowane szkolenia w formie prezentacji oraz instruktaże stanowiskowe.</w:t>
      </w:r>
    </w:p>
    <w:p w14:paraId="7C8D7612" w14:textId="2A66428F"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Wykonawca przeprowadzi instruktaże stanowiskowe w siedzibie Zamawiającego. Zamawiający udostępni pomieszczenie celem przeprowadzenia instruktaży stanowiskowych. </w:t>
      </w:r>
    </w:p>
    <w:p w14:paraId="0A8F6E27" w14:textId="5DA51EB5" w:rsidR="006C1522" w:rsidRPr="00E70796" w:rsidRDefault="006C1522" w:rsidP="00FA7C74">
      <w:pPr>
        <w:numPr>
          <w:ilvl w:val="0"/>
          <w:numId w:val="18"/>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Na podstawie przekazanego przez Zamawiającego wykazu osób oraz przewidywanego terminu i czasu instruktażu Wykonawca zaproponuje harmonogram, formę instruktażu  jak i podział na grupy.</w:t>
      </w:r>
    </w:p>
    <w:p w14:paraId="703AF358"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Harmonogram realizacji instruktaży zostanie uzgodniony na etapie Analizy Przedwdrożeniowej.</w:t>
      </w:r>
    </w:p>
    <w:p w14:paraId="2096583A"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Harmonogramy instruktaży muszą umożliwiać administratorom Zamawiającego obecność na zajęciach z danego tematu przeznaczonych dla innych grup zawodowych, z zastrzeżeniem, że na jednych zajęciach z danego tematu może być obecny co najmniej 1 informatyk. </w:t>
      </w:r>
    </w:p>
    <w:p w14:paraId="42C37A38"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Wykonawca nie ponosi odpowiedzialności za brak uczestnictwa użytkowników w instruktażach stanowiskowych.</w:t>
      </w:r>
    </w:p>
    <w:p w14:paraId="60348551"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Instruktaże stanowiskowe użytkowników oprogramowania i administratora będą musiały spełniać minimum następujących wymagania:</w:t>
      </w:r>
    </w:p>
    <w:p w14:paraId="59EB5F7F" w14:textId="68B02720" w:rsidR="006C1522" w:rsidRPr="00AB57BD" w:rsidRDefault="006C1522" w:rsidP="00FA7C74">
      <w:pPr>
        <w:numPr>
          <w:ilvl w:val="1"/>
          <w:numId w:val="12"/>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zajęcia powinny odbywać się w godzinach. </w:t>
      </w:r>
      <w:r w:rsidRPr="00C24799">
        <w:rPr>
          <w:rFonts w:asciiTheme="majorHAnsi" w:eastAsia="Calibri" w:hAnsiTheme="majorHAnsi" w:cstheme="majorHAnsi"/>
          <w:color w:val="000000"/>
        </w:rPr>
        <w:t xml:space="preserve">8:00  - </w:t>
      </w:r>
      <w:r w:rsidR="00BB61E8" w:rsidRPr="00AB57BD">
        <w:rPr>
          <w:rFonts w:asciiTheme="majorHAnsi" w:eastAsia="Calibri" w:hAnsiTheme="majorHAnsi" w:cstheme="majorHAnsi"/>
          <w:color w:val="000000"/>
        </w:rPr>
        <w:t>16</w:t>
      </w:r>
      <w:r w:rsidRPr="00AB57BD">
        <w:rPr>
          <w:rFonts w:asciiTheme="majorHAnsi" w:eastAsia="Calibri" w:hAnsiTheme="majorHAnsi" w:cstheme="majorHAnsi"/>
          <w:color w:val="000000"/>
        </w:rPr>
        <w:t>:00,</w:t>
      </w:r>
    </w:p>
    <w:p w14:paraId="35BB7AA2" w14:textId="48D9D7F5" w:rsidR="006C1522" w:rsidRPr="00C24799" w:rsidRDefault="006C1522" w:rsidP="00FA7C74">
      <w:pPr>
        <w:numPr>
          <w:ilvl w:val="1"/>
          <w:numId w:val="12"/>
        </w:numPr>
        <w:pBdr>
          <w:top w:val="nil"/>
          <w:left w:val="nil"/>
          <w:bottom w:val="nil"/>
          <w:right w:val="nil"/>
          <w:between w:val="nil"/>
        </w:pBdr>
        <w:spacing w:after="0"/>
        <w:jc w:val="both"/>
        <w:rPr>
          <w:rFonts w:asciiTheme="majorHAnsi" w:hAnsiTheme="majorHAnsi" w:cstheme="majorHAnsi"/>
          <w:color w:val="000000"/>
        </w:rPr>
      </w:pPr>
      <w:r w:rsidRPr="00AB57BD">
        <w:rPr>
          <w:rFonts w:asciiTheme="majorHAnsi" w:eastAsia="Calibri" w:hAnsiTheme="majorHAnsi" w:cstheme="majorHAnsi"/>
          <w:color w:val="000000"/>
        </w:rPr>
        <w:t xml:space="preserve">zajęcia nie będą mogły trwać dłużej niż </w:t>
      </w:r>
      <w:r w:rsidR="00254F7A" w:rsidRPr="0001152D">
        <w:rPr>
          <w:rFonts w:asciiTheme="majorHAnsi" w:eastAsia="Calibri" w:hAnsiTheme="majorHAnsi" w:cstheme="majorHAnsi"/>
          <w:color w:val="000000"/>
        </w:rPr>
        <w:t>8</w:t>
      </w:r>
      <w:r w:rsidR="00254F7A" w:rsidRPr="00C24799">
        <w:rPr>
          <w:rFonts w:asciiTheme="majorHAnsi" w:eastAsia="Calibri" w:hAnsiTheme="majorHAnsi" w:cstheme="majorHAnsi"/>
          <w:color w:val="000000"/>
        </w:rPr>
        <w:t xml:space="preserve"> </w:t>
      </w:r>
      <w:r w:rsidRPr="00C24799">
        <w:rPr>
          <w:rFonts w:asciiTheme="majorHAnsi" w:eastAsia="Calibri" w:hAnsiTheme="majorHAnsi" w:cstheme="majorHAnsi"/>
          <w:color w:val="000000"/>
        </w:rPr>
        <w:t>godzin dziennie.</w:t>
      </w:r>
    </w:p>
    <w:p w14:paraId="745C571D"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Za porozumieniem obu stron instruktaże stanowiskowe mogą odbywać się przy stanowiskach roboczych personelu, podczas wykonywania czynności służbowych (przy rozpoczęciu pracy w systemie).</w:t>
      </w:r>
    </w:p>
    <w:p w14:paraId="1586F191"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Za skuteczne przeprowadzenie instruktażu stanowiskowego uważa się dostępność w ustalonym miejscu i terminie przedstawicieli Wykonawcy, gotowych przeprowadzić instruktaż zgodnie z ustalonym harmonogramem. </w:t>
      </w:r>
    </w:p>
    <w:p w14:paraId="74EE0F3B"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Wykonawca w ramach instruktażu stanowiskowego przekaże dostęp do instrukcji do wdrożonego Systemu oraz materiałów szkoleniowych. </w:t>
      </w:r>
    </w:p>
    <w:p w14:paraId="6BCB362E"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Wszystkie szkolenia i instruktaże będą prowadzone w języku polskim.</w:t>
      </w:r>
    </w:p>
    <w:p w14:paraId="6DEA6457"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 ramach przeprowadzonych instruktaży stanowiskowych wymaga się:</w:t>
      </w:r>
    </w:p>
    <w:p w14:paraId="54185185" w14:textId="77777777" w:rsidR="006C1522" w:rsidRPr="00E70796" w:rsidRDefault="006C1522" w:rsidP="00FA7C74">
      <w:pPr>
        <w:numPr>
          <w:ilvl w:val="1"/>
          <w:numId w:val="12"/>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przekazania wiedzy niezbędnej do poprawnego użytkowania wdrożonego systemu, jego zakresu funkcjonalnego,</w:t>
      </w:r>
    </w:p>
    <w:p w14:paraId="43FC3528" w14:textId="77777777" w:rsidR="006C1522" w:rsidRPr="00E70796" w:rsidRDefault="006C1522" w:rsidP="00FA7C74">
      <w:pPr>
        <w:numPr>
          <w:ilvl w:val="1"/>
          <w:numId w:val="12"/>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przekazania wiedza w zakresie tworzenia i gromadzenia informacji, tworzeniem i gromadzeniem dokumentów, wykonywaniem analiz, sprawozdań i raportów.</w:t>
      </w:r>
    </w:p>
    <w:p w14:paraId="3D901134"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Zakres instruktaży stanowiskowych musi objąć część praktyczną/ćwiczeniową tak, aby personel Zamawiającego mógł podjąć samodzielnie działania użytkowania wdrożonego oprogramowania.</w:t>
      </w:r>
    </w:p>
    <w:p w14:paraId="5AF0D147"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Administratorzy po zakończeniu instruktaży muszą w szczególności umieć: </w:t>
      </w:r>
    </w:p>
    <w:p w14:paraId="63998561" w14:textId="77777777" w:rsidR="006C1522" w:rsidRPr="00E70796" w:rsidRDefault="006C1522" w:rsidP="00FA7C74">
      <w:pPr>
        <w:numPr>
          <w:ilvl w:val="1"/>
          <w:numId w:val="12"/>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 xml:space="preserve">wykonywać czynności administracyjne w zakresie instalacji oprogramowania systemowego i narzędziowego oraz oprogramowania, znać i umieć realizować procedury backupu, znać wytyczne w zakresie polityki bezpieczeństwa i umieć je stosować.. </w:t>
      </w:r>
    </w:p>
    <w:p w14:paraId="139ECC5B" w14:textId="77777777" w:rsidR="006C1522" w:rsidRPr="00E70796" w:rsidRDefault="006C1522" w:rsidP="00FA7C74">
      <w:pPr>
        <w:numPr>
          <w:ilvl w:val="1"/>
          <w:numId w:val="12"/>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Powinni umieć instalować, konfigurować, rekonfigurować, monitorować i prawidłowo eksploatować dostarczony Sprzęt i Oprogramowanie, jak również znać jego wdrożoną konfigurację.</w:t>
      </w:r>
    </w:p>
    <w:p w14:paraId="4E128B09" w14:textId="77777777" w:rsidR="006C1522" w:rsidRPr="00E70796" w:rsidRDefault="006C1522" w:rsidP="00FA7C74">
      <w:pPr>
        <w:numPr>
          <w:ilvl w:val="0"/>
          <w:numId w:val="18"/>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Wykonawca musi zapewnić podstawowe przeszkolenie, wyznaczonych osób z dostarczanych systemów/oprogramowania w ramach zamówienia.</w:t>
      </w:r>
    </w:p>
    <w:p w14:paraId="764C7F69" w14:textId="4D2AB1E5" w:rsidR="006C1522" w:rsidRPr="00F730C1" w:rsidRDefault="006C1522" w:rsidP="006C1522">
      <w:pPr>
        <w:numPr>
          <w:ilvl w:val="0"/>
          <w:numId w:val="18"/>
        </w:numPr>
        <w:pBdr>
          <w:top w:val="nil"/>
          <w:left w:val="nil"/>
          <w:bottom w:val="nil"/>
          <w:right w:val="nil"/>
          <w:between w:val="nil"/>
        </w:pBdr>
        <w:ind w:left="714" w:hanging="357"/>
        <w:jc w:val="both"/>
        <w:rPr>
          <w:rFonts w:asciiTheme="majorHAnsi" w:hAnsiTheme="majorHAnsi" w:cstheme="majorHAnsi"/>
          <w:color w:val="000000"/>
        </w:rPr>
      </w:pPr>
      <w:r w:rsidRPr="00F730C1">
        <w:rPr>
          <w:rFonts w:asciiTheme="majorHAnsi" w:eastAsia="Garamond" w:hAnsiTheme="majorHAnsi" w:cstheme="majorHAnsi"/>
          <w:color w:val="000000"/>
        </w:rPr>
        <w:t xml:space="preserve">Zamawiający określa minimalną liczbę godzin szkoleniowych na </w:t>
      </w:r>
      <w:r w:rsidR="00254F7A">
        <w:rPr>
          <w:rFonts w:asciiTheme="majorHAnsi" w:eastAsia="Garamond" w:hAnsiTheme="majorHAnsi" w:cstheme="majorHAnsi"/>
          <w:color w:val="000000"/>
        </w:rPr>
        <w:t>300</w:t>
      </w:r>
      <w:r w:rsidRPr="00F730C1">
        <w:rPr>
          <w:rFonts w:asciiTheme="majorHAnsi" w:eastAsia="Garamond" w:hAnsiTheme="majorHAnsi" w:cstheme="majorHAnsi"/>
          <w:color w:val="000000"/>
        </w:rPr>
        <w:t xml:space="preserve"> </w:t>
      </w:r>
    </w:p>
    <w:p w14:paraId="04E9BBE4" w14:textId="5A830BE7" w:rsidR="00197712" w:rsidRPr="0001152D" w:rsidRDefault="006C1522" w:rsidP="00197712">
      <w:pPr>
        <w:spacing w:before="100" w:beforeAutospacing="1" w:after="100" w:afterAutospacing="1"/>
        <w:rPr>
          <w:rFonts w:asciiTheme="majorHAnsi" w:hAnsiTheme="majorHAnsi" w:cstheme="majorHAnsi"/>
          <w:lang w:eastAsia="pl-PL"/>
        </w:rPr>
      </w:pPr>
      <w:r w:rsidRPr="00CB42CD">
        <w:rPr>
          <w:rFonts w:asciiTheme="majorHAnsi" w:hAnsiTheme="majorHAnsi" w:cstheme="majorHAnsi"/>
        </w:rPr>
        <w:t>Zamawiający zatrudnia</w:t>
      </w:r>
      <w:r w:rsidR="00F561C8" w:rsidRPr="00CB42CD">
        <w:rPr>
          <w:rFonts w:asciiTheme="majorHAnsi" w:hAnsiTheme="majorHAnsi" w:cstheme="majorHAnsi"/>
        </w:rPr>
        <w:t xml:space="preserve"> na oddziałach na których planowane jest wdrożenie CIS następującą liczbę pracowników</w:t>
      </w:r>
      <w:r w:rsidRPr="00CB42CD">
        <w:rPr>
          <w:rFonts w:asciiTheme="majorHAnsi" w:hAnsiTheme="majorHAnsi" w:cstheme="majorHAnsi"/>
        </w:rPr>
        <w:t>:</w:t>
      </w:r>
      <w:r w:rsidR="006E6CFA" w:rsidRPr="00CB42CD">
        <w:rPr>
          <w:rFonts w:asciiTheme="majorHAnsi" w:hAnsiTheme="majorHAnsi" w:cstheme="majorHAnsi"/>
        </w:rPr>
        <w:t xml:space="preserve"> </w:t>
      </w:r>
      <w:r w:rsidR="00197712" w:rsidRPr="00CB42CD">
        <w:rPr>
          <w:rFonts w:asciiTheme="majorHAnsi" w:hAnsiTheme="majorHAnsi" w:cstheme="majorHAnsi"/>
        </w:rPr>
        <w:t xml:space="preserve">1302 osoby, w tym </w:t>
      </w:r>
      <w:r w:rsidR="00197712" w:rsidRPr="0001152D">
        <w:rPr>
          <w:rFonts w:asciiTheme="majorHAnsi" w:hAnsiTheme="majorHAnsi" w:cstheme="majorHAnsi"/>
          <w:lang w:eastAsia="pl-PL"/>
        </w:rPr>
        <w:t xml:space="preserve">618 lekarzy, 684 pielęgniarki </w:t>
      </w:r>
    </w:p>
    <w:p w14:paraId="41F2A6F1" w14:textId="706C80F2" w:rsidR="00254F7A" w:rsidRPr="0001152D" w:rsidRDefault="00254F7A" w:rsidP="0001152D">
      <w:pPr>
        <w:pStyle w:val="NormalnyWeb"/>
        <w:jc w:val="both"/>
        <w:rPr>
          <w:rFonts w:asciiTheme="majorHAnsi" w:hAnsiTheme="majorHAnsi" w:cstheme="majorHAnsi"/>
          <w:sz w:val="22"/>
          <w:szCs w:val="22"/>
        </w:rPr>
      </w:pPr>
      <w:bookmarkStart w:id="5" w:name="_Hlk223007663"/>
      <w:r w:rsidRPr="0001152D">
        <w:rPr>
          <w:rFonts w:asciiTheme="majorHAnsi" w:hAnsiTheme="majorHAnsi" w:cstheme="majorHAnsi"/>
          <w:sz w:val="22"/>
          <w:szCs w:val="22"/>
        </w:rPr>
        <w:t>Wykonawca zobowiązany jest do przekazania materiałów w formie filmów instruktażowych lub zapewnienia dostępu do platformy e</w:t>
      </w:r>
      <w:r w:rsidR="00C24799" w:rsidRPr="0001152D">
        <w:rPr>
          <w:rFonts w:asciiTheme="majorHAnsi" w:hAnsiTheme="majorHAnsi" w:cstheme="majorHAnsi"/>
          <w:sz w:val="22"/>
          <w:szCs w:val="22"/>
        </w:rPr>
        <w:t>-</w:t>
      </w:r>
      <w:r w:rsidRPr="0001152D">
        <w:rPr>
          <w:rFonts w:asciiTheme="majorHAnsi" w:hAnsiTheme="majorHAnsi" w:cstheme="majorHAnsi"/>
          <w:sz w:val="22"/>
          <w:szCs w:val="22"/>
        </w:rPr>
        <w:t>learningowej, tak aby również nowo zatrudnieni pracownicy mogli w późniejszym czasie zapoznać się z zasadami obsługi systemu.</w:t>
      </w:r>
    </w:p>
    <w:p w14:paraId="14FB447E" w14:textId="75A2C5CE" w:rsidR="00254F7A" w:rsidRDefault="00254F7A">
      <w:pPr>
        <w:pStyle w:val="NormalnyWeb"/>
        <w:jc w:val="both"/>
        <w:rPr>
          <w:rFonts w:asciiTheme="majorHAnsi" w:hAnsiTheme="majorHAnsi" w:cstheme="majorHAnsi"/>
          <w:sz w:val="22"/>
          <w:szCs w:val="22"/>
        </w:rPr>
      </w:pPr>
      <w:r w:rsidRPr="0001152D">
        <w:rPr>
          <w:rFonts w:asciiTheme="majorHAnsi" w:hAnsiTheme="majorHAnsi" w:cstheme="majorHAnsi"/>
          <w:sz w:val="22"/>
          <w:szCs w:val="22"/>
        </w:rPr>
        <w:t>W ramach przewidzianych godzin instruktażowych dopuszcza się również możliwość realizacji konsultacji online, za uprzednią zgodą Zamawiającego.</w:t>
      </w:r>
    </w:p>
    <w:bookmarkEnd w:id="5"/>
    <w:p w14:paraId="5487739D" w14:textId="3B3D9468" w:rsidR="006C1522" w:rsidRPr="00E70796" w:rsidRDefault="006C1522" w:rsidP="00FA7C74">
      <w:pPr>
        <w:pStyle w:val="Nagwek3"/>
        <w:numPr>
          <w:ilvl w:val="0"/>
          <w:numId w:val="10"/>
        </w:numPr>
        <w:jc w:val="both"/>
        <w:rPr>
          <w:rFonts w:cstheme="majorHAnsi"/>
        </w:rPr>
      </w:pPr>
      <w:r w:rsidRPr="00E70796">
        <w:rPr>
          <w:rFonts w:cstheme="majorHAnsi"/>
        </w:rPr>
        <w:t>Serwis i konserwacja Systemu</w:t>
      </w:r>
    </w:p>
    <w:p w14:paraId="237B252F" w14:textId="77777777" w:rsidR="006C1522" w:rsidRPr="00E70796" w:rsidRDefault="006C1522" w:rsidP="006C1522">
      <w:pPr>
        <w:pBdr>
          <w:top w:val="nil"/>
          <w:left w:val="nil"/>
          <w:bottom w:val="nil"/>
          <w:right w:val="nil"/>
          <w:between w:val="nil"/>
        </w:pBdr>
        <w:spacing w:after="0" w:line="276" w:lineRule="auto"/>
        <w:jc w:val="both"/>
        <w:rPr>
          <w:rFonts w:asciiTheme="majorHAnsi" w:hAnsiTheme="majorHAnsi" w:cstheme="majorHAnsi"/>
          <w:color w:val="000000"/>
        </w:rPr>
      </w:pPr>
      <w:r w:rsidRPr="00E70796">
        <w:rPr>
          <w:rFonts w:asciiTheme="majorHAnsi" w:eastAsia="Calibri" w:hAnsiTheme="majorHAnsi" w:cstheme="majorHAnsi"/>
          <w:color w:val="000000"/>
        </w:rPr>
        <w:t xml:space="preserve">Świadczenie usług serwisu i konserwacji ma na celu zapewnienie ciągłości sprawnego działania  Przedmiotu zamówienia poprzez realizację działań naprawczych wynikających z analizy ujawnionych Błędów, niewłaściwego działania. </w:t>
      </w:r>
    </w:p>
    <w:p w14:paraId="464E4B20" w14:textId="77777777" w:rsidR="006C1522" w:rsidRPr="00E70796" w:rsidRDefault="006C1522" w:rsidP="006C1522">
      <w:pPr>
        <w:pBdr>
          <w:top w:val="nil"/>
          <w:left w:val="nil"/>
          <w:bottom w:val="nil"/>
          <w:right w:val="nil"/>
          <w:between w:val="nil"/>
        </w:pBdr>
        <w:spacing w:before="8" w:after="120" w:line="256" w:lineRule="auto"/>
        <w:jc w:val="both"/>
        <w:rPr>
          <w:rFonts w:asciiTheme="majorHAnsi" w:hAnsiTheme="majorHAnsi" w:cstheme="majorHAnsi"/>
          <w:color w:val="000000"/>
        </w:rPr>
      </w:pPr>
      <w:r w:rsidRPr="00E70796">
        <w:rPr>
          <w:rFonts w:asciiTheme="majorHAnsi" w:eastAsia="Calibri" w:hAnsiTheme="majorHAnsi" w:cstheme="majorHAnsi"/>
          <w:color w:val="000000"/>
        </w:rPr>
        <w:t>Wykonawca zobowiązuje się do dostarczania wolnych od wad kolejnych wersji Systemu zgodnych z aktualnymi, powszechnie obowiązującymi przepisami prawa.</w:t>
      </w:r>
    </w:p>
    <w:p w14:paraId="44A4D64D" w14:textId="45BB7385" w:rsidR="006C1522" w:rsidRPr="00E70796" w:rsidRDefault="006C1522" w:rsidP="006C1522">
      <w:pPr>
        <w:pBdr>
          <w:top w:val="nil"/>
          <w:left w:val="nil"/>
          <w:bottom w:val="nil"/>
          <w:right w:val="nil"/>
          <w:between w:val="nil"/>
        </w:pBdr>
        <w:spacing w:before="8" w:after="120" w:line="256" w:lineRule="auto"/>
        <w:jc w:val="both"/>
        <w:rPr>
          <w:rFonts w:asciiTheme="majorHAnsi" w:hAnsiTheme="majorHAnsi" w:cstheme="majorHAnsi"/>
          <w:color w:val="000000"/>
        </w:rPr>
      </w:pPr>
      <w:r w:rsidRPr="00E70796">
        <w:rPr>
          <w:rFonts w:asciiTheme="majorHAnsi" w:eastAsia="Calibri" w:hAnsiTheme="majorHAnsi" w:cstheme="majorHAnsi"/>
          <w:color w:val="000000"/>
        </w:rPr>
        <w:t>Wykonawca zapewni Zamawiającemu w ramach serwisu usługę typu helpdesk – czyli Portal dostępny on-line w</w:t>
      </w:r>
      <w:r w:rsidR="00131B43" w:rsidRPr="00131B43">
        <w:rPr>
          <w:rFonts w:asciiTheme="majorHAnsi" w:eastAsia="Calibri" w:hAnsiTheme="majorHAnsi" w:cstheme="majorHAnsi"/>
          <w:color w:val="000000"/>
        </w:rPr>
        <w:t xml:space="preserve"> trybie ciągłym, 24 godziny na dobę, przez wszystkie dni w roku (w tym w dni wolne od pracy i święta), z wyłączeniem planowanych okien serwisowyc</w:t>
      </w:r>
      <w:r w:rsidR="00131B43">
        <w:rPr>
          <w:rFonts w:asciiTheme="majorHAnsi" w:eastAsia="Calibri" w:hAnsiTheme="majorHAnsi" w:cstheme="majorHAnsi"/>
          <w:color w:val="000000"/>
        </w:rPr>
        <w:t>h</w:t>
      </w:r>
      <w:r w:rsidRPr="00E70796">
        <w:rPr>
          <w:rFonts w:asciiTheme="majorHAnsi" w:eastAsia="Calibri" w:hAnsiTheme="majorHAnsi" w:cstheme="majorHAnsi"/>
          <w:color w:val="000000"/>
        </w:rPr>
        <w:t>, umożliwiający wskazanym użytkownikom Zamawiającego dokonywanie zgłoszeń serwisowych oraz gdzie będą publikowane m.in. statusy zgłoszeń oraz ich treść i historia korespondencji. Jednocześnie Wykonawca udostępni Zamawiającemu adres e-mail, poprzez który Zamawiający będzie mógł dokonywać zgłoszeń serwisowych w przypadku braku dostępności Portalu typu helpdesk. Zgłoszenie serwisowe dokonane w czasie innym niż godziny robocze (</w:t>
      </w:r>
      <w:r w:rsidR="00131B43">
        <w:rPr>
          <w:rFonts w:asciiTheme="majorHAnsi" w:eastAsia="Calibri" w:hAnsiTheme="majorHAnsi" w:cstheme="majorHAnsi"/>
          <w:color w:val="000000"/>
        </w:rPr>
        <w:t>8</w:t>
      </w:r>
      <w:r w:rsidRPr="00E70796">
        <w:rPr>
          <w:rFonts w:asciiTheme="majorHAnsi" w:eastAsia="Calibri" w:hAnsiTheme="majorHAnsi" w:cstheme="majorHAnsi"/>
          <w:color w:val="000000"/>
        </w:rPr>
        <w:t>:00</w:t>
      </w:r>
      <w:r w:rsidR="00131B43">
        <w:rPr>
          <w:rFonts w:asciiTheme="majorHAnsi" w:eastAsia="Calibri" w:hAnsiTheme="majorHAnsi" w:cstheme="majorHAnsi"/>
          <w:color w:val="000000"/>
        </w:rPr>
        <w:t xml:space="preserve"> </w:t>
      </w:r>
      <w:r w:rsidRPr="00E70796">
        <w:rPr>
          <w:rFonts w:asciiTheme="majorHAnsi" w:eastAsia="Calibri" w:hAnsiTheme="majorHAnsi" w:cstheme="majorHAnsi"/>
          <w:color w:val="000000"/>
        </w:rPr>
        <w:t>-</w:t>
      </w:r>
      <w:r w:rsidR="00131B43">
        <w:rPr>
          <w:rFonts w:asciiTheme="majorHAnsi" w:eastAsia="Calibri" w:hAnsiTheme="majorHAnsi" w:cstheme="majorHAnsi"/>
          <w:color w:val="000000"/>
        </w:rPr>
        <w:t xml:space="preserve"> </w:t>
      </w:r>
      <w:r w:rsidRPr="00E70796">
        <w:rPr>
          <w:rFonts w:asciiTheme="majorHAnsi" w:eastAsia="Calibri" w:hAnsiTheme="majorHAnsi" w:cstheme="majorHAnsi"/>
          <w:color w:val="000000"/>
        </w:rPr>
        <w:t>1</w:t>
      </w:r>
      <w:r w:rsidR="003F6990">
        <w:rPr>
          <w:rFonts w:asciiTheme="majorHAnsi" w:eastAsia="Calibri" w:hAnsiTheme="majorHAnsi" w:cstheme="majorHAnsi"/>
          <w:color w:val="000000"/>
        </w:rPr>
        <w:t>6</w:t>
      </w:r>
      <w:r w:rsidRPr="00E70796">
        <w:rPr>
          <w:rFonts w:asciiTheme="majorHAnsi" w:eastAsia="Calibri" w:hAnsiTheme="majorHAnsi" w:cstheme="majorHAnsi"/>
          <w:color w:val="000000"/>
        </w:rPr>
        <w:t>:00) w dniu roboczym (tj. od poniedziałku do piątku, z wyłączeniem świąt i dni ustawowo wolnych od pracy) uznaje się za dokonane w pierwszej godzinie roboczej dnia roboczego, w którym dokonano zgłoszenia serwisowego lub najbliższego dnia roboczego następującego po dniu dokonania zgłoszenia serwisowego.</w:t>
      </w:r>
    </w:p>
    <w:p w14:paraId="02BE3359" w14:textId="77777777" w:rsidR="006C1522" w:rsidRPr="00E70796" w:rsidRDefault="006C1522" w:rsidP="006C1522">
      <w:pPr>
        <w:pBdr>
          <w:top w:val="nil"/>
          <w:left w:val="nil"/>
          <w:bottom w:val="nil"/>
          <w:right w:val="nil"/>
          <w:between w:val="nil"/>
        </w:pBdr>
        <w:spacing w:before="8" w:after="120" w:line="256" w:lineRule="auto"/>
        <w:jc w:val="both"/>
        <w:rPr>
          <w:rFonts w:asciiTheme="majorHAnsi" w:hAnsiTheme="majorHAnsi" w:cstheme="majorHAnsi"/>
          <w:color w:val="000000"/>
        </w:rPr>
      </w:pPr>
      <w:r w:rsidRPr="00E70796">
        <w:rPr>
          <w:rFonts w:asciiTheme="majorHAnsi" w:eastAsia="Calibri" w:hAnsiTheme="majorHAnsi" w:cstheme="majorHAnsi"/>
          <w:color w:val="000000"/>
        </w:rPr>
        <w:t>Wykonawca zapewni w godzinach pracy Zamawiającego w dni robocze gotowość swoich specjalistów do zdalnego usuwania Błędów, mających niezbędną wiedzę i doświadczenie z zakresu eksploatacji Systemu. Zamawiający udostępni Wykonawcy zdalny dostęp do zasobów na czas realizacji zgłoszenia serwisowego. Jeżeli nie jest możliwe zdalne rozwiązywanie problemu zgłoszonego przez Zamawiającego lub nie można wskazać obejścia, wówczas Wykonawca zobowiązuje się do rozwiązywania problemów bezpośrednio w miejscu zainstalowania Systemu.</w:t>
      </w:r>
    </w:p>
    <w:p w14:paraId="55C49BF9" w14:textId="77777777" w:rsidR="006C1522" w:rsidRPr="00E70796" w:rsidRDefault="006C1522" w:rsidP="006C1522">
      <w:pPr>
        <w:pBdr>
          <w:top w:val="nil"/>
          <w:left w:val="nil"/>
          <w:bottom w:val="nil"/>
          <w:right w:val="nil"/>
          <w:between w:val="nil"/>
        </w:pBdr>
        <w:spacing w:before="183" w:after="120" w:line="283" w:lineRule="auto"/>
        <w:jc w:val="both"/>
        <w:rPr>
          <w:rFonts w:asciiTheme="majorHAnsi" w:hAnsiTheme="majorHAnsi" w:cstheme="majorHAnsi"/>
          <w:color w:val="000000"/>
        </w:rPr>
      </w:pPr>
      <w:r w:rsidRPr="00E70796">
        <w:rPr>
          <w:rFonts w:asciiTheme="majorHAnsi" w:eastAsia="Calibri" w:hAnsiTheme="majorHAnsi" w:cstheme="majorHAnsi"/>
          <w:color w:val="000000"/>
        </w:rPr>
        <w:t>Wykonawca musi informować Zamawiającego o dostępnych aktualizacjach, poprawkach i nowych funkcjonalnościach Systemów za pośrednictwem Portalu helpdesk.</w:t>
      </w:r>
    </w:p>
    <w:p w14:paraId="43D50CFE" w14:textId="035A3C63" w:rsidR="007E2987" w:rsidRPr="00DC0A90" w:rsidRDefault="006C1522" w:rsidP="0001152D">
      <w:pPr>
        <w:pBdr>
          <w:top w:val="nil"/>
          <w:left w:val="nil"/>
          <w:bottom w:val="nil"/>
          <w:right w:val="nil"/>
          <w:between w:val="nil"/>
        </w:pBdr>
        <w:spacing w:before="183" w:after="120" w:line="283" w:lineRule="auto"/>
        <w:ind w:right="394"/>
        <w:jc w:val="both"/>
      </w:pPr>
      <w:r w:rsidRPr="00E70796">
        <w:rPr>
          <w:rFonts w:asciiTheme="majorHAnsi" w:eastAsia="Calibri" w:hAnsiTheme="majorHAnsi" w:cstheme="majorHAnsi"/>
          <w:color w:val="000000"/>
        </w:rPr>
        <w:t xml:space="preserve">Szczegółowy opis warunków utrzymania i serwisu znajduje się w </w:t>
      </w:r>
      <w:r w:rsidR="001F0CD1">
        <w:rPr>
          <w:rFonts w:asciiTheme="majorHAnsi" w:eastAsia="Calibri" w:hAnsiTheme="majorHAnsi" w:cstheme="majorHAnsi"/>
          <w:color w:val="000000"/>
        </w:rPr>
        <w:t>rozdziale</w:t>
      </w:r>
      <w:r w:rsidRPr="00E70796">
        <w:rPr>
          <w:rFonts w:asciiTheme="majorHAnsi" w:eastAsia="Calibri" w:hAnsiTheme="majorHAnsi" w:cstheme="majorHAnsi"/>
          <w:color w:val="000000"/>
        </w:rPr>
        <w:t xml:space="preserve"> IV OPZ.</w:t>
      </w:r>
    </w:p>
    <w:p w14:paraId="70068CC7" w14:textId="1C2D9706" w:rsidR="00254F7A" w:rsidRPr="005D7CAD" w:rsidRDefault="007E2987" w:rsidP="0001152D">
      <w:pPr>
        <w:pStyle w:val="Nagwek2"/>
        <w:numPr>
          <w:ilvl w:val="0"/>
          <w:numId w:val="7"/>
        </w:numPr>
        <w:jc w:val="both"/>
        <w:rPr>
          <w:rFonts w:cstheme="majorHAnsi"/>
        </w:rPr>
      </w:pPr>
      <w:r>
        <w:rPr>
          <w:rFonts w:cstheme="majorHAnsi"/>
        </w:rPr>
        <w:t>Licencje</w:t>
      </w:r>
    </w:p>
    <w:p w14:paraId="0D63D1C2" w14:textId="37CB5943" w:rsidR="00254F7A" w:rsidRPr="00254F7A" w:rsidRDefault="00254F7A" w:rsidP="00254F7A">
      <w:pPr>
        <w:jc w:val="both"/>
        <w:rPr>
          <w:rFonts w:asciiTheme="majorHAnsi" w:hAnsiTheme="majorHAnsi" w:cstheme="majorHAnsi"/>
        </w:rPr>
      </w:pPr>
      <w:r w:rsidRPr="00254F7A">
        <w:rPr>
          <w:rFonts w:asciiTheme="majorHAnsi" w:hAnsiTheme="majorHAnsi" w:cstheme="majorHAnsi"/>
        </w:rPr>
        <w:t>Zamawiający oczekuje dostarczenia bezterminowych licencji na oprogramowanie wraz z prawem do aktualizacji w trakcie wdrożenia oraz w okresie gwarancji. Oprogramowanie musi realizować co najmniej funkcjonalności określone w części „Wymagania funkcjonalne”. Zamawiający uzna system za spełniający wymagania, jeżeli umożliwi osiągnięcie funkcjonalności zgodnej z OPZ.</w:t>
      </w:r>
    </w:p>
    <w:p w14:paraId="5172FEDD" w14:textId="0F2C3B21" w:rsidR="00254F7A" w:rsidRPr="00254F7A" w:rsidRDefault="00254F7A" w:rsidP="00254F7A">
      <w:pPr>
        <w:jc w:val="both"/>
        <w:rPr>
          <w:rFonts w:asciiTheme="majorHAnsi" w:hAnsiTheme="majorHAnsi" w:cstheme="majorHAnsi"/>
        </w:rPr>
      </w:pPr>
      <w:r w:rsidRPr="00254F7A">
        <w:rPr>
          <w:rFonts w:asciiTheme="majorHAnsi" w:hAnsiTheme="majorHAnsi" w:cstheme="majorHAnsi"/>
        </w:rPr>
        <w:t>Licencje muszą mieć charakter bezterminowy oraz funkcjonować w modelu tzw. licencji pływającej. Przez tzw. licencję pływającą rozumie się licencję, która nie jest przypisana do imiennie wskazanego użytkownika ani do konkretnego stanowiska roboczego. Z danej puli licencji mogą korzystać różni użytkownicy w zależności od bieżących potrzeb organizacyjnych Zamawiającego, przy zachowaniu limitu liczby jednoczesnych sesji.</w:t>
      </w:r>
    </w:p>
    <w:p w14:paraId="2755EF75" w14:textId="2EE52806" w:rsidR="00254F7A" w:rsidRPr="00254F7A" w:rsidRDefault="00254F7A" w:rsidP="00254F7A">
      <w:pPr>
        <w:jc w:val="both"/>
        <w:rPr>
          <w:rFonts w:asciiTheme="majorHAnsi" w:hAnsiTheme="majorHAnsi" w:cstheme="majorHAnsi"/>
        </w:rPr>
      </w:pPr>
      <w:r w:rsidRPr="00254F7A">
        <w:rPr>
          <w:rFonts w:asciiTheme="majorHAnsi" w:hAnsiTheme="majorHAnsi" w:cstheme="majorHAnsi"/>
        </w:rPr>
        <w:t>Licencjonowanie nie może opierać się na modelu nazwanych użytkowników. Zamawiający musi mieć możliwość elastycznego zarządzania dostępami w ramach całej struktury organizacyjnej, w tym swobodnego przydzielania uprawnień pracownikom różnych oddziałów i komórek organizacyjnych.</w:t>
      </w:r>
    </w:p>
    <w:p w14:paraId="50961C49" w14:textId="283D2926" w:rsidR="00575A2D" w:rsidRDefault="00254F7A" w:rsidP="00254F7A">
      <w:pPr>
        <w:jc w:val="both"/>
        <w:rPr>
          <w:rFonts w:asciiTheme="majorHAnsi" w:hAnsiTheme="majorHAnsi" w:cstheme="majorHAnsi"/>
        </w:rPr>
      </w:pPr>
      <w:r w:rsidRPr="00254F7A">
        <w:rPr>
          <w:rFonts w:asciiTheme="majorHAnsi" w:hAnsiTheme="majorHAnsi" w:cstheme="majorHAnsi"/>
        </w:rPr>
        <w:t>W przypadku udzielenia na dany moduł licencji typu Równoczesny Użytkownik (RU), Zamawiający jest uprawniony do korzystania z danego modułu oprogramowania w ramach posiadanej infrastruktury równocześnie przez maksymalnie taką liczbę użytkowników, na jaką została udzielona licencja, niezależnie od ich tożsamości. Warunkiem jest jedynie to, aby liczba użytkowników korzystających z systemu w tym samym czasie nie przekraczała liczby wykupionych licencji równoczesnych.</w:t>
      </w:r>
    </w:p>
    <w:p w14:paraId="484AC7BF" w14:textId="77777777" w:rsidR="00254F7A" w:rsidRDefault="00254F7A" w:rsidP="00160E28">
      <w:pPr>
        <w:jc w:val="both"/>
        <w:rPr>
          <w:rFonts w:asciiTheme="majorHAnsi" w:hAnsiTheme="majorHAnsi" w:cstheme="majorHAnsi"/>
        </w:rPr>
      </w:pPr>
    </w:p>
    <w:p w14:paraId="406B1F5D" w14:textId="298152A5" w:rsidR="0061482E" w:rsidRPr="0061482E" w:rsidRDefault="00160E28" w:rsidP="00160E28">
      <w:pPr>
        <w:spacing w:after="0"/>
        <w:jc w:val="both"/>
        <w:rPr>
          <w:rFonts w:asciiTheme="majorHAnsi" w:hAnsiTheme="majorHAnsi" w:cstheme="majorHAnsi"/>
          <w:b/>
          <w:bCs/>
        </w:rPr>
      </w:pPr>
      <w:r w:rsidRPr="0061482E">
        <w:rPr>
          <w:rFonts w:asciiTheme="majorHAnsi" w:hAnsiTheme="majorHAnsi" w:cstheme="majorHAnsi"/>
          <w:b/>
          <w:bCs/>
        </w:rPr>
        <w:t xml:space="preserve">Pola eksploatacji </w:t>
      </w:r>
    </w:p>
    <w:p w14:paraId="669FD6EA" w14:textId="77777777" w:rsidR="00160E28" w:rsidRPr="00E70796" w:rsidRDefault="00160E28" w:rsidP="00160E28">
      <w:pPr>
        <w:spacing w:after="0"/>
        <w:jc w:val="both"/>
        <w:rPr>
          <w:rFonts w:asciiTheme="majorHAnsi" w:hAnsiTheme="majorHAnsi" w:cstheme="majorHAnsi"/>
        </w:rPr>
      </w:pPr>
      <w:r w:rsidRPr="00E70796">
        <w:rPr>
          <w:rFonts w:asciiTheme="majorHAnsi" w:hAnsiTheme="majorHAnsi" w:cstheme="majorHAnsi"/>
        </w:rPr>
        <w:t>Licencja na korzystanie z oprogramowania, rozwinięć, uaktualnień i dokumentacji udzielona zostanie Zamawiającemu na następujących polach eksploatacji:</w:t>
      </w:r>
    </w:p>
    <w:p w14:paraId="1D04BAE8" w14:textId="77777777" w:rsidR="00160E28" w:rsidRPr="00E70796" w:rsidRDefault="00160E28" w:rsidP="00FA7C74">
      <w:pPr>
        <w:numPr>
          <w:ilvl w:val="0"/>
          <w:numId w:val="20"/>
        </w:numPr>
        <w:pBdr>
          <w:top w:val="nil"/>
          <w:left w:val="nil"/>
          <w:bottom w:val="nil"/>
          <w:right w:val="nil"/>
          <w:between w:val="nil"/>
        </w:pBdr>
        <w:spacing w:after="0"/>
        <w:jc w:val="both"/>
        <w:rPr>
          <w:rFonts w:asciiTheme="majorHAnsi" w:hAnsiTheme="majorHAnsi" w:cstheme="majorHAnsi"/>
          <w:color w:val="000000"/>
        </w:rPr>
      </w:pPr>
      <w:r w:rsidRPr="00E70796">
        <w:rPr>
          <w:rFonts w:asciiTheme="majorHAnsi" w:eastAsia="Calibri" w:hAnsiTheme="majorHAnsi" w:cstheme="majorHAnsi"/>
          <w:color w:val="000000"/>
        </w:rPr>
        <w:t>w zakresie oprogramowania, rozwinięć, uaktualnień – na polach eksploatacji obejmujących prawo trwałego lub czasowego zwielokrotniania programów komputerowych w pamięci komputera z prawem do zmian w konfiguracji Systemu (bez ingerencji w kod źródłowy) w zakresie, w jakim jest to niezbędne do korzystania z oprogramowania zgodnie z jego przeznaczeniem i funkcjonalnością określoną w dokumentacji, nie mniejszą niż w OPZ</w:t>
      </w:r>
    </w:p>
    <w:p w14:paraId="59831F56" w14:textId="77777777" w:rsidR="00160E28" w:rsidRPr="00E70796" w:rsidRDefault="00160E28" w:rsidP="00FA7C74">
      <w:pPr>
        <w:numPr>
          <w:ilvl w:val="0"/>
          <w:numId w:val="20"/>
        </w:numPr>
        <w:pBdr>
          <w:top w:val="nil"/>
          <w:left w:val="nil"/>
          <w:bottom w:val="nil"/>
          <w:right w:val="nil"/>
          <w:between w:val="nil"/>
        </w:pBdr>
        <w:jc w:val="both"/>
        <w:rPr>
          <w:rFonts w:asciiTheme="majorHAnsi" w:hAnsiTheme="majorHAnsi" w:cstheme="majorHAnsi"/>
          <w:color w:val="000000"/>
        </w:rPr>
      </w:pPr>
      <w:r w:rsidRPr="00E70796">
        <w:rPr>
          <w:rFonts w:asciiTheme="majorHAnsi" w:eastAsia="Calibri" w:hAnsiTheme="majorHAnsi" w:cstheme="majorHAnsi"/>
          <w:color w:val="000000"/>
        </w:rPr>
        <w:t>w zakresie dokumentacji – na polach eksploatacji obejmujących prawo zwielokrotniania egzemplarzy dokumentacji, wyłącznie w zakresie, w jakim jest to niezbędne do zgodnego z postanowieniami dokumentów licencyjnych korzystania z oprogramowania.</w:t>
      </w:r>
    </w:p>
    <w:p w14:paraId="165603E8" w14:textId="77777777" w:rsidR="00160E28" w:rsidRPr="00E70796" w:rsidRDefault="00160E28" w:rsidP="00160E28">
      <w:pPr>
        <w:jc w:val="both"/>
        <w:rPr>
          <w:rFonts w:asciiTheme="majorHAnsi" w:hAnsiTheme="majorHAnsi" w:cstheme="majorHAnsi"/>
        </w:rPr>
      </w:pPr>
      <w:r w:rsidRPr="00E70796">
        <w:rPr>
          <w:rFonts w:asciiTheme="majorHAnsi" w:hAnsiTheme="majorHAnsi" w:cstheme="majorHAnsi"/>
        </w:rPr>
        <w:t xml:space="preserve">Wykonawca zobowiązany jest udzielić na użytkowanie Oprogramowania licencji na czas nieoznaczony. </w:t>
      </w:r>
    </w:p>
    <w:p w14:paraId="7CE090B4" w14:textId="77777777" w:rsidR="00160E28" w:rsidRDefault="00160E28" w:rsidP="00160E28">
      <w:pPr>
        <w:jc w:val="both"/>
        <w:rPr>
          <w:rFonts w:asciiTheme="majorHAnsi" w:hAnsiTheme="majorHAnsi" w:cstheme="majorHAnsi"/>
        </w:rPr>
      </w:pPr>
      <w:r w:rsidRPr="00E70796">
        <w:rPr>
          <w:rFonts w:asciiTheme="majorHAnsi" w:hAnsiTheme="majorHAnsi" w:cstheme="majorHAnsi"/>
        </w:rPr>
        <w:t>Licencja nie może wprowadzać ograniczenia na tzw. „nazwanych użytkowników”.</w:t>
      </w:r>
    </w:p>
    <w:p w14:paraId="56967AAB" w14:textId="42B903D2" w:rsidR="00C1416C" w:rsidRPr="00E70796" w:rsidRDefault="00C1416C" w:rsidP="00160E28">
      <w:pPr>
        <w:jc w:val="both"/>
        <w:rPr>
          <w:rFonts w:asciiTheme="majorHAnsi" w:hAnsiTheme="majorHAnsi" w:cstheme="majorHAnsi"/>
        </w:rPr>
      </w:pPr>
      <w:r w:rsidRPr="0001152D">
        <w:rPr>
          <w:rFonts w:asciiTheme="majorHAnsi" w:hAnsiTheme="majorHAnsi" w:cstheme="majorHAnsi"/>
        </w:rPr>
        <w:t>Licencje muszą mieć charakter pływający, co oznacza, że nie mogą być przypisane do konkretnych, imiennie wskazanych użytkowników ani do konkretnych stanowisk roboczych. Licencjonowanie powinno umożliwiać elastyczne korzystanie z systemu przez dowolnych użytkowników w ramach infrastruktury Zamawiającego, przy zachowaniu maksymalnej liczby jednoczesnych sesji zgodnie z zakupionym zakresem.</w:t>
      </w:r>
    </w:p>
    <w:p w14:paraId="4E1C36C9" w14:textId="77777777" w:rsidR="00160E28" w:rsidRPr="00E70796" w:rsidRDefault="00160E28" w:rsidP="00160E28">
      <w:pPr>
        <w:jc w:val="both"/>
        <w:rPr>
          <w:rFonts w:asciiTheme="majorHAnsi" w:hAnsiTheme="majorHAnsi" w:cstheme="majorHAnsi"/>
        </w:rPr>
      </w:pPr>
      <w:r w:rsidRPr="00E70796">
        <w:rPr>
          <w:rFonts w:asciiTheme="majorHAnsi" w:hAnsiTheme="majorHAnsi" w:cstheme="majorHAnsi"/>
        </w:rPr>
        <w:t xml:space="preserve">Licencja musi dopuszczać utworzenie jednego środowiska rezerwowego pozwalającego na odtworzenie systemu w przypadku awarii pracującego w modelu </w:t>
      </w:r>
      <w:proofErr w:type="spellStart"/>
      <w:r w:rsidRPr="00E70796">
        <w:rPr>
          <w:rFonts w:asciiTheme="majorHAnsi" w:hAnsiTheme="majorHAnsi" w:cstheme="majorHAnsi"/>
        </w:rPr>
        <w:t>active</w:t>
      </w:r>
      <w:proofErr w:type="spellEnd"/>
      <w:r w:rsidRPr="00E70796">
        <w:rPr>
          <w:rFonts w:asciiTheme="majorHAnsi" w:hAnsiTheme="majorHAnsi" w:cstheme="majorHAnsi"/>
        </w:rPr>
        <w:t>/</w:t>
      </w:r>
      <w:proofErr w:type="spellStart"/>
      <w:r w:rsidRPr="00E70796">
        <w:rPr>
          <w:rFonts w:asciiTheme="majorHAnsi" w:hAnsiTheme="majorHAnsi" w:cstheme="majorHAnsi"/>
        </w:rPr>
        <w:t>passive</w:t>
      </w:r>
      <w:proofErr w:type="spellEnd"/>
      <w:r w:rsidRPr="00E70796">
        <w:rPr>
          <w:rFonts w:asciiTheme="majorHAnsi" w:hAnsiTheme="majorHAnsi" w:cstheme="majorHAnsi"/>
        </w:rPr>
        <w:t xml:space="preserve">. </w:t>
      </w:r>
    </w:p>
    <w:p w14:paraId="66A56242" w14:textId="4ED478A3" w:rsidR="00160E28" w:rsidRPr="00E70796" w:rsidRDefault="00160E28" w:rsidP="003C25F0">
      <w:pPr>
        <w:jc w:val="both"/>
        <w:rPr>
          <w:rFonts w:asciiTheme="majorHAnsi" w:hAnsiTheme="majorHAnsi" w:cstheme="majorHAnsi"/>
        </w:rPr>
      </w:pPr>
      <w:bookmarkStart w:id="6" w:name="_ay75q3e4889b" w:colFirst="0" w:colLast="0"/>
      <w:bookmarkEnd w:id="6"/>
      <w:r w:rsidRPr="00E70796">
        <w:rPr>
          <w:rFonts w:asciiTheme="majorHAnsi" w:hAnsiTheme="majorHAnsi" w:cstheme="majorHAnsi"/>
        </w:rPr>
        <w:t>Licencją objęte zostaną również wszelkie poprawki i aktualizacje systemu pojawiające się w trakcie obowiązywania przedmiotowej Umowy a także w trakcie następnych umów</w:t>
      </w:r>
      <w:r w:rsidR="00802DF4">
        <w:rPr>
          <w:rFonts w:asciiTheme="majorHAnsi" w:hAnsiTheme="majorHAnsi" w:cstheme="majorHAnsi"/>
        </w:rPr>
        <w:t xml:space="preserve"> gwarancyjnych  i/lub </w:t>
      </w:r>
      <w:r w:rsidRPr="00E70796">
        <w:rPr>
          <w:rFonts w:asciiTheme="majorHAnsi" w:hAnsiTheme="majorHAnsi" w:cstheme="majorHAnsi"/>
        </w:rPr>
        <w:t xml:space="preserve">serwisowych. </w:t>
      </w:r>
    </w:p>
    <w:p w14:paraId="794F2F3D" w14:textId="2E095C10" w:rsidR="00861EE6" w:rsidRPr="00E70796" w:rsidRDefault="00861EE6" w:rsidP="00FA7C74">
      <w:pPr>
        <w:pStyle w:val="Nagwek2"/>
        <w:numPr>
          <w:ilvl w:val="0"/>
          <w:numId w:val="7"/>
        </w:numPr>
        <w:jc w:val="both"/>
        <w:rPr>
          <w:rFonts w:cstheme="majorHAnsi"/>
        </w:rPr>
      </w:pPr>
      <w:r w:rsidRPr="00E70796">
        <w:rPr>
          <w:rFonts w:cstheme="majorHAnsi"/>
        </w:rPr>
        <w:t>Zobowiązania Wykonawcy</w:t>
      </w:r>
    </w:p>
    <w:p w14:paraId="65379778"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rPr>
          <w:rFonts w:asciiTheme="majorHAnsi" w:hAnsiTheme="majorHAnsi" w:cstheme="majorHAnsi"/>
          <w:color w:val="000000"/>
        </w:rPr>
      </w:pPr>
      <w:r w:rsidRPr="00E70796">
        <w:rPr>
          <w:rFonts w:asciiTheme="majorHAnsi" w:eastAsia="Calibri" w:hAnsiTheme="majorHAnsi" w:cstheme="majorHAnsi"/>
          <w:color w:val="000000"/>
        </w:rPr>
        <w:t>Wykonanie Przedmiotu Zamówienia z efektywnością oraz zgodnie z praktyką i wiedzą zawodową.</w:t>
      </w:r>
    </w:p>
    <w:p w14:paraId="20BAC950"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rPr>
          <w:rFonts w:asciiTheme="majorHAnsi" w:hAnsiTheme="majorHAnsi" w:cstheme="majorHAnsi"/>
          <w:color w:val="000000"/>
        </w:rPr>
      </w:pPr>
      <w:r w:rsidRPr="00E70796">
        <w:rPr>
          <w:rFonts w:asciiTheme="majorHAnsi" w:eastAsia="Calibri" w:hAnsiTheme="majorHAnsi" w:cstheme="majorHAnsi"/>
          <w:color w:val="000000"/>
        </w:rPr>
        <w:t>Wykonanie w całości Przedmiotu Zamówienia w zakresie określonym w Umowie.</w:t>
      </w:r>
    </w:p>
    <w:p w14:paraId="38C9B910"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 xml:space="preserve">Dokonanie z Zamawiającym wszelkich koniecznych ustaleń mogących wpływać na zakres i sposób realizacji Przedmiotu Zamówienia oraz ciągła współpraca z </w:t>
      </w:r>
      <w:r w:rsidRPr="00E70796">
        <w:rPr>
          <w:rFonts w:asciiTheme="majorHAnsi" w:hAnsiTheme="majorHAnsi" w:cstheme="majorHAnsi"/>
        </w:rPr>
        <w:t>Zamawiającym</w:t>
      </w:r>
      <w:r w:rsidRPr="00E70796">
        <w:rPr>
          <w:rFonts w:asciiTheme="majorHAnsi" w:eastAsia="Calibri" w:hAnsiTheme="majorHAnsi" w:cstheme="majorHAnsi"/>
          <w:color w:val="000000"/>
        </w:rPr>
        <w:t xml:space="preserve"> na każdym etapie realizacji.</w:t>
      </w:r>
    </w:p>
    <w:p w14:paraId="2DCD5ABA"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System CIS musi być zintegrowany, przez co rozumie się zintegrowaną pracę wszystkich systemów/modułów w oparciu o wspólną strukturę danych zapewniającą automatyczną wymienialność danych pomiędzy elementami (Modułami) systemu</w:t>
      </w:r>
    </w:p>
    <w:p w14:paraId="3A1E6916"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Stosowanie się do wytycznych i polityk bezpieczeństwa informacji obowiązujących u Zamawiającego.</w:t>
      </w:r>
    </w:p>
    <w:p w14:paraId="3BB250D3"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Udzielanie na każde żądanie Zamawiającego pełnej informacji na temat stanu realizacji Przedmiotu Zamówienia.</w:t>
      </w:r>
    </w:p>
    <w:p w14:paraId="42D394B4" w14:textId="77777777" w:rsidR="003C25F0" w:rsidRPr="00E70796" w:rsidRDefault="003C25F0" w:rsidP="00FA7C74">
      <w:pPr>
        <w:pStyle w:val="Akapitzlist"/>
        <w:numPr>
          <w:ilvl w:val="0"/>
          <w:numId w:val="22"/>
        </w:numPr>
        <w:pBdr>
          <w:top w:val="nil"/>
          <w:left w:val="nil"/>
          <w:bottom w:val="nil"/>
          <w:right w:val="nil"/>
          <w:between w:val="nil"/>
        </w:pBdr>
        <w:spacing w:after="0" w:line="240" w:lineRule="auto"/>
        <w:rPr>
          <w:rFonts w:asciiTheme="majorHAnsi" w:hAnsiTheme="majorHAnsi" w:cstheme="majorHAnsi"/>
          <w:color w:val="000000"/>
        </w:rPr>
      </w:pPr>
      <w:r w:rsidRPr="00E70796">
        <w:rPr>
          <w:rFonts w:asciiTheme="majorHAnsi" w:eastAsia="Calibri" w:hAnsiTheme="majorHAnsi" w:cstheme="majorHAnsi"/>
          <w:color w:val="000000"/>
        </w:rPr>
        <w:t>Współdziałanie z osobami wskazanymi przez Zamawiającego.</w:t>
      </w:r>
    </w:p>
    <w:p w14:paraId="381D9D44" w14:textId="77777777" w:rsidR="003C25F0" w:rsidRPr="00E70796" w:rsidRDefault="003C25F0" w:rsidP="003C25F0">
      <w:pPr>
        <w:rPr>
          <w:rFonts w:asciiTheme="majorHAnsi" w:hAnsiTheme="majorHAnsi" w:cstheme="majorHAnsi"/>
        </w:rPr>
      </w:pPr>
    </w:p>
    <w:p w14:paraId="7A848F9A" w14:textId="50CEF011" w:rsidR="00861EE6" w:rsidRPr="00E70796" w:rsidRDefault="00861EE6" w:rsidP="00FA7C74">
      <w:pPr>
        <w:pStyle w:val="Nagwek2"/>
        <w:numPr>
          <w:ilvl w:val="0"/>
          <w:numId w:val="7"/>
        </w:numPr>
        <w:jc w:val="both"/>
        <w:rPr>
          <w:rFonts w:cstheme="majorHAnsi"/>
        </w:rPr>
      </w:pPr>
      <w:r w:rsidRPr="00E70796">
        <w:rPr>
          <w:rFonts w:cstheme="majorHAnsi"/>
        </w:rPr>
        <w:t>Dostępność dostarczanego rozwiązania SLA</w:t>
      </w:r>
    </w:p>
    <w:p w14:paraId="1400A53F" w14:textId="1AB88F06" w:rsidR="008C666F" w:rsidRPr="00E70796" w:rsidRDefault="003C25F0" w:rsidP="00DE7FFE">
      <w:pPr>
        <w:rPr>
          <w:rFonts w:asciiTheme="majorHAnsi" w:hAnsiTheme="majorHAnsi" w:cstheme="majorHAnsi"/>
        </w:rPr>
      </w:pPr>
      <w:bookmarkStart w:id="7" w:name="_Hlk222907953"/>
      <w:r w:rsidRPr="00563814">
        <w:rPr>
          <w:rFonts w:asciiTheme="majorHAnsi" w:eastAsia="Calibri" w:hAnsiTheme="majorHAnsi" w:cstheme="majorHAnsi"/>
          <w:color w:val="000000"/>
        </w:rPr>
        <w:t xml:space="preserve">System (CIS) działa w trybie 24 godzinnym przez wszystkie dni w roku z dostępnością co najmniej na poziomie 99,5% w skali miesiąca dla części białej SSI. </w:t>
      </w:r>
      <w:r w:rsidR="008E334D" w:rsidRPr="008E334D">
        <w:rPr>
          <w:rFonts w:asciiTheme="majorHAnsi" w:eastAsia="Calibri" w:hAnsiTheme="majorHAnsi" w:cstheme="majorHAnsi"/>
          <w:color w:val="000000"/>
        </w:rPr>
        <w:t xml:space="preserve">Dodatkowo łączny czas niedostępności systemu w ciągu jednej doby nie może przekroczyć </w:t>
      </w:r>
      <w:r w:rsidR="008D23A6">
        <w:rPr>
          <w:rFonts w:asciiTheme="majorHAnsi" w:eastAsia="Calibri" w:hAnsiTheme="majorHAnsi" w:cstheme="majorHAnsi"/>
          <w:color w:val="000000"/>
        </w:rPr>
        <w:t>30</w:t>
      </w:r>
      <w:r w:rsidR="00197712">
        <w:rPr>
          <w:rFonts w:asciiTheme="majorHAnsi" w:eastAsia="Calibri" w:hAnsiTheme="majorHAnsi" w:cstheme="majorHAnsi"/>
          <w:color w:val="000000"/>
        </w:rPr>
        <w:t xml:space="preserve"> minut</w:t>
      </w:r>
      <w:r w:rsidR="008E334D" w:rsidRPr="008E334D">
        <w:rPr>
          <w:rFonts w:asciiTheme="majorHAnsi" w:eastAsia="Calibri" w:hAnsiTheme="majorHAnsi" w:cstheme="majorHAnsi"/>
          <w:color w:val="000000"/>
        </w:rPr>
        <w:t>.</w:t>
      </w:r>
      <w:r w:rsidR="008E334D">
        <w:rPr>
          <w:rFonts w:asciiTheme="majorHAnsi" w:eastAsia="Calibri" w:hAnsiTheme="majorHAnsi" w:cstheme="majorHAnsi"/>
          <w:color w:val="000000"/>
        </w:rPr>
        <w:t xml:space="preserve"> </w:t>
      </w:r>
      <w:r w:rsidRPr="00563814">
        <w:rPr>
          <w:rFonts w:asciiTheme="majorHAnsi" w:eastAsia="Calibri" w:hAnsiTheme="majorHAnsi" w:cstheme="majorHAnsi"/>
          <w:color w:val="000000"/>
        </w:rPr>
        <w:t xml:space="preserve">System nie jest dostępny, gdy występuje sytuacja uniemożliwiająca wykorzystanie którejś z jego funkcji z przyczyn leżących wewnątrz Systemu (np. awarii, spadku przepustowości Systemu i wynikającego stąd przeciążenia Systemu). Planowane prace przestojowe (tzw. downtime) odbywają się w godzinach </w:t>
      </w:r>
      <w:r w:rsidRPr="00563814">
        <w:rPr>
          <w:rFonts w:asciiTheme="majorHAnsi" w:hAnsiTheme="majorHAnsi" w:cstheme="majorHAnsi"/>
        </w:rPr>
        <w:t>ustalonych z Zamawiającym z wyłączeniem godzin 7-21</w:t>
      </w:r>
      <w:r w:rsidRPr="00563814">
        <w:rPr>
          <w:rFonts w:asciiTheme="majorHAnsi" w:eastAsia="Calibri" w:hAnsiTheme="majorHAnsi" w:cstheme="majorHAnsi"/>
          <w:color w:val="000000"/>
        </w:rPr>
        <w:t>, tylko we wskazanych dniach w tygodniu. Czas planowych prac (downtime) nie jest liczony jako niedostępność i musi być uzgodniony z Zamawiającym i przez niego zaakceptowanym w formie pisemnej (mailowej lub w formie pisma)</w:t>
      </w:r>
      <w:r w:rsidR="00DE7FFE" w:rsidRPr="00563814">
        <w:rPr>
          <w:rFonts w:asciiTheme="majorHAnsi" w:eastAsia="Calibri" w:hAnsiTheme="majorHAnsi" w:cstheme="majorHAnsi"/>
          <w:color w:val="000000"/>
        </w:rPr>
        <w:t>.</w:t>
      </w:r>
    </w:p>
    <w:bookmarkEnd w:id="7"/>
    <w:p w14:paraId="0EA9ADC1" w14:textId="128F3CDB" w:rsidR="000A254A" w:rsidRPr="00E70796" w:rsidRDefault="000A254A" w:rsidP="00FA7C74">
      <w:pPr>
        <w:pStyle w:val="Nagwek1"/>
        <w:numPr>
          <w:ilvl w:val="0"/>
          <w:numId w:val="1"/>
        </w:numPr>
        <w:jc w:val="both"/>
        <w:rPr>
          <w:rFonts w:asciiTheme="majorHAnsi" w:hAnsiTheme="majorHAnsi" w:cstheme="majorHAnsi"/>
        </w:rPr>
      </w:pPr>
      <w:r w:rsidRPr="00E70796">
        <w:rPr>
          <w:rFonts w:asciiTheme="majorHAnsi" w:hAnsiTheme="majorHAnsi" w:cstheme="majorHAnsi"/>
        </w:rPr>
        <w:t xml:space="preserve">Opis funkcjonalności </w:t>
      </w:r>
    </w:p>
    <w:tbl>
      <w:tblPr>
        <w:tblW w:w="0" w:type="auto"/>
        <w:tblInd w:w="-572" w:type="dxa"/>
        <w:tblCellMar>
          <w:left w:w="70" w:type="dxa"/>
          <w:right w:w="70" w:type="dxa"/>
        </w:tblCellMar>
        <w:tblLook w:val="04A0" w:firstRow="1" w:lastRow="0" w:firstColumn="1" w:lastColumn="0" w:noHBand="0" w:noVBand="1"/>
      </w:tblPr>
      <w:tblGrid>
        <w:gridCol w:w="976"/>
        <w:gridCol w:w="5514"/>
        <w:gridCol w:w="1133"/>
        <w:gridCol w:w="2011"/>
      </w:tblGrid>
      <w:tr w:rsidR="00CB3017" w:rsidRPr="00F8703A" w14:paraId="4B040AC2" w14:textId="77777777" w:rsidTr="00FD23DE">
        <w:trPr>
          <w:trHeight w:val="255"/>
        </w:trPr>
        <w:tc>
          <w:tcPr>
            <w:tcW w:w="6490" w:type="dxa"/>
            <w:gridSpan w:val="2"/>
            <w:tcBorders>
              <w:top w:val="single" w:sz="4" w:space="0" w:color="auto"/>
              <w:left w:val="single" w:sz="4" w:space="0" w:color="auto"/>
              <w:bottom w:val="single" w:sz="4" w:space="0" w:color="auto"/>
              <w:right w:val="single" w:sz="4" w:space="0" w:color="auto"/>
            </w:tcBorders>
            <w:shd w:val="clear" w:color="F2F2F2" w:fill="FFFFFF"/>
            <w:vAlign w:val="center"/>
            <w:hideMark/>
          </w:tcPr>
          <w:p w14:paraId="34F2C34A" w14:textId="77777777" w:rsidR="00CB3017" w:rsidRPr="00CF3752" w:rsidRDefault="00CB3017" w:rsidP="00880B0C">
            <w:pPr>
              <w:spacing w:after="0" w:line="240" w:lineRule="auto"/>
              <w:rPr>
                <w:rFonts w:eastAsia="Times New Roman" w:cstheme="minorHAnsi"/>
                <w:b/>
                <w:bCs/>
                <w:lang w:eastAsia="pl-PL"/>
              </w:rPr>
            </w:pPr>
            <w:r w:rsidRPr="00CF3752">
              <w:rPr>
                <w:rFonts w:eastAsia="Times New Roman" w:cstheme="minorHAnsi"/>
                <w:b/>
                <w:bCs/>
                <w:lang w:eastAsia="pl-PL"/>
              </w:rPr>
              <w:t>1. Nazwa oferowanego systemu</w:t>
            </w:r>
            <w:r w:rsidRPr="00CF3752">
              <w:rPr>
                <w:rFonts w:eastAsia="Times New Roman" w:cstheme="minorHAnsi"/>
                <w:color w:val="0000FF"/>
                <w:lang w:eastAsia="pl-PL"/>
              </w:rPr>
              <w:t xml:space="preserve"> (podać):</w:t>
            </w:r>
            <w:r w:rsidRPr="00CF3752">
              <w:rPr>
                <w:rFonts w:eastAsia="Times New Roman" w:cstheme="minorHAnsi"/>
                <w:lang w:eastAsia="pl-PL"/>
              </w:rPr>
              <w:t xml:space="preserve"> </w:t>
            </w:r>
          </w:p>
        </w:tc>
        <w:tc>
          <w:tcPr>
            <w:tcW w:w="3144" w:type="dxa"/>
            <w:gridSpan w:val="2"/>
            <w:tcBorders>
              <w:top w:val="single" w:sz="4" w:space="0" w:color="auto"/>
              <w:left w:val="nil"/>
              <w:bottom w:val="single" w:sz="4" w:space="0" w:color="auto"/>
              <w:right w:val="single" w:sz="4" w:space="0" w:color="auto"/>
            </w:tcBorders>
            <w:shd w:val="clear" w:color="F2F2F2" w:fill="FFFFFF"/>
            <w:vAlign w:val="center"/>
            <w:hideMark/>
          </w:tcPr>
          <w:p w14:paraId="603ACE2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55259E" w14:textId="77777777" w:rsidTr="00FD23DE">
        <w:trPr>
          <w:trHeight w:val="255"/>
        </w:trPr>
        <w:tc>
          <w:tcPr>
            <w:tcW w:w="6490" w:type="dxa"/>
            <w:gridSpan w:val="2"/>
            <w:tcBorders>
              <w:top w:val="single" w:sz="4" w:space="0" w:color="auto"/>
              <w:left w:val="single" w:sz="4" w:space="0" w:color="auto"/>
              <w:bottom w:val="single" w:sz="4" w:space="0" w:color="auto"/>
              <w:right w:val="single" w:sz="4" w:space="0" w:color="auto"/>
            </w:tcBorders>
            <w:shd w:val="clear" w:color="F2F2F2" w:fill="FFFFFF"/>
            <w:vAlign w:val="center"/>
            <w:hideMark/>
          </w:tcPr>
          <w:p w14:paraId="751D84B9" w14:textId="77777777" w:rsidR="00CB3017" w:rsidRPr="00CF3752" w:rsidRDefault="00CB3017" w:rsidP="00880B0C">
            <w:pPr>
              <w:spacing w:after="0" w:line="240" w:lineRule="auto"/>
              <w:rPr>
                <w:rFonts w:eastAsia="Times New Roman" w:cstheme="minorHAnsi"/>
                <w:b/>
                <w:bCs/>
                <w:lang w:eastAsia="pl-PL"/>
              </w:rPr>
            </w:pPr>
            <w:r w:rsidRPr="00CF3752">
              <w:rPr>
                <w:rFonts w:eastAsia="Times New Roman" w:cstheme="minorHAnsi"/>
                <w:b/>
                <w:bCs/>
                <w:lang w:eastAsia="pl-PL"/>
              </w:rPr>
              <w:t xml:space="preserve">2. Producent oraz kraj pochodzenia </w:t>
            </w:r>
            <w:r w:rsidRPr="00CF3752">
              <w:rPr>
                <w:rFonts w:eastAsia="Times New Roman" w:cstheme="minorHAnsi"/>
                <w:color w:val="0000FF"/>
                <w:lang w:eastAsia="pl-PL"/>
              </w:rPr>
              <w:t>(podać)</w:t>
            </w:r>
            <w:r w:rsidRPr="00CF3752">
              <w:rPr>
                <w:rFonts w:eastAsia="Times New Roman" w:cstheme="minorHAnsi"/>
                <w:lang w:eastAsia="pl-PL"/>
              </w:rPr>
              <w:t xml:space="preserve">: </w:t>
            </w:r>
          </w:p>
        </w:tc>
        <w:tc>
          <w:tcPr>
            <w:tcW w:w="3144" w:type="dxa"/>
            <w:gridSpan w:val="2"/>
            <w:tcBorders>
              <w:top w:val="single" w:sz="4" w:space="0" w:color="auto"/>
              <w:left w:val="nil"/>
              <w:bottom w:val="single" w:sz="4" w:space="0" w:color="auto"/>
              <w:right w:val="single" w:sz="4" w:space="0" w:color="auto"/>
            </w:tcBorders>
            <w:shd w:val="clear" w:color="F2F2F2" w:fill="FFFFFF"/>
            <w:vAlign w:val="center"/>
            <w:hideMark/>
          </w:tcPr>
          <w:p w14:paraId="08799BA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EBDE8B5" w14:textId="77777777" w:rsidTr="00FD23DE">
        <w:trPr>
          <w:trHeight w:val="2376"/>
        </w:trPr>
        <w:tc>
          <w:tcPr>
            <w:tcW w:w="976" w:type="dxa"/>
            <w:tcBorders>
              <w:top w:val="nil"/>
              <w:left w:val="single" w:sz="4" w:space="0" w:color="auto"/>
              <w:bottom w:val="single" w:sz="4" w:space="0" w:color="auto"/>
              <w:right w:val="single" w:sz="4" w:space="0" w:color="auto"/>
            </w:tcBorders>
            <w:shd w:val="clear" w:color="D1D1D1" w:fill="BDD7EE"/>
            <w:vAlign w:val="center"/>
            <w:hideMark/>
          </w:tcPr>
          <w:p w14:paraId="2990F0F9"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Lp.</w:t>
            </w:r>
          </w:p>
        </w:tc>
        <w:tc>
          <w:tcPr>
            <w:tcW w:w="5514" w:type="dxa"/>
            <w:tcBorders>
              <w:top w:val="nil"/>
              <w:left w:val="nil"/>
              <w:bottom w:val="single" w:sz="4" w:space="0" w:color="auto"/>
              <w:right w:val="single" w:sz="4" w:space="0" w:color="auto"/>
            </w:tcBorders>
            <w:shd w:val="clear" w:color="D1D1D1" w:fill="BDD7EE"/>
            <w:vAlign w:val="center"/>
            <w:hideMark/>
          </w:tcPr>
          <w:p w14:paraId="38793A61"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WYMAGANE PARAMETRY TECHNICZNE</w:t>
            </w:r>
          </w:p>
        </w:tc>
        <w:tc>
          <w:tcPr>
            <w:tcW w:w="1133" w:type="dxa"/>
            <w:tcBorders>
              <w:top w:val="nil"/>
              <w:left w:val="nil"/>
              <w:bottom w:val="single" w:sz="4" w:space="0" w:color="auto"/>
              <w:right w:val="single" w:sz="4" w:space="0" w:color="auto"/>
            </w:tcBorders>
            <w:shd w:val="clear" w:color="D1D1D1" w:fill="BDD7EE"/>
            <w:vAlign w:val="center"/>
            <w:hideMark/>
          </w:tcPr>
          <w:p w14:paraId="1DC15E60"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 xml:space="preserve">Wymóg do spełnienia </w:t>
            </w:r>
            <w:r w:rsidRPr="00CF3752">
              <w:rPr>
                <w:rFonts w:eastAsia="Times New Roman" w:cstheme="minorHAnsi"/>
                <w:b/>
                <w:bCs/>
                <w:lang w:eastAsia="pl-PL"/>
              </w:rPr>
              <w:br/>
            </w:r>
            <w:r w:rsidRPr="00CF3752">
              <w:rPr>
                <w:rFonts w:eastAsia="Times New Roman" w:cstheme="minorHAnsi"/>
                <w:lang w:eastAsia="pl-PL"/>
              </w:rPr>
              <w:t>(warunek graniczny)</w:t>
            </w:r>
          </w:p>
        </w:tc>
        <w:tc>
          <w:tcPr>
            <w:tcW w:w="2011" w:type="dxa"/>
            <w:tcBorders>
              <w:top w:val="nil"/>
              <w:left w:val="nil"/>
              <w:bottom w:val="single" w:sz="4" w:space="0" w:color="auto"/>
              <w:right w:val="single" w:sz="4" w:space="0" w:color="auto"/>
            </w:tcBorders>
            <w:shd w:val="clear" w:color="D1D1D1" w:fill="BDD7EE"/>
            <w:vAlign w:val="center"/>
            <w:hideMark/>
          </w:tcPr>
          <w:p w14:paraId="1E4E5920"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 xml:space="preserve">OFEROWANE PARAMETRY TECHNICZNE - </w:t>
            </w:r>
            <w:r w:rsidRPr="00CF3752">
              <w:rPr>
                <w:rFonts w:eastAsia="Times New Roman" w:cstheme="minorHAnsi"/>
                <w:color w:val="0000FF"/>
                <w:lang w:eastAsia="pl-PL"/>
              </w:rPr>
              <w:t>podaje Wykonawca</w:t>
            </w:r>
            <w:r w:rsidRPr="00CF3752">
              <w:rPr>
                <w:rFonts w:eastAsia="Times New Roman" w:cstheme="minorHAnsi"/>
                <w:color w:val="0000FF"/>
                <w:lang w:eastAsia="pl-PL"/>
              </w:rPr>
              <w:br/>
            </w:r>
            <w:r w:rsidRPr="00CF3752">
              <w:rPr>
                <w:rFonts w:eastAsia="Times New Roman" w:cstheme="minorHAnsi"/>
                <w:b/>
                <w:bCs/>
                <w:lang w:eastAsia="pl-PL"/>
              </w:rPr>
              <w:br/>
            </w:r>
            <w:r w:rsidRPr="00CF3752">
              <w:rPr>
                <w:rFonts w:eastAsia="Times New Roman" w:cstheme="minorHAnsi"/>
                <w:b/>
                <w:bCs/>
                <w:u w:val="single"/>
                <w:lang w:eastAsia="pl-PL"/>
              </w:rPr>
              <w:t>LEGENDA:</w:t>
            </w:r>
            <w:r w:rsidRPr="00CF3752">
              <w:rPr>
                <w:rFonts w:eastAsia="Times New Roman" w:cstheme="minorHAnsi"/>
                <w:b/>
                <w:bCs/>
                <w:u w:val="single"/>
                <w:lang w:eastAsia="pl-PL"/>
              </w:rPr>
              <w:br/>
            </w:r>
            <w:r w:rsidRPr="00CF3752">
              <w:rPr>
                <w:rFonts w:eastAsia="Times New Roman" w:cstheme="minorHAnsi"/>
                <w:b/>
                <w:bCs/>
                <w:lang w:eastAsia="pl-PL"/>
              </w:rPr>
              <w:t xml:space="preserve">TAK </w:t>
            </w:r>
            <w:r w:rsidRPr="00CF3752">
              <w:rPr>
                <w:rFonts w:eastAsia="Times New Roman" w:cstheme="minorHAnsi"/>
                <w:lang w:eastAsia="pl-PL"/>
              </w:rPr>
              <w:t xml:space="preserve">- wystarczy potwierdzić spełnianie wymogu wpisując: </w:t>
            </w:r>
            <w:r w:rsidRPr="00CF3752">
              <w:rPr>
                <w:rFonts w:eastAsia="Times New Roman" w:cstheme="minorHAnsi"/>
                <w:b/>
                <w:bCs/>
                <w:lang w:eastAsia="pl-PL"/>
              </w:rPr>
              <w:t>TAK</w:t>
            </w:r>
            <w:r w:rsidRPr="00CF3752">
              <w:rPr>
                <w:rFonts w:eastAsia="Times New Roman" w:cstheme="minorHAnsi"/>
                <w:b/>
                <w:bCs/>
                <w:lang w:eastAsia="pl-PL"/>
              </w:rPr>
              <w:br/>
            </w:r>
            <w:proofErr w:type="spellStart"/>
            <w:r w:rsidRPr="00CF3752">
              <w:rPr>
                <w:rFonts w:eastAsia="Times New Roman" w:cstheme="minorHAnsi"/>
                <w:b/>
                <w:bCs/>
                <w:lang w:eastAsia="pl-PL"/>
              </w:rPr>
              <w:t>TAK</w:t>
            </w:r>
            <w:proofErr w:type="spellEnd"/>
            <w:r w:rsidRPr="00CF3752">
              <w:rPr>
                <w:rFonts w:eastAsia="Times New Roman" w:cstheme="minorHAnsi"/>
                <w:b/>
                <w:bCs/>
                <w:lang w:eastAsia="pl-PL"/>
              </w:rPr>
              <w:t xml:space="preserve"> - podać - </w:t>
            </w:r>
            <w:r w:rsidRPr="00CF3752">
              <w:rPr>
                <w:rFonts w:eastAsia="Times New Roman" w:cstheme="minorHAnsi"/>
                <w:lang w:eastAsia="pl-PL"/>
              </w:rPr>
              <w:t xml:space="preserve"> należy spełnić wymóg o</w:t>
            </w:r>
            <w:r w:rsidRPr="00CF3752">
              <w:rPr>
                <w:rFonts w:eastAsia="Times New Roman" w:cstheme="minorHAnsi"/>
                <w:u w:val="single"/>
                <w:lang w:eastAsia="pl-PL"/>
              </w:rPr>
              <w:t>raz dokładnie opisać dany parametr.</w:t>
            </w:r>
            <w:r w:rsidRPr="00CF3752">
              <w:rPr>
                <w:rFonts w:eastAsia="Times New Roman" w:cstheme="minorHAnsi"/>
                <w:u w:val="single"/>
                <w:lang w:eastAsia="pl-PL"/>
              </w:rPr>
              <w:br/>
            </w:r>
            <w:r w:rsidRPr="00CF3752">
              <w:rPr>
                <w:rFonts w:eastAsia="Times New Roman" w:cstheme="minorHAnsi"/>
                <w:b/>
                <w:bCs/>
                <w:lang w:eastAsia="pl-PL"/>
              </w:rPr>
              <w:t xml:space="preserve">NIE DOTYCZY - </w:t>
            </w:r>
            <w:r w:rsidRPr="00CF3752">
              <w:rPr>
                <w:rFonts w:eastAsia="Times New Roman" w:cstheme="minorHAnsi"/>
                <w:lang w:eastAsia="pl-PL"/>
              </w:rPr>
              <w:t>nie dotyczy kryterium</w:t>
            </w:r>
          </w:p>
        </w:tc>
      </w:tr>
      <w:tr w:rsidR="00CB3017" w:rsidRPr="00F8703A" w14:paraId="6465284A" w14:textId="77777777" w:rsidTr="00FD23DE">
        <w:trPr>
          <w:trHeight w:val="276"/>
        </w:trPr>
        <w:tc>
          <w:tcPr>
            <w:tcW w:w="976" w:type="dxa"/>
            <w:tcBorders>
              <w:top w:val="nil"/>
              <w:left w:val="single" w:sz="4" w:space="0" w:color="auto"/>
              <w:bottom w:val="single" w:sz="4" w:space="0" w:color="auto"/>
              <w:right w:val="single" w:sz="4" w:space="0" w:color="auto"/>
            </w:tcBorders>
            <w:shd w:val="clear" w:color="D1D1D1" w:fill="D9D9D9"/>
            <w:vAlign w:val="center"/>
            <w:hideMark/>
          </w:tcPr>
          <w:p w14:paraId="1695378E" w14:textId="77777777" w:rsidR="00CB3017" w:rsidRPr="00CF3752" w:rsidRDefault="00CB3017" w:rsidP="00880B0C">
            <w:pPr>
              <w:spacing w:after="0" w:line="240" w:lineRule="auto"/>
              <w:jc w:val="center"/>
              <w:rPr>
                <w:rFonts w:eastAsia="Times New Roman" w:cstheme="minorHAnsi"/>
                <w:b/>
                <w:bCs/>
                <w:color w:val="000000"/>
                <w:lang w:eastAsia="pl-PL"/>
              </w:rPr>
            </w:pPr>
            <w:r w:rsidRPr="00CF3752">
              <w:rPr>
                <w:rFonts w:eastAsia="Times New Roman" w:cstheme="minorHAnsi"/>
                <w:b/>
                <w:bCs/>
                <w:color w:val="000000"/>
                <w:lang w:eastAsia="pl-PL"/>
              </w:rPr>
              <w:t>Lp.</w:t>
            </w:r>
          </w:p>
        </w:tc>
        <w:tc>
          <w:tcPr>
            <w:tcW w:w="5514" w:type="dxa"/>
            <w:tcBorders>
              <w:top w:val="nil"/>
              <w:left w:val="nil"/>
              <w:bottom w:val="single" w:sz="4" w:space="0" w:color="auto"/>
              <w:right w:val="single" w:sz="4" w:space="0" w:color="auto"/>
            </w:tcBorders>
            <w:shd w:val="clear" w:color="D1D1D1" w:fill="D9D9D9"/>
            <w:vAlign w:val="center"/>
            <w:hideMark/>
          </w:tcPr>
          <w:p w14:paraId="75810738" w14:textId="77777777" w:rsidR="00CB3017" w:rsidRPr="00CF3752" w:rsidRDefault="00CB3017" w:rsidP="00880B0C">
            <w:pPr>
              <w:spacing w:after="0" w:line="240" w:lineRule="auto"/>
              <w:jc w:val="center"/>
              <w:rPr>
                <w:rFonts w:eastAsia="Times New Roman" w:cstheme="minorHAnsi"/>
                <w:b/>
                <w:bCs/>
                <w:color w:val="000000"/>
                <w:lang w:eastAsia="pl-PL"/>
              </w:rPr>
            </w:pPr>
            <w:r w:rsidRPr="00CF3752">
              <w:rPr>
                <w:rFonts w:eastAsia="Times New Roman" w:cstheme="minorHAnsi"/>
                <w:b/>
                <w:bCs/>
                <w:color w:val="000000"/>
                <w:lang w:eastAsia="pl-PL"/>
              </w:rPr>
              <w:t>Opis parametrów</w:t>
            </w:r>
          </w:p>
        </w:tc>
        <w:tc>
          <w:tcPr>
            <w:tcW w:w="1133" w:type="dxa"/>
            <w:tcBorders>
              <w:top w:val="nil"/>
              <w:left w:val="nil"/>
              <w:bottom w:val="single" w:sz="4" w:space="0" w:color="auto"/>
              <w:right w:val="single" w:sz="4" w:space="0" w:color="auto"/>
            </w:tcBorders>
            <w:shd w:val="clear" w:color="D1D1D1" w:fill="D9D9D9"/>
            <w:vAlign w:val="center"/>
            <w:hideMark/>
          </w:tcPr>
          <w:p w14:paraId="71FED7DE" w14:textId="77777777" w:rsidR="00CB3017" w:rsidRPr="00CF3752" w:rsidRDefault="00CB3017" w:rsidP="00880B0C">
            <w:pPr>
              <w:spacing w:after="0" w:line="240" w:lineRule="auto"/>
              <w:jc w:val="center"/>
              <w:rPr>
                <w:rFonts w:eastAsia="Times New Roman" w:cstheme="minorHAnsi"/>
                <w:b/>
                <w:bCs/>
                <w:color w:val="000000"/>
                <w:lang w:eastAsia="pl-PL"/>
              </w:rPr>
            </w:pPr>
            <w:r w:rsidRPr="00CF3752">
              <w:rPr>
                <w:rFonts w:eastAsia="Times New Roman" w:cstheme="minorHAnsi"/>
                <w:b/>
                <w:bCs/>
                <w:color w:val="000000"/>
                <w:lang w:eastAsia="pl-PL"/>
              </w:rPr>
              <w:t>Parametr wymagany</w:t>
            </w:r>
          </w:p>
        </w:tc>
        <w:tc>
          <w:tcPr>
            <w:tcW w:w="2011" w:type="dxa"/>
            <w:tcBorders>
              <w:top w:val="nil"/>
              <w:left w:val="nil"/>
              <w:bottom w:val="single" w:sz="4" w:space="0" w:color="auto"/>
              <w:right w:val="single" w:sz="4" w:space="0" w:color="auto"/>
            </w:tcBorders>
            <w:shd w:val="clear" w:color="D1D1D1" w:fill="D9D9D9"/>
            <w:vAlign w:val="center"/>
            <w:hideMark/>
          </w:tcPr>
          <w:p w14:paraId="58AC4879" w14:textId="77777777" w:rsidR="00CB3017" w:rsidRPr="00CF3752" w:rsidRDefault="00CB3017" w:rsidP="00880B0C">
            <w:pPr>
              <w:spacing w:after="0" w:line="240" w:lineRule="auto"/>
              <w:jc w:val="center"/>
              <w:rPr>
                <w:rFonts w:eastAsia="Times New Roman" w:cstheme="minorHAnsi"/>
                <w:b/>
                <w:bCs/>
                <w:color w:val="000000"/>
                <w:lang w:eastAsia="pl-PL"/>
              </w:rPr>
            </w:pPr>
            <w:r w:rsidRPr="00CF3752">
              <w:rPr>
                <w:rFonts w:eastAsia="Times New Roman" w:cstheme="minorHAnsi"/>
                <w:b/>
                <w:bCs/>
                <w:color w:val="000000"/>
                <w:lang w:eastAsia="pl-PL"/>
              </w:rPr>
              <w:t>Parametr oferowany</w:t>
            </w:r>
          </w:p>
        </w:tc>
      </w:tr>
      <w:tr w:rsidR="00CB3017" w:rsidRPr="00F8703A" w14:paraId="5E60157C" w14:textId="77777777" w:rsidTr="00FD23DE">
        <w:trPr>
          <w:trHeight w:val="255"/>
        </w:trPr>
        <w:tc>
          <w:tcPr>
            <w:tcW w:w="9634" w:type="dxa"/>
            <w:gridSpan w:val="4"/>
            <w:tcBorders>
              <w:top w:val="single" w:sz="4" w:space="0" w:color="auto"/>
              <w:left w:val="single" w:sz="4" w:space="0" w:color="auto"/>
              <w:bottom w:val="single" w:sz="4" w:space="0" w:color="auto"/>
              <w:right w:val="single" w:sz="4" w:space="0" w:color="auto"/>
            </w:tcBorders>
            <w:shd w:val="clear" w:color="E8E8E8" w:fill="F2F2F2"/>
            <w:vAlign w:val="center"/>
            <w:hideMark/>
          </w:tcPr>
          <w:p w14:paraId="17C79306" w14:textId="77777777" w:rsidR="00CB3017" w:rsidRPr="00CF3752" w:rsidRDefault="00CB3017" w:rsidP="00880B0C">
            <w:pPr>
              <w:spacing w:after="0" w:line="240" w:lineRule="auto"/>
              <w:jc w:val="center"/>
              <w:rPr>
                <w:rFonts w:eastAsia="Times New Roman" w:cstheme="minorHAnsi"/>
                <w:color w:val="000000"/>
                <w:lang w:eastAsia="pl-PL"/>
              </w:rPr>
            </w:pPr>
            <w:r w:rsidRPr="00CF3752">
              <w:rPr>
                <w:rFonts w:eastAsia="Times New Roman" w:cstheme="minorHAnsi"/>
                <w:color w:val="000000"/>
                <w:lang w:eastAsia="pl-PL"/>
              </w:rPr>
              <w:t>Podstawowe informacje</w:t>
            </w:r>
          </w:p>
        </w:tc>
      </w:tr>
      <w:tr w:rsidR="00CB3017" w:rsidRPr="00F8703A" w14:paraId="75F49886" w14:textId="77777777" w:rsidTr="00FD23DE">
        <w:trPr>
          <w:trHeight w:val="316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7251AC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w:t>
            </w:r>
          </w:p>
        </w:tc>
        <w:tc>
          <w:tcPr>
            <w:tcW w:w="5514" w:type="dxa"/>
            <w:tcBorders>
              <w:top w:val="nil"/>
              <w:left w:val="nil"/>
              <w:bottom w:val="single" w:sz="4" w:space="0" w:color="auto"/>
              <w:right w:val="single" w:sz="4" w:space="0" w:color="auto"/>
            </w:tcBorders>
            <w:shd w:val="clear" w:color="auto" w:fill="auto"/>
            <w:vAlign w:val="center"/>
            <w:hideMark/>
          </w:tcPr>
          <w:p w14:paraId="5580166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 ramach postępowania należy dostarczyć, zainstalować i uruchomić 177 stanowisk (łóżek) systemu CIS. Poprzez uruchomienie Zamawiający rozumie skonfigurowanie wszelkich komponentów systemu zgodnie z wytycznymi Zamawiającego, zainstalowanie niezbędnych serwerów w środowisku wirtualnym udostępnionym przez Zamawiającego, integrację aparatury medycznej wskazanej w załączniku  oraz integrację z posiadanym systemem HIS (Eskulap), PACS (</w:t>
            </w:r>
            <w:proofErr w:type="spellStart"/>
            <w:r w:rsidRPr="00CF3752">
              <w:rPr>
                <w:rFonts w:eastAsia="Times New Roman" w:cstheme="minorHAnsi"/>
                <w:lang w:eastAsia="pl-PL"/>
              </w:rPr>
              <w:t>Radpoint</w:t>
            </w:r>
            <w:proofErr w:type="spellEnd"/>
            <w:r w:rsidRPr="00CF3752">
              <w:rPr>
                <w:rFonts w:eastAsia="Times New Roman" w:cstheme="minorHAnsi"/>
                <w:lang w:eastAsia="pl-PL"/>
              </w:rPr>
              <w:t xml:space="preserve">), System </w:t>
            </w:r>
            <w:proofErr w:type="spellStart"/>
            <w:r w:rsidRPr="00CF3752">
              <w:rPr>
                <w:rFonts w:eastAsia="Times New Roman" w:cstheme="minorHAnsi"/>
                <w:lang w:eastAsia="pl-PL"/>
              </w:rPr>
              <w:t>Laboratoratoryjny</w:t>
            </w:r>
            <w:proofErr w:type="spellEnd"/>
            <w:r w:rsidRPr="00CF3752">
              <w:rPr>
                <w:rFonts w:eastAsia="Times New Roman" w:cstheme="minorHAnsi"/>
                <w:lang w:eastAsia="pl-PL"/>
              </w:rPr>
              <w:t xml:space="preserve"> - Centrum (Marcel). Dodatkowo Zamawiający wymaga, aby dostęp do systemu CIS mógł być uruchamiany na dowolnej liczbie stanowisk komputerowych Zamawiającego, przy zastrzeżeniu że jednoczasowo można będzie obsłużyć tyle łóżek, na ile Zamawiający będzie posiadał licencje (177). </w:t>
            </w:r>
          </w:p>
        </w:tc>
        <w:tc>
          <w:tcPr>
            <w:tcW w:w="1133" w:type="dxa"/>
            <w:tcBorders>
              <w:top w:val="nil"/>
              <w:left w:val="nil"/>
              <w:bottom w:val="single" w:sz="4" w:space="0" w:color="auto"/>
              <w:right w:val="single" w:sz="4" w:space="0" w:color="auto"/>
            </w:tcBorders>
            <w:shd w:val="clear" w:color="auto" w:fill="auto"/>
            <w:vAlign w:val="center"/>
            <w:hideMark/>
          </w:tcPr>
          <w:p w14:paraId="2DE7974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28A2507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377BF65"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38C439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1.2</w:t>
            </w:r>
          </w:p>
        </w:tc>
        <w:tc>
          <w:tcPr>
            <w:tcW w:w="5514" w:type="dxa"/>
            <w:tcBorders>
              <w:top w:val="nil"/>
              <w:left w:val="nil"/>
              <w:bottom w:val="single" w:sz="4" w:space="0" w:color="auto"/>
              <w:right w:val="single" w:sz="4" w:space="0" w:color="auto"/>
            </w:tcBorders>
            <w:shd w:val="clear" w:color="auto" w:fill="auto"/>
            <w:vAlign w:val="center"/>
            <w:hideMark/>
          </w:tcPr>
          <w:p w14:paraId="7709DBE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 ramach postępowania Wykonawca musi dostarczyć wszelkie niezbędne licencje (w tym także licencje bazodanowe). Licencje nie mogą być ograniczone czasowo oraz umożliwiać ich przenoszalność na inne urządzenia będące w posiadaniu Zamawiającego</w:t>
            </w:r>
          </w:p>
        </w:tc>
        <w:tc>
          <w:tcPr>
            <w:tcW w:w="1133" w:type="dxa"/>
            <w:tcBorders>
              <w:top w:val="nil"/>
              <w:left w:val="nil"/>
              <w:bottom w:val="single" w:sz="4" w:space="0" w:color="auto"/>
              <w:right w:val="single" w:sz="4" w:space="0" w:color="auto"/>
            </w:tcBorders>
            <w:shd w:val="clear" w:color="auto" w:fill="auto"/>
            <w:vAlign w:val="center"/>
            <w:hideMark/>
          </w:tcPr>
          <w:p w14:paraId="504559B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0F90DCE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08E4A20"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3F65CF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w:t>
            </w:r>
          </w:p>
        </w:tc>
        <w:tc>
          <w:tcPr>
            <w:tcW w:w="5514" w:type="dxa"/>
            <w:tcBorders>
              <w:top w:val="nil"/>
              <w:left w:val="nil"/>
              <w:bottom w:val="single" w:sz="4" w:space="0" w:color="auto"/>
              <w:right w:val="single" w:sz="4" w:space="0" w:color="auto"/>
            </w:tcBorders>
            <w:shd w:val="clear" w:color="auto" w:fill="auto"/>
            <w:vAlign w:val="center"/>
            <w:hideMark/>
          </w:tcPr>
          <w:p w14:paraId="7D59FA7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 ramach postępowania Wykonawca wdroży bliźniacze pod względem funkcjonalności środowisko testowe. Zamawiający dopuszcza aby środowisko testowe posiadało mniejsze niż rekomendowane przez producenta zasoby</w:t>
            </w:r>
          </w:p>
        </w:tc>
        <w:tc>
          <w:tcPr>
            <w:tcW w:w="1133" w:type="dxa"/>
            <w:tcBorders>
              <w:top w:val="nil"/>
              <w:left w:val="nil"/>
              <w:bottom w:val="single" w:sz="4" w:space="0" w:color="auto"/>
              <w:right w:val="single" w:sz="4" w:space="0" w:color="auto"/>
            </w:tcBorders>
            <w:shd w:val="clear" w:color="auto" w:fill="auto"/>
            <w:vAlign w:val="center"/>
            <w:hideMark/>
          </w:tcPr>
          <w:p w14:paraId="7FEAE65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194B26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932BC8D"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DBEACE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1.4</w:t>
            </w:r>
          </w:p>
        </w:tc>
        <w:tc>
          <w:tcPr>
            <w:tcW w:w="5514" w:type="dxa"/>
            <w:tcBorders>
              <w:top w:val="nil"/>
              <w:left w:val="nil"/>
              <w:bottom w:val="single" w:sz="4" w:space="0" w:color="auto"/>
              <w:right w:val="single" w:sz="4" w:space="0" w:color="auto"/>
            </w:tcBorders>
            <w:shd w:val="clear" w:color="auto" w:fill="auto"/>
            <w:vAlign w:val="center"/>
            <w:hideMark/>
          </w:tcPr>
          <w:p w14:paraId="36FCF151" w14:textId="77777777" w:rsidR="00CB3017" w:rsidRPr="00CF3752" w:rsidRDefault="00CB3017" w:rsidP="00880B0C">
            <w:pPr>
              <w:rPr>
                <w:rFonts w:eastAsia="Times New Roman" w:cstheme="minorHAnsi"/>
                <w:lang w:eastAsia="pl-PL"/>
              </w:rPr>
            </w:pPr>
            <w:r w:rsidRPr="00CF3752">
              <w:rPr>
                <w:rFonts w:eastAsia="Times New Roman" w:cstheme="minorHAnsi"/>
                <w:lang w:eastAsia="pl-PL"/>
              </w:rPr>
              <w:t xml:space="preserve">Wdrożenie, serwisowanie, szkolenia oraz późniejsza pomoc techniczna muszą być świadczone przez osoby biegle posługujące się językiem polskim. Zamawiający wymaga serwisu 24 godziny przez 7 dni w tygodniu z czasem reakcji do 1 godziny. </w:t>
            </w:r>
            <w:r w:rsidRPr="00977793">
              <w:t>Zamawiający wymaga zapewnienia gwarancji i opieki gwarancyjnej na okres min. 12 miesięcy.</w:t>
            </w:r>
          </w:p>
        </w:tc>
        <w:tc>
          <w:tcPr>
            <w:tcW w:w="1133" w:type="dxa"/>
            <w:tcBorders>
              <w:top w:val="nil"/>
              <w:left w:val="nil"/>
              <w:bottom w:val="single" w:sz="4" w:space="0" w:color="auto"/>
              <w:right w:val="single" w:sz="4" w:space="0" w:color="auto"/>
            </w:tcBorders>
            <w:shd w:val="clear" w:color="auto" w:fill="auto"/>
            <w:vAlign w:val="center"/>
            <w:hideMark/>
          </w:tcPr>
          <w:p w14:paraId="20C27583" w14:textId="77777777" w:rsidR="00CB3017" w:rsidRPr="00CF3752" w:rsidRDefault="00CB3017" w:rsidP="0001152D">
            <w:pPr>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F22E832" w14:textId="77777777" w:rsidR="00CB3017" w:rsidRPr="00CF3752" w:rsidRDefault="00CB3017" w:rsidP="00880B0C">
            <w:pPr>
              <w:rPr>
                <w:rFonts w:eastAsia="Times New Roman" w:cstheme="minorHAnsi"/>
                <w:lang w:eastAsia="pl-PL"/>
              </w:rPr>
            </w:pPr>
            <w:r w:rsidRPr="00CF3752">
              <w:rPr>
                <w:rFonts w:eastAsia="Times New Roman" w:cstheme="minorHAnsi"/>
                <w:lang w:eastAsia="pl-PL"/>
              </w:rPr>
              <w:t> </w:t>
            </w:r>
          </w:p>
        </w:tc>
      </w:tr>
      <w:tr w:rsidR="00CB3017" w:rsidRPr="00F8703A" w14:paraId="609A654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A7846C4" w14:textId="77777777" w:rsidR="00CB3017" w:rsidRPr="00CF3752" w:rsidRDefault="00CB3017" w:rsidP="00880B0C">
            <w:pPr>
              <w:rPr>
                <w:rFonts w:eastAsia="Times New Roman" w:cstheme="minorHAnsi"/>
                <w:lang w:eastAsia="pl-PL"/>
              </w:rPr>
            </w:pPr>
            <w:r w:rsidRPr="00CF3752">
              <w:rPr>
                <w:rFonts w:eastAsia="Times New Roman" w:cstheme="minorHAnsi"/>
                <w:lang w:eastAsia="pl-PL"/>
              </w:rPr>
              <w:t>1.5</w:t>
            </w:r>
          </w:p>
        </w:tc>
        <w:tc>
          <w:tcPr>
            <w:tcW w:w="5514" w:type="dxa"/>
            <w:tcBorders>
              <w:top w:val="nil"/>
              <w:left w:val="nil"/>
              <w:bottom w:val="single" w:sz="4" w:space="0" w:color="auto"/>
              <w:right w:val="single" w:sz="4" w:space="0" w:color="auto"/>
            </w:tcBorders>
            <w:shd w:val="clear" w:color="auto" w:fill="auto"/>
            <w:vAlign w:val="center"/>
            <w:hideMark/>
          </w:tcPr>
          <w:p w14:paraId="433F8300" w14:textId="77777777" w:rsidR="00CB3017" w:rsidRPr="00CF3752" w:rsidRDefault="00CB3017" w:rsidP="00880B0C">
            <w:pPr>
              <w:rPr>
                <w:rFonts w:eastAsia="Times New Roman" w:cstheme="minorHAnsi"/>
                <w:lang w:eastAsia="pl-PL"/>
              </w:rPr>
            </w:pPr>
            <w:r w:rsidRPr="00CF3752">
              <w:rPr>
                <w:rFonts w:eastAsia="Times New Roman" w:cstheme="minorHAnsi"/>
                <w:lang w:eastAsia="pl-PL"/>
              </w:rPr>
              <w:t xml:space="preserve">Wykonawca musi posiadać min. Certyfikat ISO 9001:2015 oraz ISO 13485:2016 </w:t>
            </w:r>
          </w:p>
        </w:tc>
        <w:tc>
          <w:tcPr>
            <w:tcW w:w="1133" w:type="dxa"/>
            <w:tcBorders>
              <w:top w:val="nil"/>
              <w:left w:val="nil"/>
              <w:bottom w:val="single" w:sz="4" w:space="0" w:color="auto"/>
              <w:right w:val="single" w:sz="4" w:space="0" w:color="auto"/>
            </w:tcBorders>
            <w:shd w:val="clear" w:color="auto" w:fill="auto"/>
            <w:vAlign w:val="center"/>
            <w:hideMark/>
          </w:tcPr>
          <w:p w14:paraId="769180D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4709DE1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F4B5597"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E2C733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w:t>
            </w:r>
          </w:p>
        </w:tc>
        <w:tc>
          <w:tcPr>
            <w:tcW w:w="5514" w:type="dxa"/>
            <w:tcBorders>
              <w:top w:val="nil"/>
              <w:left w:val="nil"/>
              <w:bottom w:val="single" w:sz="4" w:space="0" w:color="auto"/>
              <w:right w:val="single" w:sz="4" w:space="0" w:color="auto"/>
            </w:tcBorders>
            <w:shd w:val="clear" w:color="auto" w:fill="auto"/>
            <w:vAlign w:val="center"/>
            <w:hideMark/>
          </w:tcPr>
          <w:p w14:paraId="2A4BF83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Zamawiający na systemach operacyjnych wymaga Wsparcia na poziomie podstawowym (o ile wymogi specyfikacji nie określają inaczej). Jeśli w chwili podpisania umowy, Wykonawca nie posiada w swoim portfolio urządzeń ze wspieraną wersję systemów operacyjnych (przez producenta systemu operacyjnego), jest zobowiązany do wskazania terminu dostarczenia oraz podniesienia systemów do wersji wspieranych (przez producenta systemu operacyjnego)</w:t>
            </w:r>
          </w:p>
        </w:tc>
        <w:tc>
          <w:tcPr>
            <w:tcW w:w="1133" w:type="dxa"/>
            <w:tcBorders>
              <w:top w:val="nil"/>
              <w:left w:val="nil"/>
              <w:bottom w:val="single" w:sz="4" w:space="0" w:color="auto"/>
              <w:right w:val="single" w:sz="4" w:space="0" w:color="auto"/>
            </w:tcBorders>
            <w:shd w:val="clear" w:color="auto" w:fill="auto"/>
            <w:vAlign w:val="center"/>
            <w:hideMark/>
          </w:tcPr>
          <w:p w14:paraId="3F7D3E0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2C15E4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C7320C7"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81F3C6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w:t>
            </w:r>
          </w:p>
        </w:tc>
        <w:tc>
          <w:tcPr>
            <w:tcW w:w="5514" w:type="dxa"/>
            <w:tcBorders>
              <w:top w:val="nil"/>
              <w:left w:val="nil"/>
              <w:bottom w:val="single" w:sz="4" w:space="0" w:color="auto"/>
              <w:right w:val="single" w:sz="4" w:space="0" w:color="auto"/>
            </w:tcBorders>
            <w:shd w:val="clear" w:color="auto" w:fill="auto"/>
            <w:vAlign w:val="center"/>
            <w:hideMark/>
          </w:tcPr>
          <w:p w14:paraId="415C036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Całość systemu zaprojektowana i wdrożona bez </w:t>
            </w:r>
            <w:proofErr w:type="spellStart"/>
            <w:r w:rsidRPr="00CF3752">
              <w:rPr>
                <w:rFonts w:eastAsia="Times New Roman" w:cstheme="minorHAnsi"/>
                <w:lang w:eastAsia="pl-PL"/>
              </w:rPr>
              <w:t>pojedyńczych</w:t>
            </w:r>
            <w:proofErr w:type="spellEnd"/>
            <w:r w:rsidRPr="00CF3752">
              <w:rPr>
                <w:rFonts w:eastAsia="Times New Roman" w:cstheme="minorHAnsi"/>
                <w:lang w:eastAsia="pl-PL"/>
              </w:rPr>
              <w:t xml:space="preserve"> punktów awarii. Wymagana architektura </w:t>
            </w:r>
            <w:proofErr w:type="spellStart"/>
            <w:r w:rsidRPr="00CF3752">
              <w:rPr>
                <w:rFonts w:eastAsia="Times New Roman" w:cstheme="minorHAnsi"/>
                <w:lang w:eastAsia="pl-PL"/>
              </w:rPr>
              <w:t>active-active</w:t>
            </w:r>
            <w:proofErr w:type="spellEnd"/>
            <w:r w:rsidRPr="00CF3752">
              <w:rPr>
                <w:rFonts w:eastAsia="Times New Roman" w:cstheme="minorHAnsi"/>
                <w:lang w:eastAsia="pl-PL"/>
              </w:rPr>
              <w:t xml:space="preserve"> lub </w:t>
            </w:r>
            <w:proofErr w:type="spellStart"/>
            <w:r w:rsidRPr="00CF3752">
              <w:rPr>
                <w:rFonts w:eastAsia="Times New Roman" w:cstheme="minorHAnsi"/>
                <w:lang w:eastAsia="pl-PL"/>
              </w:rPr>
              <w:t>active-standby</w:t>
            </w:r>
            <w:proofErr w:type="spellEnd"/>
            <w:r w:rsidRPr="00CF3752">
              <w:rPr>
                <w:rFonts w:eastAsia="Times New Roman" w:cstheme="minorHAnsi"/>
                <w:lang w:eastAsia="pl-PL"/>
              </w:rPr>
              <w:t xml:space="preserve">. Wymóg nie dotyczy środowiska </w:t>
            </w:r>
            <w:proofErr w:type="spellStart"/>
            <w:r w:rsidRPr="00CF3752">
              <w:rPr>
                <w:rFonts w:eastAsia="Times New Roman" w:cstheme="minorHAnsi"/>
                <w:lang w:eastAsia="pl-PL"/>
              </w:rPr>
              <w:t>wirtualizatora</w:t>
            </w:r>
            <w:proofErr w:type="spellEnd"/>
            <w:r w:rsidRPr="00CF3752">
              <w:rPr>
                <w:rFonts w:eastAsia="Times New Roman" w:cstheme="minorHAnsi"/>
                <w:lang w:eastAsia="pl-PL"/>
              </w:rPr>
              <w:t xml:space="preserve"> które posiada Zamawiający oraz środowiska testowego</w:t>
            </w:r>
          </w:p>
        </w:tc>
        <w:tc>
          <w:tcPr>
            <w:tcW w:w="1133" w:type="dxa"/>
            <w:tcBorders>
              <w:top w:val="nil"/>
              <w:left w:val="nil"/>
              <w:bottom w:val="single" w:sz="4" w:space="0" w:color="auto"/>
              <w:right w:val="single" w:sz="4" w:space="0" w:color="auto"/>
            </w:tcBorders>
            <w:shd w:val="clear" w:color="auto" w:fill="auto"/>
            <w:vAlign w:val="center"/>
            <w:hideMark/>
          </w:tcPr>
          <w:p w14:paraId="01FB0F5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788215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2043227"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7BD68E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1.8</w:t>
            </w:r>
          </w:p>
        </w:tc>
        <w:tc>
          <w:tcPr>
            <w:tcW w:w="5514" w:type="dxa"/>
            <w:tcBorders>
              <w:top w:val="nil"/>
              <w:left w:val="nil"/>
              <w:bottom w:val="single" w:sz="4" w:space="0" w:color="auto"/>
              <w:right w:val="single" w:sz="4" w:space="0" w:color="auto"/>
            </w:tcBorders>
            <w:shd w:val="clear" w:color="auto" w:fill="auto"/>
            <w:vAlign w:val="center"/>
            <w:hideMark/>
          </w:tcPr>
          <w:p w14:paraId="561B5A0C" w14:textId="270DF929" w:rsidR="00657540" w:rsidRPr="0001152D" w:rsidRDefault="00657540" w:rsidP="00657540">
            <w:pPr>
              <w:pStyle w:val="NormalnyWeb"/>
              <w:rPr>
                <w:rFonts w:asciiTheme="minorHAnsi" w:hAnsiTheme="minorHAnsi" w:cstheme="minorHAnsi"/>
                <w:sz w:val="22"/>
                <w:szCs w:val="22"/>
              </w:rPr>
            </w:pPr>
            <w:r w:rsidRPr="0001152D">
              <w:rPr>
                <w:rFonts w:asciiTheme="minorHAnsi" w:hAnsiTheme="minorHAnsi" w:cstheme="minorHAnsi"/>
                <w:sz w:val="22"/>
                <w:szCs w:val="22"/>
              </w:rPr>
              <w:t xml:space="preserve">System musi zapewniać możliwość jednoczesnej pracy co najmniej 177 stanowisk w momencie uruchomienia produkcyjnego. Jednocześnie rozwiązanie musi być zaprojektowane w sposób umożliwiający jego bezproblemowe przeskalowanie do obsługi co najmniej 2000 stanowisk równocześnie, </w:t>
            </w:r>
          </w:p>
          <w:p w14:paraId="725A6B61" w14:textId="77777777" w:rsidR="00657540" w:rsidRPr="0001152D" w:rsidRDefault="00657540" w:rsidP="00657540">
            <w:pPr>
              <w:pStyle w:val="NormalnyWeb"/>
              <w:rPr>
                <w:rFonts w:asciiTheme="minorHAnsi" w:hAnsiTheme="minorHAnsi" w:cstheme="minorHAnsi"/>
                <w:sz w:val="22"/>
                <w:szCs w:val="22"/>
              </w:rPr>
            </w:pPr>
            <w:r w:rsidRPr="0001152D">
              <w:rPr>
                <w:rFonts w:asciiTheme="minorHAnsi" w:hAnsiTheme="minorHAnsi" w:cstheme="minorHAnsi"/>
                <w:sz w:val="22"/>
                <w:szCs w:val="22"/>
              </w:rPr>
              <w:t>Architektura systemu powinna być skalowalna i przygotowana do wzrostu liczby użytkowników wraz z rozwojem organizacji.</w:t>
            </w:r>
          </w:p>
          <w:p w14:paraId="486E545D" w14:textId="157BD187" w:rsidR="00CB3017" w:rsidRPr="00657540" w:rsidRDefault="00657540" w:rsidP="0001152D">
            <w:pPr>
              <w:pStyle w:val="NormalnyWeb"/>
            </w:pPr>
            <w:r w:rsidRPr="0001152D">
              <w:rPr>
                <w:rFonts w:asciiTheme="minorHAnsi" w:hAnsiTheme="minorHAnsi" w:cstheme="minorHAnsi"/>
                <w:sz w:val="22"/>
                <w:szCs w:val="22"/>
              </w:rPr>
              <w:t>Wykonawca zobowiązany jest wskazać szczegółowo wymagane zasoby teleinformatyczne, w tym parametry infrastruktury serwerowej, bazodanowej, sieciowej oraz ewentualne wymagania sprzętowe, które Zamawiający powinien zaalokować w celu zapewnienia stabilnej pracy systemu przy docelowej skali 2000 równoczesnych stanowisk.</w:t>
            </w:r>
          </w:p>
        </w:tc>
        <w:tc>
          <w:tcPr>
            <w:tcW w:w="1133" w:type="dxa"/>
            <w:tcBorders>
              <w:top w:val="nil"/>
              <w:left w:val="nil"/>
              <w:bottom w:val="single" w:sz="4" w:space="0" w:color="auto"/>
              <w:right w:val="single" w:sz="4" w:space="0" w:color="auto"/>
            </w:tcBorders>
            <w:shd w:val="clear" w:color="auto" w:fill="auto"/>
            <w:vAlign w:val="center"/>
            <w:hideMark/>
          </w:tcPr>
          <w:p w14:paraId="4BA7439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6AD8962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C0A3F3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604C4A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w:t>
            </w:r>
          </w:p>
        </w:tc>
        <w:tc>
          <w:tcPr>
            <w:tcW w:w="5514" w:type="dxa"/>
            <w:tcBorders>
              <w:top w:val="nil"/>
              <w:left w:val="nil"/>
              <w:bottom w:val="single" w:sz="4" w:space="0" w:color="auto"/>
              <w:right w:val="single" w:sz="4" w:space="0" w:color="auto"/>
            </w:tcBorders>
            <w:shd w:val="clear" w:color="auto" w:fill="auto"/>
            <w:vAlign w:val="center"/>
            <w:hideMark/>
          </w:tcPr>
          <w:p w14:paraId="3FF832C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Wykonawca dokona analizy i przedstawi sposób wdrożenia systemu CIS wraz z harmonogramem do akceptacji Zamawiającego</w:t>
            </w:r>
          </w:p>
        </w:tc>
        <w:tc>
          <w:tcPr>
            <w:tcW w:w="1133" w:type="dxa"/>
            <w:tcBorders>
              <w:top w:val="nil"/>
              <w:left w:val="nil"/>
              <w:bottom w:val="single" w:sz="4" w:space="0" w:color="auto"/>
              <w:right w:val="single" w:sz="4" w:space="0" w:color="auto"/>
            </w:tcBorders>
            <w:shd w:val="clear" w:color="auto" w:fill="auto"/>
            <w:vAlign w:val="center"/>
            <w:hideMark/>
          </w:tcPr>
          <w:p w14:paraId="2FBFB68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8CB586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4D3BD65"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027900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1.10</w:t>
            </w:r>
          </w:p>
        </w:tc>
        <w:tc>
          <w:tcPr>
            <w:tcW w:w="5514" w:type="dxa"/>
            <w:tcBorders>
              <w:top w:val="nil"/>
              <w:left w:val="nil"/>
              <w:bottom w:val="single" w:sz="4" w:space="0" w:color="auto"/>
              <w:right w:val="single" w:sz="4" w:space="0" w:color="auto"/>
            </w:tcBorders>
            <w:shd w:val="clear" w:color="auto" w:fill="auto"/>
            <w:vAlign w:val="center"/>
            <w:hideMark/>
          </w:tcPr>
          <w:p w14:paraId="58CDF44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Wszelkie konfiguracje reguł, alertów, obiegów, widoków, itp. muszą uzyskać akceptację Zamawiającego</w:t>
            </w:r>
          </w:p>
        </w:tc>
        <w:tc>
          <w:tcPr>
            <w:tcW w:w="1133" w:type="dxa"/>
            <w:tcBorders>
              <w:top w:val="nil"/>
              <w:left w:val="nil"/>
              <w:bottom w:val="single" w:sz="4" w:space="0" w:color="auto"/>
              <w:right w:val="single" w:sz="4" w:space="0" w:color="auto"/>
            </w:tcBorders>
            <w:shd w:val="clear" w:color="auto" w:fill="auto"/>
            <w:vAlign w:val="center"/>
            <w:hideMark/>
          </w:tcPr>
          <w:p w14:paraId="7020178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A34C0C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7DE98F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A15D39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w:t>
            </w:r>
          </w:p>
        </w:tc>
        <w:tc>
          <w:tcPr>
            <w:tcW w:w="5514" w:type="dxa"/>
            <w:tcBorders>
              <w:top w:val="nil"/>
              <w:left w:val="nil"/>
              <w:bottom w:val="single" w:sz="4" w:space="0" w:color="auto"/>
              <w:right w:val="single" w:sz="4" w:space="0" w:color="auto"/>
            </w:tcBorders>
            <w:shd w:val="clear" w:color="auto" w:fill="auto"/>
            <w:vAlign w:val="center"/>
            <w:hideMark/>
          </w:tcPr>
          <w:p w14:paraId="3263F4B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Wykonawca dostarczy bezpłatnie interfejsy integracyjne (API) oraz ich pełną dokumentację</w:t>
            </w:r>
          </w:p>
        </w:tc>
        <w:tc>
          <w:tcPr>
            <w:tcW w:w="1133" w:type="dxa"/>
            <w:tcBorders>
              <w:top w:val="nil"/>
              <w:left w:val="nil"/>
              <w:bottom w:val="single" w:sz="4" w:space="0" w:color="auto"/>
              <w:right w:val="single" w:sz="4" w:space="0" w:color="auto"/>
            </w:tcBorders>
            <w:shd w:val="clear" w:color="auto" w:fill="auto"/>
            <w:vAlign w:val="center"/>
            <w:hideMark/>
          </w:tcPr>
          <w:p w14:paraId="3FAF0F3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9E8179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0A298FA"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19ECE5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1.12</w:t>
            </w:r>
          </w:p>
        </w:tc>
        <w:tc>
          <w:tcPr>
            <w:tcW w:w="5514" w:type="dxa"/>
            <w:tcBorders>
              <w:top w:val="nil"/>
              <w:left w:val="nil"/>
              <w:bottom w:val="single" w:sz="4" w:space="0" w:color="auto"/>
              <w:right w:val="single" w:sz="4" w:space="0" w:color="auto"/>
            </w:tcBorders>
            <w:shd w:val="clear" w:color="auto" w:fill="auto"/>
            <w:vAlign w:val="center"/>
            <w:hideMark/>
          </w:tcPr>
          <w:p w14:paraId="545DAEB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Wykonawca przeszkoli pracowników Zamawiającego z obsługi oraz administracji systemem.</w:t>
            </w:r>
          </w:p>
        </w:tc>
        <w:tc>
          <w:tcPr>
            <w:tcW w:w="1133" w:type="dxa"/>
            <w:tcBorders>
              <w:top w:val="nil"/>
              <w:left w:val="nil"/>
              <w:bottom w:val="single" w:sz="4" w:space="0" w:color="auto"/>
              <w:right w:val="single" w:sz="4" w:space="0" w:color="auto"/>
            </w:tcBorders>
            <w:shd w:val="clear" w:color="auto" w:fill="auto"/>
            <w:vAlign w:val="center"/>
            <w:hideMark/>
          </w:tcPr>
          <w:p w14:paraId="2903E87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5FAC6A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4DBF4D9"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8D399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1.13</w:t>
            </w:r>
          </w:p>
        </w:tc>
        <w:tc>
          <w:tcPr>
            <w:tcW w:w="5514" w:type="dxa"/>
            <w:tcBorders>
              <w:top w:val="nil"/>
              <w:left w:val="nil"/>
              <w:bottom w:val="single" w:sz="4" w:space="0" w:color="auto"/>
              <w:right w:val="single" w:sz="4" w:space="0" w:color="auto"/>
            </w:tcBorders>
            <w:shd w:val="clear" w:color="auto" w:fill="auto"/>
            <w:vAlign w:val="center"/>
            <w:hideMark/>
          </w:tcPr>
          <w:p w14:paraId="38A6F09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Wykonawca oświadcza że na chwilę składania oferty zaproponowany system CIS jest zgodny i dostosowany do obecnie obowiązujących przepisów prawa odnoszących się do tego typu systemów (w tym także RODO; AI ACT)</w:t>
            </w:r>
          </w:p>
        </w:tc>
        <w:tc>
          <w:tcPr>
            <w:tcW w:w="1133" w:type="dxa"/>
            <w:tcBorders>
              <w:top w:val="nil"/>
              <w:left w:val="nil"/>
              <w:bottom w:val="single" w:sz="4" w:space="0" w:color="auto"/>
              <w:right w:val="single" w:sz="4" w:space="0" w:color="auto"/>
            </w:tcBorders>
            <w:shd w:val="clear" w:color="auto" w:fill="auto"/>
            <w:vAlign w:val="center"/>
            <w:hideMark/>
          </w:tcPr>
          <w:p w14:paraId="77699E8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9F2DB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6731FC9"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54D14E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1.14</w:t>
            </w:r>
          </w:p>
        </w:tc>
        <w:tc>
          <w:tcPr>
            <w:tcW w:w="5514" w:type="dxa"/>
            <w:tcBorders>
              <w:top w:val="nil"/>
              <w:left w:val="nil"/>
              <w:bottom w:val="single" w:sz="4" w:space="0" w:color="auto"/>
              <w:right w:val="single" w:sz="4" w:space="0" w:color="auto"/>
            </w:tcBorders>
            <w:shd w:val="clear" w:color="auto" w:fill="auto"/>
            <w:vAlign w:val="center"/>
            <w:hideMark/>
          </w:tcPr>
          <w:p w14:paraId="5926D2B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Wykonawca oświadcza, że wszystkie domyślne hasła (w tym hasła do kont serwisowych oraz ustawień administracyjnych) zostaną zmienione, i w dokumencie oświadczenia wskaże pracownika szpitala, któremu przekazał zmienione hasła.</w:t>
            </w:r>
          </w:p>
        </w:tc>
        <w:tc>
          <w:tcPr>
            <w:tcW w:w="1133" w:type="dxa"/>
            <w:tcBorders>
              <w:top w:val="nil"/>
              <w:left w:val="nil"/>
              <w:bottom w:val="single" w:sz="4" w:space="0" w:color="auto"/>
              <w:right w:val="single" w:sz="4" w:space="0" w:color="auto"/>
            </w:tcBorders>
            <w:shd w:val="clear" w:color="auto" w:fill="auto"/>
            <w:vAlign w:val="center"/>
            <w:hideMark/>
          </w:tcPr>
          <w:p w14:paraId="416F25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FF8CA3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255DA2F" w14:textId="77777777" w:rsidTr="00FD23DE">
        <w:trPr>
          <w:trHeight w:val="23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997408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1.15</w:t>
            </w:r>
          </w:p>
        </w:tc>
        <w:tc>
          <w:tcPr>
            <w:tcW w:w="5514" w:type="dxa"/>
            <w:tcBorders>
              <w:top w:val="nil"/>
              <w:left w:val="nil"/>
              <w:bottom w:val="single" w:sz="4" w:space="0" w:color="auto"/>
              <w:right w:val="single" w:sz="4" w:space="0" w:color="auto"/>
            </w:tcBorders>
            <w:shd w:val="clear" w:color="auto" w:fill="auto"/>
            <w:vAlign w:val="center"/>
            <w:hideMark/>
          </w:tcPr>
          <w:p w14:paraId="6A92709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Wykonawca opracuje z Zamawiającym dokumenty - procedurę tworzenia kopii zapasowej ze szczegółową instrukcją odzyskiwania systemu i danych z kopii. Opracowana procedura będzie musiała zawierać specyfikacje baz danych, plików konfiguracyjnych, które muszą być objęte systemem kopii zapasowej. Specyfikacja będzie </w:t>
            </w:r>
            <w:r w:rsidRPr="008C7921">
              <w:rPr>
                <w:rFonts w:eastAsia="Times New Roman" w:cstheme="minorHAnsi"/>
                <w:lang w:eastAsia="pl-PL"/>
              </w:rPr>
              <w:t>musiała</w:t>
            </w:r>
            <w:r w:rsidRPr="00CF3752">
              <w:rPr>
                <w:rFonts w:eastAsia="Times New Roman" w:cstheme="minorHAnsi"/>
                <w:lang w:eastAsia="pl-PL"/>
              </w:rPr>
              <w:t xml:space="preserve"> w sposób jasny i przejrzysty wskazywać wszystkie pliki jakie należy archiwizować, aby wykonać prawidłową i pełną kopię bezpieczeństwa systemu. Wykonawca, w ramach wdrożenia, przeprowadzi wraz z Zamawiającym, próbne utworzenie i prawidłowe odtworzenie kopii bezpieczeństwa </w:t>
            </w:r>
          </w:p>
        </w:tc>
        <w:tc>
          <w:tcPr>
            <w:tcW w:w="1133" w:type="dxa"/>
            <w:tcBorders>
              <w:top w:val="nil"/>
              <w:left w:val="nil"/>
              <w:bottom w:val="single" w:sz="4" w:space="0" w:color="auto"/>
              <w:right w:val="single" w:sz="4" w:space="0" w:color="auto"/>
            </w:tcBorders>
            <w:shd w:val="clear" w:color="auto" w:fill="auto"/>
            <w:vAlign w:val="center"/>
            <w:hideMark/>
          </w:tcPr>
          <w:p w14:paraId="0EF59DD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FB4B37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1D18C18"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2A023F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1.16</w:t>
            </w:r>
          </w:p>
        </w:tc>
        <w:tc>
          <w:tcPr>
            <w:tcW w:w="5514" w:type="dxa"/>
            <w:tcBorders>
              <w:top w:val="nil"/>
              <w:left w:val="nil"/>
              <w:bottom w:val="single" w:sz="4" w:space="0" w:color="auto"/>
              <w:right w:val="single" w:sz="4" w:space="0" w:color="auto"/>
            </w:tcBorders>
            <w:shd w:val="clear" w:color="auto" w:fill="auto"/>
            <w:vAlign w:val="center"/>
            <w:hideMark/>
          </w:tcPr>
          <w:p w14:paraId="14900A2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Wykonawca jest zobowiązany do opracowania i przekazania Zamawiającemu procedur / instrukcji wprowadzania danych, które wymagane są do prawidłowych działania integracji/systemów/aparatów w tym instrukcji realizowanych na wypadek sytuacji awaryjnych: np. awaria infrastruktury sieciowej</w:t>
            </w:r>
          </w:p>
        </w:tc>
        <w:tc>
          <w:tcPr>
            <w:tcW w:w="1133" w:type="dxa"/>
            <w:tcBorders>
              <w:top w:val="nil"/>
              <w:left w:val="nil"/>
              <w:bottom w:val="single" w:sz="4" w:space="0" w:color="auto"/>
              <w:right w:val="single" w:sz="4" w:space="0" w:color="auto"/>
            </w:tcBorders>
            <w:shd w:val="clear" w:color="auto" w:fill="auto"/>
            <w:vAlign w:val="center"/>
            <w:hideMark/>
          </w:tcPr>
          <w:p w14:paraId="74E3459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DF1017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9A3F577" w14:textId="77777777" w:rsidTr="00FD23DE">
        <w:trPr>
          <w:trHeight w:val="316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EF83D1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1.17</w:t>
            </w:r>
          </w:p>
        </w:tc>
        <w:tc>
          <w:tcPr>
            <w:tcW w:w="5514" w:type="dxa"/>
            <w:tcBorders>
              <w:top w:val="nil"/>
              <w:left w:val="nil"/>
              <w:bottom w:val="single" w:sz="4" w:space="0" w:color="auto"/>
              <w:right w:val="single" w:sz="4" w:space="0" w:color="auto"/>
            </w:tcBorders>
            <w:shd w:val="clear" w:color="auto" w:fill="auto"/>
            <w:vAlign w:val="center"/>
            <w:hideMark/>
          </w:tcPr>
          <w:p w14:paraId="244CD3C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Działania wymagające uprawnień administracyjnych powinny być realizowane z poziomu udostępnionego konta. Każda zmiana wykonana na stacji roboczej powinna być informowana przez serwis wiadomością email wysłaną na adres wskazany podczas wdrożenia. Zakres i sposób wykorzystania podanych przez Dział Informatyki adresów IP powinien być zgodny z wewnętrznymi procedurami obowiązującymi w szpitalu. Wykonawca powinien przekazać informacje o liczbie potrzebnych adresów sieciowych co najmniej na 3 dni przed pojawieniem się osób wdrażających wymagających tych danych i ustalić termin i czas wymagający zaangażowania informatyka szpitalnego w godzinach pracy zespołu informatycznego</w:t>
            </w:r>
          </w:p>
        </w:tc>
        <w:tc>
          <w:tcPr>
            <w:tcW w:w="1133" w:type="dxa"/>
            <w:tcBorders>
              <w:top w:val="nil"/>
              <w:left w:val="nil"/>
              <w:bottom w:val="single" w:sz="4" w:space="0" w:color="auto"/>
              <w:right w:val="single" w:sz="4" w:space="0" w:color="auto"/>
            </w:tcBorders>
            <w:shd w:val="clear" w:color="auto" w:fill="auto"/>
            <w:vAlign w:val="center"/>
            <w:hideMark/>
          </w:tcPr>
          <w:p w14:paraId="32646DA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1CE7D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EA5CDEF"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20CCE3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1.18</w:t>
            </w:r>
          </w:p>
        </w:tc>
        <w:tc>
          <w:tcPr>
            <w:tcW w:w="5514" w:type="dxa"/>
            <w:tcBorders>
              <w:top w:val="nil"/>
              <w:left w:val="nil"/>
              <w:bottom w:val="single" w:sz="4" w:space="0" w:color="auto"/>
              <w:right w:val="single" w:sz="4" w:space="0" w:color="auto"/>
            </w:tcBorders>
            <w:shd w:val="clear" w:color="auto" w:fill="auto"/>
            <w:vAlign w:val="center"/>
            <w:hideMark/>
          </w:tcPr>
          <w:p w14:paraId="604F004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W przypadku realizacji prac wdrożeniowych i/lub serwisowych zdalnie, prace te powinny być realizowane przy wykorzystaniu tunelu VPN opartego na zbiorze protokołów </w:t>
            </w:r>
            <w:proofErr w:type="spellStart"/>
            <w:r w:rsidRPr="00CF3752">
              <w:rPr>
                <w:rFonts w:eastAsia="Times New Roman" w:cstheme="minorHAnsi"/>
                <w:lang w:eastAsia="pl-PL"/>
              </w:rPr>
              <w:t>IPsec</w:t>
            </w:r>
            <w:proofErr w:type="spellEnd"/>
            <w:r w:rsidRPr="00CF3752">
              <w:rPr>
                <w:rFonts w:eastAsia="Times New Roman" w:cstheme="minorHAnsi"/>
                <w:lang w:eastAsia="pl-PL"/>
              </w:rPr>
              <w:t xml:space="preserve"> . Szpital udostępni dwa typy połączeń:</w:t>
            </w:r>
            <w:r w:rsidRPr="00CF3752">
              <w:rPr>
                <w:rFonts w:eastAsia="Times New Roman" w:cstheme="minorHAnsi"/>
                <w:lang w:eastAsia="pl-PL"/>
              </w:rPr>
              <w:br/>
              <w:t>- tunel Site-to-Site (preferowany typ),</w:t>
            </w:r>
            <w:r w:rsidRPr="00CF3752">
              <w:rPr>
                <w:rFonts w:eastAsia="Times New Roman" w:cstheme="minorHAnsi"/>
                <w:lang w:eastAsia="pl-PL"/>
              </w:rPr>
              <w:br/>
              <w:t>- tunel Client-to-Site</w:t>
            </w:r>
          </w:p>
        </w:tc>
        <w:tc>
          <w:tcPr>
            <w:tcW w:w="1133" w:type="dxa"/>
            <w:tcBorders>
              <w:top w:val="nil"/>
              <w:left w:val="nil"/>
              <w:bottom w:val="single" w:sz="4" w:space="0" w:color="auto"/>
              <w:right w:val="single" w:sz="4" w:space="0" w:color="auto"/>
            </w:tcBorders>
            <w:shd w:val="clear" w:color="auto" w:fill="auto"/>
            <w:vAlign w:val="center"/>
            <w:hideMark/>
          </w:tcPr>
          <w:p w14:paraId="51CB3CEC" w14:textId="2BDF51F8"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r w:rsidR="00FC4CB9">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CED17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BE6A91D"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9DA159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1.19</w:t>
            </w:r>
          </w:p>
        </w:tc>
        <w:tc>
          <w:tcPr>
            <w:tcW w:w="5514" w:type="dxa"/>
            <w:tcBorders>
              <w:top w:val="nil"/>
              <w:left w:val="nil"/>
              <w:bottom w:val="single" w:sz="4" w:space="0" w:color="auto"/>
              <w:right w:val="single" w:sz="4" w:space="0" w:color="auto"/>
            </w:tcBorders>
            <w:shd w:val="clear" w:color="auto" w:fill="auto"/>
            <w:vAlign w:val="center"/>
            <w:hideMark/>
          </w:tcPr>
          <w:p w14:paraId="2E7A9AB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W przypadku braku możliwości technicznych w celu zrealizowania połączenie typu: Site-to-Site, skonfigurowany może zostać tunel typu Client-to-Site. Wymagać to będzie zainstalowania na komputerach serwisu oprogramowania VPN Client. </w:t>
            </w:r>
            <w:r w:rsidRPr="00CF3752">
              <w:rPr>
                <w:rFonts w:eastAsia="Times New Roman" w:cstheme="minorHAnsi"/>
                <w:lang w:eastAsia="pl-PL"/>
              </w:rPr>
              <w:br/>
              <w:t>Realizacja dostępu zdalnego będzie możliwa tylko przy wykorzystaniu zainstalowanych w szpitalu urządzeń UTM</w:t>
            </w:r>
          </w:p>
        </w:tc>
        <w:tc>
          <w:tcPr>
            <w:tcW w:w="1133" w:type="dxa"/>
            <w:tcBorders>
              <w:top w:val="nil"/>
              <w:left w:val="nil"/>
              <w:bottom w:val="single" w:sz="4" w:space="0" w:color="auto"/>
              <w:right w:val="single" w:sz="4" w:space="0" w:color="auto"/>
            </w:tcBorders>
            <w:shd w:val="clear" w:color="auto" w:fill="auto"/>
            <w:vAlign w:val="center"/>
            <w:hideMark/>
          </w:tcPr>
          <w:p w14:paraId="308F4BE8" w14:textId="3DFDC53B"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r w:rsidR="00FC4CB9">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45FD7C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5CB25B6"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AF2AEF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1.20</w:t>
            </w:r>
          </w:p>
        </w:tc>
        <w:tc>
          <w:tcPr>
            <w:tcW w:w="5514" w:type="dxa"/>
            <w:tcBorders>
              <w:top w:val="nil"/>
              <w:left w:val="nil"/>
              <w:bottom w:val="single" w:sz="4" w:space="0" w:color="auto"/>
              <w:right w:val="single" w:sz="4" w:space="0" w:color="auto"/>
            </w:tcBorders>
            <w:shd w:val="clear" w:color="auto" w:fill="auto"/>
            <w:vAlign w:val="center"/>
            <w:hideMark/>
          </w:tcPr>
          <w:p w14:paraId="1B2F86F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Serwis, chcąc realizować zadania na konkretnej stacji użytkownika, powinien się połączyć poprzez VPN używając połączenia zdalnego (wymagania w punkcie 2.2 oraz 2.4) z serwera inicjując połączenie do komputera Użytkownika poprzez oprogramowanie VNC po porcie ustalonym w czasie wdrożenia. </w:t>
            </w:r>
          </w:p>
        </w:tc>
        <w:tc>
          <w:tcPr>
            <w:tcW w:w="1133" w:type="dxa"/>
            <w:tcBorders>
              <w:top w:val="nil"/>
              <w:left w:val="nil"/>
              <w:bottom w:val="single" w:sz="4" w:space="0" w:color="auto"/>
              <w:right w:val="single" w:sz="4" w:space="0" w:color="auto"/>
            </w:tcBorders>
            <w:shd w:val="clear" w:color="auto" w:fill="auto"/>
            <w:vAlign w:val="center"/>
            <w:hideMark/>
          </w:tcPr>
          <w:p w14:paraId="0959528D" w14:textId="39A4C760"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r w:rsidR="00FC4CB9">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2C0B42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D0DFFB8"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D729B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1.21</w:t>
            </w:r>
          </w:p>
        </w:tc>
        <w:tc>
          <w:tcPr>
            <w:tcW w:w="5514" w:type="dxa"/>
            <w:tcBorders>
              <w:top w:val="nil"/>
              <w:left w:val="nil"/>
              <w:bottom w:val="single" w:sz="4" w:space="0" w:color="auto"/>
              <w:right w:val="single" w:sz="4" w:space="0" w:color="auto"/>
            </w:tcBorders>
            <w:shd w:val="clear" w:color="auto" w:fill="auto"/>
            <w:vAlign w:val="center"/>
            <w:hideMark/>
          </w:tcPr>
          <w:p w14:paraId="00B6C72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Wykonawca już na etapie przedstawienia oferty jest zobowiązany do wskazania koniecznej do działania liczby gniazd sieciowych dla poszczególnych stanowisk.</w:t>
            </w:r>
          </w:p>
        </w:tc>
        <w:tc>
          <w:tcPr>
            <w:tcW w:w="1133" w:type="dxa"/>
            <w:tcBorders>
              <w:top w:val="nil"/>
              <w:left w:val="nil"/>
              <w:bottom w:val="single" w:sz="4" w:space="0" w:color="auto"/>
              <w:right w:val="single" w:sz="4" w:space="0" w:color="auto"/>
            </w:tcBorders>
            <w:shd w:val="clear" w:color="auto" w:fill="auto"/>
            <w:vAlign w:val="center"/>
            <w:hideMark/>
          </w:tcPr>
          <w:p w14:paraId="7F035F3C" w14:textId="546BF744"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r w:rsidR="00FC4CB9">
              <w:rPr>
                <w:rFonts w:eastAsia="Times New Roman" w:cstheme="minorHAnsi"/>
                <w:lang w:eastAsia="pl-PL"/>
              </w:rPr>
              <w:t>TAK</w:t>
            </w:r>
            <w:r w:rsidR="00111C77">
              <w:rPr>
                <w:rFonts w:eastAsia="Times New Roman" w:cstheme="minorHAnsi"/>
                <w:lang w:eastAsia="pl-PL"/>
              </w:rPr>
              <w:t xml:space="preserve"> - podać</w:t>
            </w:r>
          </w:p>
        </w:tc>
        <w:tc>
          <w:tcPr>
            <w:tcW w:w="2011" w:type="dxa"/>
            <w:tcBorders>
              <w:top w:val="nil"/>
              <w:left w:val="nil"/>
              <w:bottom w:val="single" w:sz="4" w:space="0" w:color="auto"/>
              <w:right w:val="single" w:sz="4" w:space="0" w:color="auto"/>
            </w:tcBorders>
            <w:shd w:val="clear" w:color="auto" w:fill="auto"/>
            <w:vAlign w:val="center"/>
            <w:hideMark/>
          </w:tcPr>
          <w:p w14:paraId="3F697DD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D21B524" w14:textId="77777777" w:rsidTr="00FD23DE">
        <w:trPr>
          <w:trHeight w:val="255"/>
        </w:trPr>
        <w:tc>
          <w:tcPr>
            <w:tcW w:w="9634" w:type="dxa"/>
            <w:gridSpan w:val="4"/>
            <w:tcBorders>
              <w:top w:val="single" w:sz="4" w:space="0" w:color="auto"/>
              <w:left w:val="single" w:sz="4" w:space="0" w:color="auto"/>
              <w:bottom w:val="single" w:sz="4" w:space="0" w:color="auto"/>
              <w:right w:val="single" w:sz="4" w:space="0" w:color="auto"/>
            </w:tcBorders>
            <w:shd w:val="clear" w:color="E8E8E8" w:fill="F2F2F2"/>
            <w:vAlign w:val="center"/>
            <w:hideMark/>
          </w:tcPr>
          <w:p w14:paraId="2D18026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System CIS - wymogi ogólne</w:t>
            </w:r>
          </w:p>
        </w:tc>
      </w:tr>
      <w:tr w:rsidR="00CB3017" w:rsidRPr="00F8703A" w14:paraId="207CE500"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12ED9A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w:t>
            </w:r>
          </w:p>
        </w:tc>
        <w:tc>
          <w:tcPr>
            <w:tcW w:w="5514" w:type="dxa"/>
            <w:tcBorders>
              <w:top w:val="nil"/>
              <w:left w:val="nil"/>
              <w:bottom w:val="single" w:sz="4" w:space="0" w:color="auto"/>
              <w:right w:val="single" w:sz="4" w:space="0" w:color="auto"/>
            </w:tcBorders>
            <w:shd w:val="clear" w:color="auto" w:fill="auto"/>
            <w:vAlign w:val="center"/>
            <w:hideMark/>
          </w:tcPr>
          <w:p w14:paraId="5D5FCE21" w14:textId="77777777" w:rsidR="00CB3017" w:rsidRPr="0001152D" w:rsidRDefault="00CB3017" w:rsidP="00880B0C">
            <w:pPr>
              <w:spacing w:after="0" w:line="240" w:lineRule="auto"/>
              <w:rPr>
                <w:rFonts w:eastAsia="Times New Roman" w:cstheme="minorHAnsi"/>
                <w:highlight w:val="yellow"/>
                <w:lang w:eastAsia="pl-PL"/>
              </w:rPr>
            </w:pPr>
            <w:r w:rsidRPr="002470EC">
              <w:rPr>
                <w:rFonts w:eastAsia="Times New Roman" w:cstheme="minorHAnsi"/>
                <w:lang w:eastAsia="pl-PL"/>
              </w:rPr>
              <w:t xml:space="preserve">System musi być wyrobem medycznym min. klasy </w:t>
            </w:r>
            <w:proofErr w:type="spellStart"/>
            <w:r w:rsidRPr="002470EC">
              <w:rPr>
                <w:rFonts w:eastAsia="Times New Roman" w:cstheme="minorHAnsi"/>
                <w:lang w:eastAsia="pl-PL"/>
              </w:rPr>
              <w:t>IIb</w:t>
            </w:r>
            <w:proofErr w:type="spellEnd"/>
            <w:r w:rsidRPr="002470EC">
              <w:rPr>
                <w:rFonts w:eastAsia="Times New Roman" w:cstheme="minorHAnsi"/>
                <w:lang w:eastAsia="pl-PL"/>
              </w:rPr>
              <w:t>, zgodnie z klasyfikacją wyrobów medycznych określoną w art. 51 rozporządzenia Parlamentu Europejskiego i Rady (UE) 2017/745 z dnia 5 kwietnia 2017</w:t>
            </w:r>
          </w:p>
        </w:tc>
        <w:tc>
          <w:tcPr>
            <w:tcW w:w="1133" w:type="dxa"/>
            <w:tcBorders>
              <w:top w:val="nil"/>
              <w:left w:val="nil"/>
              <w:bottom w:val="single" w:sz="4" w:space="0" w:color="auto"/>
              <w:right w:val="single" w:sz="4" w:space="0" w:color="auto"/>
            </w:tcBorders>
            <w:shd w:val="clear" w:color="auto" w:fill="auto"/>
            <w:vAlign w:val="center"/>
            <w:hideMark/>
          </w:tcPr>
          <w:p w14:paraId="3F739D4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5164BB9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52D7F45" w14:textId="77777777" w:rsidTr="00FD23DE">
        <w:trPr>
          <w:trHeight w:val="264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269E85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2.2</w:t>
            </w:r>
          </w:p>
        </w:tc>
        <w:tc>
          <w:tcPr>
            <w:tcW w:w="5514" w:type="dxa"/>
            <w:tcBorders>
              <w:top w:val="nil"/>
              <w:left w:val="nil"/>
              <w:bottom w:val="single" w:sz="4" w:space="0" w:color="auto"/>
              <w:right w:val="single" w:sz="4" w:space="0" w:color="auto"/>
            </w:tcBorders>
            <w:shd w:val="clear" w:color="auto" w:fill="auto"/>
            <w:vAlign w:val="center"/>
            <w:hideMark/>
          </w:tcPr>
          <w:p w14:paraId="64046744" w14:textId="120BB6AE"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W przypadku, kiedy oprogramowanie klienc</w:t>
            </w:r>
            <w:r w:rsidR="00A7621F">
              <w:rPr>
                <w:rFonts w:eastAsia="Times New Roman" w:cstheme="minorHAnsi"/>
                <w:lang w:eastAsia="pl-PL"/>
              </w:rPr>
              <w:t>k</w:t>
            </w:r>
            <w:r w:rsidRPr="00CF3752">
              <w:rPr>
                <w:rFonts w:eastAsia="Times New Roman" w:cstheme="minorHAnsi"/>
                <w:lang w:eastAsia="pl-PL"/>
              </w:rPr>
              <w:t>ie jest instalowane jako aplikacja na komputerze, oprogramowanie oraz jego elementy służące do komunikacji z innymi systemami posiadanymi przez Zamawiającego, powinno posiadać pełną funkcjonalność na standardowym koncie użytkownika systemu operacyjnego (bez uprawnień Administratora, bez możliwości zapisu plików bezpośrednio na dysku C, bez dostępu do wprowadzania zapisów na urządzenie przenośne współpracujące z komputerem poprzez port USB - pendrive), lub pracować jako autoryzowana usługa serwisowa w systemie operacyjnym.</w:t>
            </w:r>
          </w:p>
        </w:tc>
        <w:tc>
          <w:tcPr>
            <w:tcW w:w="1133" w:type="dxa"/>
            <w:tcBorders>
              <w:top w:val="nil"/>
              <w:left w:val="nil"/>
              <w:bottom w:val="single" w:sz="4" w:space="0" w:color="auto"/>
              <w:right w:val="single" w:sz="4" w:space="0" w:color="auto"/>
            </w:tcBorders>
            <w:shd w:val="clear" w:color="auto" w:fill="auto"/>
            <w:vAlign w:val="center"/>
            <w:hideMark/>
          </w:tcPr>
          <w:p w14:paraId="17FA852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00D20C4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B3EDE0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D78497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2.3</w:t>
            </w:r>
          </w:p>
        </w:tc>
        <w:tc>
          <w:tcPr>
            <w:tcW w:w="5514" w:type="dxa"/>
            <w:tcBorders>
              <w:top w:val="nil"/>
              <w:left w:val="nil"/>
              <w:bottom w:val="single" w:sz="4" w:space="0" w:color="auto"/>
              <w:right w:val="single" w:sz="4" w:space="0" w:color="auto"/>
            </w:tcBorders>
            <w:shd w:val="clear" w:color="auto" w:fill="auto"/>
            <w:vAlign w:val="center"/>
            <w:hideMark/>
          </w:tcPr>
          <w:p w14:paraId="5AA83A6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Oprogramowanie w języku polskim posiadające interfejs graficzny oraz dostępny instruktaż w 100 % w języku polskim</w:t>
            </w:r>
          </w:p>
        </w:tc>
        <w:tc>
          <w:tcPr>
            <w:tcW w:w="1133" w:type="dxa"/>
            <w:tcBorders>
              <w:top w:val="nil"/>
              <w:left w:val="nil"/>
              <w:bottom w:val="single" w:sz="4" w:space="0" w:color="auto"/>
              <w:right w:val="single" w:sz="4" w:space="0" w:color="auto"/>
            </w:tcBorders>
            <w:shd w:val="clear" w:color="auto" w:fill="auto"/>
            <w:vAlign w:val="center"/>
            <w:hideMark/>
          </w:tcPr>
          <w:p w14:paraId="02D6736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7815112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D5CB70C"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5D7B3F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2.4</w:t>
            </w:r>
          </w:p>
        </w:tc>
        <w:tc>
          <w:tcPr>
            <w:tcW w:w="5514" w:type="dxa"/>
            <w:tcBorders>
              <w:top w:val="nil"/>
              <w:left w:val="nil"/>
              <w:bottom w:val="single" w:sz="4" w:space="0" w:color="auto"/>
              <w:right w:val="single" w:sz="4" w:space="0" w:color="auto"/>
            </w:tcBorders>
            <w:shd w:val="clear" w:color="auto" w:fill="auto"/>
            <w:vAlign w:val="center"/>
            <w:hideMark/>
          </w:tcPr>
          <w:p w14:paraId="0F20D2C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 uwagi na zapewnienie bezpieczeństwa w przypadku awarii infrastruktury teleinformatycznej wymagana jest możliwość podglądu wszelkich danych pacjentów znajdujących się aktualnie w szpital na przynajmniej jednej stacji roboczej na oddziale/bloku operacyjnym, na której zainstalowany jest system działający w trybie off-</w:t>
            </w:r>
            <w:proofErr w:type="spellStart"/>
            <w:r w:rsidRPr="00CF3752">
              <w:rPr>
                <w:rFonts w:eastAsia="Times New Roman" w:cstheme="minorHAnsi"/>
                <w:lang w:eastAsia="pl-PL"/>
              </w:rPr>
              <w:t>line</w:t>
            </w:r>
            <w:proofErr w:type="spellEnd"/>
            <w:r w:rsidRPr="00CF3752">
              <w:rPr>
                <w:rFonts w:eastAsia="Times New Roman" w:cstheme="minorHAnsi"/>
                <w:lang w:eastAsia="pl-PL"/>
              </w:rPr>
              <w:t>, tylko do odczytu.</w:t>
            </w:r>
          </w:p>
        </w:tc>
        <w:tc>
          <w:tcPr>
            <w:tcW w:w="1133" w:type="dxa"/>
            <w:tcBorders>
              <w:top w:val="nil"/>
              <w:left w:val="nil"/>
              <w:bottom w:val="single" w:sz="4" w:space="0" w:color="auto"/>
              <w:right w:val="single" w:sz="4" w:space="0" w:color="auto"/>
            </w:tcBorders>
            <w:shd w:val="clear" w:color="auto" w:fill="auto"/>
            <w:vAlign w:val="center"/>
            <w:hideMark/>
          </w:tcPr>
          <w:p w14:paraId="79428B9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8F1BFE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850538C"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8E719E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2.5</w:t>
            </w:r>
          </w:p>
        </w:tc>
        <w:tc>
          <w:tcPr>
            <w:tcW w:w="5514" w:type="dxa"/>
            <w:tcBorders>
              <w:top w:val="nil"/>
              <w:left w:val="nil"/>
              <w:bottom w:val="single" w:sz="4" w:space="0" w:color="auto"/>
              <w:right w:val="single" w:sz="4" w:space="0" w:color="auto"/>
            </w:tcBorders>
            <w:shd w:val="clear" w:color="auto" w:fill="auto"/>
            <w:vAlign w:val="center"/>
            <w:hideMark/>
          </w:tcPr>
          <w:p w14:paraId="44DA9FB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jest zabezpieczony przed nieautoryzowanym dostępem i wymaga logowania użytkownika.</w:t>
            </w:r>
          </w:p>
        </w:tc>
        <w:tc>
          <w:tcPr>
            <w:tcW w:w="1133" w:type="dxa"/>
            <w:tcBorders>
              <w:top w:val="nil"/>
              <w:left w:val="nil"/>
              <w:bottom w:val="single" w:sz="4" w:space="0" w:color="auto"/>
              <w:right w:val="single" w:sz="4" w:space="0" w:color="auto"/>
            </w:tcBorders>
            <w:shd w:val="clear" w:color="auto" w:fill="auto"/>
            <w:vAlign w:val="center"/>
            <w:hideMark/>
          </w:tcPr>
          <w:p w14:paraId="122F258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5BF55E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AD85876"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CA1CB4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2.6</w:t>
            </w:r>
          </w:p>
        </w:tc>
        <w:tc>
          <w:tcPr>
            <w:tcW w:w="5514" w:type="dxa"/>
            <w:tcBorders>
              <w:top w:val="nil"/>
              <w:left w:val="nil"/>
              <w:bottom w:val="single" w:sz="4" w:space="0" w:color="auto"/>
              <w:right w:val="single" w:sz="4" w:space="0" w:color="auto"/>
            </w:tcBorders>
            <w:shd w:val="clear" w:color="auto" w:fill="auto"/>
            <w:vAlign w:val="center"/>
            <w:hideMark/>
          </w:tcPr>
          <w:p w14:paraId="3600E73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Dostarczone systemy/oprogramowanie (jeżeli dostarczenia systemu wymaga specyfikacja i/lub obsługa dostarczanego sprzętu) powinno spełniać wymogi pracy w szpitalnym środowisku Active Directory, w środowisku szpitalnej infrastruktury LAN, w tym wykorzystywać możliwości identyfikacji i logowania poprzez LDAP do dostarczonego oprogramowania/systemu w tym możliwość wykorzystania grup LDAP do określania schematu uprawnień.</w:t>
            </w:r>
          </w:p>
        </w:tc>
        <w:tc>
          <w:tcPr>
            <w:tcW w:w="1133" w:type="dxa"/>
            <w:tcBorders>
              <w:top w:val="nil"/>
              <w:left w:val="nil"/>
              <w:bottom w:val="single" w:sz="4" w:space="0" w:color="auto"/>
              <w:right w:val="single" w:sz="4" w:space="0" w:color="auto"/>
            </w:tcBorders>
            <w:shd w:val="clear" w:color="auto" w:fill="auto"/>
            <w:vAlign w:val="center"/>
            <w:hideMark/>
          </w:tcPr>
          <w:p w14:paraId="5BB41E0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7F19B1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BF38809"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8C6982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2.7</w:t>
            </w:r>
          </w:p>
        </w:tc>
        <w:tc>
          <w:tcPr>
            <w:tcW w:w="5514" w:type="dxa"/>
            <w:tcBorders>
              <w:top w:val="nil"/>
              <w:left w:val="nil"/>
              <w:bottom w:val="single" w:sz="4" w:space="0" w:color="auto"/>
              <w:right w:val="single" w:sz="4" w:space="0" w:color="auto"/>
            </w:tcBorders>
            <w:shd w:val="clear" w:color="auto" w:fill="auto"/>
            <w:vAlign w:val="center"/>
            <w:hideMark/>
          </w:tcPr>
          <w:p w14:paraId="55C828F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do komunikacji z usługą Active Directory musi używać protokołów LDAP i LDAPS</w:t>
            </w:r>
          </w:p>
        </w:tc>
        <w:tc>
          <w:tcPr>
            <w:tcW w:w="1133" w:type="dxa"/>
            <w:tcBorders>
              <w:top w:val="nil"/>
              <w:left w:val="nil"/>
              <w:bottom w:val="single" w:sz="4" w:space="0" w:color="auto"/>
              <w:right w:val="single" w:sz="4" w:space="0" w:color="auto"/>
            </w:tcBorders>
            <w:shd w:val="clear" w:color="auto" w:fill="auto"/>
            <w:vAlign w:val="center"/>
            <w:hideMark/>
          </w:tcPr>
          <w:p w14:paraId="7AD7B3C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4018369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020E8C3"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8B6B62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2.8</w:t>
            </w:r>
          </w:p>
        </w:tc>
        <w:tc>
          <w:tcPr>
            <w:tcW w:w="5514" w:type="dxa"/>
            <w:tcBorders>
              <w:top w:val="nil"/>
              <w:left w:val="nil"/>
              <w:bottom w:val="single" w:sz="4" w:space="0" w:color="auto"/>
              <w:right w:val="single" w:sz="4" w:space="0" w:color="auto"/>
            </w:tcBorders>
            <w:shd w:val="clear" w:color="auto" w:fill="auto"/>
            <w:vAlign w:val="center"/>
            <w:hideMark/>
          </w:tcPr>
          <w:p w14:paraId="2477042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musi umożliwiać szybkie logowanie za pomocą kluczy sprzętowych (np. </w:t>
            </w:r>
            <w:proofErr w:type="spellStart"/>
            <w:r w:rsidRPr="00CF3752">
              <w:rPr>
                <w:rFonts w:eastAsia="Times New Roman" w:cstheme="minorHAnsi"/>
                <w:lang w:eastAsia="pl-PL"/>
              </w:rPr>
              <w:t>YubiKey</w:t>
            </w:r>
            <w:proofErr w:type="spellEnd"/>
            <w:r w:rsidRPr="00CF3752">
              <w:rPr>
                <w:rFonts w:eastAsia="Times New Roman" w:cstheme="minorHAnsi"/>
                <w:lang w:eastAsia="pl-PL"/>
              </w:rPr>
              <w:t xml:space="preserve"> lub karty chipowej)</w:t>
            </w:r>
          </w:p>
        </w:tc>
        <w:tc>
          <w:tcPr>
            <w:tcW w:w="1133" w:type="dxa"/>
            <w:tcBorders>
              <w:top w:val="nil"/>
              <w:left w:val="nil"/>
              <w:bottom w:val="single" w:sz="4" w:space="0" w:color="auto"/>
              <w:right w:val="single" w:sz="4" w:space="0" w:color="auto"/>
            </w:tcBorders>
            <w:shd w:val="clear" w:color="auto" w:fill="auto"/>
            <w:vAlign w:val="center"/>
            <w:hideMark/>
          </w:tcPr>
          <w:p w14:paraId="04E7546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99D3C5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78808F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98E77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2.9</w:t>
            </w:r>
          </w:p>
        </w:tc>
        <w:tc>
          <w:tcPr>
            <w:tcW w:w="5514" w:type="dxa"/>
            <w:tcBorders>
              <w:top w:val="nil"/>
              <w:left w:val="nil"/>
              <w:bottom w:val="single" w:sz="4" w:space="0" w:color="auto"/>
              <w:right w:val="single" w:sz="4" w:space="0" w:color="auto"/>
            </w:tcBorders>
            <w:shd w:val="clear" w:color="auto" w:fill="auto"/>
            <w:vAlign w:val="center"/>
            <w:hideMark/>
          </w:tcPr>
          <w:p w14:paraId="197DE5B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zapewnić różne poziomy dostępu z możliwością ustawienia praw dostępu dla każdego oddziału.</w:t>
            </w:r>
          </w:p>
        </w:tc>
        <w:tc>
          <w:tcPr>
            <w:tcW w:w="1133" w:type="dxa"/>
            <w:tcBorders>
              <w:top w:val="nil"/>
              <w:left w:val="nil"/>
              <w:bottom w:val="single" w:sz="4" w:space="0" w:color="auto"/>
              <w:right w:val="single" w:sz="4" w:space="0" w:color="auto"/>
            </w:tcBorders>
            <w:shd w:val="clear" w:color="auto" w:fill="auto"/>
            <w:vAlign w:val="center"/>
            <w:hideMark/>
          </w:tcPr>
          <w:p w14:paraId="0DE363F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77DFE0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EB5704C"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8CD008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2.10</w:t>
            </w:r>
          </w:p>
        </w:tc>
        <w:tc>
          <w:tcPr>
            <w:tcW w:w="5514" w:type="dxa"/>
            <w:tcBorders>
              <w:top w:val="nil"/>
              <w:left w:val="nil"/>
              <w:bottom w:val="single" w:sz="4" w:space="0" w:color="auto"/>
              <w:right w:val="single" w:sz="4" w:space="0" w:color="auto"/>
            </w:tcBorders>
            <w:shd w:val="clear" w:color="auto" w:fill="auto"/>
            <w:vAlign w:val="center"/>
            <w:hideMark/>
          </w:tcPr>
          <w:p w14:paraId="1B9A7DE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musi </w:t>
            </w:r>
            <w:r w:rsidRPr="008C7921">
              <w:rPr>
                <w:rFonts w:eastAsia="Times New Roman" w:cstheme="minorHAnsi"/>
                <w:lang w:eastAsia="pl-PL"/>
              </w:rPr>
              <w:t>umożliwiać</w:t>
            </w:r>
            <w:r w:rsidRPr="00CF3752">
              <w:rPr>
                <w:rFonts w:eastAsia="Times New Roman" w:cstheme="minorHAnsi"/>
                <w:lang w:eastAsia="pl-PL"/>
              </w:rPr>
              <w:t xml:space="preserve"> definiowanie różnych poziomów uprawnień dla różnych użytkowników, co najmniej 3 poziomy: </w:t>
            </w:r>
            <w:r w:rsidRPr="00CF3752">
              <w:rPr>
                <w:rFonts w:eastAsia="Times New Roman" w:cstheme="minorHAnsi"/>
                <w:lang w:eastAsia="pl-PL"/>
              </w:rPr>
              <w:br/>
              <w:t xml:space="preserve">- pełny dostęp do danych pacjenta, </w:t>
            </w:r>
            <w:r w:rsidRPr="00CF3752">
              <w:rPr>
                <w:rFonts w:eastAsia="Times New Roman" w:cstheme="minorHAnsi"/>
                <w:lang w:eastAsia="pl-PL"/>
              </w:rPr>
              <w:br/>
              <w:t xml:space="preserve">- dostęp do danych pacjenta w trybie „tylko do odczytu”, </w:t>
            </w:r>
            <w:r w:rsidRPr="00CF3752">
              <w:rPr>
                <w:rFonts w:eastAsia="Times New Roman" w:cstheme="minorHAnsi"/>
                <w:lang w:eastAsia="pl-PL"/>
              </w:rPr>
              <w:br/>
              <w:t>- brak dostępu do danych pacjenta</w:t>
            </w:r>
          </w:p>
        </w:tc>
        <w:tc>
          <w:tcPr>
            <w:tcW w:w="1133" w:type="dxa"/>
            <w:tcBorders>
              <w:top w:val="nil"/>
              <w:left w:val="nil"/>
              <w:bottom w:val="single" w:sz="4" w:space="0" w:color="auto"/>
              <w:right w:val="single" w:sz="4" w:space="0" w:color="auto"/>
            </w:tcBorders>
            <w:shd w:val="clear" w:color="auto" w:fill="auto"/>
            <w:vAlign w:val="center"/>
            <w:hideMark/>
          </w:tcPr>
          <w:p w14:paraId="10DDFE7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2F77B70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8E5171D"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1A1C48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2.11</w:t>
            </w:r>
          </w:p>
        </w:tc>
        <w:tc>
          <w:tcPr>
            <w:tcW w:w="5514" w:type="dxa"/>
            <w:tcBorders>
              <w:top w:val="nil"/>
              <w:left w:val="nil"/>
              <w:bottom w:val="single" w:sz="4" w:space="0" w:color="auto"/>
              <w:right w:val="single" w:sz="4" w:space="0" w:color="auto"/>
            </w:tcBorders>
            <w:shd w:val="clear" w:color="auto" w:fill="auto"/>
            <w:vAlign w:val="center"/>
            <w:hideMark/>
          </w:tcPr>
          <w:p w14:paraId="25FDAD1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pacjentów, których dane wymagają szczególnej ochrony. W przypadku oznaczenia pacjenta takim statusem, dostęp do jego danych mogą uzyskać tylko użytkownicy posiadający takie prawo</w:t>
            </w:r>
          </w:p>
        </w:tc>
        <w:tc>
          <w:tcPr>
            <w:tcW w:w="1133" w:type="dxa"/>
            <w:tcBorders>
              <w:top w:val="nil"/>
              <w:left w:val="nil"/>
              <w:bottom w:val="single" w:sz="4" w:space="0" w:color="auto"/>
              <w:right w:val="single" w:sz="4" w:space="0" w:color="auto"/>
            </w:tcBorders>
            <w:shd w:val="clear" w:color="auto" w:fill="auto"/>
            <w:vAlign w:val="center"/>
            <w:hideMark/>
          </w:tcPr>
          <w:p w14:paraId="0FE50A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0DEA82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992725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7B4898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2.12</w:t>
            </w:r>
          </w:p>
        </w:tc>
        <w:tc>
          <w:tcPr>
            <w:tcW w:w="5514" w:type="dxa"/>
            <w:tcBorders>
              <w:top w:val="nil"/>
              <w:left w:val="nil"/>
              <w:bottom w:val="single" w:sz="4" w:space="0" w:color="auto"/>
              <w:right w:val="single" w:sz="4" w:space="0" w:color="auto"/>
            </w:tcBorders>
            <w:shd w:val="clear" w:color="auto" w:fill="auto"/>
            <w:vAlign w:val="center"/>
            <w:hideMark/>
          </w:tcPr>
          <w:p w14:paraId="140DD42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Systemie wykorzystuje model dostępu opartego na rolach w celu zarządzania dostępem użytkowników do danych pacjenta. Poziom uprawnień użytkownika wynika z przyzn</w:t>
            </w:r>
            <w:r>
              <w:rPr>
                <w:rFonts w:eastAsia="Times New Roman" w:cstheme="minorHAnsi"/>
                <w:lang w:eastAsia="pl-PL"/>
              </w:rPr>
              <w:t>an</w:t>
            </w:r>
            <w:r w:rsidRPr="00CF3752">
              <w:rPr>
                <w:rFonts w:eastAsia="Times New Roman" w:cstheme="minorHAnsi"/>
                <w:lang w:eastAsia="pl-PL"/>
              </w:rPr>
              <w:t xml:space="preserve">ej roli. </w:t>
            </w:r>
          </w:p>
        </w:tc>
        <w:tc>
          <w:tcPr>
            <w:tcW w:w="1133" w:type="dxa"/>
            <w:tcBorders>
              <w:top w:val="nil"/>
              <w:left w:val="nil"/>
              <w:bottom w:val="single" w:sz="4" w:space="0" w:color="auto"/>
              <w:right w:val="single" w:sz="4" w:space="0" w:color="auto"/>
            </w:tcBorders>
            <w:shd w:val="clear" w:color="auto" w:fill="auto"/>
            <w:vAlign w:val="center"/>
            <w:hideMark/>
          </w:tcPr>
          <w:p w14:paraId="719054D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913042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7675B83"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238E28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2.13</w:t>
            </w:r>
          </w:p>
        </w:tc>
        <w:tc>
          <w:tcPr>
            <w:tcW w:w="5514" w:type="dxa"/>
            <w:tcBorders>
              <w:top w:val="nil"/>
              <w:left w:val="nil"/>
              <w:bottom w:val="single" w:sz="4" w:space="0" w:color="auto"/>
              <w:right w:val="single" w:sz="4" w:space="0" w:color="auto"/>
            </w:tcBorders>
            <w:shd w:val="clear" w:color="auto" w:fill="auto"/>
            <w:vAlign w:val="center"/>
            <w:hideMark/>
          </w:tcPr>
          <w:p w14:paraId="5B56F8A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użytkownikowi posiadanie wiele ról</w:t>
            </w:r>
          </w:p>
        </w:tc>
        <w:tc>
          <w:tcPr>
            <w:tcW w:w="1133" w:type="dxa"/>
            <w:tcBorders>
              <w:top w:val="nil"/>
              <w:left w:val="nil"/>
              <w:bottom w:val="single" w:sz="4" w:space="0" w:color="auto"/>
              <w:right w:val="single" w:sz="4" w:space="0" w:color="auto"/>
            </w:tcBorders>
            <w:shd w:val="clear" w:color="auto" w:fill="auto"/>
            <w:vAlign w:val="center"/>
            <w:hideMark/>
          </w:tcPr>
          <w:p w14:paraId="328D436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05FD47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3C951B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32E689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2.14</w:t>
            </w:r>
          </w:p>
        </w:tc>
        <w:tc>
          <w:tcPr>
            <w:tcW w:w="5514" w:type="dxa"/>
            <w:tcBorders>
              <w:top w:val="nil"/>
              <w:left w:val="nil"/>
              <w:bottom w:val="single" w:sz="4" w:space="0" w:color="auto"/>
              <w:right w:val="single" w:sz="4" w:space="0" w:color="auto"/>
            </w:tcBorders>
            <w:shd w:val="clear" w:color="auto" w:fill="auto"/>
            <w:vAlign w:val="center"/>
            <w:hideMark/>
          </w:tcPr>
          <w:p w14:paraId="666E2A1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pracę wielu użytkowników na tym samym rekordzie pacjenta w tym samym czasie</w:t>
            </w:r>
          </w:p>
        </w:tc>
        <w:tc>
          <w:tcPr>
            <w:tcW w:w="1133" w:type="dxa"/>
            <w:tcBorders>
              <w:top w:val="nil"/>
              <w:left w:val="nil"/>
              <w:bottom w:val="single" w:sz="4" w:space="0" w:color="auto"/>
              <w:right w:val="single" w:sz="4" w:space="0" w:color="auto"/>
            </w:tcBorders>
            <w:shd w:val="clear" w:color="auto" w:fill="auto"/>
            <w:vAlign w:val="center"/>
            <w:hideMark/>
          </w:tcPr>
          <w:p w14:paraId="2B517CA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028441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45BE0CC"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D50C33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2.15</w:t>
            </w:r>
          </w:p>
        </w:tc>
        <w:tc>
          <w:tcPr>
            <w:tcW w:w="5514" w:type="dxa"/>
            <w:tcBorders>
              <w:top w:val="nil"/>
              <w:left w:val="nil"/>
              <w:bottom w:val="single" w:sz="4" w:space="0" w:color="auto"/>
              <w:right w:val="single" w:sz="4" w:space="0" w:color="auto"/>
            </w:tcBorders>
            <w:shd w:val="clear" w:color="auto" w:fill="auto"/>
            <w:vAlign w:val="center"/>
            <w:hideMark/>
          </w:tcPr>
          <w:p w14:paraId="4E5D870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w całości musi pracować lokalnie na infrastrukturze Zamawiającego. System nie może dla żadnej funkcjonalności wymagać połączenia poza sieć teleinformatyczną Zamawiającego</w:t>
            </w:r>
          </w:p>
        </w:tc>
        <w:tc>
          <w:tcPr>
            <w:tcW w:w="1133" w:type="dxa"/>
            <w:tcBorders>
              <w:top w:val="nil"/>
              <w:left w:val="nil"/>
              <w:bottom w:val="single" w:sz="4" w:space="0" w:color="auto"/>
              <w:right w:val="single" w:sz="4" w:space="0" w:color="auto"/>
            </w:tcBorders>
            <w:shd w:val="clear" w:color="auto" w:fill="auto"/>
            <w:vAlign w:val="center"/>
            <w:hideMark/>
          </w:tcPr>
          <w:p w14:paraId="7512933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4A6F6E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C8E6891"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3CBF83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2.16</w:t>
            </w:r>
          </w:p>
        </w:tc>
        <w:tc>
          <w:tcPr>
            <w:tcW w:w="5514" w:type="dxa"/>
            <w:tcBorders>
              <w:top w:val="nil"/>
              <w:left w:val="nil"/>
              <w:bottom w:val="single" w:sz="4" w:space="0" w:color="auto"/>
              <w:right w:val="single" w:sz="4" w:space="0" w:color="auto"/>
            </w:tcBorders>
            <w:shd w:val="clear" w:color="auto" w:fill="auto"/>
            <w:vAlign w:val="center"/>
            <w:hideMark/>
          </w:tcPr>
          <w:p w14:paraId="42FECEA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umożliwia utworzenie jednostki organizacyjnej (grupy szpitali), dla której zachowana jest ciągłość opieki i jeden rekord pacjenta, a transfery możliwe są między wszystkimi szpitalami i oddziałami w ramach tej jednostki </w:t>
            </w:r>
            <w:r w:rsidRPr="00F8703A">
              <w:rPr>
                <w:rFonts w:eastAsia="Times New Roman" w:cstheme="minorHAnsi"/>
                <w:lang w:eastAsia="pl-PL"/>
              </w:rPr>
              <w:t>organizacyjnej</w:t>
            </w:r>
            <w:r w:rsidRPr="00CF3752">
              <w:rPr>
                <w:rFonts w:eastAsia="Times New Roman" w:cstheme="minorHAnsi"/>
                <w:lang w:eastAsia="pl-PL"/>
              </w:rPr>
              <w:t>.</w:t>
            </w:r>
          </w:p>
        </w:tc>
        <w:tc>
          <w:tcPr>
            <w:tcW w:w="1133" w:type="dxa"/>
            <w:tcBorders>
              <w:top w:val="nil"/>
              <w:left w:val="nil"/>
              <w:bottom w:val="single" w:sz="4" w:space="0" w:color="auto"/>
              <w:right w:val="single" w:sz="4" w:space="0" w:color="auto"/>
            </w:tcBorders>
            <w:shd w:val="clear" w:color="auto" w:fill="auto"/>
            <w:vAlign w:val="center"/>
            <w:hideMark/>
          </w:tcPr>
          <w:p w14:paraId="444B4AC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7810AF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793EAC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E4E5D6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2.17</w:t>
            </w:r>
          </w:p>
        </w:tc>
        <w:tc>
          <w:tcPr>
            <w:tcW w:w="5514" w:type="dxa"/>
            <w:tcBorders>
              <w:top w:val="nil"/>
              <w:left w:val="nil"/>
              <w:bottom w:val="single" w:sz="4" w:space="0" w:color="auto"/>
              <w:right w:val="single" w:sz="4" w:space="0" w:color="auto"/>
            </w:tcBorders>
            <w:shd w:val="clear" w:color="auto" w:fill="auto"/>
            <w:vAlign w:val="center"/>
            <w:hideMark/>
          </w:tcPr>
          <w:p w14:paraId="6F62841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konfigurowanie uprawnień, układów i innych elementów na poziomie jednostki szpitalnej, zapewniając elastyczność dostosowaną do potrzeb każdego oddziału.</w:t>
            </w:r>
          </w:p>
        </w:tc>
        <w:tc>
          <w:tcPr>
            <w:tcW w:w="1133" w:type="dxa"/>
            <w:tcBorders>
              <w:top w:val="nil"/>
              <w:left w:val="nil"/>
              <w:bottom w:val="single" w:sz="4" w:space="0" w:color="auto"/>
              <w:right w:val="single" w:sz="4" w:space="0" w:color="auto"/>
            </w:tcBorders>
            <w:shd w:val="clear" w:color="auto" w:fill="auto"/>
            <w:vAlign w:val="center"/>
            <w:hideMark/>
          </w:tcPr>
          <w:p w14:paraId="31719B3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E5BECA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B5E36FE" w14:textId="77777777" w:rsidTr="00FD23DE">
        <w:trPr>
          <w:trHeight w:val="316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0A217F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2.18</w:t>
            </w:r>
          </w:p>
        </w:tc>
        <w:tc>
          <w:tcPr>
            <w:tcW w:w="5514" w:type="dxa"/>
            <w:tcBorders>
              <w:top w:val="nil"/>
              <w:left w:val="nil"/>
              <w:bottom w:val="single" w:sz="4" w:space="0" w:color="auto"/>
              <w:right w:val="single" w:sz="4" w:space="0" w:color="auto"/>
            </w:tcBorders>
            <w:shd w:val="clear" w:color="auto" w:fill="auto"/>
            <w:vAlign w:val="center"/>
            <w:hideMark/>
          </w:tcPr>
          <w:p w14:paraId="457EA33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wiele opcji wdrożenia, w tym:</w:t>
            </w:r>
            <w:r w:rsidRPr="00CF3752">
              <w:rPr>
                <w:rFonts w:eastAsia="Times New Roman" w:cstheme="minorHAnsi"/>
                <w:lang w:eastAsia="pl-PL"/>
              </w:rPr>
              <w:br/>
              <w:t>- Wspólny rekord pacjenta - wspólna dokumentacja z pobytu pacjenta w różnych komórkach organizacyjnych w ramach szpitala</w:t>
            </w:r>
            <w:r w:rsidRPr="00CF3752">
              <w:rPr>
                <w:rFonts w:eastAsia="Times New Roman" w:cstheme="minorHAnsi"/>
                <w:strike/>
                <w:lang w:eastAsia="pl-PL"/>
              </w:rPr>
              <w:br/>
            </w:r>
            <w:r w:rsidRPr="00CF3752">
              <w:rPr>
                <w:rFonts w:eastAsia="Times New Roman" w:cstheme="minorHAnsi"/>
                <w:lang w:eastAsia="pl-PL"/>
              </w:rPr>
              <w:t xml:space="preserve">- Wspólna baza danych - oddzielna dokumentacja z pobytu pacjenta w różnych komórkach organizacyjnych w ramach szpitala </w:t>
            </w:r>
            <w:r w:rsidRPr="00CF3752">
              <w:rPr>
                <w:rFonts w:eastAsia="Times New Roman" w:cstheme="minorHAnsi"/>
                <w:strike/>
                <w:lang w:eastAsia="pl-PL"/>
              </w:rPr>
              <w:br/>
            </w:r>
            <w:r w:rsidRPr="00CF3752">
              <w:rPr>
                <w:rFonts w:eastAsia="Times New Roman" w:cstheme="minorHAnsi"/>
                <w:lang w:eastAsia="pl-PL"/>
              </w:rPr>
              <w:t xml:space="preserve">- Wspólna konfiguracja - ta sama konfiguracja systemu dla różnych komórek organizacyjnych szpitala  natomiast oddzielne dokumentacje z pobytu pacjenta w </w:t>
            </w:r>
            <w:r w:rsidRPr="00F8703A">
              <w:rPr>
                <w:rFonts w:eastAsia="Times New Roman" w:cstheme="minorHAnsi"/>
                <w:lang w:eastAsia="pl-PL"/>
              </w:rPr>
              <w:t>różnych</w:t>
            </w:r>
            <w:r w:rsidRPr="00CF3752">
              <w:rPr>
                <w:rFonts w:eastAsia="Times New Roman" w:cstheme="minorHAnsi"/>
                <w:lang w:eastAsia="pl-PL"/>
              </w:rPr>
              <w:t xml:space="preserve"> komórkach organizacyjnych  szpitalach  zabezpieczone przed dostępem z innych komórek </w:t>
            </w:r>
            <w:r w:rsidRPr="00CF3752">
              <w:rPr>
                <w:rFonts w:eastAsia="Times New Roman" w:cstheme="minorHAnsi"/>
                <w:strike/>
                <w:lang w:eastAsia="pl-PL"/>
              </w:rPr>
              <w:br/>
            </w:r>
            <w:r w:rsidRPr="00CF3752">
              <w:rPr>
                <w:rFonts w:eastAsia="Times New Roman" w:cstheme="minorHAnsi"/>
                <w:lang w:eastAsia="pl-PL"/>
              </w:rPr>
              <w:t>- Model mieszany - kombinacja różnych konfiguracji, umożliwiająca grupie komórek organizacyjnych szpitala bazowanie na tej samej konfiguracji z uwzględnieniem indywidualnego dostosowania</w:t>
            </w:r>
          </w:p>
        </w:tc>
        <w:tc>
          <w:tcPr>
            <w:tcW w:w="1133" w:type="dxa"/>
            <w:tcBorders>
              <w:top w:val="nil"/>
              <w:left w:val="nil"/>
              <w:bottom w:val="single" w:sz="4" w:space="0" w:color="auto"/>
              <w:right w:val="single" w:sz="4" w:space="0" w:color="auto"/>
            </w:tcBorders>
            <w:shd w:val="clear" w:color="auto" w:fill="auto"/>
            <w:vAlign w:val="center"/>
            <w:hideMark/>
          </w:tcPr>
          <w:p w14:paraId="264772A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E075BE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74AE28D"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87061F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2.19</w:t>
            </w:r>
          </w:p>
        </w:tc>
        <w:tc>
          <w:tcPr>
            <w:tcW w:w="5514" w:type="dxa"/>
            <w:tcBorders>
              <w:top w:val="nil"/>
              <w:left w:val="nil"/>
              <w:bottom w:val="single" w:sz="4" w:space="0" w:color="auto"/>
              <w:right w:val="single" w:sz="4" w:space="0" w:color="auto"/>
            </w:tcBorders>
            <w:shd w:val="clear" w:color="auto" w:fill="auto"/>
            <w:vAlign w:val="center"/>
            <w:hideMark/>
          </w:tcPr>
          <w:p w14:paraId="5A6B740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nie nakłada żadnych ograniczeń na przechowywanie danych. Ilość przestrzeni dyskowej wykorzystywanej przez system zależy przede wszystkim od liczby i rodzaju obsługiwanych stanowisk pacjenta.</w:t>
            </w:r>
          </w:p>
        </w:tc>
        <w:tc>
          <w:tcPr>
            <w:tcW w:w="1133" w:type="dxa"/>
            <w:tcBorders>
              <w:top w:val="nil"/>
              <w:left w:val="nil"/>
              <w:bottom w:val="single" w:sz="4" w:space="0" w:color="auto"/>
              <w:right w:val="single" w:sz="4" w:space="0" w:color="auto"/>
            </w:tcBorders>
            <w:shd w:val="clear" w:color="auto" w:fill="auto"/>
            <w:vAlign w:val="center"/>
            <w:hideMark/>
          </w:tcPr>
          <w:p w14:paraId="674F4A4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7E214F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5DB74DA"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EE23C7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2.20</w:t>
            </w:r>
          </w:p>
        </w:tc>
        <w:tc>
          <w:tcPr>
            <w:tcW w:w="5514" w:type="dxa"/>
            <w:tcBorders>
              <w:top w:val="nil"/>
              <w:left w:val="nil"/>
              <w:bottom w:val="single" w:sz="4" w:space="0" w:color="auto"/>
              <w:right w:val="single" w:sz="4" w:space="0" w:color="auto"/>
            </w:tcBorders>
            <w:shd w:val="clear" w:color="auto" w:fill="auto"/>
            <w:vAlign w:val="center"/>
            <w:hideMark/>
          </w:tcPr>
          <w:p w14:paraId="0836D47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wpiera zaszyfrowane logi oraz ich centralizację przy użyciu dedykowanych narzędzi w celu zapewnienie bezpiecznego przechowywania, transmisji i analizy danych zawartych w plikach logów na potrzeby monitorowania oraz rozwiązywania problemów.</w:t>
            </w:r>
          </w:p>
        </w:tc>
        <w:tc>
          <w:tcPr>
            <w:tcW w:w="1133" w:type="dxa"/>
            <w:tcBorders>
              <w:top w:val="nil"/>
              <w:left w:val="nil"/>
              <w:bottom w:val="single" w:sz="4" w:space="0" w:color="auto"/>
              <w:right w:val="single" w:sz="4" w:space="0" w:color="auto"/>
            </w:tcBorders>
            <w:shd w:val="clear" w:color="auto" w:fill="auto"/>
            <w:vAlign w:val="center"/>
            <w:hideMark/>
          </w:tcPr>
          <w:p w14:paraId="3A8178E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408EF9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0523F8F"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F1EAD9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2.21</w:t>
            </w:r>
          </w:p>
        </w:tc>
        <w:tc>
          <w:tcPr>
            <w:tcW w:w="5514" w:type="dxa"/>
            <w:tcBorders>
              <w:top w:val="nil"/>
              <w:left w:val="nil"/>
              <w:bottom w:val="single" w:sz="4" w:space="0" w:color="auto"/>
              <w:right w:val="single" w:sz="4" w:space="0" w:color="auto"/>
            </w:tcBorders>
            <w:shd w:val="clear" w:color="auto" w:fill="auto"/>
            <w:vAlign w:val="center"/>
            <w:hideMark/>
          </w:tcPr>
          <w:p w14:paraId="16F6E80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posiada wbudowane wsparcie dla technologii strumieniowania aplikacji, takich jak </w:t>
            </w:r>
            <w:proofErr w:type="spellStart"/>
            <w:r w:rsidRPr="00CF3752">
              <w:rPr>
                <w:rFonts w:eastAsia="Times New Roman" w:cstheme="minorHAnsi"/>
                <w:lang w:eastAsia="pl-PL"/>
              </w:rPr>
              <w:t>Citrix</w:t>
            </w:r>
            <w:proofErr w:type="spellEnd"/>
            <w:r w:rsidRPr="00CF3752">
              <w:rPr>
                <w:rFonts w:eastAsia="Times New Roman" w:cstheme="minorHAnsi"/>
                <w:lang w:eastAsia="pl-PL"/>
              </w:rPr>
              <w:t xml:space="preserve"> </w:t>
            </w:r>
            <w:proofErr w:type="spellStart"/>
            <w:r w:rsidRPr="00CF3752">
              <w:rPr>
                <w:rFonts w:eastAsia="Times New Roman" w:cstheme="minorHAnsi"/>
                <w:lang w:eastAsia="pl-PL"/>
              </w:rPr>
              <w:t>XenApp</w:t>
            </w:r>
            <w:proofErr w:type="spellEnd"/>
            <w:r w:rsidRPr="00CF3752">
              <w:rPr>
                <w:rFonts w:eastAsia="Times New Roman" w:cstheme="minorHAnsi"/>
                <w:lang w:eastAsia="pl-PL"/>
              </w:rPr>
              <w:t xml:space="preserve"> i MS </w:t>
            </w:r>
            <w:proofErr w:type="spellStart"/>
            <w:r w:rsidRPr="00CF3752">
              <w:rPr>
                <w:rFonts w:eastAsia="Times New Roman" w:cstheme="minorHAnsi"/>
                <w:lang w:eastAsia="pl-PL"/>
              </w:rPr>
              <w:t>RemoteApps</w:t>
            </w:r>
            <w:proofErr w:type="spellEnd"/>
            <w:r w:rsidRPr="00CF3752">
              <w:rPr>
                <w:rFonts w:eastAsia="Times New Roman" w:cstheme="minorHAnsi"/>
                <w:lang w:eastAsia="pl-PL"/>
              </w:rPr>
              <w:t>, umożliwiając użytkownikom dostęp do systemu CIS za pośrednictwem tych platform strumieniowania</w:t>
            </w:r>
          </w:p>
        </w:tc>
        <w:tc>
          <w:tcPr>
            <w:tcW w:w="1133" w:type="dxa"/>
            <w:tcBorders>
              <w:top w:val="nil"/>
              <w:left w:val="nil"/>
              <w:bottom w:val="single" w:sz="4" w:space="0" w:color="auto"/>
              <w:right w:val="single" w:sz="4" w:space="0" w:color="auto"/>
            </w:tcBorders>
            <w:shd w:val="clear" w:color="auto" w:fill="auto"/>
            <w:vAlign w:val="center"/>
            <w:hideMark/>
          </w:tcPr>
          <w:p w14:paraId="1931254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0D6FAD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AF6EF12"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E5CFFA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2.22</w:t>
            </w:r>
          </w:p>
        </w:tc>
        <w:tc>
          <w:tcPr>
            <w:tcW w:w="5514" w:type="dxa"/>
            <w:tcBorders>
              <w:top w:val="nil"/>
              <w:left w:val="nil"/>
              <w:bottom w:val="single" w:sz="4" w:space="0" w:color="auto"/>
              <w:right w:val="single" w:sz="4" w:space="0" w:color="auto"/>
            </w:tcBorders>
            <w:shd w:val="clear" w:color="auto" w:fill="auto"/>
            <w:vAlign w:val="center"/>
            <w:hideMark/>
          </w:tcPr>
          <w:p w14:paraId="10C7A38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prawidłowo wskazywać bieżący czas. W tym celu konieczna jest synchronizacja czasu z serwerem wskazanym przez Zamawiającego nie rzadziej niż raz na godzinę</w:t>
            </w:r>
          </w:p>
        </w:tc>
        <w:tc>
          <w:tcPr>
            <w:tcW w:w="1133" w:type="dxa"/>
            <w:tcBorders>
              <w:top w:val="nil"/>
              <w:left w:val="nil"/>
              <w:bottom w:val="single" w:sz="4" w:space="0" w:color="auto"/>
              <w:right w:val="single" w:sz="4" w:space="0" w:color="auto"/>
            </w:tcBorders>
            <w:shd w:val="clear" w:color="auto" w:fill="auto"/>
            <w:vAlign w:val="center"/>
            <w:hideMark/>
          </w:tcPr>
          <w:p w14:paraId="55DA067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8366CC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AEC815E"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E3E5FE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2.23</w:t>
            </w:r>
          </w:p>
        </w:tc>
        <w:tc>
          <w:tcPr>
            <w:tcW w:w="5514" w:type="dxa"/>
            <w:tcBorders>
              <w:top w:val="nil"/>
              <w:left w:val="nil"/>
              <w:bottom w:val="single" w:sz="4" w:space="0" w:color="auto"/>
              <w:right w:val="single" w:sz="4" w:space="0" w:color="auto"/>
            </w:tcBorders>
            <w:shd w:val="clear" w:color="auto" w:fill="auto"/>
            <w:vAlign w:val="center"/>
            <w:hideMark/>
          </w:tcPr>
          <w:p w14:paraId="39F1FD0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musi umożliwiać sprawdzenie dla uprawnionych użytkowników min.: kto i kiedy wykonał jakąś czynność, kiedy się zalogował, co przeglądał, jakie urządzenie przesłało dane, jakie dane, do jakiego pacjenta. Wszelkie zdarzenia muszą być identyfikowalne co do sekundy, a z informacji tych musi być możliwość wytworzenia raportu </w:t>
            </w:r>
          </w:p>
        </w:tc>
        <w:tc>
          <w:tcPr>
            <w:tcW w:w="1133" w:type="dxa"/>
            <w:tcBorders>
              <w:top w:val="nil"/>
              <w:left w:val="nil"/>
              <w:bottom w:val="single" w:sz="4" w:space="0" w:color="auto"/>
              <w:right w:val="single" w:sz="4" w:space="0" w:color="auto"/>
            </w:tcBorders>
            <w:shd w:val="clear" w:color="auto" w:fill="auto"/>
            <w:vAlign w:val="center"/>
            <w:hideMark/>
          </w:tcPr>
          <w:p w14:paraId="1383F25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47F4F1C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B00412B" w14:textId="77777777" w:rsidTr="00FD23DE">
        <w:trPr>
          <w:trHeight w:val="255"/>
        </w:trPr>
        <w:tc>
          <w:tcPr>
            <w:tcW w:w="9634" w:type="dxa"/>
            <w:gridSpan w:val="4"/>
            <w:tcBorders>
              <w:top w:val="single" w:sz="4" w:space="0" w:color="auto"/>
              <w:left w:val="single" w:sz="4" w:space="0" w:color="auto"/>
              <w:bottom w:val="single" w:sz="4" w:space="0" w:color="auto"/>
              <w:right w:val="single" w:sz="4" w:space="0" w:color="auto"/>
            </w:tcBorders>
            <w:shd w:val="clear" w:color="E8E8E8" w:fill="F2F2F2"/>
            <w:vAlign w:val="center"/>
            <w:hideMark/>
          </w:tcPr>
          <w:p w14:paraId="7E2BA2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System CIS - Funkcjonalności</w:t>
            </w:r>
          </w:p>
        </w:tc>
      </w:tr>
      <w:tr w:rsidR="00CB3017" w:rsidRPr="00F8703A" w14:paraId="4A7B0D0D"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03D0ECC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0119811E"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Zarządzanie lekami</w:t>
            </w:r>
          </w:p>
        </w:tc>
      </w:tr>
      <w:tr w:rsidR="00CB3017" w:rsidRPr="00F8703A" w14:paraId="2653EFB2"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DB08B8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w:t>
            </w:r>
          </w:p>
        </w:tc>
        <w:tc>
          <w:tcPr>
            <w:tcW w:w="5514" w:type="dxa"/>
            <w:tcBorders>
              <w:top w:val="nil"/>
              <w:left w:val="nil"/>
              <w:bottom w:val="single" w:sz="4" w:space="0" w:color="auto"/>
              <w:right w:val="single" w:sz="4" w:space="0" w:color="auto"/>
            </w:tcBorders>
            <w:shd w:val="clear" w:color="auto" w:fill="auto"/>
            <w:vAlign w:val="center"/>
            <w:hideMark/>
          </w:tcPr>
          <w:p w14:paraId="28E6B81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leki, oraz żywienie centralne i pozajelitowe, zapewniając odpowiednie potwierdzenie podania (właściwy pacjent, właściwy lek, właściwa dawka, właściwa droga podania, właściwy czas)</w:t>
            </w:r>
          </w:p>
        </w:tc>
        <w:tc>
          <w:tcPr>
            <w:tcW w:w="1133" w:type="dxa"/>
            <w:tcBorders>
              <w:top w:val="nil"/>
              <w:left w:val="nil"/>
              <w:bottom w:val="single" w:sz="4" w:space="0" w:color="auto"/>
              <w:right w:val="single" w:sz="4" w:space="0" w:color="auto"/>
            </w:tcBorders>
            <w:shd w:val="clear" w:color="auto" w:fill="auto"/>
            <w:vAlign w:val="center"/>
            <w:hideMark/>
          </w:tcPr>
          <w:p w14:paraId="36319E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89990C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358600E"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D1F4B7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w:t>
            </w:r>
          </w:p>
        </w:tc>
        <w:tc>
          <w:tcPr>
            <w:tcW w:w="5514" w:type="dxa"/>
            <w:tcBorders>
              <w:top w:val="nil"/>
              <w:left w:val="nil"/>
              <w:bottom w:val="single" w:sz="4" w:space="0" w:color="auto"/>
              <w:right w:val="single" w:sz="4" w:space="0" w:color="auto"/>
            </w:tcBorders>
            <w:shd w:val="clear" w:color="auto" w:fill="auto"/>
            <w:vAlign w:val="center"/>
            <w:hideMark/>
          </w:tcPr>
          <w:p w14:paraId="349FF3B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obsługuje skanowanie kodów kreskowych leków </w:t>
            </w:r>
          </w:p>
        </w:tc>
        <w:tc>
          <w:tcPr>
            <w:tcW w:w="1133" w:type="dxa"/>
            <w:tcBorders>
              <w:top w:val="nil"/>
              <w:left w:val="nil"/>
              <w:bottom w:val="single" w:sz="4" w:space="0" w:color="auto"/>
              <w:right w:val="single" w:sz="4" w:space="0" w:color="auto"/>
            </w:tcBorders>
            <w:shd w:val="clear" w:color="auto" w:fill="auto"/>
            <w:vAlign w:val="center"/>
            <w:hideMark/>
          </w:tcPr>
          <w:p w14:paraId="7755B6A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E4E0D1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E70E064" w14:textId="77777777" w:rsidTr="00FD23DE">
        <w:trPr>
          <w:trHeight w:val="23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069BD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w:t>
            </w:r>
          </w:p>
        </w:tc>
        <w:tc>
          <w:tcPr>
            <w:tcW w:w="5514" w:type="dxa"/>
            <w:tcBorders>
              <w:top w:val="nil"/>
              <w:left w:val="nil"/>
              <w:bottom w:val="single" w:sz="4" w:space="0" w:color="auto"/>
              <w:right w:val="single" w:sz="4" w:space="0" w:color="auto"/>
            </w:tcBorders>
            <w:shd w:val="clear" w:color="auto" w:fill="auto"/>
            <w:vAlign w:val="center"/>
            <w:hideMark/>
          </w:tcPr>
          <w:p w14:paraId="23A5E41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przypisywanie uprawnień do zlecenia leków, przygotowywania leków i podawania leków, dla każdego poziomu użytkownika i grupy użytkowników, poziomu jednostki (oddziału) użytkownika, dla każdego poziomu konkretnego leku i dla każdego poziomu określonej drogi podania. Możliwe trzy poziomy dostępu:</w:t>
            </w:r>
            <w:r w:rsidRPr="00CF3752">
              <w:rPr>
                <w:rFonts w:eastAsia="Times New Roman" w:cstheme="minorHAnsi"/>
                <w:lang w:eastAsia="pl-PL"/>
              </w:rPr>
              <w:br/>
              <w:t>- Dozwolone</w:t>
            </w:r>
            <w:r w:rsidRPr="00CF3752">
              <w:rPr>
                <w:rFonts w:eastAsia="Times New Roman" w:cstheme="minorHAnsi"/>
                <w:lang w:eastAsia="pl-PL"/>
              </w:rPr>
              <w:br/>
              <w:t>- Niedozwolone</w:t>
            </w:r>
            <w:r w:rsidRPr="00CF3752">
              <w:rPr>
                <w:rFonts w:eastAsia="Times New Roman" w:cstheme="minorHAnsi"/>
                <w:lang w:eastAsia="pl-PL"/>
              </w:rPr>
              <w:br/>
              <w:t>- Dozwolone w imieniu użytkownika planującego (informacja do uprawnionego użytkownika)</w:t>
            </w:r>
          </w:p>
        </w:tc>
        <w:tc>
          <w:tcPr>
            <w:tcW w:w="1133" w:type="dxa"/>
            <w:tcBorders>
              <w:top w:val="nil"/>
              <w:left w:val="nil"/>
              <w:bottom w:val="single" w:sz="4" w:space="0" w:color="auto"/>
              <w:right w:val="single" w:sz="4" w:space="0" w:color="auto"/>
            </w:tcBorders>
            <w:shd w:val="clear" w:color="auto" w:fill="auto"/>
            <w:vAlign w:val="center"/>
            <w:hideMark/>
          </w:tcPr>
          <w:p w14:paraId="2E2CE6C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B9D592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CC245BB"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B5D25E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3.4</w:t>
            </w:r>
          </w:p>
        </w:tc>
        <w:tc>
          <w:tcPr>
            <w:tcW w:w="5514" w:type="dxa"/>
            <w:tcBorders>
              <w:top w:val="nil"/>
              <w:left w:val="nil"/>
              <w:bottom w:val="single" w:sz="4" w:space="0" w:color="auto"/>
              <w:right w:val="single" w:sz="4" w:space="0" w:color="auto"/>
            </w:tcBorders>
            <w:shd w:val="clear" w:color="auto" w:fill="auto"/>
            <w:vAlign w:val="center"/>
            <w:hideMark/>
          </w:tcPr>
          <w:p w14:paraId="7F841D5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integrację z pompami infuzyjnymi (w tym TCI), ich automatyczne kojarzenie, porównanie wprowadzonych danych i zatwierdzenie. Czynności wykonywane na pompie (m.in. zmiany szybkości, podanie bolusa, pauza) są automatycznie dokumentowane w systemie, bez ingerencji użytkownika.</w:t>
            </w:r>
          </w:p>
        </w:tc>
        <w:tc>
          <w:tcPr>
            <w:tcW w:w="1133" w:type="dxa"/>
            <w:tcBorders>
              <w:top w:val="nil"/>
              <w:left w:val="nil"/>
              <w:bottom w:val="single" w:sz="4" w:space="0" w:color="auto"/>
              <w:right w:val="single" w:sz="4" w:space="0" w:color="auto"/>
            </w:tcBorders>
            <w:shd w:val="clear" w:color="auto" w:fill="auto"/>
            <w:vAlign w:val="center"/>
            <w:hideMark/>
          </w:tcPr>
          <w:p w14:paraId="0A67115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2F11E67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493FC8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3F9F81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3.5</w:t>
            </w:r>
          </w:p>
        </w:tc>
        <w:tc>
          <w:tcPr>
            <w:tcW w:w="5514" w:type="dxa"/>
            <w:tcBorders>
              <w:top w:val="nil"/>
              <w:left w:val="nil"/>
              <w:bottom w:val="single" w:sz="4" w:space="0" w:color="auto"/>
              <w:right w:val="single" w:sz="4" w:space="0" w:color="auto"/>
            </w:tcBorders>
            <w:shd w:val="clear" w:color="auto" w:fill="auto"/>
            <w:vAlign w:val="center"/>
            <w:hideMark/>
          </w:tcPr>
          <w:p w14:paraId="47B060E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posiada funkcjonalność integracji z automatycznymi szafami lekowymi oraz dokumentowaniem procesu wpierającego </w:t>
            </w:r>
            <w:r w:rsidRPr="008C7921">
              <w:rPr>
                <w:rFonts w:eastAsia="Times New Roman" w:cstheme="minorHAnsi"/>
                <w:lang w:eastAsia="pl-PL"/>
              </w:rPr>
              <w:t>współpracę</w:t>
            </w:r>
            <w:r w:rsidRPr="00CF3752">
              <w:rPr>
                <w:rFonts w:eastAsia="Times New Roman" w:cstheme="minorHAnsi"/>
                <w:lang w:eastAsia="pl-PL"/>
              </w:rPr>
              <w:t xml:space="preserve"> z apteką centralną.</w:t>
            </w:r>
          </w:p>
        </w:tc>
        <w:tc>
          <w:tcPr>
            <w:tcW w:w="1133" w:type="dxa"/>
            <w:tcBorders>
              <w:top w:val="nil"/>
              <w:left w:val="nil"/>
              <w:bottom w:val="single" w:sz="4" w:space="0" w:color="auto"/>
              <w:right w:val="single" w:sz="4" w:space="0" w:color="auto"/>
            </w:tcBorders>
            <w:shd w:val="clear" w:color="auto" w:fill="auto"/>
            <w:vAlign w:val="center"/>
            <w:hideMark/>
          </w:tcPr>
          <w:p w14:paraId="54834F9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C92535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344BBF2"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C4AE12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3.6</w:t>
            </w:r>
          </w:p>
        </w:tc>
        <w:tc>
          <w:tcPr>
            <w:tcW w:w="5514" w:type="dxa"/>
            <w:tcBorders>
              <w:top w:val="nil"/>
              <w:left w:val="nil"/>
              <w:bottom w:val="single" w:sz="4" w:space="0" w:color="auto"/>
              <w:right w:val="single" w:sz="4" w:space="0" w:color="auto"/>
            </w:tcBorders>
            <w:shd w:val="clear" w:color="auto" w:fill="auto"/>
            <w:vAlign w:val="center"/>
            <w:hideMark/>
          </w:tcPr>
          <w:p w14:paraId="3FABFAB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funkcjonalność dokumentowania wydań aptecznych.</w:t>
            </w:r>
          </w:p>
        </w:tc>
        <w:tc>
          <w:tcPr>
            <w:tcW w:w="1133" w:type="dxa"/>
            <w:tcBorders>
              <w:top w:val="nil"/>
              <w:left w:val="nil"/>
              <w:bottom w:val="single" w:sz="4" w:space="0" w:color="auto"/>
              <w:right w:val="single" w:sz="4" w:space="0" w:color="auto"/>
            </w:tcBorders>
            <w:shd w:val="clear" w:color="auto" w:fill="auto"/>
            <w:vAlign w:val="center"/>
            <w:hideMark/>
          </w:tcPr>
          <w:p w14:paraId="43BE3A1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3C8392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9A9FE5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EEB10A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3.7</w:t>
            </w:r>
          </w:p>
        </w:tc>
        <w:tc>
          <w:tcPr>
            <w:tcW w:w="5514" w:type="dxa"/>
            <w:tcBorders>
              <w:top w:val="nil"/>
              <w:left w:val="nil"/>
              <w:bottom w:val="single" w:sz="4" w:space="0" w:color="auto"/>
              <w:right w:val="single" w:sz="4" w:space="0" w:color="auto"/>
            </w:tcBorders>
            <w:shd w:val="clear" w:color="auto" w:fill="auto"/>
            <w:vAlign w:val="center"/>
            <w:hideMark/>
          </w:tcPr>
          <w:p w14:paraId="7AEA930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personelowi lekarskiemu zlecenia leków generycznych, a personelowi pielęgniarskiemu podjęcie decyzji dotyczącej zastosowanego produktu.</w:t>
            </w:r>
          </w:p>
        </w:tc>
        <w:tc>
          <w:tcPr>
            <w:tcW w:w="1133" w:type="dxa"/>
            <w:tcBorders>
              <w:top w:val="nil"/>
              <w:left w:val="nil"/>
              <w:bottom w:val="single" w:sz="4" w:space="0" w:color="auto"/>
              <w:right w:val="single" w:sz="4" w:space="0" w:color="auto"/>
            </w:tcBorders>
            <w:shd w:val="clear" w:color="auto" w:fill="auto"/>
            <w:vAlign w:val="center"/>
            <w:hideMark/>
          </w:tcPr>
          <w:p w14:paraId="14188FB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D4E8DF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03B6FCA"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98E80B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3.8</w:t>
            </w:r>
          </w:p>
        </w:tc>
        <w:tc>
          <w:tcPr>
            <w:tcW w:w="5514" w:type="dxa"/>
            <w:tcBorders>
              <w:top w:val="nil"/>
              <w:left w:val="nil"/>
              <w:bottom w:val="single" w:sz="4" w:space="0" w:color="auto"/>
              <w:right w:val="single" w:sz="4" w:space="0" w:color="auto"/>
            </w:tcBorders>
            <w:shd w:val="clear" w:color="auto" w:fill="auto"/>
            <w:vAlign w:val="center"/>
            <w:hideMark/>
          </w:tcPr>
          <w:p w14:paraId="5AEC6F5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dodania jednej lub kilku nazw handlowych dla określonego leku.</w:t>
            </w:r>
          </w:p>
        </w:tc>
        <w:tc>
          <w:tcPr>
            <w:tcW w:w="1133" w:type="dxa"/>
            <w:tcBorders>
              <w:top w:val="nil"/>
              <w:left w:val="nil"/>
              <w:bottom w:val="single" w:sz="4" w:space="0" w:color="auto"/>
              <w:right w:val="single" w:sz="4" w:space="0" w:color="auto"/>
            </w:tcBorders>
            <w:shd w:val="clear" w:color="auto" w:fill="auto"/>
            <w:vAlign w:val="center"/>
            <w:hideMark/>
          </w:tcPr>
          <w:p w14:paraId="3B77BF9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BFE923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169AA49"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33C7A5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3.9</w:t>
            </w:r>
          </w:p>
        </w:tc>
        <w:tc>
          <w:tcPr>
            <w:tcW w:w="5514" w:type="dxa"/>
            <w:tcBorders>
              <w:top w:val="nil"/>
              <w:left w:val="nil"/>
              <w:bottom w:val="single" w:sz="4" w:space="0" w:color="auto"/>
              <w:right w:val="single" w:sz="4" w:space="0" w:color="auto"/>
            </w:tcBorders>
            <w:shd w:val="clear" w:color="auto" w:fill="auto"/>
            <w:vAlign w:val="center"/>
            <w:hideMark/>
          </w:tcPr>
          <w:p w14:paraId="322D387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skonfigurowania produktu, który stanowi połączenie nazwy handlowej i preparatu z określoną postacią i dawką.</w:t>
            </w:r>
          </w:p>
        </w:tc>
        <w:tc>
          <w:tcPr>
            <w:tcW w:w="1133" w:type="dxa"/>
            <w:tcBorders>
              <w:top w:val="nil"/>
              <w:left w:val="nil"/>
              <w:bottom w:val="single" w:sz="4" w:space="0" w:color="auto"/>
              <w:right w:val="single" w:sz="4" w:space="0" w:color="auto"/>
            </w:tcBorders>
            <w:shd w:val="clear" w:color="auto" w:fill="auto"/>
            <w:vAlign w:val="center"/>
            <w:hideMark/>
          </w:tcPr>
          <w:p w14:paraId="0BDCDCB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30B3E8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3BE1BA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DB6A10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3.10</w:t>
            </w:r>
          </w:p>
        </w:tc>
        <w:tc>
          <w:tcPr>
            <w:tcW w:w="5514" w:type="dxa"/>
            <w:tcBorders>
              <w:top w:val="nil"/>
              <w:left w:val="nil"/>
              <w:bottom w:val="single" w:sz="4" w:space="0" w:color="auto"/>
              <w:right w:val="single" w:sz="4" w:space="0" w:color="auto"/>
            </w:tcBorders>
            <w:shd w:val="clear" w:color="auto" w:fill="auto"/>
            <w:vAlign w:val="center"/>
            <w:hideMark/>
          </w:tcPr>
          <w:p w14:paraId="424CD36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dokumentowanie czynności i dawek niezleconych (podanych poza planem).</w:t>
            </w:r>
          </w:p>
        </w:tc>
        <w:tc>
          <w:tcPr>
            <w:tcW w:w="1133" w:type="dxa"/>
            <w:tcBorders>
              <w:top w:val="nil"/>
              <w:left w:val="nil"/>
              <w:bottom w:val="single" w:sz="4" w:space="0" w:color="auto"/>
              <w:right w:val="single" w:sz="4" w:space="0" w:color="auto"/>
            </w:tcBorders>
            <w:shd w:val="clear" w:color="auto" w:fill="auto"/>
            <w:vAlign w:val="center"/>
            <w:hideMark/>
          </w:tcPr>
          <w:p w14:paraId="1856D6E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680515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3CA5AB4"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F3798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3.11</w:t>
            </w:r>
          </w:p>
        </w:tc>
        <w:tc>
          <w:tcPr>
            <w:tcW w:w="5514" w:type="dxa"/>
            <w:tcBorders>
              <w:top w:val="nil"/>
              <w:left w:val="nil"/>
              <w:bottom w:val="single" w:sz="4" w:space="0" w:color="auto"/>
              <w:right w:val="single" w:sz="4" w:space="0" w:color="auto"/>
            </w:tcBorders>
            <w:shd w:val="clear" w:color="auto" w:fill="auto"/>
            <w:vAlign w:val="center"/>
            <w:hideMark/>
          </w:tcPr>
          <w:p w14:paraId="12DCA7D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utworzenie zlecenia z podaniem określonego przedziału wartości dawki i szybkości infuzji (a nie tylko pojedynczej wartości), pozostawiając decyzję o ostatecznej wartość podaży na etap realizacji zlecenia.</w:t>
            </w:r>
          </w:p>
        </w:tc>
        <w:tc>
          <w:tcPr>
            <w:tcW w:w="1133" w:type="dxa"/>
            <w:tcBorders>
              <w:top w:val="nil"/>
              <w:left w:val="nil"/>
              <w:bottom w:val="single" w:sz="4" w:space="0" w:color="auto"/>
              <w:right w:val="single" w:sz="4" w:space="0" w:color="auto"/>
            </w:tcBorders>
            <w:shd w:val="clear" w:color="auto" w:fill="auto"/>
            <w:vAlign w:val="center"/>
            <w:hideMark/>
          </w:tcPr>
          <w:p w14:paraId="362083C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86D4A5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BA27F10"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506767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3.12</w:t>
            </w:r>
          </w:p>
        </w:tc>
        <w:tc>
          <w:tcPr>
            <w:tcW w:w="5514" w:type="dxa"/>
            <w:tcBorders>
              <w:top w:val="nil"/>
              <w:left w:val="nil"/>
              <w:bottom w:val="single" w:sz="4" w:space="0" w:color="auto"/>
              <w:right w:val="single" w:sz="4" w:space="0" w:color="auto"/>
            </w:tcBorders>
            <w:shd w:val="clear" w:color="auto" w:fill="auto"/>
            <w:vAlign w:val="center"/>
            <w:hideMark/>
          </w:tcPr>
          <w:p w14:paraId="13FBB39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wprowadzenie i zapisanie własnych leków, będących np. kombinacją składników aktywnych i substancji rozcieńczających.</w:t>
            </w:r>
          </w:p>
        </w:tc>
        <w:tc>
          <w:tcPr>
            <w:tcW w:w="1133" w:type="dxa"/>
            <w:tcBorders>
              <w:top w:val="nil"/>
              <w:left w:val="nil"/>
              <w:bottom w:val="single" w:sz="4" w:space="0" w:color="auto"/>
              <w:right w:val="single" w:sz="4" w:space="0" w:color="auto"/>
            </w:tcBorders>
            <w:shd w:val="clear" w:color="auto" w:fill="auto"/>
            <w:vAlign w:val="center"/>
            <w:hideMark/>
          </w:tcPr>
          <w:p w14:paraId="3A253A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14E15A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3BB1DE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3F1744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3.13</w:t>
            </w:r>
          </w:p>
        </w:tc>
        <w:tc>
          <w:tcPr>
            <w:tcW w:w="5514" w:type="dxa"/>
            <w:tcBorders>
              <w:top w:val="nil"/>
              <w:left w:val="nil"/>
              <w:bottom w:val="single" w:sz="4" w:space="0" w:color="auto"/>
              <w:right w:val="single" w:sz="4" w:space="0" w:color="auto"/>
            </w:tcBorders>
            <w:shd w:val="clear" w:color="auto" w:fill="auto"/>
            <w:vAlign w:val="center"/>
            <w:hideMark/>
          </w:tcPr>
          <w:p w14:paraId="7105F41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zdefiniowanie wartości normalnych i granicznych dawek.</w:t>
            </w:r>
          </w:p>
        </w:tc>
        <w:tc>
          <w:tcPr>
            <w:tcW w:w="1133" w:type="dxa"/>
            <w:tcBorders>
              <w:top w:val="nil"/>
              <w:left w:val="nil"/>
              <w:bottom w:val="single" w:sz="4" w:space="0" w:color="auto"/>
              <w:right w:val="single" w:sz="4" w:space="0" w:color="auto"/>
            </w:tcBorders>
            <w:shd w:val="clear" w:color="auto" w:fill="auto"/>
            <w:vAlign w:val="center"/>
            <w:hideMark/>
          </w:tcPr>
          <w:p w14:paraId="0C72410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636147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8A3A7D7"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C76DB2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3.14</w:t>
            </w:r>
          </w:p>
        </w:tc>
        <w:tc>
          <w:tcPr>
            <w:tcW w:w="5514" w:type="dxa"/>
            <w:tcBorders>
              <w:top w:val="nil"/>
              <w:left w:val="nil"/>
              <w:bottom w:val="single" w:sz="4" w:space="0" w:color="auto"/>
              <w:right w:val="single" w:sz="4" w:space="0" w:color="auto"/>
            </w:tcBorders>
            <w:shd w:val="clear" w:color="auto" w:fill="auto"/>
            <w:vAlign w:val="center"/>
            <w:hideMark/>
          </w:tcPr>
          <w:p w14:paraId="66C1E51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oznaczenie leku, przyjmowanego przez pacjenta samodzielnie. Oznaczenie musi być czytelne i widoczne bez konieczności klikania lub najechania kursorem na dany lek.</w:t>
            </w:r>
          </w:p>
        </w:tc>
        <w:tc>
          <w:tcPr>
            <w:tcW w:w="1133" w:type="dxa"/>
            <w:tcBorders>
              <w:top w:val="nil"/>
              <w:left w:val="nil"/>
              <w:bottom w:val="single" w:sz="4" w:space="0" w:color="auto"/>
              <w:right w:val="single" w:sz="4" w:space="0" w:color="auto"/>
            </w:tcBorders>
            <w:shd w:val="clear" w:color="auto" w:fill="auto"/>
            <w:vAlign w:val="center"/>
            <w:hideMark/>
          </w:tcPr>
          <w:p w14:paraId="377DBA1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D58899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16D1452"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96AEDA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3.15</w:t>
            </w:r>
          </w:p>
        </w:tc>
        <w:tc>
          <w:tcPr>
            <w:tcW w:w="5514" w:type="dxa"/>
            <w:tcBorders>
              <w:top w:val="nil"/>
              <w:left w:val="nil"/>
              <w:bottom w:val="single" w:sz="4" w:space="0" w:color="auto"/>
              <w:right w:val="single" w:sz="4" w:space="0" w:color="auto"/>
            </w:tcBorders>
            <w:shd w:val="clear" w:color="auto" w:fill="auto"/>
            <w:vAlign w:val="center"/>
            <w:hideMark/>
          </w:tcPr>
          <w:p w14:paraId="562BCD9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automatyczne oblicza i wyświetla dzienną dawkę w następujących formatach:</w:t>
            </w:r>
            <w:r w:rsidRPr="00CF3752">
              <w:rPr>
                <w:rFonts w:eastAsia="Times New Roman" w:cstheme="minorHAnsi"/>
                <w:lang w:eastAsia="pl-PL"/>
              </w:rPr>
              <w:br/>
              <w:t>- jednostka nieznormalizowana, np. mg/dzień</w:t>
            </w:r>
            <w:r w:rsidRPr="00CF3752">
              <w:rPr>
                <w:rFonts w:eastAsia="Times New Roman" w:cstheme="minorHAnsi"/>
                <w:lang w:eastAsia="pl-PL"/>
              </w:rPr>
              <w:br/>
              <w:t>- jednostka znormalizowana na masę ciała np. mg/kg/dzień</w:t>
            </w:r>
            <w:r w:rsidRPr="00CF3752">
              <w:rPr>
                <w:rFonts w:eastAsia="Times New Roman" w:cstheme="minorHAnsi"/>
                <w:lang w:eastAsia="pl-PL"/>
              </w:rPr>
              <w:br/>
              <w:t>- jednostka znormalizowana na BSA np. µg/m2/dzień</w:t>
            </w:r>
          </w:p>
        </w:tc>
        <w:tc>
          <w:tcPr>
            <w:tcW w:w="1133" w:type="dxa"/>
            <w:tcBorders>
              <w:top w:val="nil"/>
              <w:left w:val="nil"/>
              <w:bottom w:val="single" w:sz="4" w:space="0" w:color="auto"/>
              <w:right w:val="single" w:sz="4" w:space="0" w:color="auto"/>
            </w:tcBorders>
            <w:shd w:val="clear" w:color="auto" w:fill="auto"/>
            <w:vAlign w:val="center"/>
            <w:hideMark/>
          </w:tcPr>
          <w:p w14:paraId="697B4DA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A600A0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1C459A7"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0B1519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3.16</w:t>
            </w:r>
          </w:p>
        </w:tc>
        <w:tc>
          <w:tcPr>
            <w:tcW w:w="5514" w:type="dxa"/>
            <w:tcBorders>
              <w:top w:val="nil"/>
              <w:left w:val="nil"/>
              <w:bottom w:val="single" w:sz="4" w:space="0" w:color="auto"/>
              <w:right w:val="single" w:sz="4" w:space="0" w:color="auto"/>
            </w:tcBorders>
            <w:shd w:val="clear" w:color="auto" w:fill="auto"/>
            <w:vAlign w:val="center"/>
            <w:hideMark/>
          </w:tcPr>
          <w:p w14:paraId="4D94432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wstępne wczytywanie katalogu leków (min. 1500) i wstępne definiowanie szablonów w celu uproszczenia wprowadzania zleceń na leki generyczne i o określonej marce.</w:t>
            </w:r>
          </w:p>
        </w:tc>
        <w:tc>
          <w:tcPr>
            <w:tcW w:w="1133" w:type="dxa"/>
            <w:tcBorders>
              <w:top w:val="nil"/>
              <w:left w:val="nil"/>
              <w:bottom w:val="single" w:sz="4" w:space="0" w:color="auto"/>
              <w:right w:val="single" w:sz="4" w:space="0" w:color="auto"/>
            </w:tcBorders>
            <w:shd w:val="clear" w:color="auto" w:fill="auto"/>
            <w:vAlign w:val="center"/>
            <w:hideMark/>
          </w:tcPr>
          <w:p w14:paraId="4BE22B6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EA8EE2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183B285"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4B04A9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3.17</w:t>
            </w:r>
          </w:p>
        </w:tc>
        <w:tc>
          <w:tcPr>
            <w:tcW w:w="5514" w:type="dxa"/>
            <w:tcBorders>
              <w:top w:val="nil"/>
              <w:left w:val="nil"/>
              <w:bottom w:val="single" w:sz="4" w:space="0" w:color="auto"/>
              <w:right w:val="single" w:sz="4" w:space="0" w:color="auto"/>
            </w:tcBorders>
            <w:shd w:val="clear" w:color="auto" w:fill="auto"/>
            <w:vAlign w:val="center"/>
            <w:hideMark/>
          </w:tcPr>
          <w:p w14:paraId="4A29498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automatyzację procesu importu i synchronizacji katalogu leków.</w:t>
            </w:r>
            <w:r w:rsidRPr="00CF3752">
              <w:rPr>
                <w:rFonts w:eastAsia="Times New Roman" w:cstheme="minorHAnsi"/>
                <w:lang w:eastAsia="pl-PL"/>
              </w:rPr>
              <w:br/>
              <w:t>Możliwość wyboru bazy leków i pozycji receptariusza i automatycznego importowania ich do systemu. Po zaimportowaniu możliwość aktualizacji katalogu.</w:t>
            </w:r>
          </w:p>
        </w:tc>
        <w:tc>
          <w:tcPr>
            <w:tcW w:w="1133" w:type="dxa"/>
            <w:tcBorders>
              <w:top w:val="nil"/>
              <w:left w:val="nil"/>
              <w:bottom w:val="single" w:sz="4" w:space="0" w:color="auto"/>
              <w:right w:val="single" w:sz="4" w:space="0" w:color="auto"/>
            </w:tcBorders>
            <w:shd w:val="clear" w:color="auto" w:fill="auto"/>
            <w:vAlign w:val="center"/>
            <w:hideMark/>
          </w:tcPr>
          <w:p w14:paraId="2CF7C53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855E01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44716BF"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464671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3.18</w:t>
            </w:r>
          </w:p>
        </w:tc>
        <w:tc>
          <w:tcPr>
            <w:tcW w:w="5514" w:type="dxa"/>
            <w:tcBorders>
              <w:top w:val="nil"/>
              <w:left w:val="nil"/>
              <w:bottom w:val="single" w:sz="4" w:space="0" w:color="auto"/>
              <w:right w:val="single" w:sz="4" w:space="0" w:color="auto"/>
            </w:tcBorders>
            <w:shd w:val="clear" w:color="auto" w:fill="auto"/>
            <w:vAlign w:val="center"/>
            <w:hideMark/>
          </w:tcPr>
          <w:p w14:paraId="5AD2CD5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posiada szablony zleceń i dawek dostępne pod jednym </w:t>
            </w:r>
            <w:r w:rsidRPr="00F8703A">
              <w:rPr>
                <w:rFonts w:eastAsia="Times New Roman" w:cstheme="minorHAnsi"/>
                <w:lang w:eastAsia="pl-PL"/>
              </w:rPr>
              <w:t>przyciskiem</w:t>
            </w:r>
            <w:r w:rsidRPr="00CF3752">
              <w:rPr>
                <w:rFonts w:eastAsia="Times New Roman" w:cstheme="minorHAnsi"/>
                <w:lang w:eastAsia="pl-PL"/>
              </w:rPr>
              <w:t>, który umożliwia wprowadzenie leku z uwzględnieniem wcześniej zdefiniowanych danych m.in. postać, droga podania, ilość/objętość, stężenie (jeśli dotyczy), szybkość wlewu /czas trwania wlewu (jeśli dotyczy).</w:t>
            </w:r>
          </w:p>
        </w:tc>
        <w:tc>
          <w:tcPr>
            <w:tcW w:w="1133" w:type="dxa"/>
            <w:tcBorders>
              <w:top w:val="nil"/>
              <w:left w:val="nil"/>
              <w:bottom w:val="single" w:sz="4" w:space="0" w:color="auto"/>
              <w:right w:val="single" w:sz="4" w:space="0" w:color="auto"/>
            </w:tcBorders>
            <w:shd w:val="clear" w:color="auto" w:fill="auto"/>
            <w:vAlign w:val="center"/>
            <w:hideMark/>
          </w:tcPr>
          <w:p w14:paraId="641C7E7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42C585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9979BD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64055E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3.19</w:t>
            </w:r>
          </w:p>
        </w:tc>
        <w:tc>
          <w:tcPr>
            <w:tcW w:w="5514" w:type="dxa"/>
            <w:tcBorders>
              <w:top w:val="nil"/>
              <w:left w:val="nil"/>
              <w:bottom w:val="single" w:sz="4" w:space="0" w:color="auto"/>
              <w:right w:val="single" w:sz="4" w:space="0" w:color="auto"/>
            </w:tcBorders>
            <w:shd w:val="clear" w:color="auto" w:fill="auto"/>
            <w:vAlign w:val="center"/>
            <w:hideMark/>
          </w:tcPr>
          <w:p w14:paraId="7D2B974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możliwość znakowania drogich leków, zwiększając kontrolę nad ich stosowaniem.</w:t>
            </w:r>
          </w:p>
        </w:tc>
        <w:tc>
          <w:tcPr>
            <w:tcW w:w="1133" w:type="dxa"/>
            <w:tcBorders>
              <w:top w:val="nil"/>
              <w:left w:val="nil"/>
              <w:bottom w:val="single" w:sz="4" w:space="0" w:color="auto"/>
              <w:right w:val="single" w:sz="4" w:space="0" w:color="auto"/>
            </w:tcBorders>
            <w:shd w:val="clear" w:color="auto" w:fill="auto"/>
            <w:vAlign w:val="center"/>
            <w:hideMark/>
          </w:tcPr>
          <w:p w14:paraId="0C57EA1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3BB758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24E8C7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842A05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3.20</w:t>
            </w:r>
          </w:p>
        </w:tc>
        <w:tc>
          <w:tcPr>
            <w:tcW w:w="5514" w:type="dxa"/>
            <w:tcBorders>
              <w:top w:val="nil"/>
              <w:left w:val="nil"/>
              <w:bottom w:val="single" w:sz="4" w:space="0" w:color="auto"/>
              <w:right w:val="single" w:sz="4" w:space="0" w:color="auto"/>
            </w:tcBorders>
            <w:shd w:val="clear" w:color="auto" w:fill="auto"/>
            <w:vAlign w:val="center"/>
            <w:hideMark/>
          </w:tcPr>
          <w:p w14:paraId="2F0DC82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umożliwia konfigurowanie dostępności leków w podziale na jednostki </w:t>
            </w:r>
            <w:r w:rsidRPr="00F8703A">
              <w:rPr>
                <w:rFonts w:eastAsia="Times New Roman" w:cstheme="minorHAnsi"/>
                <w:lang w:eastAsia="pl-PL"/>
              </w:rPr>
              <w:t>organizacyjne</w:t>
            </w:r>
            <w:r w:rsidRPr="00CF3752">
              <w:rPr>
                <w:rFonts w:eastAsia="Times New Roman" w:cstheme="minorHAnsi"/>
                <w:lang w:eastAsia="pl-PL"/>
              </w:rPr>
              <w:t xml:space="preserve"> (oddziały).</w:t>
            </w:r>
          </w:p>
        </w:tc>
        <w:tc>
          <w:tcPr>
            <w:tcW w:w="1133" w:type="dxa"/>
            <w:tcBorders>
              <w:top w:val="nil"/>
              <w:left w:val="nil"/>
              <w:bottom w:val="single" w:sz="4" w:space="0" w:color="auto"/>
              <w:right w:val="single" w:sz="4" w:space="0" w:color="auto"/>
            </w:tcBorders>
            <w:shd w:val="clear" w:color="auto" w:fill="auto"/>
            <w:vAlign w:val="center"/>
            <w:hideMark/>
          </w:tcPr>
          <w:p w14:paraId="3EC5446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0DD3B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25B151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A6E87E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3.21</w:t>
            </w:r>
          </w:p>
        </w:tc>
        <w:tc>
          <w:tcPr>
            <w:tcW w:w="5514" w:type="dxa"/>
            <w:tcBorders>
              <w:top w:val="nil"/>
              <w:left w:val="nil"/>
              <w:bottom w:val="single" w:sz="4" w:space="0" w:color="auto"/>
              <w:right w:val="single" w:sz="4" w:space="0" w:color="auto"/>
            </w:tcBorders>
            <w:shd w:val="clear" w:color="auto" w:fill="auto"/>
            <w:vAlign w:val="center"/>
            <w:hideMark/>
          </w:tcPr>
          <w:p w14:paraId="4D60228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możliwość reaktywacji zleceń przy przyjęciu pacjenta, jeżeli pacjent wcześniej przebywał na danym oddziale.</w:t>
            </w:r>
          </w:p>
        </w:tc>
        <w:tc>
          <w:tcPr>
            <w:tcW w:w="1133" w:type="dxa"/>
            <w:tcBorders>
              <w:top w:val="nil"/>
              <w:left w:val="nil"/>
              <w:bottom w:val="single" w:sz="4" w:space="0" w:color="auto"/>
              <w:right w:val="single" w:sz="4" w:space="0" w:color="auto"/>
            </w:tcBorders>
            <w:shd w:val="clear" w:color="auto" w:fill="auto"/>
            <w:vAlign w:val="center"/>
            <w:hideMark/>
          </w:tcPr>
          <w:p w14:paraId="7C1A443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6B7559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FF85EEE"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B45C72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3.22</w:t>
            </w:r>
          </w:p>
        </w:tc>
        <w:tc>
          <w:tcPr>
            <w:tcW w:w="5514" w:type="dxa"/>
            <w:tcBorders>
              <w:top w:val="nil"/>
              <w:left w:val="nil"/>
              <w:bottom w:val="single" w:sz="4" w:space="0" w:color="auto"/>
              <w:right w:val="single" w:sz="4" w:space="0" w:color="auto"/>
            </w:tcBorders>
            <w:shd w:val="clear" w:color="auto" w:fill="auto"/>
            <w:vAlign w:val="center"/>
            <w:hideMark/>
          </w:tcPr>
          <w:p w14:paraId="4EF650A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możliwość reaktywacji jednego lub wielu zleceń.</w:t>
            </w:r>
          </w:p>
        </w:tc>
        <w:tc>
          <w:tcPr>
            <w:tcW w:w="1133" w:type="dxa"/>
            <w:tcBorders>
              <w:top w:val="nil"/>
              <w:left w:val="nil"/>
              <w:bottom w:val="single" w:sz="4" w:space="0" w:color="auto"/>
              <w:right w:val="single" w:sz="4" w:space="0" w:color="auto"/>
            </w:tcBorders>
            <w:shd w:val="clear" w:color="auto" w:fill="auto"/>
            <w:vAlign w:val="center"/>
            <w:hideMark/>
          </w:tcPr>
          <w:p w14:paraId="5A7FF71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A364B6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CE45910"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65E8B2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3.23</w:t>
            </w:r>
          </w:p>
        </w:tc>
        <w:tc>
          <w:tcPr>
            <w:tcW w:w="5514" w:type="dxa"/>
            <w:tcBorders>
              <w:top w:val="nil"/>
              <w:left w:val="nil"/>
              <w:bottom w:val="single" w:sz="4" w:space="0" w:color="auto"/>
              <w:right w:val="single" w:sz="4" w:space="0" w:color="auto"/>
            </w:tcBorders>
            <w:shd w:val="clear" w:color="auto" w:fill="auto"/>
            <w:vAlign w:val="center"/>
            <w:hideMark/>
          </w:tcPr>
          <w:p w14:paraId="340C537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możliwość wprowadzenia zestawów zleceń, które zostały wstępnie zdefiniowane dla konkretnego rozpoznania lub sytuacji klinicznej.</w:t>
            </w:r>
          </w:p>
        </w:tc>
        <w:tc>
          <w:tcPr>
            <w:tcW w:w="1133" w:type="dxa"/>
            <w:tcBorders>
              <w:top w:val="nil"/>
              <w:left w:val="nil"/>
              <w:bottom w:val="single" w:sz="4" w:space="0" w:color="auto"/>
              <w:right w:val="single" w:sz="4" w:space="0" w:color="auto"/>
            </w:tcBorders>
            <w:shd w:val="clear" w:color="auto" w:fill="auto"/>
            <w:vAlign w:val="center"/>
            <w:hideMark/>
          </w:tcPr>
          <w:p w14:paraId="57EA09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88762C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A57EE81"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F3971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3.24</w:t>
            </w:r>
          </w:p>
        </w:tc>
        <w:tc>
          <w:tcPr>
            <w:tcW w:w="5514" w:type="dxa"/>
            <w:tcBorders>
              <w:top w:val="nil"/>
              <w:left w:val="nil"/>
              <w:bottom w:val="single" w:sz="4" w:space="0" w:color="auto"/>
              <w:right w:val="single" w:sz="4" w:space="0" w:color="auto"/>
            </w:tcBorders>
            <w:shd w:val="clear" w:color="auto" w:fill="auto"/>
            <w:vAlign w:val="center"/>
            <w:hideMark/>
          </w:tcPr>
          <w:p w14:paraId="49B8F98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posiada możliwość wprowadzenia zestawu dawek, które zostały wstępnie zdefiniowane dla konkretnego rozpoznania lub sytuacji klinicznej, m.in. zestaw przy przyjęciu pacjenta. </w:t>
            </w:r>
          </w:p>
        </w:tc>
        <w:tc>
          <w:tcPr>
            <w:tcW w:w="1133" w:type="dxa"/>
            <w:tcBorders>
              <w:top w:val="nil"/>
              <w:left w:val="nil"/>
              <w:bottom w:val="single" w:sz="4" w:space="0" w:color="auto"/>
              <w:right w:val="single" w:sz="4" w:space="0" w:color="auto"/>
            </w:tcBorders>
            <w:shd w:val="clear" w:color="auto" w:fill="auto"/>
            <w:vAlign w:val="center"/>
            <w:hideMark/>
          </w:tcPr>
          <w:p w14:paraId="5848E8B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0146AF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4132A20"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A6598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3.25</w:t>
            </w:r>
          </w:p>
        </w:tc>
        <w:tc>
          <w:tcPr>
            <w:tcW w:w="5514" w:type="dxa"/>
            <w:tcBorders>
              <w:top w:val="nil"/>
              <w:left w:val="nil"/>
              <w:bottom w:val="single" w:sz="4" w:space="0" w:color="auto"/>
              <w:right w:val="single" w:sz="4" w:space="0" w:color="auto"/>
            </w:tcBorders>
            <w:shd w:val="clear" w:color="auto" w:fill="auto"/>
            <w:vAlign w:val="center"/>
            <w:hideMark/>
          </w:tcPr>
          <w:p w14:paraId="76A6412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jest wyposażony w funkcję przeglądu przez aptekę, dzięki której farmaceuci mogą potwierdzać swoją ocenę zamówień, informować użytkowników o wszelkich problemach i dodawać komentarze.</w:t>
            </w:r>
          </w:p>
        </w:tc>
        <w:tc>
          <w:tcPr>
            <w:tcW w:w="1133" w:type="dxa"/>
            <w:tcBorders>
              <w:top w:val="nil"/>
              <w:left w:val="nil"/>
              <w:bottom w:val="single" w:sz="4" w:space="0" w:color="auto"/>
              <w:right w:val="single" w:sz="4" w:space="0" w:color="auto"/>
            </w:tcBorders>
            <w:shd w:val="clear" w:color="auto" w:fill="auto"/>
            <w:vAlign w:val="center"/>
            <w:hideMark/>
          </w:tcPr>
          <w:p w14:paraId="631D8FF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027DB4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9B93A3D"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E43DB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3.26</w:t>
            </w:r>
          </w:p>
        </w:tc>
        <w:tc>
          <w:tcPr>
            <w:tcW w:w="5514" w:type="dxa"/>
            <w:tcBorders>
              <w:top w:val="nil"/>
              <w:left w:val="nil"/>
              <w:bottom w:val="single" w:sz="4" w:space="0" w:color="auto"/>
              <w:right w:val="single" w:sz="4" w:space="0" w:color="auto"/>
            </w:tcBorders>
            <w:shd w:val="clear" w:color="auto" w:fill="auto"/>
            <w:vAlign w:val="center"/>
            <w:hideMark/>
          </w:tcPr>
          <w:p w14:paraId="4C47B4F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przypomina użytkownikom o terminie podania dawki. </w:t>
            </w:r>
          </w:p>
        </w:tc>
        <w:tc>
          <w:tcPr>
            <w:tcW w:w="1133" w:type="dxa"/>
            <w:tcBorders>
              <w:top w:val="nil"/>
              <w:left w:val="nil"/>
              <w:bottom w:val="single" w:sz="4" w:space="0" w:color="auto"/>
              <w:right w:val="single" w:sz="4" w:space="0" w:color="auto"/>
            </w:tcBorders>
            <w:shd w:val="clear" w:color="auto" w:fill="auto"/>
            <w:vAlign w:val="center"/>
            <w:hideMark/>
          </w:tcPr>
          <w:p w14:paraId="75F6250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EF720F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C84D34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1FC16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3.27</w:t>
            </w:r>
          </w:p>
        </w:tc>
        <w:tc>
          <w:tcPr>
            <w:tcW w:w="5514" w:type="dxa"/>
            <w:tcBorders>
              <w:top w:val="nil"/>
              <w:left w:val="nil"/>
              <w:bottom w:val="single" w:sz="4" w:space="0" w:color="auto"/>
              <w:right w:val="single" w:sz="4" w:space="0" w:color="auto"/>
            </w:tcBorders>
            <w:shd w:val="clear" w:color="auto" w:fill="auto"/>
            <w:vAlign w:val="center"/>
            <w:hideMark/>
          </w:tcPr>
          <w:p w14:paraId="3EEA571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oddzielny widok dla planowanych podaży oraz dla podanych dawek i wykonanych zadań.</w:t>
            </w:r>
          </w:p>
        </w:tc>
        <w:tc>
          <w:tcPr>
            <w:tcW w:w="1133" w:type="dxa"/>
            <w:tcBorders>
              <w:top w:val="nil"/>
              <w:left w:val="nil"/>
              <w:bottom w:val="single" w:sz="4" w:space="0" w:color="auto"/>
              <w:right w:val="single" w:sz="4" w:space="0" w:color="auto"/>
            </w:tcBorders>
            <w:shd w:val="clear" w:color="auto" w:fill="auto"/>
            <w:vAlign w:val="center"/>
            <w:hideMark/>
          </w:tcPr>
          <w:p w14:paraId="3F1B07E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B0B533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5FC1315"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EA92FC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3.28</w:t>
            </w:r>
          </w:p>
        </w:tc>
        <w:tc>
          <w:tcPr>
            <w:tcW w:w="5514" w:type="dxa"/>
            <w:tcBorders>
              <w:top w:val="nil"/>
              <w:left w:val="nil"/>
              <w:bottom w:val="single" w:sz="4" w:space="0" w:color="auto"/>
              <w:right w:val="single" w:sz="4" w:space="0" w:color="auto"/>
            </w:tcBorders>
            <w:shd w:val="clear" w:color="auto" w:fill="auto"/>
            <w:vAlign w:val="center"/>
            <w:hideMark/>
          </w:tcPr>
          <w:p w14:paraId="5B9A532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śledzenie postępów w realizacji planu leczenia pacjenta oraz wprowadzanie korekt.</w:t>
            </w:r>
          </w:p>
        </w:tc>
        <w:tc>
          <w:tcPr>
            <w:tcW w:w="1133" w:type="dxa"/>
            <w:tcBorders>
              <w:top w:val="nil"/>
              <w:left w:val="nil"/>
              <w:bottom w:val="single" w:sz="4" w:space="0" w:color="auto"/>
              <w:right w:val="single" w:sz="4" w:space="0" w:color="auto"/>
            </w:tcBorders>
            <w:shd w:val="clear" w:color="auto" w:fill="auto"/>
            <w:vAlign w:val="center"/>
            <w:hideMark/>
          </w:tcPr>
          <w:p w14:paraId="4A75276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B74AC2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CFC9E9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274BCB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3.29</w:t>
            </w:r>
          </w:p>
        </w:tc>
        <w:tc>
          <w:tcPr>
            <w:tcW w:w="5514" w:type="dxa"/>
            <w:tcBorders>
              <w:top w:val="nil"/>
              <w:left w:val="nil"/>
              <w:bottom w:val="single" w:sz="4" w:space="0" w:color="auto"/>
              <w:right w:val="single" w:sz="4" w:space="0" w:color="auto"/>
            </w:tcBorders>
            <w:shd w:val="clear" w:color="auto" w:fill="auto"/>
            <w:vAlign w:val="center"/>
            <w:hideMark/>
          </w:tcPr>
          <w:p w14:paraId="5379434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wykonuje automatyczne obliczenia na podstawie zleceń leków, w tym bilansu płynów i makroskładników żywieniowych.</w:t>
            </w:r>
          </w:p>
        </w:tc>
        <w:tc>
          <w:tcPr>
            <w:tcW w:w="1133" w:type="dxa"/>
            <w:tcBorders>
              <w:top w:val="nil"/>
              <w:left w:val="nil"/>
              <w:bottom w:val="single" w:sz="4" w:space="0" w:color="auto"/>
              <w:right w:val="single" w:sz="4" w:space="0" w:color="auto"/>
            </w:tcBorders>
            <w:shd w:val="clear" w:color="auto" w:fill="auto"/>
            <w:vAlign w:val="center"/>
            <w:hideMark/>
          </w:tcPr>
          <w:p w14:paraId="6E17B3F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E61120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8A52DB2"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25C9B6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3.30</w:t>
            </w:r>
          </w:p>
        </w:tc>
        <w:tc>
          <w:tcPr>
            <w:tcW w:w="5514" w:type="dxa"/>
            <w:tcBorders>
              <w:top w:val="nil"/>
              <w:left w:val="nil"/>
              <w:bottom w:val="single" w:sz="4" w:space="0" w:color="auto"/>
              <w:right w:val="single" w:sz="4" w:space="0" w:color="auto"/>
            </w:tcBorders>
            <w:shd w:val="clear" w:color="auto" w:fill="auto"/>
            <w:vAlign w:val="center"/>
            <w:hideMark/>
          </w:tcPr>
          <w:p w14:paraId="45C1F5F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złożone schematy/harmonogramy zleceń leków, takie jak miareczkowanie, dawka początkowa i kontynuacja, zmniejszająca się dawka i zlecenie cykliczne.</w:t>
            </w:r>
          </w:p>
        </w:tc>
        <w:tc>
          <w:tcPr>
            <w:tcW w:w="1133" w:type="dxa"/>
            <w:tcBorders>
              <w:top w:val="nil"/>
              <w:left w:val="nil"/>
              <w:bottom w:val="single" w:sz="4" w:space="0" w:color="auto"/>
              <w:right w:val="single" w:sz="4" w:space="0" w:color="auto"/>
            </w:tcBorders>
            <w:shd w:val="clear" w:color="auto" w:fill="auto"/>
            <w:vAlign w:val="center"/>
            <w:hideMark/>
          </w:tcPr>
          <w:p w14:paraId="3D05C5C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180E38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8D5E7D6"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3D6F15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3.31</w:t>
            </w:r>
          </w:p>
        </w:tc>
        <w:tc>
          <w:tcPr>
            <w:tcW w:w="5514" w:type="dxa"/>
            <w:tcBorders>
              <w:top w:val="nil"/>
              <w:left w:val="nil"/>
              <w:bottom w:val="single" w:sz="4" w:space="0" w:color="auto"/>
              <w:right w:val="single" w:sz="4" w:space="0" w:color="auto"/>
            </w:tcBorders>
            <w:shd w:val="clear" w:color="auto" w:fill="auto"/>
            <w:vAlign w:val="center"/>
            <w:hideMark/>
          </w:tcPr>
          <w:p w14:paraId="07F54AC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możliwość wyboru interwału podawania leku (np. co 4 godziny), częstotliwości podawania (np. 2 razy na dobę) oraz wyboru konkretnych godzin kiedy lek ma zostać podany. Możliwość określenia czasu rozpoczęcia i zakończenia podawania.</w:t>
            </w:r>
          </w:p>
        </w:tc>
        <w:tc>
          <w:tcPr>
            <w:tcW w:w="1133" w:type="dxa"/>
            <w:tcBorders>
              <w:top w:val="nil"/>
              <w:left w:val="nil"/>
              <w:bottom w:val="single" w:sz="4" w:space="0" w:color="auto"/>
              <w:right w:val="single" w:sz="4" w:space="0" w:color="auto"/>
            </w:tcBorders>
            <w:shd w:val="clear" w:color="auto" w:fill="auto"/>
            <w:vAlign w:val="center"/>
            <w:hideMark/>
          </w:tcPr>
          <w:p w14:paraId="6841B82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C41F16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D6127D1"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12BCF2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3.32</w:t>
            </w:r>
          </w:p>
        </w:tc>
        <w:tc>
          <w:tcPr>
            <w:tcW w:w="5514" w:type="dxa"/>
            <w:tcBorders>
              <w:top w:val="nil"/>
              <w:left w:val="nil"/>
              <w:bottom w:val="single" w:sz="4" w:space="0" w:color="auto"/>
              <w:right w:val="single" w:sz="4" w:space="0" w:color="auto"/>
            </w:tcBorders>
            <w:shd w:val="clear" w:color="auto" w:fill="auto"/>
            <w:vAlign w:val="center"/>
            <w:hideMark/>
          </w:tcPr>
          <w:p w14:paraId="18B7509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wiele stylów zleceń leków, m.in. pojedyncze podanie (wstrzyknięcie, tabletka), podanie ciągłe z deklaracją szybkości, z deklaracją objętości, z deklaracją stężenia.</w:t>
            </w:r>
          </w:p>
        </w:tc>
        <w:tc>
          <w:tcPr>
            <w:tcW w:w="1133" w:type="dxa"/>
            <w:tcBorders>
              <w:top w:val="nil"/>
              <w:left w:val="nil"/>
              <w:bottom w:val="single" w:sz="4" w:space="0" w:color="auto"/>
              <w:right w:val="single" w:sz="4" w:space="0" w:color="auto"/>
            </w:tcBorders>
            <w:shd w:val="clear" w:color="auto" w:fill="auto"/>
            <w:vAlign w:val="center"/>
            <w:hideMark/>
          </w:tcPr>
          <w:p w14:paraId="4B9C15B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DF8D07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F15805D"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341293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3.33</w:t>
            </w:r>
          </w:p>
        </w:tc>
        <w:tc>
          <w:tcPr>
            <w:tcW w:w="5514" w:type="dxa"/>
            <w:tcBorders>
              <w:top w:val="nil"/>
              <w:left w:val="nil"/>
              <w:bottom w:val="single" w:sz="4" w:space="0" w:color="auto"/>
              <w:right w:val="single" w:sz="4" w:space="0" w:color="auto"/>
            </w:tcBorders>
            <w:shd w:val="clear" w:color="auto" w:fill="auto"/>
            <w:vAlign w:val="center"/>
            <w:hideMark/>
          </w:tcPr>
          <w:p w14:paraId="55D6BD8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nie tylko wyboru leku, ale również jego postaci (m.in. tabletka, kapsułka, syrop), sposobu podania (m.in. doustnie, dożylnie, doodbytniczo) i miejsca podania / zaaplikowania (m.in. usta, lewe ramię).</w:t>
            </w:r>
          </w:p>
        </w:tc>
        <w:tc>
          <w:tcPr>
            <w:tcW w:w="1133" w:type="dxa"/>
            <w:tcBorders>
              <w:top w:val="nil"/>
              <w:left w:val="nil"/>
              <w:bottom w:val="single" w:sz="4" w:space="0" w:color="auto"/>
              <w:right w:val="single" w:sz="4" w:space="0" w:color="auto"/>
            </w:tcBorders>
            <w:shd w:val="clear" w:color="auto" w:fill="auto"/>
            <w:vAlign w:val="center"/>
            <w:hideMark/>
          </w:tcPr>
          <w:p w14:paraId="2A30E33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08A92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7F07155"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6EA515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3.34</w:t>
            </w:r>
          </w:p>
        </w:tc>
        <w:tc>
          <w:tcPr>
            <w:tcW w:w="5514" w:type="dxa"/>
            <w:tcBorders>
              <w:top w:val="nil"/>
              <w:left w:val="nil"/>
              <w:bottom w:val="single" w:sz="4" w:space="0" w:color="auto"/>
              <w:right w:val="single" w:sz="4" w:space="0" w:color="auto"/>
            </w:tcBorders>
            <w:shd w:val="clear" w:color="auto" w:fill="auto"/>
            <w:vAlign w:val="center"/>
            <w:hideMark/>
          </w:tcPr>
          <w:p w14:paraId="663F637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zlecenia wlewów zawierających wiele leków lub składników (m.in. składników odżywczych), zapewniając jednocześnie możliwość zdefiniowania stałego stosunku (stężenia) między wszystkimi składnikami infuzji.</w:t>
            </w:r>
          </w:p>
        </w:tc>
        <w:tc>
          <w:tcPr>
            <w:tcW w:w="1133" w:type="dxa"/>
            <w:tcBorders>
              <w:top w:val="nil"/>
              <w:left w:val="nil"/>
              <w:bottom w:val="single" w:sz="4" w:space="0" w:color="auto"/>
              <w:right w:val="single" w:sz="4" w:space="0" w:color="auto"/>
            </w:tcBorders>
            <w:shd w:val="clear" w:color="auto" w:fill="auto"/>
            <w:vAlign w:val="center"/>
            <w:hideMark/>
          </w:tcPr>
          <w:p w14:paraId="28D8163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4D9F09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98D6CA4"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E38897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3.35</w:t>
            </w:r>
          </w:p>
        </w:tc>
        <w:tc>
          <w:tcPr>
            <w:tcW w:w="5514" w:type="dxa"/>
            <w:tcBorders>
              <w:top w:val="nil"/>
              <w:left w:val="nil"/>
              <w:bottom w:val="single" w:sz="4" w:space="0" w:color="auto"/>
              <w:right w:val="single" w:sz="4" w:space="0" w:color="auto"/>
            </w:tcBorders>
            <w:shd w:val="clear" w:color="auto" w:fill="auto"/>
            <w:vAlign w:val="center"/>
            <w:hideMark/>
          </w:tcPr>
          <w:p w14:paraId="79FF88C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wspiera podejmowanie decyzji klinicznej umożliwiając powiązanie leku z informacjami pozyskanymi z aparatury medycznej lub wyników laboratoryjnych, sugerując np. jego ilość czy objętość</w:t>
            </w:r>
          </w:p>
        </w:tc>
        <w:tc>
          <w:tcPr>
            <w:tcW w:w="1133" w:type="dxa"/>
            <w:tcBorders>
              <w:top w:val="nil"/>
              <w:left w:val="nil"/>
              <w:bottom w:val="single" w:sz="4" w:space="0" w:color="auto"/>
              <w:right w:val="single" w:sz="4" w:space="0" w:color="auto"/>
            </w:tcBorders>
            <w:shd w:val="clear" w:color="auto" w:fill="auto"/>
            <w:vAlign w:val="center"/>
            <w:hideMark/>
          </w:tcPr>
          <w:p w14:paraId="5B2F2A9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3B82874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076B748"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18D96F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3.36</w:t>
            </w:r>
          </w:p>
        </w:tc>
        <w:tc>
          <w:tcPr>
            <w:tcW w:w="5514" w:type="dxa"/>
            <w:tcBorders>
              <w:top w:val="nil"/>
              <w:left w:val="nil"/>
              <w:bottom w:val="single" w:sz="4" w:space="0" w:color="auto"/>
              <w:right w:val="single" w:sz="4" w:space="0" w:color="auto"/>
            </w:tcBorders>
            <w:shd w:val="clear" w:color="auto" w:fill="auto"/>
            <w:vAlign w:val="center"/>
            <w:hideMark/>
          </w:tcPr>
          <w:p w14:paraId="0FE61F5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wyróżnianie pól w oknie wprowadzania zleceń i dawek, których wypełnienie jest obowiązkowe. Możliwość zdefiniowania, które pola są obowiązkowe.</w:t>
            </w:r>
          </w:p>
        </w:tc>
        <w:tc>
          <w:tcPr>
            <w:tcW w:w="1133" w:type="dxa"/>
            <w:tcBorders>
              <w:top w:val="nil"/>
              <w:left w:val="nil"/>
              <w:bottom w:val="single" w:sz="4" w:space="0" w:color="auto"/>
              <w:right w:val="single" w:sz="4" w:space="0" w:color="auto"/>
            </w:tcBorders>
            <w:shd w:val="clear" w:color="auto" w:fill="auto"/>
            <w:vAlign w:val="center"/>
            <w:hideMark/>
          </w:tcPr>
          <w:p w14:paraId="0A4DCFC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62910C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0CA82D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562161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3.37</w:t>
            </w:r>
          </w:p>
        </w:tc>
        <w:tc>
          <w:tcPr>
            <w:tcW w:w="5514" w:type="dxa"/>
            <w:tcBorders>
              <w:top w:val="nil"/>
              <w:left w:val="nil"/>
              <w:bottom w:val="single" w:sz="4" w:space="0" w:color="auto"/>
              <w:right w:val="single" w:sz="4" w:space="0" w:color="auto"/>
            </w:tcBorders>
            <w:shd w:val="clear" w:color="auto" w:fill="auto"/>
            <w:vAlign w:val="center"/>
            <w:hideMark/>
          </w:tcPr>
          <w:p w14:paraId="4EF5DDB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możliwość dołączenia obowiązkowego bądź opcjonalnego formularza do okna wprowadza zlecenia i dawki.</w:t>
            </w:r>
          </w:p>
        </w:tc>
        <w:tc>
          <w:tcPr>
            <w:tcW w:w="1133" w:type="dxa"/>
            <w:tcBorders>
              <w:top w:val="nil"/>
              <w:left w:val="nil"/>
              <w:bottom w:val="single" w:sz="4" w:space="0" w:color="auto"/>
              <w:right w:val="single" w:sz="4" w:space="0" w:color="auto"/>
            </w:tcBorders>
            <w:shd w:val="clear" w:color="auto" w:fill="auto"/>
            <w:vAlign w:val="center"/>
            <w:hideMark/>
          </w:tcPr>
          <w:p w14:paraId="4946ED2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105A65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8D3F5B"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40B216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3.38</w:t>
            </w:r>
          </w:p>
        </w:tc>
        <w:tc>
          <w:tcPr>
            <w:tcW w:w="5514" w:type="dxa"/>
            <w:tcBorders>
              <w:top w:val="nil"/>
              <w:left w:val="nil"/>
              <w:bottom w:val="single" w:sz="4" w:space="0" w:color="auto"/>
              <w:right w:val="single" w:sz="4" w:space="0" w:color="auto"/>
            </w:tcBorders>
            <w:shd w:val="clear" w:color="auto" w:fill="auto"/>
            <w:vAlign w:val="center"/>
            <w:hideMark/>
          </w:tcPr>
          <w:p w14:paraId="7A0DC42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opcjonalne i obowiązkowe wspólne podpisywanie (login i hasło) określonych działań związanych z lekami w celu zwiększenia bezpieczeństwa pacjenta.</w:t>
            </w:r>
          </w:p>
        </w:tc>
        <w:tc>
          <w:tcPr>
            <w:tcW w:w="1133" w:type="dxa"/>
            <w:tcBorders>
              <w:top w:val="nil"/>
              <w:left w:val="nil"/>
              <w:bottom w:val="single" w:sz="4" w:space="0" w:color="auto"/>
              <w:right w:val="single" w:sz="4" w:space="0" w:color="auto"/>
            </w:tcBorders>
            <w:shd w:val="clear" w:color="auto" w:fill="auto"/>
            <w:vAlign w:val="center"/>
            <w:hideMark/>
          </w:tcPr>
          <w:p w14:paraId="7D2A4A6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A74592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ED1737F"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1C448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3.39</w:t>
            </w:r>
          </w:p>
        </w:tc>
        <w:tc>
          <w:tcPr>
            <w:tcW w:w="5514" w:type="dxa"/>
            <w:tcBorders>
              <w:top w:val="nil"/>
              <w:left w:val="nil"/>
              <w:bottom w:val="single" w:sz="4" w:space="0" w:color="auto"/>
              <w:right w:val="single" w:sz="4" w:space="0" w:color="auto"/>
            </w:tcBorders>
            <w:shd w:val="clear" w:color="auto" w:fill="auto"/>
            <w:vAlign w:val="center"/>
            <w:hideMark/>
          </w:tcPr>
          <w:p w14:paraId="3210953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użytkownikom dostosowanie sposobu grupowania, filtrowania i sortowania list leków i płynów.</w:t>
            </w:r>
          </w:p>
        </w:tc>
        <w:tc>
          <w:tcPr>
            <w:tcW w:w="1133" w:type="dxa"/>
            <w:tcBorders>
              <w:top w:val="nil"/>
              <w:left w:val="nil"/>
              <w:bottom w:val="single" w:sz="4" w:space="0" w:color="auto"/>
              <w:right w:val="single" w:sz="4" w:space="0" w:color="auto"/>
            </w:tcBorders>
            <w:shd w:val="clear" w:color="auto" w:fill="auto"/>
            <w:vAlign w:val="center"/>
            <w:hideMark/>
          </w:tcPr>
          <w:p w14:paraId="4139871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7017A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FBA3F5F"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448CB9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3.40</w:t>
            </w:r>
          </w:p>
        </w:tc>
        <w:tc>
          <w:tcPr>
            <w:tcW w:w="5514" w:type="dxa"/>
            <w:tcBorders>
              <w:top w:val="nil"/>
              <w:left w:val="nil"/>
              <w:bottom w:val="single" w:sz="4" w:space="0" w:color="auto"/>
              <w:right w:val="single" w:sz="4" w:space="0" w:color="auto"/>
            </w:tcBorders>
            <w:shd w:val="clear" w:color="auto" w:fill="auto"/>
            <w:vAlign w:val="center"/>
            <w:hideMark/>
          </w:tcPr>
          <w:p w14:paraId="27B754D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oddzielne (m.in. w różnych oknach ekranu) wyświetlanie różnych substancji, takich jak płyny i narkotyki, ułatwiając wyraźne rozróżnienie w interfejsie użytkownika.</w:t>
            </w:r>
          </w:p>
        </w:tc>
        <w:tc>
          <w:tcPr>
            <w:tcW w:w="1133" w:type="dxa"/>
            <w:tcBorders>
              <w:top w:val="nil"/>
              <w:left w:val="nil"/>
              <w:bottom w:val="single" w:sz="4" w:space="0" w:color="auto"/>
              <w:right w:val="single" w:sz="4" w:space="0" w:color="auto"/>
            </w:tcBorders>
            <w:shd w:val="clear" w:color="auto" w:fill="auto"/>
            <w:vAlign w:val="center"/>
            <w:hideMark/>
          </w:tcPr>
          <w:p w14:paraId="3F3DC49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FABDFE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C42E89B"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71DE2C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3.41</w:t>
            </w:r>
          </w:p>
        </w:tc>
        <w:tc>
          <w:tcPr>
            <w:tcW w:w="5514" w:type="dxa"/>
            <w:tcBorders>
              <w:top w:val="nil"/>
              <w:left w:val="nil"/>
              <w:bottom w:val="single" w:sz="4" w:space="0" w:color="auto"/>
              <w:right w:val="single" w:sz="4" w:space="0" w:color="auto"/>
            </w:tcBorders>
            <w:shd w:val="clear" w:color="auto" w:fill="auto"/>
            <w:vAlign w:val="center"/>
            <w:hideMark/>
          </w:tcPr>
          <w:p w14:paraId="00928A4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użytkownikom grupowanie elementów na podstawie niestandardowych kryteriów, w tym lokalizacji podaży leku, podaży w infuzji, podaży nie w infuzji.</w:t>
            </w:r>
          </w:p>
        </w:tc>
        <w:tc>
          <w:tcPr>
            <w:tcW w:w="1133" w:type="dxa"/>
            <w:tcBorders>
              <w:top w:val="nil"/>
              <w:left w:val="nil"/>
              <w:bottom w:val="single" w:sz="4" w:space="0" w:color="auto"/>
              <w:right w:val="single" w:sz="4" w:space="0" w:color="auto"/>
            </w:tcBorders>
            <w:shd w:val="clear" w:color="auto" w:fill="auto"/>
            <w:vAlign w:val="center"/>
            <w:hideMark/>
          </w:tcPr>
          <w:p w14:paraId="10D0457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1051D5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9B460C4"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DE276A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3.42</w:t>
            </w:r>
          </w:p>
        </w:tc>
        <w:tc>
          <w:tcPr>
            <w:tcW w:w="5514" w:type="dxa"/>
            <w:tcBorders>
              <w:top w:val="nil"/>
              <w:left w:val="nil"/>
              <w:bottom w:val="single" w:sz="4" w:space="0" w:color="auto"/>
              <w:right w:val="single" w:sz="4" w:space="0" w:color="auto"/>
            </w:tcBorders>
            <w:shd w:val="clear" w:color="auto" w:fill="auto"/>
            <w:vAlign w:val="center"/>
            <w:hideMark/>
          </w:tcPr>
          <w:p w14:paraId="43EE11C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umożliwia użytkownikom dostosowywanie widoków w celu pokazywania i filtrowania określonych rodzajów leków, w tym leków infuzyjnych, leków podawanych okresowo, </w:t>
            </w:r>
            <w:r w:rsidRPr="00F8703A">
              <w:rPr>
                <w:rFonts w:eastAsia="Times New Roman" w:cstheme="minorHAnsi"/>
                <w:lang w:eastAsia="pl-PL"/>
              </w:rPr>
              <w:t>warunkowo</w:t>
            </w:r>
            <w:r w:rsidRPr="00CF3752">
              <w:rPr>
                <w:rFonts w:eastAsia="Times New Roman" w:cstheme="minorHAnsi"/>
                <w:lang w:eastAsia="pl-PL"/>
              </w:rPr>
              <w:t>, w razie potrzeby, leków przyjętych przez pacjenta przed przyjęciem na oddział i leków przyjmowanych samodzielnie, zapewniając dostosowaną widoczność w oparciu o preferencje użytkownika i wymagania kliniczne.</w:t>
            </w:r>
          </w:p>
        </w:tc>
        <w:tc>
          <w:tcPr>
            <w:tcW w:w="1133" w:type="dxa"/>
            <w:tcBorders>
              <w:top w:val="nil"/>
              <w:left w:val="nil"/>
              <w:bottom w:val="single" w:sz="4" w:space="0" w:color="auto"/>
              <w:right w:val="single" w:sz="4" w:space="0" w:color="auto"/>
            </w:tcBorders>
            <w:shd w:val="clear" w:color="auto" w:fill="auto"/>
            <w:vAlign w:val="center"/>
            <w:hideMark/>
          </w:tcPr>
          <w:p w14:paraId="1F2D9CF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3ECACF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4AF3030"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7F0FB4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3.43</w:t>
            </w:r>
          </w:p>
        </w:tc>
        <w:tc>
          <w:tcPr>
            <w:tcW w:w="5514" w:type="dxa"/>
            <w:tcBorders>
              <w:top w:val="nil"/>
              <w:left w:val="nil"/>
              <w:bottom w:val="single" w:sz="4" w:space="0" w:color="auto"/>
              <w:right w:val="single" w:sz="4" w:space="0" w:color="auto"/>
            </w:tcBorders>
            <w:shd w:val="clear" w:color="auto" w:fill="auto"/>
            <w:vAlign w:val="center"/>
            <w:hideMark/>
          </w:tcPr>
          <w:p w14:paraId="32E5600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sortowanie leków alfabetycznie i według czasu rozpoczęcia podania.</w:t>
            </w:r>
          </w:p>
        </w:tc>
        <w:tc>
          <w:tcPr>
            <w:tcW w:w="1133" w:type="dxa"/>
            <w:tcBorders>
              <w:top w:val="nil"/>
              <w:left w:val="nil"/>
              <w:bottom w:val="single" w:sz="4" w:space="0" w:color="auto"/>
              <w:right w:val="single" w:sz="4" w:space="0" w:color="auto"/>
            </w:tcBorders>
            <w:shd w:val="clear" w:color="auto" w:fill="auto"/>
            <w:vAlign w:val="center"/>
            <w:hideMark/>
          </w:tcPr>
          <w:p w14:paraId="24A11EE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42BF05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895DE2E"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FD8765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3.44</w:t>
            </w:r>
          </w:p>
        </w:tc>
        <w:tc>
          <w:tcPr>
            <w:tcW w:w="5514" w:type="dxa"/>
            <w:tcBorders>
              <w:top w:val="nil"/>
              <w:left w:val="nil"/>
              <w:bottom w:val="single" w:sz="4" w:space="0" w:color="auto"/>
              <w:right w:val="single" w:sz="4" w:space="0" w:color="auto"/>
            </w:tcBorders>
            <w:shd w:val="clear" w:color="auto" w:fill="auto"/>
            <w:vAlign w:val="center"/>
            <w:hideMark/>
          </w:tcPr>
          <w:p w14:paraId="6E406CF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użytkownikom możliwość dostosowywania grupowania, filtrowania i sortowania widoków zarówno z wyprzedzeniem, jak i podczas pracy z systemem.</w:t>
            </w:r>
          </w:p>
        </w:tc>
        <w:tc>
          <w:tcPr>
            <w:tcW w:w="1133" w:type="dxa"/>
            <w:tcBorders>
              <w:top w:val="nil"/>
              <w:left w:val="nil"/>
              <w:bottom w:val="single" w:sz="4" w:space="0" w:color="auto"/>
              <w:right w:val="single" w:sz="4" w:space="0" w:color="auto"/>
            </w:tcBorders>
            <w:shd w:val="clear" w:color="auto" w:fill="auto"/>
            <w:vAlign w:val="center"/>
            <w:hideMark/>
          </w:tcPr>
          <w:p w14:paraId="38A275D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B8F6EA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3D375AD"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087963C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33F68830"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Alergie i nietolerancje</w:t>
            </w:r>
          </w:p>
        </w:tc>
      </w:tr>
      <w:tr w:rsidR="00CB3017" w:rsidRPr="00F8703A" w14:paraId="6ED02EB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256385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w:t>
            </w:r>
          </w:p>
        </w:tc>
        <w:tc>
          <w:tcPr>
            <w:tcW w:w="5514" w:type="dxa"/>
            <w:tcBorders>
              <w:top w:val="nil"/>
              <w:left w:val="nil"/>
              <w:bottom w:val="single" w:sz="4" w:space="0" w:color="auto"/>
              <w:right w:val="single" w:sz="4" w:space="0" w:color="auto"/>
            </w:tcBorders>
            <w:shd w:val="clear" w:color="auto" w:fill="auto"/>
            <w:vAlign w:val="center"/>
            <w:hideMark/>
          </w:tcPr>
          <w:p w14:paraId="30BBB71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funkcję rejestrowania alergii i nietolerancji pacjentów, w tym na leki i produkty spożywcze.</w:t>
            </w:r>
          </w:p>
        </w:tc>
        <w:tc>
          <w:tcPr>
            <w:tcW w:w="1133" w:type="dxa"/>
            <w:tcBorders>
              <w:top w:val="nil"/>
              <w:left w:val="nil"/>
              <w:bottom w:val="single" w:sz="4" w:space="0" w:color="auto"/>
              <w:right w:val="single" w:sz="4" w:space="0" w:color="auto"/>
            </w:tcBorders>
            <w:shd w:val="clear" w:color="auto" w:fill="auto"/>
            <w:vAlign w:val="center"/>
            <w:hideMark/>
          </w:tcPr>
          <w:p w14:paraId="2C6CFA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BD1E87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EEB1718"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39DFF4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4.2</w:t>
            </w:r>
          </w:p>
        </w:tc>
        <w:tc>
          <w:tcPr>
            <w:tcW w:w="5514" w:type="dxa"/>
            <w:tcBorders>
              <w:top w:val="nil"/>
              <w:left w:val="nil"/>
              <w:bottom w:val="single" w:sz="4" w:space="0" w:color="auto"/>
              <w:right w:val="single" w:sz="4" w:space="0" w:color="auto"/>
            </w:tcBorders>
            <w:shd w:val="clear" w:color="auto" w:fill="auto"/>
            <w:vAlign w:val="center"/>
            <w:hideMark/>
          </w:tcPr>
          <w:p w14:paraId="1F56E89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personelowi medycznemu dokumentowanie indywidualnych reakcji na alergeny, określając poziom nasilenia i odpowiadający mu poziom alarmowy.</w:t>
            </w:r>
          </w:p>
        </w:tc>
        <w:tc>
          <w:tcPr>
            <w:tcW w:w="1133" w:type="dxa"/>
            <w:tcBorders>
              <w:top w:val="nil"/>
              <w:left w:val="nil"/>
              <w:bottom w:val="single" w:sz="4" w:space="0" w:color="auto"/>
              <w:right w:val="single" w:sz="4" w:space="0" w:color="auto"/>
            </w:tcBorders>
            <w:shd w:val="clear" w:color="auto" w:fill="auto"/>
            <w:vAlign w:val="center"/>
            <w:hideMark/>
          </w:tcPr>
          <w:p w14:paraId="6425994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1755FD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ACE5D7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BE1D8F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4.3</w:t>
            </w:r>
          </w:p>
        </w:tc>
        <w:tc>
          <w:tcPr>
            <w:tcW w:w="5514" w:type="dxa"/>
            <w:tcBorders>
              <w:top w:val="nil"/>
              <w:left w:val="nil"/>
              <w:bottom w:val="single" w:sz="4" w:space="0" w:color="auto"/>
              <w:right w:val="single" w:sz="4" w:space="0" w:color="auto"/>
            </w:tcBorders>
            <w:shd w:val="clear" w:color="auto" w:fill="auto"/>
            <w:vAlign w:val="center"/>
            <w:hideMark/>
          </w:tcPr>
          <w:p w14:paraId="224CA4F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wyświetla informację o alergiach widoczną na ekranie głównym Oprogramowania wraz z podstawowymi danymi pacjenta.</w:t>
            </w:r>
          </w:p>
        </w:tc>
        <w:tc>
          <w:tcPr>
            <w:tcW w:w="1133" w:type="dxa"/>
            <w:tcBorders>
              <w:top w:val="nil"/>
              <w:left w:val="nil"/>
              <w:bottom w:val="single" w:sz="4" w:space="0" w:color="auto"/>
              <w:right w:val="single" w:sz="4" w:space="0" w:color="auto"/>
            </w:tcBorders>
            <w:shd w:val="clear" w:color="auto" w:fill="auto"/>
            <w:vAlign w:val="center"/>
            <w:hideMark/>
          </w:tcPr>
          <w:p w14:paraId="716164A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06055F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63EE36D"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9E4605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4.4</w:t>
            </w:r>
          </w:p>
        </w:tc>
        <w:tc>
          <w:tcPr>
            <w:tcW w:w="5514" w:type="dxa"/>
            <w:tcBorders>
              <w:top w:val="nil"/>
              <w:left w:val="nil"/>
              <w:bottom w:val="single" w:sz="4" w:space="0" w:color="auto"/>
              <w:right w:val="single" w:sz="4" w:space="0" w:color="auto"/>
            </w:tcBorders>
            <w:shd w:val="clear" w:color="auto" w:fill="auto"/>
            <w:vAlign w:val="center"/>
            <w:hideMark/>
          </w:tcPr>
          <w:p w14:paraId="794FE53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dodawania notatek w oknie alergii.</w:t>
            </w:r>
          </w:p>
        </w:tc>
        <w:tc>
          <w:tcPr>
            <w:tcW w:w="1133" w:type="dxa"/>
            <w:tcBorders>
              <w:top w:val="nil"/>
              <w:left w:val="nil"/>
              <w:bottom w:val="single" w:sz="4" w:space="0" w:color="auto"/>
              <w:right w:val="single" w:sz="4" w:space="0" w:color="auto"/>
            </w:tcBorders>
            <w:shd w:val="clear" w:color="auto" w:fill="auto"/>
            <w:vAlign w:val="center"/>
            <w:hideMark/>
          </w:tcPr>
          <w:p w14:paraId="0918FDA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EC853A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B1452A2"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5A77C5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4.5</w:t>
            </w:r>
          </w:p>
        </w:tc>
        <w:tc>
          <w:tcPr>
            <w:tcW w:w="5514" w:type="dxa"/>
            <w:tcBorders>
              <w:top w:val="nil"/>
              <w:left w:val="nil"/>
              <w:bottom w:val="single" w:sz="4" w:space="0" w:color="auto"/>
              <w:right w:val="single" w:sz="4" w:space="0" w:color="auto"/>
            </w:tcBorders>
            <w:shd w:val="clear" w:color="auto" w:fill="auto"/>
            <w:vAlign w:val="center"/>
            <w:hideMark/>
          </w:tcPr>
          <w:p w14:paraId="7559710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funkcję umożliwiającą przeprowadzanie kontroli przeciwwskazań do zastosowania leku przy danej alergii, ze szczególnym uwzględnieniem bezpośrednich reakcji.</w:t>
            </w:r>
          </w:p>
        </w:tc>
        <w:tc>
          <w:tcPr>
            <w:tcW w:w="1133" w:type="dxa"/>
            <w:tcBorders>
              <w:top w:val="nil"/>
              <w:left w:val="nil"/>
              <w:bottom w:val="single" w:sz="4" w:space="0" w:color="auto"/>
              <w:right w:val="single" w:sz="4" w:space="0" w:color="auto"/>
            </w:tcBorders>
            <w:shd w:val="clear" w:color="auto" w:fill="auto"/>
            <w:vAlign w:val="center"/>
            <w:hideMark/>
          </w:tcPr>
          <w:p w14:paraId="0352744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D42E9E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9FC839F"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5B2EA2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4.6</w:t>
            </w:r>
          </w:p>
        </w:tc>
        <w:tc>
          <w:tcPr>
            <w:tcW w:w="5514" w:type="dxa"/>
            <w:tcBorders>
              <w:top w:val="nil"/>
              <w:left w:val="nil"/>
              <w:bottom w:val="single" w:sz="4" w:space="0" w:color="auto"/>
              <w:right w:val="single" w:sz="4" w:space="0" w:color="auto"/>
            </w:tcBorders>
            <w:shd w:val="clear" w:color="auto" w:fill="auto"/>
            <w:vAlign w:val="center"/>
            <w:hideMark/>
          </w:tcPr>
          <w:p w14:paraId="2BCDDED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wysoki poziom elastyczności konfiguracji w generowaniu alertów związanych z alergiami, nietolerancjami i przeciwwskazaniami, zapewniając możliwość dostosowania do różnych scenariuszy klinicznych i preferencji użytkownika.</w:t>
            </w:r>
          </w:p>
        </w:tc>
        <w:tc>
          <w:tcPr>
            <w:tcW w:w="1133" w:type="dxa"/>
            <w:tcBorders>
              <w:top w:val="nil"/>
              <w:left w:val="nil"/>
              <w:bottom w:val="single" w:sz="4" w:space="0" w:color="auto"/>
              <w:right w:val="single" w:sz="4" w:space="0" w:color="auto"/>
            </w:tcBorders>
            <w:shd w:val="clear" w:color="auto" w:fill="auto"/>
            <w:vAlign w:val="center"/>
            <w:hideMark/>
          </w:tcPr>
          <w:p w14:paraId="13EBB86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50EF5E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C8E1E0A" w14:textId="77777777" w:rsidTr="00FD23DE">
        <w:trPr>
          <w:trHeight w:val="211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752496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4.7</w:t>
            </w:r>
          </w:p>
        </w:tc>
        <w:tc>
          <w:tcPr>
            <w:tcW w:w="5514" w:type="dxa"/>
            <w:tcBorders>
              <w:top w:val="nil"/>
              <w:left w:val="nil"/>
              <w:bottom w:val="single" w:sz="4" w:space="0" w:color="auto"/>
              <w:right w:val="single" w:sz="4" w:space="0" w:color="auto"/>
            </w:tcBorders>
            <w:shd w:val="clear" w:color="auto" w:fill="auto"/>
            <w:vAlign w:val="center"/>
            <w:hideMark/>
          </w:tcPr>
          <w:p w14:paraId="1AD6915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kontrolę reakcji krzyżowych między zleceniem a alergią, w tym:</w:t>
            </w:r>
            <w:r w:rsidRPr="00CF3752">
              <w:rPr>
                <w:rFonts w:eastAsia="Times New Roman" w:cstheme="minorHAnsi"/>
                <w:lang w:eastAsia="pl-PL"/>
              </w:rPr>
              <w:br/>
              <w:t>·        Ocena reakcji krzyżowych między rodzinami leków.</w:t>
            </w:r>
            <w:r w:rsidRPr="00CF3752">
              <w:rPr>
                <w:rFonts w:eastAsia="Times New Roman" w:cstheme="minorHAnsi"/>
                <w:lang w:eastAsia="pl-PL"/>
              </w:rPr>
              <w:br/>
              <w:t>·        Ocena reakcji krzyżowych między lekami w ramach tej samej podrodziny leków i w różnych podrodzinach w tej samej rodzinie leków.</w:t>
            </w:r>
            <w:r w:rsidRPr="00CF3752">
              <w:rPr>
                <w:rFonts w:eastAsia="Times New Roman" w:cstheme="minorHAnsi"/>
                <w:lang w:eastAsia="pl-PL"/>
              </w:rPr>
              <w:br/>
              <w:t xml:space="preserve">·        Ocena reakcji krzyżowych między produktami </w:t>
            </w:r>
            <w:proofErr w:type="spellStart"/>
            <w:r w:rsidRPr="00CF3752">
              <w:rPr>
                <w:rFonts w:eastAsia="Times New Roman" w:cstheme="minorHAnsi"/>
                <w:lang w:eastAsia="pl-PL"/>
              </w:rPr>
              <w:t>nielekowymi</w:t>
            </w:r>
            <w:proofErr w:type="spellEnd"/>
            <w:r w:rsidRPr="00CF3752">
              <w:rPr>
                <w:rFonts w:eastAsia="Times New Roman" w:cstheme="minorHAnsi"/>
                <w:lang w:eastAsia="pl-PL"/>
              </w:rPr>
              <w:t xml:space="preserve"> a składnikami, które wchodzą w reakcję krzyżową (np. jaja i szczepionka przeciw grypie).</w:t>
            </w:r>
          </w:p>
        </w:tc>
        <w:tc>
          <w:tcPr>
            <w:tcW w:w="1133" w:type="dxa"/>
            <w:tcBorders>
              <w:top w:val="nil"/>
              <w:left w:val="nil"/>
              <w:bottom w:val="single" w:sz="4" w:space="0" w:color="auto"/>
              <w:right w:val="single" w:sz="4" w:space="0" w:color="auto"/>
            </w:tcBorders>
            <w:shd w:val="clear" w:color="auto" w:fill="auto"/>
            <w:vAlign w:val="center"/>
            <w:hideMark/>
          </w:tcPr>
          <w:p w14:paraId="349294C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7662EF9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B29B1F6"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32349A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4.8</w:t>
            </w:r>
          </w:p>
        </w:tc>
        <w:tc>
          <w:tcPr>
            <w:tcW w:w="5514" w:type="dxa"/>
            <w:tcBorders>
              <w:top w:val="nil"/>
              <w:left w:val="nil"/>
              <w:bottom w:val="single" w:sz="4" w:space="0" w:color="auto"/>
              <w:right w:val="single" w:sz="4" w:space="0" w:color="auto"/>
            </w:tcBorders>
            <w:shd w:val="clear" w:color="auto" w:fill="auto"/>
            <w:vAlign w:val="center"/>
            <w:hideMark/>
          </w:tcPr>
          <w:p w14:paraId="7BCDC50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uruchamia kontrole przeciwwskazań do przyjmowania leków i substancji z uwagi na alergie w oparciu o określone działania użytkownika i systemu. Ta kontrola określi, czy jakikolwiek lek, roztwór, dodatek i składnik w zleceniach bezpośrednio lub krzyżowo reaguje z nowymi i zaktualizowanymi alergiami pacjenta.</w:t>
            </w:r>
          </w:p>
        </w:tc>
        <w:tc>
          <w:tcPr>
            <w:tcW w:w="1133" w:type="dxa"/>
            <w:tcBorders>
              <w:top w:val="nil"/>
              <w:left w:val="nil"/>
              <w:bottom w:val="single" w:sz="4" w:space="0" w:color="auto"/>
              <w:right w:val="single" w:sz="4" w:space="0" w:color="auto"/>
            </w:tcBorders>
            <w:shd w:val="clear" w:color="auto" w:fill="auto"/>
            <w:vAlign w:val="center"/>
            <w:hideMark/>
          </w:tcPr>
          <w:p w14:paraId="200CF90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CB9B38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3EA8B1D"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99D1BB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4.9</w:t>
            </w:r>
          </w:p>
        </w:tc>
        <w:tc>
          <w:tcPr>
            <w:tcW w:w="5514" w:type="dxa"/>
            <w:tcBorders>
              <w:top w:val="nil"/>
              <w:left w:val="nil"/>
              <w:bottom w:val="single" w:sz="4" w:space="0" w:color="auto"/>
              <w:right w:val="single" w:sz="4" w:space="0" w:color="auto"/>
            </w:tcBorders>
            <w:shd w:val="clear" w:color="auto" w:fill="auto"/>
            <w:vAlign w:val="center"/>
            <w:hideMark/>
          </w:tcPr>
          <w:p w14:paraId="5B3DCE6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Kontrole alergii i nietolerancji przeprowadzane są pod kątem min.:</w:t>
            </w:r>
            <w:r w:rsidRPr="00CF3752">
              <w:rPr>
                <w:rFonts w:eastAsia="Times New Roman" w:cstheme="minorHAnsi"/>
                <w:lang w:eastAsia="pl-PL"/>
              </w:rPr>
              <w:br/>
              <w:t>·        Aktywnych zleceń pacjenta i planowanych dawek (plan leczenia).</w:t>
            </w:r>
            <w:r w:rsidRPr="00CF3752">
              <w:rPr>
                <w:rFonts w:eastAsia="Times New Roman" w:cstheme="minorHAnsi"/>
                <w:lang w:eastAsia="pl-PL"/>
              </w:rPr>
              <w:br/>
              <w:t>·        Dawek, które zostały podane w określonym czasie.</w:t>
            </w:r>
            <w:r w:rsidRPr="00CF3752">
              <w:rPr>
                <w:rFonts w:eastAsia="Times New Roman" w:cstheme="minorHAnsi"/>
                <w:lang w:eastAsia="pl-PL"/>
              </w:rPr>
              <w:br/>
              <w:t>·        Wlewów, które były i są obecnie podawane pacjentowi i które są importowane do nowego oddziału (w przypadku transportu pacjent)</w:t>
            </w:r>
            <w:r w:rsidRPr="00CF3752">
              <w:rPr>
                <w:rFonts w:eastAsia="Times New Roman" w:cstheme="minorHAnsi"/>
                <w:lang w:eastAsia="pl-PL"/>
              </w:rPr>
              <w:br/>
              <w:t>·        Pojedynczych nowych planów zleceń.</w:t>
            </w:r>
            <w:r w:rsidRPr="00CF3752">
              <w:rPr>
                <w:rFonts w:eastAsia="Times New Roman" w:cstheme="minorHAnsi"/>
                <w:lang w:eastAsia="pl-PL"/>
              </w:rPr>
              <w:br/>
              <w:t>·        Pojedynczych nowych dawek.</w:t>
            </w:r>
          </w:p>
        </w:tc>
        <w:tc>
          <w:tcPr>
            <w:tcW w:w="1133" w:type="dxa"/>
            <w:tcBorders>
              <w:top w:val="nil"/>
              <w:left w:val="nil"/>
              <w:bottom w:val="single" w:sz="4" w:space="0" w:color="auto"/>
              <w:right w:val="single" w:sz="4" w:space="0" w:color="auto"/>
            </w:tcBorders>
            <w:shd w:val="clear" w:color="auto" w:fill="auto"/>
            <w:vAlign w:val="center"/>
            <w:hideMark/>
          </w:tcPr>
          <w:p w14:paraId="6D23BD0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0F17823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9ABD08B"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7E78DE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4.10</w:t>
            </w:r>
          </w:p>
        </w:tc>
        <w:tc>
          <w:tcPr>
            <w:tcW w:w="5514" w:type="dxa"/>
            <w:tcBorders>
              <w:top w:val="nil"/>
              <w:left w:val="nil"/>
              <w:bottom w:val="single" w:sz="4" w:space="0" w:color="auto"/>
              <w:right w:val="single" w:sz="4" w:space="0" w:color="auto"/>
            </w:tcBorders>
            <w:shd w:val="clear" w:color="auto" w:fill="auto"/>
            <w:vAlign w:val="center"/>
            <w:hideMark/>
          </w:tcPr>
          <w:p w14:paraId="793CDEB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konfigurację działań, które uruchamiają kontrolę alergii i nietolerancji, w tym min.:</w:t>
            </w:r>
          </w:p>
        </w:tc>
        <w:tc>
          <w:tcPr>
            <w:tcW w:w="1133" w:type="dxa"/>
            <w:tcBorders>
              <w:top w:val="nil"/>
              <w:left w:val="nil"/>
              <w:bottom w:val="single" w:sz="4" w:space="0" w:color="auto"/>
              <w:right w:val="single" w:sz="4" w:space="0" w:color="auto"/>
            </w:tcBorders>
            <w:shd w:val="clear" w:color="auto" w:fill="auto"/>
            <w:vAlign w:val="center"/>
            <w:hideMark/>
          </w:tcPr>
          <w:p w14:paraId="2F390AF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A66829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19423D6"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F6C0C2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4.10.1</w:t>
            </w:r>
          </w:p>
        </w:tc>
        <w:tc>
          <w:tcPr>
            <w:tcW w:w="5514" w:type="dxa"/>
            <w:tcBorders>
              <w:top w:val="nil"/>
              <w:left w:val="nil"/>
              <w:bottom w:val="single" w:sz="4" w:space="0" w:color="auto"/>
              <w:right w:val="single" w:sz="4" w:space="0" w:color="auto"/>
            </w:tcBorders>
            <w:shd w:val="clear" w:color="auto" w:fill="auto"/>
            <w:vAlign w:val="center"/>
            <w:hideMark/>
          </w:tcPr>
          <w:p w14:paraId="0F1A519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Uruchamia się po zaplanowaniu nowego leczenia (zlecenie i dawka).</w:t>
            </w:r>
          </w:p>
        </w:tc>
        <w:tc>
          <w:tcPr>
            <w:tcW w:w="1133" w:type="dxa"/>
            <w:tcBorders>
              <w:top w:val="nil"/>
              <w:left w:val="nil"/>
              <w:bottom w:val="single" w:sz="4" w:space="0" w:color="auto"/>
              <w:right w:val="single" w:sz="4" w:space="0" w:color="auto"/>
            </w:tcBorders>
            <w:shd w:val="clear" w:color="auto" w:fill="auto"/>
            <w:vAlign w:val="center"/>
            <w:hideMark/>
          </w:tcPr>
          <w:p w14:paraId="7FB7D9A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B25BB6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5F0423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B2F770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4.10.2</w:t>
            </w:r>
          </w:p>
        </w:tc>
        <w:tc>
          <w:tcPr>
            <w:tcW w:w="5514" w:type="dxa"/>
            <w:tcBorders>
              <w:top w:val="nil"/>
              <w:left w:val="nil"/>
              <w:bottom w:val="single" w:sz="4" w:space="0" w:color="auto"/>
              <w:right w:val="single" w:sz="4" w:space="0" w:color="auto"/>
            </w:tcBorders>
            <w:shd w:val="clear" w:color="auto" w:fill="auto"/>
            <w:vAlign w:val="center"/>
            <w:hideMark/>
          </w:tcPr>
          <w:p w14:paraId="56F6EAF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Uruchamia kontrolę za każdym razem, gdy alergie i nietolerancje pacjenta są aktualizowane/modyfikowane.</w:t>
            </w:r>
          </w:p>
        </w:tc>
        <w:tc>
          <w:tcPr>
            <w:tcW w:w="1133" w:type="dxa"/>
            <w:tcBorders>
              <w:top w:val="nil"/>
              <w:left w:val="nil"/>
              <w:bottom w:val="single" w:sz="4" w:space="0" w:color="auto"/>
              <w:right w:val="single" w:sz="4" w:space="0" w:color="auto"/>
            </w:tcBorders>
            <w:shd w:val="clear" w:color="auto" w:fill="auto"/>
            <w:vAlign w:val="center"/>
            <w:hideMark/>
          </w:tcPr>
          <w:p w14:paraId="599FEDE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77606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894EED6"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D29EE7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4.10.3</w:t>
            </w:r>
          </w:p>
        </w:tc>
        <w:tc>
          <w:tcPr>
            <w:tcW w:w="5514" w:type="dxa"/>
            <w:tcBorders>
              <w:top w:val="nil"/>
              <w:left w:val="nil"/>
              <w:bottom w:val="single" w:sz="4" w:space="0" w:color="auto"/>
              <w:right w:val="single" w:sz="4" w:space="0" w:color="auto"/>
            </w:tcBorders>
            <w:shd w:val="clear" w:color="auto" w:fill="auto"/>
            <w:vAlign w:val="center"/>
            <w:hideMark/>
          </w:tcPr>
          <w:p w14:paraId="2CAEDA1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Uruchamia kontrolę, gdy zmieni się status pacjenta.</w:t>
            </w:r>
          </w:p>
        </w:tc>
        <w:tc>
          <w:tcPr>
            <w:tcW w:w="1133" w:type="dxa"/>
            <w:tcBorders>
              <w:top w:val="nil"/>
              <w:left w:val="nil"/>
              <w:bottom w:val="single" w:sz="4" w:space="0" w:color="auto"/>
              <w:right w:val="single" w:sz="4" w:space="0" w:color="auto"/>
            </w:tcBorders>
            <w:shd w:val="clear" w:color="auto" w:fill="auto"/>
            <w:vAlign w:val="center"/>
            <w:hideMark/>
          </w:tcPr>
          <w:p w14:paraId="4AF1BCC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6E349D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4D1FC4C"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49B5BE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4.10.4</w:t>
            </w:r>
          </w:p>
        </w:tc>
        <w:tc>
          <w:tcPr>
            <w:tcW w:w="5514" w:type="dxa"/>
            <w:tcBorders>
              <w:top w:val="nil"/>
              <w:left w:val="nil"/>
              <w:bottom w:val="single" w:sz="4" w:space="0" w:color="auto"/>
              <w:right w:val="single" w:sz="4" w:space="0" w:color="auto"/>
            </w:tcBorders>
            <w:shd w:val="clear" w:color="auto" w:fill="auto"/>
            <w:vAlign w:val="center"/>
            <w:hideMark/>
          </w:tcPr>
          <w:p w14:paraId="2720ECA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Uruchamia się po wyświetleniu monitu użytkownika.</w:t>
            </w:r>
          </w:p>
        </w:tc>
        <w:tc>
          <w:tcPr>
            <w:tcW w:w="1133" w:type="dxa"/>
            <w:tcBorders>
              <w:top w:val="nil"/>
              <w:left w:val="nil"/>
              <w:bottom w:val="single" w:sz="4" w:space="0" w:color="auto"/>
              <w:right w:val="single" w:sz="4" w:space="0" w:color="auto"/>
            </w:tcBorders>
            <w:shd w:val="clear" w:color="auto" w:fill="auto"/>
            <w:vAlign w:val="center"/>
            <w:hideMark/>
          </w:tcPr>
          <w:p w14:paraId="3522BC2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099BC1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F6C5EB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6C8DB0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4.10.5</w:t>
            </w:r>
          </w:p>
        </w:tc>
        <w:tc>
          <w:tcPr>
            <w:tcW w:w="5514" w:type="dxa"/>
            <w:tcBorders>
              <w:top w:val="nil"/>
              <w:left w:val="nil"/>
              <w:bottom w:val="single" w:sz="4" w:space="0" w:color="auto"/>
              <w:right w:val="single" w:sz="4" w:space="0" w:color="auto"/>
            </w:tcBorders>
            <w:shd w:val="clear" w:color="auto" w:fill="auto"/>
            <w:vAlign w:val="center"/>
            <w:hideMark/>
          </w:tcPr>
          <w:p w14:paraId="5288943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Uruchamia kontrolę bieżących dawek dla pacjenta przyjmowanego na inny oddział.</w:t>
            </w:r>
          </w:p>
        </w:tc>
        <w:tc>
          <w:tcPr>
            <w:tcW w:w="1133" w:type="dxa"/>
            <w:tcBorders>
              <w:top w:val="nil"/>
              <w:left w:val="nil"/>
              <w:bottom w:val="single" w:sz="4" w:space="0" w:color="auto"/>
              <w:right w:val="single" w:sz="4" w:space="0" w:color="auto"/>
            </w:tcBorders>
            <w:shd w:val="clear" w:color="auto" w:fill="auto"/>
            <w:vAlign w:val="center"/>
            <w:hideMark/>
          </w:tcPr>
          <w:p w14:paraId="5CAA93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6DE764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DC0E05A"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B7A023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4.10.6</w:t>
            </w:r>
          </w:p>
        </w:tc>
        <w:tc>
          <w:tcPr>
            <w:tcW w:w="5514" w:type="dxa"/>
            <w:tcBorders>
              <w:top w:val="nil"/>
              <w:left w:val="nil"/>
              <w:bottom w:val="single" w:sz="4" w:space="0" w:color="auto"/>
              <w:right w:val="single" w:sz="4" w:space="0" w:color="auto"/>
            </w:tcBorders>
            <w:shd w:val="clear" w:color="auto" w:fill="auto"/>
            <w:vAlign w:val="center"/>
            <w:hideMark/>
          </w:tcPr>
          <w:p w14:paraId="02B40EA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Uruchamia kontrolę planu leczenia po zaimportowaniu powiadomień o alergii dla pacjenta przyjmowanego na inny oddział.</w:t>
            </w:r>
          </w:p>
        </w:tc>
        <w:tc>
          <w:tcPr>
            <w:tcW w:w="1133" w:type="dxa"/>
            <w:tcBorders>
              <w:top w:val="nil"/>
              <w:left w:val="nil"/>
              <w:bottom w:val="single" w:sz="4" w:space="0" w:color="auto"/>
              <w:right w:val="single" w:sz="4" w:space="0" w:color="auto"/>
            </w:tcBorders>
            <w:shd w:val="clear" w:color="auto" w:fill="auto"/>
            <w:vAlign w:val="center"/>
            <w:hideMark/>
          </w:tcPr>
          <w:p w14:paraId="50A34DF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3F233F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378099C"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B6BB11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4.11</w:t>
            </w:r>
          </w:p>
        </w:tc>
        <w:tc>
          <w:tcPr>
            <w:tcW w:w="5514" w:type="dxa"/>
            <w:tcBorders>
              <w:top w:val="nil"/>
              <w:left w:val="nil"/>
              <w:bottom w:val="single" w:sz="4" w:space="0" w:color="auto"/>
              <w:right w:val="single" w:sz="4" w:space="0" w:color="auto"/>
            </w:tcBorders>
            <w:shd w:val="clear" w:color="auto" w:fill="auto"/>
            <w:vAlign w:val="center"/>
            <w:hideMark/>
          </w:tcPr>
          <w:p w14:paraId="3D74A0E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ostrzeże użytkownika, jeśli kontrola alergii jest pozytywna. Zasady ostrzegania można ustawić zgodnie z poziomem ważności reakcji, m.in. zabronienie zlecenia leku, wymóg ponownego wprowadzenia hasła, wymóg wspólnego podpisu, wymóg uzasadnienia wprowadzenia zlecenia pomimo alergii, wymóg potwierdzenia, zezwolenie na akcję, zignorowanie ostrzeżenia.</w:t>
            </w:r>
          </w:p>
        </w:tc>
        <w:tc>
          <w:tcPr>
            <w:tcW w:w="1133" w:type="dxa"/>
            <w:tcBorders>
              <w:top w:val="nil"/>
              <w:left w:val="nil"/>
              <w:bottom w:val="single" w:sz="4" w:space="0" w:color="auto"/>
              <w:right w:val="single" w:sz="4" w:space="0" w:color="auto"/>
            </w:tcBorders>
            <w:shd w:val="clear" w:color="auto" w:fill="auto"/>
            <w:vAlign w:val="center"/>
            <w:hideMark/>
          </w:tcPr>
          <w:p w14:paraId="3E4CD16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240AF5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0D7EDE"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F1579A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4.12</w:t>
            </w:r>
          </w:p>
        </w:tc>
        <w:tc>
          <w:tcPr>
            <w:tcW w:w="5514" w:type="dxa"/>
            <w:tcBorders>
              <w:top w:val="nil"/>
              <w:left w:val="nil"/>
              <w:bottom w:val="single" w:sz="4" w:space="0" w:color="auto"/>
              <w:right w:val="single" w:sz="4" w:space="0" w:color="auto"/>
            </w:tcBorders>
            <w:shd w:val="clear" w:color="auto" w:fill="auto"/>
            <w:vAlign w:val="center"/>
            <w:hideMark/>
          </w:tcPr>
          <w:p w14:paraId="35E9605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konfigurację okresu czasu, po którym powtarzające się alerty zostaną wstrzymane.</w:t>
            </w:r>
          </w:p>
        </w:tc>
        <w:tc>
          <w:tcPr>
            <w:tcW w:w="1133" w:type="dxa"/>
            <w:tcBorders>
              <w:top w:val="nil"/>
              <w:left w:val="nil"/>
              <w:bottom w:val="single" w:sz="4" w:space="0" w:color="auto"/>
              <w:right w:val="single" w:sz="4" w:space="0" w:color="auto"/>
            </w:tcBorders>
            <w:shd w:val="clear" w:color="auto" w:fill="auto"/>
            <w:vAlign w:val="center"/>
            <w:hideMark/>
          </w:tcPr>
          <w:p w14:paraId="55221E4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8EFA15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8855C53"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CC8D29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4.13</w:t>
            </w:r>
          </w:p>
        </w:tc>
        <w:tc>
          <w:tcPr>
            <w:tcW w:w="5514" w:type="dxa"/>
            <w:tcBorders>
              <w:top w:val="nil"/>
              <w:left w:val="nil"/>
              <w:bottom w:val="single" w:sz="4" w:space="0" w:color="auto"/>
              <w:right w:val="single" w:sz="4" w:space="0" w:color="auto"/>
            </w:tcBorders>
            <w:shd w:val="clear" w:color="auto" w:fill="auto"/>
            <w:vAlign w:val="center"/>
            <w:hideMark/>
          </w:tcPr>
          <w:p w14:paraId="6F435FF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konfigurację określonych działań, związanych ze zleceniami i podażą, które uruchomią kontrolę alergii.</w:t>
            </w:r>
          </w:p>
        </w:tc>
        <w:tc>
          <w:tcPr>
            <w:tcW w:w="1133" w:type="dxa"/>
            <w:tcBorders>
              <w:top w:val="nil"/>
              <w:left w:val="nil"/>
              <w:bottom w:val="single" w:sz="4" w:space="0" w:color="auto"/>
              <w:right w:val="single" w:sz="4" w:space="0" w:color="auto"/>
            </w:tcBorders>
            <w:shd w:val="clear" w:color="auto" w:fill="auto"/>
            <w:vAlign w:val="center"/>
            <w:hideMark/>
          </w:tcPr>
          <w:p w14:paraId="06C6603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366598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3F28509"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F338C2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4.14</w:t>
            </w:r>
          </w:p>
        </w:tc>
        <w:tc>
          <w:tcPr>
            <w:tcW w:w="5514" w:type="dxa"/>
            <w:tcBorders>
              <w:top w:val="nil"/>
              <w:left w:val="nil"/>
              <w:bottom w:val="single" w:sz="4" w:space="0" w:color="auto"/>
              <w:right w:val="single" w:sz="4" w:space="0" w:color="auto"/>
            </w:tcBorders>
            <w:shd w:val="clear" w:color="auto" w:fill="auto"/>
            <w:vAlign w:val="center"/>
            <w:hideMark/>
          </w:tcPr>
          <w:p w14:paraId="7795AB1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umożliwia konfigurację zasad kontroli </w:t>
            </w:r>
            <w:r w:rsidRPr="00F8703A">
              <w:rPr>
                <w:rFonts w:eastAsia="Times New Roman" w:cstheme="minorHAnsi"/>
                <w:lang w:eastAsia="pl-PL"/>
              </w:rPr>
              <w:t>alergii</w:t>
            </w:r>
            <w:r w:rsidRPr="00CF3752">
              <w:rPr>
                <w:rFonts w:eastAsia="Times New Roman" w:cstheme="minorHAnsi"/>
                <w:lang w:eastAsia="pl-PL"/>
              </w:rPr>
              <w:t xml:space="preserve"> oddzielnie dla każdego z oddziałów.</w:t>
            </w:r>
          </w:p>
        </w:tc>
        <w:tc>
          <w:tcPr>
            <w:tcW w:w="1133" w:type="dxa"/>
            <w:tcBorders>
              <w:top w:val="nil"/>
              <w:left w:val="nil"/>
              <w:bottom w:val="single" w:sz="4" w:space="0" w:color="auto"/>
              <w:right w:val="single" w:sz="4" w:space="0" w:color="auto"/>
            </w:tcBorders>
            <w:shd w:val="clear" w:color="auto" w:fill="auto"/>
            <w:vAlign w:val="center"/>
            <w:hideMark/>
          </w:tcPr>
          <w:p w14:paraId="43D2285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061687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15BF50"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9E68D6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4.15</w:t>
            </w:r>
          </w:p>
        </w:tc>
        <w:tc>
          <w:tcPr>
            <w:tcW w:w="5514" w:type="dxa"/>
            <w:tcBorders>
              <w:top w:val="nil"/>
              <w:left w:val="nil"/>
              <w:bottom w:val="single" w:sz="4" w:space="0" w:color="auto"/>
              <w:right w:val="single" w:sz="4" w:space="0" w:color="auto"/>
            </w:tcBorders>
            <w:shd w:val="clear" w:color="auto" w:fill="auto"/>
            <w:vAlign w:val="center"/>
            <w:hideMark/>
          </w:tcPr>
          <w:p w14:paraId="4CCB67C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konfigurację zasad kontroli zleceń w odniesieniu do alergii dla każdego typu użytkownika (m.in. różne ustawienia dla personelu medycznego i studentów/studentek pielęgniarstwa).</w:t>
            </w:r>
          </w:p>
        </w:tc>
        <w:tc>
          <w:tcPr>
            <w:tcW w:w="1133" w:type="dxa"/>
            <w:tcBorders>
              <w:top w:val="nil"/>
              <w:left w:val="nil"/>
              <w:bottom w:val="single" w:sz="4" w:space="0" w:color="auto"/>
              <w:right w:val="single" w:sz="4" w:space="0" w:color="auto"/>
            </w:tcBorders>
            <w:shd w:val="clear" w:color="auto" w:fill="auto"/>
            <w:vAlign w:val="center"/>
            <w:hideMark/>
          </w:tcPr>
          <w:p w14:paraId="325A3D4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AEE894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EC8814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9593B5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4.16</w:t>
            </w:r>
          </w:p>
        </w:tc>
        <w:tc>
          <w:tcPr>
            <w:tcW w:w="5514" w:type="dxa"/>
            <w:tcBorders>
              <w:top w:val="nil"/>
              <w:left w:val="nil"/>
              <w:bottom w:val="single" w:sz="4" w:space="0" w:color="auto"/>
              <w:right w:val="single" w:sz="4" w:space="0" w:color="auto"/>
            </w:tcBorders>
            <w:shd w:val="clear" w:color="auto" w:fill="auto"/>
            <w:vAlign w:val="center"/>
            <w:hideMark/>
          </w:tcPr>
          <w:p w14:paraId="5F45C22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Ikona alergii jest wyświetlana obok nazwy elementu zlecenia, we wszystkich miejscach systemu, w których wyświetlane są zlecenia i dawki.</w:t>
            </w:r>
          </w:p>
        </w:tc>
        <w:tc>
          <w:tcPr>
            <w:tcW w:w="1133" w:type="dxa"/>
            <w:tcBorders>
              <w:top w:val="nil"/>
              <w:left w:val="nil"/>
              <w:bottom w:val="single" w:sz="4" w:space="0" w:color="auto"/>
              <w:right w:val="single" w:sz="4" w:space="0" w:color="auto"/>
            </w:tcBorders>
            <w:shd w:val="clear" w:color="auto" w:fill="auto"/>
            <w:vAlign w:val="center"/>
            <w:hideMark/>
          </w:tcPr>
          <w:p w14:paraId="12356A2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636C8F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BCA0BE5"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0D152B1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0022A2BE"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Kody kreskowe</w:t>
            </w:r>
          </w:p>
        </w:tc>
      </w:tr>
      <w:tr w:rsidR="00CB3017" w:rsidRPr="00F8703A" w14:paraId="2528F1C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13724D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5.1</w:t>
            </w:r>
          </w:p>
        </w:tc>
        <w:tc>
          <w:tcPr>
            <w:tcW w:w="5514" w:type="dxa"/>
            <w:tcBorders>
              <w:top w:val="nil"/>
              <w:left w:val="nil"/>
              <w:bottom w:val="single" w:sz="4" w:space="0" w:color="auto"/>
              <w:right w:val="single" w:sz="4" w:space="0" w:color="auto"/>
            </w:tcBorders>
            <w:shd w:val="clear" w:color="auto" w:fill="auto"/>
            <w:vAlign w:val="center"/>
            <w:hideMark/>
          </w:tcPr>
          <w:p w14:paraId="5B8DFDE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drukowanie etykiet, zawierających wyczerpujące informacje o lekach i instrukcje dotyczące dawkowania.</w:t>
            </w:r>
          </w:p>
        </w:tc>
        <w:tc>
          <w:tcPr>
            <w:tcW w:w="1133" w:type="dxa"/>
            <w:tcBorders>
              <w:top w:val="nil"/>
              <w:left w:val="nil"/>
              <w:bottom w:val="single" w:sz="4" w:space="0" w:color="auto"/>
              <w:right w:val="single" w:sz="4" w:space="0" w:color="auto"/>
            </w:tcBorders>
            <w:shd w:val="clear" w:color="auto" w:fill="auto"/>
            <w:vAlign w:val="center"/>
            <w:hideMark/>
          </w:tcPr>
          <w:p w14:paraId="7151D1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AED1AC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DCFFCC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ED01CA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5.2</w:t>
            </w:r>
          </w:p>
        </w:tc>
        <w:tc>
          <w:tcPr>
            <w:tcW w:w="5514" w:type="dxa"/>
            <w:tcBorders>
              <w:top w:val="nil"/>
              <w:left w:val="nil"/>
              <w:bottom w:val="single" w:sz="4" w:space="0" w:color="auto"/>
              <w:right w:val="single" w:sz="4" w:space="0" w:color="auto"/>
            </w:tcBorders>
            <w:shd w:val="clear" w:color="auto" w:fill="auto"/>
            <w:vAlign w:val="center"/>
            <w:hideMark/>
          </w:tcPr>
          <w:p w14:paraId="00E8502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funkcję dokumentowania podaży leków poprzez skanowanie kodów kreskowych.</w:t>
            </w:r>
          </w:p>
        </w:tc>
        <w:tc>
          <w:tcPr>
            <w:tcW w:w="1133" w:type="dxa"/>
            <w:tcBorders>
              <w:top w:val="nil"/>
              <w:left w:val="nil"/>
              <w:bottom w:val="single" w:sz="4" w:space="0" w:color="auto"/>
              <w:right w:val="single" w:sz="4" w:space="0" w:color="auto"/>
            </w:tcBorders>
            <w:shd w:val="clear" w:color="auto" w:fill="auto"/>
            <w:vAlign w:val="center"/>
            <w:hideMark/>
          </w:tcPr>
          <w:p w14:paraId="6B58541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69FDC3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EED253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F212D1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5.3</w:t>
            </w:r>
          </w:p>
        </w:tc>
        <w:tc>
          <w:tcPr>
            <w:tcW w:w="5514" w:type="dxa"/>
            <w:tcBorders>
              <w:top w:val="nil"/>
              <w:left w:val="nil"/>
              <w:bottom w:val="single" w:sz="4" w:space="0" w:color="auto"/>
              <w:right w:val="single" w:sz="4" w:space="0" w:color="auto"/>
            </w:tcBorders>
            <w:shd w:val="clear" w:color="auto" w:fill="auto"/>
            <w:vAlign w:val="center"/>
            <w:hideMark/>
          </w:tcPr>
          <w:p w14:paraId="56CCB50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drukowanie i dokumentację podaży leków za pomocą kodów kreskowych dla wielodawkowych opakowań leków</w:t>
            </w:r>
          </w:p>
        </w:tc>
        <w:tc>
          <w:tcPr>
            <w:tcW w:w="1133" w:type="dxa"/>
            <w:tcBorders>
              <w:top w:val="nil"/>
              <w:left w:val="nil"/>
              <w:bottom w:val="single" w:sz="4" w:space="0" w:color="auto"/>
              <w:right w:val="single" w:sz="4" w:space="0" w:color="auto"/>
            </w:tcBorders>
            <w:shd w:val="clear" w:color="auto" w:fill="auto"/>
            <w:vAlign w:val="center"/>
            <w:hideMark/>
          </w:tcPr>
          <w:p w14:paraId="0649EBA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CE1D67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86A8365"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AB9793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5.4</w:t>
            </w:r>
          </w:p>
        </w:tc>
        <w:tc>
          <w:tcPr>
            <w:tcW w:w="5514" w:type="dxa"/>
            <w:tcBorders>
              <w:top w:val="nil"/>
              <w:left w:val="nil"/>
              <w:bottom w:val="single" w:sz="4" w:space="0" w:color="auto"/>
              <w:right w:val="single" w:sz="4" w:space="0" w:color="auto"/>
            </w:tcBorders>
            <w:shd w:val="clear" w:color="auto" w:fill="auto"/>
            <w:vAlign w:val="center"/>
            <w:hideMark/>
          </w:tcPr>
          <w:p w14:paraId="486CCCD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standard GS1 Data Matrix dla kodów kreskowych.</w:t>
            </w:r>
          </w:p>
        </w:tc>
        <w:tc>
          <w:tcPr>
            <w:tcW w:w="1133" w:type="dxa"/>
            <w:tcBorders>
              <w:top w:val="nil"/>
              <w:left w:val="nil"/>
              <w:bottom w:val="single" w:sz="4" w:space="0" w:color="auto"/>
              <w:right w:val="single" w:sz="4" w:space="0" w:color="auto"/>
            </w:tcBorders>
            <w:shd w:val="clear" w:color="auto" w:fill="auto"/>
            <w:vAlign w:val="center"/>
            <w:hideMark/>
          </w:tcPr>
          <w:p w14:paraId="10FBFA8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DC5CD8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1E2B05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93F7AE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5.5</w:t>
            </w:r>
          </w:p>
        </w:tc>
        <w:tc>
          <w:tcPr>
            <w:tcW w:w="5514" w:type="dxa"/>
            <w:tcBorders>
              <w:top w:val="nil"/>
              <w:left w:val="nil"/>
              <w:bottom w:val="single" w:sz="4" w:space="0" w:color="auto"/>
              <w:right w:val="single" w:sz="4" w:space="0" w:color="auto"/>
            </w:tcBorders>
            <w:shd w:val="clear" w:color="auto" w:fill="auto"/>
            <w:vAlign w:val="center"/>
            <w:hideMark/>
          </w:tcPr>
          <w:p w14:paraId="2359E4A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administratorom systemu konfigurowanie projektów kodów kreskowych zgodnie z ich szczególnymi wymaganiami.</w:t>
            </w:r>
          </w:p>
        </w:tc>
        <w:tc>
          <w:tcPr>
            <w:tcW w:w="1133" w:type="dxa"/>
            <w:tcBorders>
              <w:top w:val="nil"/>
              <w:left w:val="nil"/>
              <w:bottom w:val="single" w:sz="4" w:space="0" w:color="auto"/>
              <w:right w:val="single" w:sz="4" w:space="0" w:color="auto"/>
            </w:tcBorders>
            <w:shd w:val="clear" w:color="auto" w:fill="auto"/>
            <w:vAlign w:val="center"/>
            <w:hideMark/>
          </w:tcPr>
          <w:p w14:paraId="4AA4B4A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BB24A8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46CA5DF"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0936DB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5.6</w:t>
            </w:r>
          </w:p>
        </w:tc>
        <w:tc>
          <w:tcPr>
            <w:tcW w:w="5514" w:type="dxa"/>
            <w:tcBorders>
              <w:top w:val="nil"/>
              <w:left w:val="nil"/>
              <w:bottom w:val="single" w:sz="4" w:space="0" w:color="auto"/>
              <w:right w:val="single" w:sz="4" w:space="0" w:color="auto"/>
            </w:tcBorders>
            <w:shd w:val="clear" w:color="auto" w:fill="auto"/>
            <w:vAlign w:val="center"/>
            <w:hideMark/>
          </w:tcPr>
          <w:p w14:paraId="52E3FDC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konfigurację różnych wzorów kodów kreskowych dla każdego oddziału, dostosowując się do specyficznych potrzeb i preferencji oddziału.</w:t>
            </w:r>
          </w:p>
        </w:tc>
        <w:tc>
          <w:tcPr>
            <w:tcW w:w="1133" w:type="dxa"/>
            <w:tcBorders>
              <w:top w:val="nil"/>
              <w:left w:val="nil"/>
              <w:bottom w:val="single" w:sz="4" w:space="0" w:color="auto"/>
              <w:right w:val="single" w:sz="4" w:space="0" w:color="auto"/>
            </w:tcBorders>
            <w:shd w:val="clear" w:color="auto" w:fill="auto"/>
            <w:vAlign w:val="center"/>
            <w:hideMark/>
          </w:tcPr>
          <w:p w14:paraId="0F8BE3B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4AC635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9A47BAE"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72459F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5.7</w:t>
            </w:r>
          </w:p>
        </w:tc>
        <w:tc>
          <w:tcPr>
            <w:tcW w:w="5514" w:type="dxa"/>
            <w:tcBorders>
              <w:top w:val="nil"/>
              <w:left w:val="nil"/>
              <w:bottom w:val="single" w:sz="4" w:space="0" w:color="auto"/>
              <w:right w:val="single" w:sz="4" w:space="0" w:color="auto"/>
            </w:tcBorders>
            <w:shd w:val="clear" w:color="auto" w:fill="auto"/>
            <w:vAlign w:val="center"/>
            <w:hideMark/>
          </w:tcPr>
          <w:p w14:paraId="089C3F8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konfigurację domyślnych ustawień drukarki dla każdego oddziału.</w:t>
            </w:r>
          </w:p>
        </w:tc>
        <w:tc>
          <w:tcPr>
            <w:tcW w:w="1133" w:type="dxa"/>
            <w:tcBorders>
              <w:top w:val="nil"/>
              <w:left w:val="nil"/>
              <w:bottom w:val="single" w:sz="4" w:space="0" w:color="auto"/>
              <w:right w:val="single" w:sz="4" w:space="0" w:color="auto"/>
            </w:tcBorders>
            <w:shd w:val="clear" w:color="auto" w:fill="auto"/>
            <w:vAlign w:val="center"/>
            <w:hideMark/>
          </w:tcPr>
          <w:p w14:paraId="6D3E265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4519A9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D479314"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629A07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5.8</w:t>
            </w:r>
          </w:p>
        </w:tc>
        <w:tc>
          <w:tcPr>
            <w:tcW w:w="5514" w:type="dxa"/>
            <w:tcBorders>
              <w:top w:val="nil"/>
              <w:left w:val="nil"/>
              <w:bottom w:val="single" w:sz="4" w:space="0" w:color="auto"/>
              <w:right w:val="single" w:sz="4" w:space="0" w:color="auto"/>
            </w:tcBorders>
            <w:shd w:val="clear" w:color="auto" w:fill="auto"/>
            <w:vAlign w:val="center"/>
            <w:hideMark/>
          </w:tcPr>
          <w:p w14:paraId="45FE08C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umożliwia korzystanie z drukowania na drukarce domyślnej, jeśli zostanie skonfigurowany w ramach sesji </w:t>
            </w:r>
            <w:proofErr w:type="spellStart"/>
            <w:r w:rsidRPr="00CF3752">
              <w:rPr>
                <w:rFonts w:eastAsia="Times New Roman" w:cstheme="minorHAnsi"/>
                <w:lang w:eastAsia="pl-PL"/>
              </w:rPr>
              <w:t>Citrix</w:t>
            </w:r>
            <w:proofErr w:type="spellEnd"/>
            <w:r w:rsidRPr="00CF3752">
              <w:rPr>
                <w:rFonts w:eastAsia="Times New Roman" w:cstheme="minorHAnsi"/>
                <w:lang w:eastAsia="pl-PL"/>
              </w:rPr>
              <w:t xml:space="preserve"> lub RDP, przy czym nazwa drukarki będzie dołączana do unikalnego identyfikatora sesji.</w:t>
            </w:r>
          </w:p>
        </w:tc>
        <w:tc>
          <w:tcPr>
            <w:tcW w:w="1133" w:type="dxa"/>
            <w:tcBorders>
              <w:top w:val="nil"/>
              <w:left w:val="nil"/>
              <w:bottom w:val="single" w:sz="4" w:space="0" w:color="auto"/>
              <w:right w:val="single" w:sz="4" w:space="0" w:color="auto"/>
            </w:tcBorders>
            <w:shd w:val="clear" w:color="auto" w:fill="auto"/>
            <w:vAlign w:val="center"/>
            <w:hideMark/>
          </w:tcPr>
          <w:p w14:paraId="3DA313A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434EBD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DA1192A"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DE2648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5.9</w:t>
            </w:r>
          </w:p>
        </w:tc>
        <w:tc>
          <w:tcPr>
            <w:tcW w:w="5514" w:type="dxa"/>
            <w:tcBorders>
              <w:top w:val="nil"/>
              <w:left w:val="nil"/>
              <w:bottom w:val="single" w:sz="4" w:space="0" w:color="auto"/>
              <w:right w:val="single" w:sz="4" w:space="0" w:color="auto"/>
            </w:tcBorders>
            <w:shd w:val="clear" w:color="auto" w:fill="auto"/>
            <w:vAlign w:val="center"/>
            <w:hideMark/>
          </w:tcPr>
          <w:p w14:paraId="21371EB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stosowanie etykiet o dowolnym rozmiarze.</w:t>
            </w:r>
          </w:p>
        </w:tc>
        <w:tc>
          <w:tcPr>
            <w:tcW w:w="1133" w:type="dxa"/>
            <w:tcBorders>
              <w:top w:val="nil"/>
              <w:left w:val="nil"/>
              <w:bottom w:val="single" w:sz="4" w:space="0" w:color="auto"/>
              <w:right w:val="single" w:sz="4" w:space="0" w:color="auto"/>
            </w:tcBorders>
            <w:shd w:val="clear" w:color="auto" w:fill="auto"/>
            <w:vAlign w:val="center"/>
            <w:hideMark/>
          </w:tcPr>
          <w:p w14:paraId="5AA1B7E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918207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15C0C0A"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84F4E1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5.10</w:t>
            </w:r>
          </w:p>
        </w:tc>
        <w:tc>
          <w:tcPr>
            <w:tcW w:w="5514" w:type="dxa"/>
            <w:tcBorders>
              <w:top w:val="nil"/>
              <w:left w:val="nil"/>
              <w:bottom w:val="single" w:sz="4" w:space="0" w:color="auto"/>
              <w:right w:val="single" w:sz="4" w:space="0" w:color="auto"/>
            </w:tcBorders>
            <w:shd w:val="clear" w:color="auto" w:fill="auto"/>
            <w:vAlign w:val="center"/>
            <w:hideMark/>
          </w:tcPr>
          <w:p w14:paraId="0574206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każdy model drukarki etykiet, który jest rozpoznawany przez stację roboczą działającą na platformie Windows.</w:t>
            </w:r>
          </w:p>
        </w:tc>
        <w:tc>
          <w:tcPr>
            <w:tcW w:w="1133" w:type="dxa"/>
            <w:tcBorders>
              <w:top w:val="nil"/>
              <w:left w:val="nil"/>
              <w:bottom w:val="single" w:sz="4" w:space="0" w:color="auto"/>
              <w:right w:val="single" w:sz="4" w:space="0" w:color="auto"/>
            </w:tcBorders>
            <w:shd w:val="clear" w:color="auto" w:fill="auto"/>
            <w:vAlign w:val="center"/>
            <w:hideMark/>
          </w:tcPr>
          <w:p w14:paraId="530AD00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0DC600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92CE2B0"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34690E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5.11</w:t>
            </w:r>
          </w:p>
        </w:tc>
        <w:tc>
          <w:tcPr>
            <w:tcW w:w="5514" w:type="dxa"/>
            <w:tcBorders>
              <w:top w:val="nil"/>
              <w:left w:val="nil"/>
              <w:bottom w:val="single" w:sz="4" w:space="0" w:color="auto"/>
              <w:right w:val="single" w:sz="4" w:space="0" w:color="auto"/>
            </w:tcBorders>
            <w:shd w:val="clear" w:color="auto" w:fill="auto"/>
            <w:vAlign w:val="center"/>
            <w:hideMark/>
          </w:tcPr>
          <w:p w14:paraId="0531F3B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umożliwiać identyfikację pacjentów (opaska identyfikacyjna) oraz personelu (identyfikator indywidualny), po kodach kreskowych.</w:t>
            </w:r>
          </w:p>
        </w:tc>
        <w:tc>
          <w:tcPr>
            <w:tcW w:w="1133" w:type="dxa"/>
            <w:tcBorders>
              <w:top w:val="nil"/>
              <w:left w:val="nil"/>
              <w:bottom w:val="single" w:sz="4" w:space="0" w:color="auto"/>
              <w:right w:val="single" w:sz="4" w:space="0" w:color="auto"/>
            </w:tcBorders>
            <w:shd w:val="clear" w:color="auto" w:fill="auto"/>
            <w:vAlign w:val="center"/>
            <w:hideMark/>
          </w:tcPr>
          <w:p w14:paraId="68608EB2" w14:textId="114AA6E7" w:rsidR="00CB3017" w:rsidRPr="00CF3752" w:rsidRDefault="00532932" w:rsidP="00880B0C">
            <w:pPr>
              <w:spacing w:after="0" w:line="240" w:lineRule="auto"/>
              <w:jc w:val="center"/>
              <w:rPr>
                <w:rFonts w:eastAsia="Times New Roman" w:cstheme="minorHAnsi"/>
                <w:lang w:eastAsia="pl-PL"/>
              </w:rPr>
            </w:pPr>
            <w:r>
              <w:rPr>
                <w:rFonts w:eastAsia="Times New Roman" w:cstheme="minorHAnsi"/>
                <w:lang w:eastAsia="pl-PL"/>
              </w:rPr>
              <w:t>TAK</w:t>
            </w:r>
            <w:r w:rsidR="00CB3017" w:rsidRPr="00CF3752">
              <w:rPr>
                <w:rFonts w:eastAsia="Times New Roman" w:cstheme="minorHAnsi"/>
                <w:lang w:eastAsia="pl-PL"/>
              </w:rPr>
              <w:t> </w:t>
            </w:r>
          </w:p>
        </w:tc>
        <w:tc>
          <w:tcPr>
            <w:tcW w:w="2011" w:type="dxa"/>
            <w:tcBorders>
              <w:top w:val="nil"/>
              <w:left w:val="nil"/>
              <w:bottom w:val="single" w:sz="4" w:space="0" w:color="auto"/>
              <w:right w:val="single" w:sz="4" w:space="0" w:color="auto"/>
            </w:tcBorders>
            <w:shd w:val="clear" w:color="auto" w:fill="auto"/>
            <w:vAlign w:val="center"/>
            <w:hideMark/>
          </w:tcPr>
          <w:p w14:paraId="5B4F383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D79C18A"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1A0136B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6</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3B9C7D25"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Kontynuowanie opieki</w:t>
            </w:r>
          </w:p>
        </w:tc>
      </w:tr>
      <w:tr w:rsidR="00CB3017" w:rsidRPr="00F8703A" w14:paraId="63A45F90" w14:textId="77777777" w:rsidTr="00FD23DE">
        <w:trPr>
          <w:trHeight w:val="1320"/>
        </w:trPr>
        <w:tc>
          <w:tcPr>
            <w:tcW w:w="976" w:type="dxa"/>
            <w:tcBorders>
              <w:top w:val="nil"/>
              <w:left w:val="single" w:sz="4" w:space="0" w:color="auto"/>
              <w:bottom w:val="single" w:sz="4" w:space="0" w:color="auto"/>
              <w:right w:val="single" w:sz="4" w:space="0" w:color="auto"/>
            </w:tcBorders>
            <w:shd w:val="clear" w:color="F2F2F2" w:fill="FFFFFF"/>
            <w:vAlign w:val="center"/>
            <w:hideMark/>
          </w:tcPr>
          <w:p w14:paraId="4302C7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6.1</w:t>
            </w:r>
          </w:p>
        </w:tc>
        <w:tc>
          <w:tcPr>
            <w:tcW w:w="5514" w:type="dxa"/>
            <w:tcBorders>
              <w:top w:val="nil"/>
              <w:left w:val="nil"/>
              <w:bottom w:val="single" w:sz="4" w:space="0" w:color="auto"/>
              <w:right w:val="single" w:sz="4" w:space="0" w:color="auto"/>
            </w:tcBorders>
            <w:shd w:val="clear" w:color="F2F2F2" w:fill="FFFFFF"/>
            <w:vAlign w:val="center"/>
            <w:hideMark/>
          </w:tcPr>
          <w:p w14:paraId="5CB859F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zapewnia kompleksowy wgląd we wszystkie etapy opieki nad pacjentem, od przyjęcia do wypisu, bez konieczności przełączania się pomiędzy oddziałami objętymi systemem. Dane pacjenta, który był przenoszony pomiędzy oddziałami, objętymi systemem, widoczne są na jednej osi czasu, </w:t>
            </w:r>
            <w:r w:rsidRPr="00F8703A">
              <w:rPr>
                <w:rFonts w:eastAsia="Times New Roman" w:cstheme="minorHAnsi"/>
                <w:lang w:eastAsia="pl-PL"/>
              </w:rPr>
              <w:t>zapewniając</w:t>
            </w:r>
            <w:r w:rsidRPr="00CF3752">
              <w:rPr>
                <w:rFonts w:eastAsia="Times New Roman" w:cstheme="minorHAnsi"/>
                <w:lang w:eastAsia="pl-PL"/>
              </w:rPr>
              <w:t xml:space="preserve"> kontynuację zapisu danych.</w:t>
            </w:r>
          </w:p>
        </w:tc>
        <w:tc>
          <w:tcPr>
            <w:tcW w:w="1133" w:type="dxa"/>
            <w:tcBorders>
              <w:top w:val="nil"/>
              <w:left w:val="nil"/>
              <w:bottom w:val="single" w:sz="4" w:space="0" w:color="auto"/>
              <w:right w:val="single" w:sz="4" w:space="0" w:color="auto"/>
            </w:tcBorders>
            <w:shd w:val="clear" w:color="F2F2F2" w:fill="FFFFFF"/>
            <w:vAlign w:val="center"/>
            <w:hideMark/>
          </w:tcPr>
          <w:p w14:paraId="2761408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F2F2F2" w:fill="FFFFFF"/>
            <w:vAlign w:val="center"/>
            <w:hideMark/>
          </w:tcPr>
          <w:p w14:paraId="58F5AAC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D0E2352"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3F3130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6.2</w:t>
            </w:r>
          </w:p>
        </w:tc>
        <w:tc>
          <w:tcPr>
            <w:tcW w:w="5514" w:type="dxa"/>
            <w:tcBorders>
              <w:top w:val="nil"/>
              <w:left w:val="nil"/>
              <w:bottom w:val="single" w:sz="4" w:space="0" w:color="auto"/>
              <w:right w:val="single" w:sz="4" w:space="0" w:color="auto"/>
            </w:tcBorders>
            <w:shd w:val="clear" w:color="auto" w:fill="auto"/>
            <w:vAlign w:val="center"/>
            <w:hideMark/>
          </w:tcPr>
          <w:p w14:paraId="0F2D7C6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Arkusz danych pacjenta na osi czasu (cały pobyt </w:t>
            </w:r>
            <w:r w:rsidRPr="00F8703A">
              <w:rPr>
                <w:rFonts w:eastAsia="Times New Roman" w:cstheme="minorHAnsi"/>
                <w:lang w:eastAsia="pl-PL"/>
              </w:rPr>
              <w:t>pacjenta</w:t>
            </w:r>
            <w:r w:rsidRPr="00CF3752">
              <w:rPr>
                <w:rFonts w:eastAsia="Times New Roman" w:cstheme="minorHAnsi"/>
                <w:lang w:eastAsia="pl-PL"/>
              </w:rPr>
              <w:t xml:space="preserve"> na jednym ekranie bez konieczności przewijania lewo/prawo) umożliwia wizualne rozróżnienie oddziałów szpitalnych objętych systemem, na </w:t>
            </w:r>
            <w:r w:rsidRPr="00F8703A">
              <w:rPr>
                <w:rFonts w:eastAsia="Times New Roman" w:cstheme="minorHAnsi"/>
                <w:lang w:eastAsia="pl-PL"/>
              </w:rPr>
              <w:t>których</w:t>
            </w:r>
            <w:r w:rsidRPr="00CF3752">
              <w:rPr>
                <w:rFonts w:eastAsia="Times New Roman" w:cstheme="minorHAnsi"/>
                <w:lang w:eastAsia="pl-PL"/>
              </w:rPr>
              <w:t xml:space="preserve"> przebywał pacjent.</w:t>
            </w:r>
          </w:p>
        </w:tc>
        <w:tc>
          <w:tcPr>
            <w:tcW w:w="1133" w:type="dxa"/>
            <w:tcBorders>
              <w:top w:val="nil"/>
              <w:left w:val="nil"/>
              <w:bottom w:val="single" w:sz="4" w:space="0" w:color="auto"/>
              <w:right w:val="single" w:sz="4" w:space="0" w:color="auto"/>
            </w:tcBorders>
            <w:shd w:val="clear" w:color="auto" w:fill="auto"/>
            <w:vAlign w:val="center"/>
            <w:hideMark/>
          </w:tcPr>
          <w:p w14:paraId="5F09A61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035050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761BC0E"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26DFBD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6.3</w:t>
            </w:r>
          </w:p>
        </w:tc>
        <w:tc>
          <w:tcPr>
            <w:tcW w:w="5514" w:type="dxa"/>
            <w:tcBorders>
              <w:top w:val="nil"/>
              <w:left w:val="nil"/>
              <w:bottom w:val="single" w:sz="4" w:space="0" w:color="auto"/>
              <w:right w:val="single" w:sz="4" w:space="0" w:color="auto"/>
            </w:tcBorders>
            <w:shd w:val="clear" w:color="auto" w:fill="auto"/>
            <w:vAlign w:val="center"/>
            <w:hideMark/>
          </w:tcPr>
          <w:p w14:paraId="50628AD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umożliwia prowadzenie i utrzymanie pojedynczej i jednolitej </w:t>
            </w:r>
            <w:r w:rsidRPr="00F8703A">
              <w:rPr>
                <w:rFonts w:eastAsia="Times New Roman" w:cstheme="minorHAnsi"/>
                <w:lang w:eastAsia="pl-PL"/>
              </w:rPr>
              <w:t>dokumentacji</w:t>
            </w:r>
            <w:r w:rsidRPr="00CF3752">
              <w:rPr>
                <w:rFonts w:eastAsia="Times New Roman" w:cstheme="minorHAnsi"/>
                <w:lang w:eastAsia="pl-PL"/>
              </w:rPr>
              <w:t xml:space="preserve"> pacjenta w tym planowanie i monitorowanie leczenia podczas przenoszenia pacjenta między różnymi oddziałami.</w:t>
            </w:r>
          </w:p>
        </w:tc>
        <w:tc>
          <w:tcPr>
            <w:tcW w:w="1133" w:type="dxa"/>
            <w:tcBorders>
              <w:top w:val="nil"/>
              <w:left w:val="nil"/>
              <w:bottom w:val="single" w:sz="4" w:space="0" w:color="auto"/>
              <w:right w:val="single" w:sz="4" w:space="0" w:color="auto"/>
            </w:tcBorders>
            <w:shd w:val="clear" w:color="auto" w:fill="auto"/>
            <w:vAlign w:val="center"/>
            <w:hideMark/>
          </w:tcPr>
          <w:p w14:paraId="6F764FD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8E2299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6467922"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B781BC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6.4</w:t>
            </w:r>
          </w:p>
        </w:tc>
        <w:tc>
          <w:tcPr>
            <w:tcW w:w="5514" w:type="dxa"/>
            <w:tcBorders>
              <w:top w:val="nil"/>
              <w:left w:val="nil"/>
              <w:bottom w:val="single" w:sz="4" w:space="0" w:color="auto"/>
              <w:right w:val="single" w:sz="4" w:space="0" w:color="auto"/>
            </w:tcBorders>
            <w:shd w:val="clear" w:color="auto" w:fill="auto"/>
            <w:vAlign w:val="center"/>
            <w:hideMark/>
          </w:tcPr>
          <w:p w14:paraId="59CEB86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ma możliwość wykonywania obliczeń na podstawie danych uzyskanych z wielu etapów pobytu, m.in. gdy pacjent jest przenoszony pomiędzy różnymi oddziałami.</w:t>
            </w:r>
          </w:p>
        </w:tc>
        <w:tc>
          <w:tcPr>
            <w:tcW w:w="1133" w:type="dxa"/>
            <w:tcBorders>
              <w:top w:val="nil"/>
              <w:left w:val="nil"/>
              <w:bottom w:val="single" w:sz="4" w:space="0" w:color="auto"/>
              <w:right w:val="single" w:sz="4" w:space="0" w:color="auto"/>
            </w:tcBorders>
            <w:shd w:val="clear" w:color="auto" w:fill="auto"/>
            <w:vAlign w:val="center"/>
            <w:hideMark/>
          </w:tcPr>
          <w:p w14:paraId="6A85EF3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F37AF2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6732B6E"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8A1AF4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6.5</w:t>
            </w:r>
          </w:p>
        </w:tc>
        <w:tc>
          <w:tcPr>
            <w:tcW w:w="5514" w:type="dxa"/>
            <w:tcBorders>
              <w:top w:val="nil"/>
              <w:left w:val="nil"/>
              <w:bottom w:val="single" w:sz="4" w:space="0" w:color="auto"/>
              <w:right w:val="single" w:sz="4" w:space="0" w:color="auto"/>
            </w:tcBorders>
            <w:shd w:val="clear" w:color="auto" w:fill="auto"/>
            <w:vAlign w:val="center"/>
            <w:hideMark/>
          </w:tcPr>
          <w:p w14:paraId="4DCEB4F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kolorową oś czasu, która wyraźnie rozróżnia poszczególne oddziały, zwiększając czytelność informacji dla użytkowników.</w:t>
            </w:r>
          </w:p>
        </w:tc>
        <w:tc>
          <w:tcPr>
            <w:tcW w:w="1133" w:type="dxa"/>
            <w:tcBorders>
              <w:top w:val="nil"/>
              <w:left w:val="nil"/>
              <w:bottom w:val="single" w:sz="4" w:space="0" w:color="auto"/>
              <w:right w:val="single" w:sz="4" w:space="0" w:color="auto"/>
            </w:tcBorders>
            <w:shd w:val="clear" w:color="auto" w:fill="auto"/>
            <w:vAlign w:val="center"/>
            <w:hideMark/>
          </w:tcPr>
          <w:p w14:paraId="0E00ACE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AF6504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310DED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B56012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6.6</w:t>
            </w:r>
          </w:p>
        </w:tc>
        <w:tc>
          <w:tcPr>
            <w:tcW w:w="5514" w:type="dxa"/>
            <w:tcBorders>
              <w:top w:val="nil"/>
              <w:left w:val="nil"/>
              <w:bottom w:val="single" w:sz="4" w:space="0" w:color="auto"/>
              <w:right w:val="single" w:sz="4" w:space="0" w:color="auto"/>
            </w:tcBorders>
            <w:shd w:val="clear" w:color="auto" w:fill="auto"/>
            <w:vAlign w:val="center"/>
            <w:hideMark/>
          </w:tcPr>
          <w:p w14:paraId="5D7778C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przedstawia zapis wszystkich transferów pacjentów między różnymi oddziałami.</w:t>
            </w:r>
          </w:p>
        </w:tc>
        <w:tc>
          <w:tcPr>
            <w:tcW w:w="1133" w:type="dxa"/>
            <w:tcBorders>
              <w:top w:val="nil"/>
              <w:left w:val="nil"/>
              <w:bottom w:val="single" w:sz="4" w:space="0" w:color="auto"/>
              <w:right w:val="single" w:sz="4" w:space="0" w:color="auto"/>
            </w:tcBorders>
            <w:shd w:val="clear" w:color="auto" w:fill="auto"/>
            <w:vAlign w:val="center"/>
            <w:hideMark/>
          </w:tcPr>
          <w:p w14:paraId="4B625AD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744BCE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A007608"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941928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6.7</w:t>
            </w:r>
          </w:p>
        </w:tc>
        <w:tc>
          <w:tcPr>
            <w:tcW w:w="5514" w:type="dxa"/>
            <w:tcBorders>
              <w:top w:val="nil"/>
              <w:left w:val="nil"/>
              <w:bottom w:val="single" w:sz="4" w:space="0" w:color="auto"/>
              <w:right w:val="single" w:sz="4" w:space="0" w:color="auto"/>
            </w:tcBorders>
            <w:shd w:val="clear" w:color="auto" w:fill="auto"/>
            <w:vAlign w:val="center"/>
            <w:hideMark/>
          </w:tcPr>
          <w:p w14:paraId="63A0311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ustawienie preferencji i metod udostępniania dokumentacji pacjentów między oddziałami, zgodnie z polityką i najlepszymi praktykami szpitala.</w:t>
            </w:r>
          </w:p>
        </w:tc>
        <w:tc>
          <w:tcPr>
            <w:tcW w:w="1133" w:type="dxa"/>
            <w:tcBorders>
              <w:top w:val="nil"/>
              <w:left w:val="nil"/>
              <w:bottom w:val="single" w:sz="4" w:space="0" w:color="auto"/>
              <w:right w:val="single" w:sz="4" w:space="0" w:color="auto"/>
            </w:tcBorders>
            <w:shd w:val="clear" w:color="auto" w:fill="auto"/>
            <w:vAlign w:val="center"/>
            <w:hideMark/>
          </w:tcPr>
          <w:p w14:paraId="13893C8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2E36E0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7F02489"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3EBCDDE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6E9AE92C"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Wspomaganie decyzji klinicznych (CDS)</w:t>
            </w:r>
          </w:p>
        </w:tc>
      </w:tr>
      <w:tr w:rsidR="00CB3017" w:rsidRPr="00F8703A" w14:paraId="2C298CF6"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2B676C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7.1</w:t>
            </w:r>
          </w:p>
        </w:tc>
        <w:tc>
          <w:tcPr>
            <w:tcW w:w="5514" w:type="dxa"/>
            <w:tcBorders>
              <w:top w:val="nil"/>
              <w:left w:val="nil"/>
              <w:bottom w:val="single" w:sz="4" w:space="0" w:color="auto"/>
              <w:right w:val="single" w:sz="4" w:space="0" w:color="auto"/>
            </w:tcBorders>
            <w:shd w:val="clear" w:color="auto" w:fill="auto"/>
            <w:vAlign w:val="center"/>
            <w:hideMark/>
          </w:tcPr>
          <w:p w14:paraId="0CF8B147" w14:textId="666BDCBE" w:rsidR="00CB3017" w:rsidRPr="00D628AF" w:rsidRDefault="00CB3017" w:rsidP="00880B0C">
            <w:pPr>
              <w:spacing w:after="0" w:line="240" w:lineRule="auto"/>
              <w:rPr>
                <w:rFonts w:eastAsia="Times New Roman" w:cstheme="minorHAnsi"/>
                <w:lang w:eastAsia="pl-PL"/>
              </w:rPr>
            </w:pPr>
            <w:r w:rsidRPr="00D628AF">
              <w:rPr>
                <w:rFonts w:eastAsia="Times New Roman" w:cstheme="minorHAnsi"/>
                <w:lang w:eastAsia="pl-PL"/>
              </w:rPr>
              <w:t xml:space="preserve">System zawiera moduł wspomagający podejmowanie decyzji klinicznych </w:t>
            </w:r>
            <w:r w:rsidR="00A269A6" w:rsidRPr="00D628AF">
              <w:rPr>
                <w:rFonts w:eastAsia="Times New Roman" w:cstheme="minorHAnsi"/>
                <w:lang w:eastAsia="pl-PL"/>
              </w:rPr>
              <w:t xml:space="preserve">przez zastosowanie metod i technik sztucznej inteligencji </w:t>
            </w:r>
            <w:r w:rsidR="00A269A6" w:rsidRPr="0001152D">
              <w:t xml:space="preserve">(identyfikacja i analiza wzorców, uczenie maszynowe) </w:t>
            </w:r>
            <w:r w:rsidR="00A269A6" w:rsidRPr="00D628AF">
              <w:rPr>
                <w:rFonts w:eastAsia="Times New Roman" w:cstheme="minorHAnsi"/>
                <w:lang w:eastAsia="pl-PL"/>
              </w:rPr>
              <w:t xml:space="preserve"> </w:t>
            </w:r>
            <w:r w:rsidRPr="00D628AF">
              <w:rPr>
                <w:rFonts w:eastAsia="Times New Roman" w:cstheme="minorHAnsi"/>
                <w:lang w:eastAsia="pl-PL"/>
              </w:rPr>
              <w:t>m.in. w oparciu o śledzenie zmian w stanie fizjologicznym pacjenta oraz odchyleń</w:t>
            </w:r>
            <w:r w:rsidR="00A269A6" w:rsidRPr="00D628AF">
              <w:rPr>
                <w:rFonts w:eastAsia="Times New Roman" w:cstheme="minorHAnsi"/>
                <w:lang w:eastAsia="pl-PL"/>
              </w:rPr>
              <w:t>, oraz danych z sali operacyjnej i OIOM.</w:t>
            </w:r>
            <w:r w:rsidRPr="00D628AF">
              <w:rPr>
                <w:rFonts w:eastAsia="Times New Roman" w:cstheme="minorHAnsi"/>
                <w:lang w:eastAsia="pl-PL"/>
              </w:rPr>
              <w:t xml:space="preserve"> System wysyła alerty po wykryciu określonych zmian.</w:t>
            </w:r>
          </w:p>
        </w:tc>
        <w:tc>
          <w:tcPr>
            <w:tcW w:w="1133" w:type="dxa"/>
            <w:tcBorders>
              <w:top w:val="nil"/>
              <w:left w:val="nil"/>
              <w:bottom w:val="single" w:sz="4" w:space="0" w:color="auto"/>
              <w:right w:val="single" w:sz="4" w:space="0" w:color="auto"/>
            </w:tcBorders>
            <w:shd w:val="clear" w:color="auto" w:fill="auto"/>
            <w:vAlign w:val="center"/>
            <w:hideMark/>
          </w:tcPr>
          <w:p w14:paraId="3BB5AE9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3F86AE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37B2974"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11194E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7.2</w:t>
            </w:r>
          </w:p>
        </w:tc>
        <w:tc>
          <w:tcPr>
            <w:tcW w:w="5514" w:type="dxa"/>
            <w:tcBorders>
              <w:top w:val="nil"/>
              <w:left w:val="nil"/>
              <w:bottom w:val="single" w:sz="4" w:space="0" w:color="auto"/>
              <w:right w:val="single" w:sz="4" w:space="0" w:color="auto"/>
            </w:tcBorders>
            <w:shd w:val="clear" w:color="auto" w:fill="auto"/>
            <w:vAlign w:val="center"/>
            <w:hideMark/>
          </w:tcPr>
          <w:p w14:paraId="2A8B46F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bibliotekę gotowych alertów, oferując natychmiastowe ich zastosowanie bez dodatkowej konfiguracji, m.in. brakujące dane, konieczność zbadania poziomu glukozy</w:t>
            </w:r>
          </w:p>
        </w:tc>
        <w:tc>
          <w:tcPr>
            <w:tcW w:w="1133" w:type="dxa"/>
            <w:tcBorders>
              <w:top w:val="nil"/>
              <w:left w:val="nil"/>
              <w:bottom w:val="single" w:sz="4" w:space="0" w:color="auto"/>
              <w:right w:val="single" w:sz="4" w:space="0" w:color="auto"/>
            </w:tcBorders>
            <w:shd w:val="clear" w:color="auto" w:fill="auto"/>
            <w:vAlign w:val="center"/>
            <w:hideMark/>
          </w:tcPr>
          <w:p w14:paraId="3C2DC5F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310B84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72D5CB0"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6F22BE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7.3</w:t>
            </w:r>
          </w:p>
        </w:tc>
        <w:tc>
          <w:tcPr>
            <w:tcW w:w="5514" w:type="dxa"/>
            <w:tcBorders>
              <w:top w:val="nil"/>
              <w:left w:val="nil"/>
              <w:bottom w:val="single" w:sz="4" w:space="0" w:color="auto"/>
              <w:right w:val="single" w:sz="4" w:space="0" w:color="auto"/>
            </w:tcBorders>
            <w:shd w:val="clear" w:color="auto" w:fill="auto"/>
            <w:vAlign w:val="center"/>
            <w:hideMark/>
          </w:tcPr>
          <w:p w14:paraId="238BBC0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w:t>
            </w:r>
            <w:r w:rsidRPr="00F8703A">
              <w:rPr>
                <w:rFonts w:eastAsia="Times New Roman" w:cstheme="minorHAnsi"/>
                <w:lang w:eastAsia="pl-PL"/>
              </w:rPr>
              <w:t>umożliwia</w:t>
            </w:r>
            <w:r w:rsidRPr="00CF3752">
              <w:rPr>
                <w:rFonts w:eastAsia="Times New Roman" w:cstheme="minorHAnsi"/>
                <w:lang w:eastAsia="pl-PL"/>
              </w:rPr>
              <w:t xml:space="preserve"> tworzenie dowolnych alertów na podstawie zadanych algorytmów, wykorzystujących dowolne zestawienie danych z systemu, m.in. parametr życiowy, wynik laboratoryjny, diagnoza, pomiary ciała pacjenta.</w:t>
            </w:r>
          </w:p>
        </w:tc>
        <w:tc>
          <w:tcPr>
            <w:tcW w:w="1133" w:type="dxa"/>
            <w:tcBorders>
              <w:top w:val="nil"/>
              <w:left w:val="nil"/>
              <w:bottom w:val="single" w:sz="4" w:space="0" w:color="auto"/>
              <w:right w:val="single" w:sz="4" w:space="0" w:color="auto"/>
            </w:tcBorders>
            <w:shd w:val="clear" w:color="auto" w:fill="auto"/>
            <w:vAlign w:val="center"/>
            <w:hideMark/>
          </w:tcPr>
          <w:p w14:paraId="42BA04D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5591FF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C3BF963"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249D13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7.4</w:t>
            </w:r>
          </w:p>
        </w:tc>
        <w:tc>
          <w:tcPr>
            <w:tcW w:w="5514" w:type="dxa"/>
            <w:tcBorders>
              <w:top w:val="nil"/>
              <w:left w:val="nil"/>
              <w:bottom w:val="single" w:sz="4" w:space="0" w:color="auto"/>
              <w:right w:val="single" w:sz="4" w:space="0" w:color="auto"/>
            </w:tcBorders>
            <w:shd w:val="clear" w:color="auto" w:fill="auto"/>
            <w:vAlign w:val="center"/>
            <w:hideMark/>
          </w:tcPr>
          <w:p w14:paraId="04ECCA0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jest wyposażony w funkcje wspomagania decyzji klinicznych do zlecania i podaży leków, w tym:</w:t>
            </w:r>
          </w:p>
        </w:tc>
        <w:tc>
          <w:tcPr>
            <w:tcW w:w="1133" w:type="dxa"/>
            <w:tcBorders>
              <w:top w:val="nil"/>
              <w:left w:val="nil"/>
              <w:bottom w:val="single" w:sz="4" w:space="0" w:color="auto"/>
              <w:right w:val="single" w:sz="4" w:space="0" w:color="auto"/>
            </w:tcBorders>
            <w:shd w:val="clear" w:color="auto" w:fill="auto"/>
            <w:vAlign w:val="center"/>
            <w:hideMark/>
          </w:tcPr>
          <w:p w14:paraId="0B0F699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9520FF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D346C2A"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3DAFF5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7.4.1</w:t>
            </w:r>
          </w:p>
        </w:tc>
        <w:tc>
          <w:tcPr>
            <w:tcW w:w="5514" w:type="dxa"/>
            <w:tcBorders>
              <w:top w:val="nil"/>
              <w:left w:val="nil"/>
              <w:bottom w:val="single" w:sz="4" w:space="0" w:color="auto"/>
              <w:right w:val="single" w:sz="4" w:space="0" w:color="auto"/>
            </w:tcBorders>
            <w:shd w:val="clear" w:color="auto" w:fill="auto"/>
            <w:vAlign w:val="center"/>
            <w:hideMark/>
          </w:tcPr>
          <w:p w14:paraId="3382852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alerty o zduplikowaniu terapii (możliwość wyłączenia grup leków lub leków z procesu weryfikacji powtórzenia terapii oraz alternatywnie </w:t>
            </w:r>
            <w:r w:rsidRPr="00F8703A">
              <w:rPr>
                <w:rFonts w:eastAsia="Times New Roman" w:cstheme="minorHAnsi"/>
                <w:lang w:eastAsia="pl-PL"/>
              </w:rPr>
              <w:t>możliwość</w:t>
            </w:r>
            <w:r w:rsidRPr="00CF3752">
              <w:rPr>
                <w:rFonts w:eastAsia="Times New Roman" w:cstheme="minorHAnsi"/>
                <w:lang w:eastAsia="pl-PL"/>
              </w:rPr>
              <w:t xml:space="preserve"> zastosowania procesu weryfikacji powtórzeń terapii tylko dla zadanej grupy leków)</w:t>
            </w:r>
          </w:p>
        </w:tc>
        <w:tc>
          <w:tcPr>
            <w:tcW w:w="1133" w:type="dxa"/>
            <w:tcBorders>
              <w:top w:val="nil"/>
              <w:left w:val="nil"/>
              <w:bottom w:val="single" w:sz="4" w:space="0" w:color="auto"/>
              <w:right w:val="single" w:sz="4" w:space="0" w:color="auto"/>
            </w:tcBorders>
            <w:shd w:val="clear" w:color="auto" w:fill="auto"/>
            <w:vAlign w:val="center"/>
            <w:hideMark/>
          </w:tcPr>
          <w:p w14:paraId="313BB76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AF8FDF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670E329"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F2642E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7.4.2</w:t>
            </w:r>
          </w:p>
        </w:tc>
        <w:tc>
          <w:tcPr>
            <w:tcW w:w="5514" w:type="dxa"/>
            <w:tcBorders>
              <w:top w:val="nil"/>
              <w:left w:val="nil"/>
              <w:bottom w:val="single" w:sz="4" w:space="0" w:color="auto"/>
              <w:right w:val="single" w:sz="4" w:space="0" w:color="auto"/>
            </w:tcBorders>
            <w:shd w:val="clear" w:color="auto" w:fill="auto"/>
            <w:vAlign w:val="center"/>
            <w:hideMark/>
          </w:tcPr>
          <w:p w14:paraId="79E161D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integracja z innymi systemami dla alertów CDS dotyczących zleceń leków, obsługa alertów dotyczących interakcji lek-lek, alergie, ciąża, stan zdrowia (m.in. powiązanie lek-diagnoza), laktacja itp.</w:t>
            </w:r>
          </w:p>
        </w:tc>
        <w:tc>
          <w:tcPr>
            <w:tcW w:w="1133" w:type="dxa"/>
            <w:tcBorders>
              <w:top w:val="nil"/>
              <w:left w:val="nil"/>
              <w:bottom w:val="single" w:sz="4" w:space="0" w:color="auto"/>
              <w:right w:val="single" w:sz="4" w:space="0" w:color="auto"/>
            </w:tcBorders>
            <w:shd w:val="clear" w:color="auto" w:fill="auto"/>
            <w:vAlign w:val="center"/>
            <w:hideMark/>
          </w:tcPr>
          <w:p w14:paraId="56748CA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044475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079FF3D"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3C79BF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7.4.3</w:t>
            </w:r>
          </w:p>
        </w:tc>
        <w:tc>
          <w:tcPr>
            <w:tcW w:w="5514" w:type="dxa"/>
            <w:tcBorders>
              <w:top w:val="nil"/>
              <w:left w:val="nil"/>
              <w:bottom w:val="single" w:sz="4" w:space="0" w:color="auto"/>
              <w:right w:val="single" w:sz="4" w:space="0" w:color="auto"/>
            </w:tcBorders>
            <w:shd w:val="clear" w:color="auto" w:fill="auto"/>
            <w:vAlign w:val="center"/>
            <w:hideMark/>
          </w:tcPr>
          <w:p w14:paraId="6BB67D0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umożliwiająca kontrolowanie typu i poziomu alertów oraz potwierdzanie alertów przez personel lekarski w zależności od typu użytkownika i oddziału</w:t>
            </w:r>
          </w:p>
        </w:tc>
        <w:tc>
          <w:tcPr>
            <w:tcW w:w="1133" w:type="dxa"/>
            <w:tcBorders>
              <w:top w:val="nil"/>
              <w:left w:val="nil"/>
              <w:bottom w:val="single" w:sz="4" w:space="0" w:color="auto"/>
              <w:right w:val="single" w:sz="4" w:space="0" w:color="auto"/>
            </w:tcBorders>
            <w:shd w:val="clear" w:color="auto" w:fill="auto"/>
            <w:vAlign w:val="center"/>
            <w:hideMark/>
          </w:tcPr>
          <w:p w14:paraId="52E6BDB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9092FC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8028B19"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341B86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7.4.4</w:t>
            </w:r>
          </w:p>
        </w:tc>
        <w:tc>
          <w:tcPr>
            <w:tcW w:w="5514" w:type="dxa"/>
            <w:tcBorders>
              <w:top w:val="nil"/>
              <w:left w:val="nil"/>
              <w:bottom w:val="single" w:sz="4" w:space="0" w:color="auto"/>
              <w:right w:val="single" w:sz="4" w:space="0" w:color="auto"/>
            </w:tcBorders>
            <w:shd w:val="clear" w:color="auto" w:fill="auto"/>
            <w:vAlign w:val="center"/>
            <w:hideMark/>
          </w:tcPr>
          <w:p w14:paraId="5B4B266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informacje specyficzne dla konkretnych leków dostępne podczas zlecania, w oknie zlecenia, m.in. wyniki badań laboratoryjnych, parametry życiowe, informacje o alergiach</w:t>
            </w:r>
          </w:p>
        </w:tc>
        <w:tc>
          <w:tcPr>
            <w:tcW w:w="1133" w:type="dxa"/>
            <w:tcBorders>
              <w:top w:val="nil"/>
              <w:left w:val="nil"/>
              <w:bottom w:val="single" w:sz="4" w:space="0" w:color="auto"/>
              <w:right w:val="single" w:sz="4" w:space="0" w:color="auto"/>
            </w:tcBorders>
            <w:shd w:val="clear" w:color="auto" w:fill="auto"/>
            <w:vAlign w:val="center"/>
            <w:hideMark/>
          </w:tcPr>
          <w:p w14:paraId="6D0CE3A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28589C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A269A6" w:rsidRPr="00F8703A" w14:paraId="274252B4"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tcPr>
          <w:p w14:paraId="736A4CA4" w14:textId="060A3F01" w:rsidR="00A269A6" w:rsidRPr="00CF3752" w:rsidRDefault="00A269A6" w:rsidP="00880B0C">
            <w:pPr>
              <w:spacing w:after="0" w:line="240" w:lineRule="auto"/>
              <w:jc w:val="center"/>
              <w:rPr>
                <w:rFonts w:eastAsia="Times New Roman" w:cstheme="minorHAnsi"/>
                <w:lang w:eastAsia="pl-PL"/>
              </w:rPr>
            </w:pPr>
            <w:r>
              <w:rPr>
                <w:rFonts w:eastAsia="Times New Roman" w:cstheme="minorHAnsi"/>
                <w:lang w:eastAsia="pl-PL"/>
              </w:rPr>
              <w:t>7.4.5</w:t>
            </w:r>
          </w:p>
        </w:tc>
        <w:tc>
          <w:tcPr>
            <w:tcW w:w="5514" w:type="dxa"/>
            <w:tcBorders>
              <w:top w:val="nil"/>
              <w:left w:val="nil"/>
              <w:bottom w:val="single" w:sz="4" w:space="0" w:color="auto"/>
              <w:right w:val="single" w:sz="4" w:space="0" w:color="auto"/>
            </w:tcBorders>
            <w:shd w:val="clear" w:color="auto" w:fill="auto"/>
            <w:vAlign w:val="center"/>
          </w:tcPr>
          <w:p w14:paraId="500B1781" w14:textId="420AB9B1" w:rsidR="00A269A6" w:rsidRPr="0001152D" w:rsidRDefault="00A269A6" w:rsidP="0001152D">
            <w:pPr>
              <w:spacing w:before="120" w:after="0" w:line="240" w:lineRule="auto"/>
              <w:jc w:val="both"/>
            </w:pPr>
            <w:r w:rsidRPr="0001152D">
              <w:rPr>
                <w:color w:val="000000"/>
              </w:rPr>
              <w:t xml:space="preserve">wyliczania skali AKI (przednerkowa niewydolność nerek, która jest częstym problemem w oddziałach intensywnej terapii kardiologicznej – ang. </w:t>
            </w:r>
            <w:proofErr w:type="spellStart"/>
            <w:r w:rsidRPr="0001152D">
              <w:rPr>
                <w:i/>
                <w:color w:val="000000"/>
              </w:rPr>
              <w:t>Acute</w:t>
            </w:r>
            <w:proofErr w:type="spellEnd"/>
            <w:r w:rsidRPr="0001152D">
              <w:rPr>
                <w:i/>
                <w:color w:val="000000"/>
              </w:rPr>
              <w:t xml:space="preserve"> </w:t>
            </w:r>
            <w:proofErr w:type="spellStart"/>
            <w:r w:rsidRPr="0001152D">
              <w:rPr>
                <w:i/>
                <w:color w:val="000000"/>
              </w:rPr>
              <w:t>Kidney</w:t>
            </w:r>
            <w:proofErr w:type="spellEnd"/>
            <w:r w:rsidRPr="0001152D">
              <w:rPr>
                <w:i/>
                <w:color w:val="000000"/>
              </w:rPr>
              <w:t xml:space="preserve"> </w:t>
            </w:r>
            <w:proofErr w:type="spellStart"/>
            <w:r w:rsidRPr="0001152D">
              <w:rPr>
                <w:i/>
                <w:color w:val="000000"/>
              </w:rPr>
              <w:t>Injury</w:t>
            </w:r>
            <w:proofErr w:type="spellEnd"/>
            <w:r w:rsidRPr="0001152D">
              <w:rPr>
                <w:color w:val="000000"/>
              </w:rPr>
              <w:t>).</w:t>
            </w:r>
          </w:p>
        </w:tc>
        <w:tc>
          <w:tcPr>
            <w:tcW w:w="1133" w:type="dxa"/>
            <w:tcBorders>
              <w:top w:val="nil"/>
              <w:left w:val="nil"/>
              <w:bottom w:val="single" w:sz="4" w:space="0" w:color="auto"/>
              <w:right w:val="single" w:sz="4" w:space="0" w:color="auto"/>
            </w:tcBorders>
            <w:shd w:val="clear" w:color="auto" w:fill="auto"/>
            <w:vAlign w:val="center"/>
          </w:tcPr>
          <w:p w14:paraId="5491874E" w14:textId="77777777" w:rsidR="00A269A6" w:rsidRPr="00CF3752" w:rsidRDefault="00A269A6" w:rsidP="00880B0C">
            <w:pPr>
              <w:spacing w:after="0" w:line="240" w:lineRule="auto"/>
              <w:jc w:val="center"/>
              <w:rPr>
                <w:rFonts w:eastAsia="Times New Roman" w:cstheme="minorHAnsi"/>
                <w:lang w:eastAsia="pl-PL"/>
              </w:rPr>
            </w:pPr>
          </w:p>
        </w:tc>
        <w:tc>
          <w:tcPr>
            <w:tcW w:w="2011" w:type="dxa"/>
            <w:tcBorders>
              <w:top w:val="nil"/>
              <w:left w:val="nil"/>
              <w:bottom w:val="single" w:sz="4" w:space="0" w:color="auto"/>
              <w:right w:val="single" w:sz="4" w:space="0" w:color="auto"/>
            </w:tcBorders>
            <w:shd w:val="clear" w:color="auto" w:fill="auto"/>
            <w:vAlign w:val="center"/>
          </w:tcPr>
          <w:p w14:paraId="6E009433" w14:textId="77777777" w:rsidR="00A269A6" w:rsidRPr="00CF3752" w:rsidRDefault="00A269A6" w:rsidP="00880B0C">
            <w:pPr>
              <w:spacing w:after="0" w:line="240" w:lineRule="auto"/>
              <w:jc w:val="center"/>
              <w:rPr>
                <w:rFonts w:eastAsia="Times New Roman" w:cstheme="minorHAnsi"/>
                <w:lang w:eastAsia="pl-PL"/>
              </w:rPr>
            </w:pPr>
          </w:p>
        </w:tc>
      </w:tr>
      <w:tr w:rsidR="00A269A6" w:rsidRPr="00F8703A" w14:paraId="0CD2433B"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tcPr>
          <w:p w14:paraId="165B7DA1" w14:textId="2F06C7B6" w:rsidR="00A269A6" w:rsidRDefault="00A269A6" w:rsidP="00880B0C">
            <w:pPr>
              <w:spacing w:after="0" w:line="240" w:lineRule="auto"/>
              <w:jc w:val="center"/>
              <w:rPr>
                <w:rFonts w:eastAsia="Times New Roman" w:cstheme="minorHAnsi"/>
                <w:lang w:eastAsia="pl-PL"/>
              </w:rPr>
            </w:pPr>
            <w:r>
              <w:rPr>
                <w:rFonts w:eastAsia="Times New Roman" w:cstheme="minorHAnsi"/>
                <w:lang w:eastAsia="pl-PL"/>
              </w:rPr>
              <w:t>7.4.6</w:t>
            </w:r>
          </w:p>
        </w:tc>
        <w:tc>
          <w:tcPr>
            <w:tcW w:w="5514" w:type="dxa"/>
            <w:tcBorders>
              <w:top w:val="nil"/>
              <w:left w:val="nil"/>
              <w:bottom w:val="single" w:sz="4" w:space="0" w:color="auto"/>
              <w:right w:val="single" w:sz="4" w:space="0" w:color="auto"/>
            </w:tcBorders>
            <w:shd w:val="clear" w:color="auto" w:fill="auto"/>
            <w:vAlign w:val="center"/>
          </w:tcPr>
          <w:p w14:paraId="4EEF426F" w14:textId="5760EFDF" w:rsidR="00A269A6" w:rsidRPr="0001152D" w:rsidRDefault="00A269A6" w:rsidP="0001152D">
            <w:pPr>
              <w:spacing w:before="120" w:after="0" w:line="240" w:lineRule="auto"/>
              <w:jc w:val="both"/>
            </w:pPr>
            <w:r w:rsidRPr="0001152D">
              <w:rPr>
                <w:color w:val="000000"/>
              </w:rPr>
              <w:t xml:space="preserve">oceny intensywności opieki wymaganej przez pacjenta przez zastosowanie algorytmów do wyliczania skali TISS (zbiór procedur terapeutycznych oraz systemów monitorowania, z których niektóre wdrażane są w momencie przyjęcia chorego do OIT - ang. </w:t>
            </w:r>
            <w:proofErr w:type="spellStart"/>
            <w:r w:rsidRPr="0001152D">
              <w:rPr>
                <w:i/>
                <w:color w:val="000000"/>
              </w:rPr>
              <w:t>Therapeutic</w:t>
            </w:r>
            <w:proofErr w:type="spellEnd"/>
            <w:r w:rsidRPr="0001152D">
              <w:rPr>
                <w:i/>
                <w:color w:val="000000"/>
              </w:rPr>
              <w:t xml:space="preserve"> </w:t>
            </w:r>
            <w:proofErr w:type="spellStart"/>
            <w:r w:rsidRPr="0001152D">
              <w:rPr>
                <w:i/>
                <w:color w:val="000000"/>
              </w:rPr>
              <w:t>Intervention</w:t>
            </w:r>
            <w:proofErr w:type="spellEnd"/>
            <w:r w:rsidRPr="0001152D">
              <w:rPr>
                <w:i/>
                <w:color w:val="000000"/>
              </w:rPr>
              <w:t xml:space="preserve"> </w:t>
            </w:r>
            <w:proofErr w:type="spellStart"/>
            <w:r w:rsidRPr="0001152D">
              <w:rPr>
                <w:i/>
                <w:color w:val="000000"/>
              </w:rPr>
              <w:t>Scoring</w:t>
            </w:r>
            <w:proofErr w:type="spellEnd"/>
            <w:r w:rsidRPr="0001152D">
              <w:rPr>
                <w:i/>
                <w:color w:val="000000"/>
              </w:rPr>
              <w:t xml:space="preserve"> System</w:t>
            </w:r>
            <w:r w:rsidRPr="0001152D">
              <w:rPr>
                <w:color w:val="000000"/>
              </w:rPr>
              <w:t>).</w:t>
            </w:r>
          </w:p>
        </w:tc>
        <w:tc>
          <w:tcPr>
            <w:tcW w:w="1133" w:type="dxa"/>
            <w:tcBorders>
              <w:top w:val="nil"/>
              <w:left w:val="nil"/>
              <w:bottom w:val="single" w:sz="4" w:space="0" w:color="auto"/>
              <w:right w:val="single" w:sz="4" w:space="0" w:color="auto"/>
            </w:tcBorders>
            <w:shd w:val="clear" w:color="auto" w:fill="auto"/>
            <w:vAlign w:val="center"/>
          </w:tcPr>
          <w:p w14:paraId="4BD477F6" w14:textId="77777777" w:rsidR="00A269A6" w:rsidRPr="00CF3752" w:rsidRDefault="00A269A6" w:rsidP="00880B0C">
            <w:pPr>
              <w:spacing w:after="0" w:line="240" w:lineRule="auto"/>
              <w:jc w:val="center"/>
              <w:rPr>
                <w:rFonts w:eastAsia="Times New Roman" w:cstheme="minorHAnsi"/>
                <w:lang w:eastAsia="pl-PL"/>
              </w:rPr>
            </w:pPr>
          </w:p>
        </w:tc>
        <w:tc>
          <w:tcPr>
            <w:tcW w:w="2011" w:type="dxa"/>
            <w:tcBorders>
              <w:top w:val="nil"/>
              <w:left w:val="nil"/>
              <w:bottom w:val="single" w:sz="4" w:space="0" w:color="auto"/>
              <w:right w:val="single" w:sz="4" w:space="0" w:color="auto"/>
            </w:tcBorders>
            <w:shd w:val="clear" w:color="auto" w:fill="auto"/>
            <w:vAlign w:val="center"/>
          </w:tcPr>
          <w:p w14:paraId="310AF7D4" w14:textId="77777777" w:rsidR="00A269A6" w:rsidRPr="00CF3752" w:rsidRDefault="00A269A6" w:rsidP="00880B0C">
            <w:pPr>
              <w:spacing w:after="0" w:line="240" w:lineRule="auto"/>
              <w:jc w:val="center"/>
              <w:rPr>
                <w:rFonts w:eastAsia="Times New Roman" w:cstheme="minorHAnsi"/>
                <w:lang w:eastAsia="pl-PL"/>
              </w:rPr>
            </w:pPr>
          </w:p>
        </w:tc>
      </w:tr>
      <w:tr w:rsidR="00A269A6" w:rsidRPr="00F8703A" w14:paraId="7F29515E"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tcPr>
          <w:p w14:paraId="11831F69" w14:textId="4F8E1650" w:rsidR="00A269A6" w:rsidRDefault="00A269A6" w:rsidP="00880B0C">
            <w:pPr>
              <w:spacing w:after="0" w:line="240" w:lineRule="auto"/>
              <w:jc w:val="center"/>
              <w:rPr>
                <w:rFonts w:eastAsia="Times New Roman" w:cstheme="minorHAnsi"/>
                <w:lang w:eastAsia="pl-PL"/>
              </w:rPr>
            </w:pPr>
            <w:r>
              <w:rPr>
                <w:rFonts w:eastAsia="Times New Roman" w:cstheme="minorHAnsi"/>
                <w:lang w:eastAsia="pl-PL"/>
              </w:rPr>
              <w:t>7.4.7</w:t>
            </w:r>
          </w:p>
        </w:tc>
        <w:tc>
          <w:tcPr>
            <w:tcW w:w="5514" w:type="dxa"/>
            <w:tcBorders>
              <w:top w:val="nil"/>
              <w:left w:val="nil"/>
              <w:bottom w:val="single" w:sz="4" w:space="0" w:color="auto"/>
              <w:right w:val="single" w:sz="4" w:space="0" w:color="auto"/>
            </w:tcBorders>
            <w:shd w:val="clear" w:color="auto" w:fill="auto"/>
            <w:vAlign w:val="center"/>
          </w:tcPr>
          <w:p w14:paraId="6E58AD00" w14:textId="07B57548" w:rsidR="00A269A6" w:rsidRPr="0001152D" w:rsidRDefault="00A269A6" w:rsidP="0001152D">
            <w:pPr>
              <w:spacing w:before="120" w:after="0" w:line="240" w:lineRule="auto"/>
              <w:jc w:val="both"/>
            </w:pPr>
            <w:r w:rsidRPr="0001152D">
              <w:rPr>
                <w:color w:val="000000"/>
              </w:rPr>
              <w:t>monitorowania zagrożenia wystąpienia u pacjenta SEPSY na podstawie danych gromadzonych automatycznie oraz informacji, danych i obserwacji rejestrowanych przez personel medyczny.</w:t>
            </w:r>
          </w:p>
        </w:tc>
        <w:tc>
          <w:tcPr>
            <w:tcW w:w="1133" w:type="dxa"/>
            <w:tcBorders>
              <w:top w:val="nil"/>
              <w:left w:val="nil"/>
              <w:bottom w:val="single" w:sz="4" w:space="0" w:color="auto"/>
              <w:right w:val="single" w:sz="4" w:space="0" w:color="auto"/>
            </w:tcBorders>
            <w:shd w:val="clear" w:color="auto" w:fill="auto"/>
            <w:vAlign w:val="center"/>
          </w:tcPr>
          <w:p w14:paraId="5AF1B922" w14:textId="77777777" w:rsidR="00A269A6" w:rsidRPr="00CF3752" w:rsidRDefault="00A269A6" w:rsidP="00880B0C">
            <w:pPr>
              <w:spacing w:after="0" w:line="240" w:lineRule="auto"/>
              <w:jc w:val="center"/>
              <w:rPr>
                <w:rFonts w:eastAsia="Times New Roman" w:cstheme="minorHAnsi"/>
                <w:lang w:eastAsia="pl-PL"/>
              </w:rPr>
            </w:pPr>
          </w:p>
        </w:tc>
        <w:tc>
          <w:tcPr>
            <w:tcW w:w="2011" w:type="dxa"/>
            <w:tcBorders>
              <w:top w:val="nil"/>
              <w:left w:val="nil"/>
              <w:bottom w:val="single" w:sz="4" w:space="0" w:color="auto"/>
              <w:right w:val="single" w:sz="4" w:space="0" w:color="auto"/>
            </w:tcBorders>
            <w:shd w:val="clear" w:color="auto" w:fill="auto"/>
            <w:vAlign w:val="center"/>
          </w:tcPr>
          <w:p w14:paraId="065828FE" w14:textId="77777777" w:rsidR="00A269A6" w:rsidRPr="00CF3752" w:rsidRDefault="00A269A6" w:rsidP="00880B0C">
            <w:pPr>
              <w:spacing w:after="0" w:line="240" w:lineRule="auto"/>
              <w:jc w:val="center"/>
              <w:rPr>
                <w:rFonts w:eastAsia="Times New Roman" w:cstheme="minorHAnsi"/>
                <w:lang w:eastAsia="pl-PL"/>
              </w:rPr>
            </w:pPr>
          </w:p>
        </w:tc>
      </w:tr>
      <w:tr w:rsidR="00CB3017" w:rsidRPr="00F8703A" w14:paraId="4C664EB5"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49F440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7.5</w:t>
            </w:r>
          </w:p>
        </w:tc>
        <w:tc>
          <w:tcPr>
            <w:tcW w:w="5514" w:type="dxa"/>
            <w:tcBorders>
              <w:top w:val="nil"/>
              <w:left w:val="nil"/>
              <w:bottom w:val="single" w:sz="4" w:space="0" w:color="auto"/>
              <w:right w:val="single" w:sz="4" w:space="0" w:color="auto"/>
            </w:tcBorders>
            <w:shd w:val="clear" w:color="auto" w:fill="auto"/>
            <w:vAlign w:val="center"/>
            <w:hideMark/>
          </w:tcPr>
          <w:p w14:paraId="3D029E3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wprowadzenie wartości normalnych dla poszczególnych parametrów w celu wyznaczenia nieprawidłowości, zapewniając personelowi lekarskiemu wizualne wskazanie odchyleń od wartości oczekiwanych.</w:t>
            </w:r>
          </w:p>
        </w:tc>
        <w:tc>
          <w:tcPr>
            <w:tcW w:w="1133" w:type="dxa"/>
            <w:tcBorders>
              <w:top w:val="nil"/>
              <w:left w:val="nil"/>
              <w:bottom w:val="single" w:sz="4" w:space="0" w:color="auto"/>
              <w:right w:val="single" w:sz="4" w:space="0" w:color="auto"/>
            </w:tcBorders>
            <w:shd w:val="clear" w:color="auto" w:fill="auto"/>
            <w:vAlign w:val="center"/>
            <w:hideMark/>
          </w:tcPr>
          <w:p w14:paraId="287D32C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6119AA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ADA96ED"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BE65A6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7.6</w:t>
            </w:r>
          </w:p>
        </w:tc>
        <w:tc>
          <w:tcPr>
            <w:tcW w:w="5514" w:type="dxa"/>
            <w:tcBorders>
              <w:top w:val="nil"/>
              <w:left w:val="nil"/>
              <w:bottom w:val="single" w:sz="4" w:space="0" w:color="auto"/>
              <w:right w:val="single" w:sz="4" w:space="0" w:color="auto"/>
            </w:tcBorders>
            <w:shd w:val="clear" w:color="auto" w:fill="auto"/>
            <w:vAlign w:val="center"/>
            <w:hideMark/>
          </w:tcPr>
          <w:p w14:paraId="1F26394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powiadamia o identyfikacji pacjenta jako kandydata do badań (labora</w:t>
            </w:r>
            <w:r>
              <w:rPr>
                <w:rFonts w:eastAsia="Times New Roman" w:cstheme="minorHAnsi"/>
                <w:lang w:eastAsia="pl-PL"/>
              </w:rPr>
              <w:t>toryjnych</w:t>
            </w:r>
            <w:r w:rsidRPr="00CF3752">
              <w:rPr>
                <w:rFonts w:eastAsia="Times New Roman" w:cstheme="minorHAnsi"/>
                <w:lang w:eastAsia="pl-PL"/>
              </w:rPr>
              <w:t>, obrazowych) wg kryteriów określonych przez Zamawiającego.</w:t>
            </w:r>
          </w:p>
        </w:tc>
        <w:tc>
          <w:tcPr>
            <w:tcW w:w="1133" w:type="dxa"/>
            <w:tcBorders>
              <w:top w:val="nil"/>
              <w:left w:val="nil"/>
              <w:bottom w:val="single" w:sz="4" w:space="0" w:color="auto"/>
              <w:right w:val="single" w:sz="4" w:space="0" w:color="auto"/>
            </w:tcBorders>
            <w:shd w:val="clear" w:color="auto" w:fill="auto"/>
            <w:vAlign w:val="center"/>
            <w:hideMark/>
          </w:tcPr>
          <w:p w14:paraId="186FD3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510A6C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335E1E0"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6EDCE74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8</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2BA06455"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Powiadomienia i notyfikacje</w:t>
            </w:r>
          </w:p>
        </w:tc>
      </w:tr>
      <w:tr w:rsidR="00CB3017" w:rsidRPr="00F8703A" w14:paraId="10928A64" w14:textId="77777777" w:rsidTr="00FD23DE">
        <w:trPr>
          <w:trHeight w:val="343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52735C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8.1</w:t>
            </w:r>
          </w:p>
        </w:tc>
        <w:tc>
          <w:tcPr>
            <w:tcW w:w="5514" w:type="dxa"/>
            <w:tcBorders>
              <w:top w:val="nil"/>
              <w:left w:val="nil"/>
              <w:bottom w:val="single" w:sz="4" w:space="0" w:color="auto"/>
              <w:right w:val="single" w:sz="4" w:space="0" w:color="auto"/>
            </w:tcBorders>
            <w:shd w:val="clear" w:color="auto" w:fill="auto"/>
            <w:vAlign w:val="center"/>
            <w:hideMark/>
          </w:tcPr>
          <w:p w14:paraId="4C46E03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powiadomień widocznych na ekranie głównym w sposób niezasłaniający danych pacjenta, informujących co najmniej o następujących zdarzeniach:</w:t>
            </w:r>
            <w:r w:rsidRPr="00CF3752">
              <w:rPr>
                <w:rFonts w:eastAsia="Times New Roman" w:cstheme="minorHAnsi"/>
                <w:lang w:eastAsia="pl-PL"/>
              </w:rPr>
              <w:br/>
              <w:t>- oczekiwanie na zatwierdzenie leków i zadań</w:t>
            </w:r>
            <w:r w:rsidRPr="00CF3752">
              <w:rPr>
                <w:rFonts w:eastAsia="Times New Roman" w:cstheme="minorHAnsi"/>
                <w:lang w:eastAsia="pl-PL"/>
              </w:rPr>
              <w:br/>
              <w:t>- nowy wynik badania laboratoryjnego / mikrobiologicznego</w:t>
            </w:r>
            <w:r w:rsidRPr="00CF3752">
              <w:rPr>
                <w:rFonts w:eastAsia="Times New Roman" w:cstheme="minorHAnsi"/>
                <w:lang w:eastAsia="pl-PL"/>
              </w:rPr>
              <w:br/>
              <w:t>- nowy alert (m.in. kwalifikacja pacjenta do badania klinicznego, brakujące dane pacjenta, konieczność ponownego podania antybiotyku, ryzyko wystąpienia wstrząsu septycznego).</w:t>
            </w:r>
            <w:r w:rsidRPr="00CF3752">
              <w:rPr>
                <w:rFonts w:eastAsia="Times New Roman" w:cstheme="minorHAnsi"/>
                <w:lang w:eastAsia="pl-PL"/>
              </w:rPr>
              <w:br/>
              <w:t>- wiadomość przychodząca</w:t>
            </w:r>
            <w:r w:rsidRPr="00CF3752">
              <w:rPr>
                <w:rFonts w:eastAsia="Times New Roman" w:cstheme="minorHAnsi"/>
                <w:lang w:eastAsia="pl-PL"/>
              </w:rPr>
              <w:br/>
              <w:t>- powiadomienie z zewnętrznego systemu np. HIS.                              System powiadomień jest konfigurowalny (edytowany) przez użytkownika, w tym umożliwia dodawanie lub usuwanie funkcjonalności w zależności od potrzeb podczas użytkowania.</w:t>
            </w:r>
          </w:p>
        </w:tc>
        <w:tc>
          <w:tcPr>
            <w:tcW w:w="1133" w:type="dxa"/>
            <w:tcBorders>
              <w:top w:val="nil"/>
              <w:left w:val="nil"/>
              <w:bottom w:val="single" w:sz="4" w:space="0" w:color="auto"/>
              <w:right w:val="single" w:sz="4" w:space="0" w:color="auto"/>
            </w:tcBorders>
            <w:shd w:val="clear" w:color="auto" w:fill="auto"/>
            <w:vAlign w:val="center"/>
            <w:hideMark/>
          </w:tcPr>
          <w:p w14:paraId="5615994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5A5B16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F223194"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0D3E1F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8.2</w:t>
            </w:r>
          </w:p>
        </w:tc>
        <w:tc>
          <w:tcPr>
            <w:tcW w:w="5514" w:type="dxa"/>
            <w:tcBorders>
              <w:top w:val="nil"/>
              <w:left w:val="nil"/>
              <w:bottom w:val="single" w:sz="4" w:space="0" w:color="auto"/>
              <w:right w:val="single" w:sz="4" w:space="0" w:color="auto"/>
            </w:tcBorders>
            <w:shd w:val="clear" w:color="auto" w:fill="auto"/>
            <w:vAlign w:val="center"/>
            <w:hideMark/>
          </w:tcPr>
          <w:p w14:paraId="3B91819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inteligentne alarmy i powiadomienia min.:</w:t>
            </w:r>
          </w:p>
        </w:tc>
        <w:tc>
          <w:tcPr>
            <w:tcW w:w="1133" w:type="dxa"/>
            <w:tcBorders>
              <w:top w:val="nil"/>
              <w:left w:val="nil"/>
              <w:bottom w:val="single" w:sz="4" w:space="0" w:color="auto"/>
              <w:right w:val="single" w:sz="4" w:space="0" w:color="auto"/>
            </w:tcBorders>
            <w:shd w:val="clear" w:color="auto" w:fill="auto"/>
            <w:vAlign w:val="center"/>
            <w:hideMark/>
          </w:tcPr>
          <w:p w14:paraId="5824B60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366F06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E853D5B" w14:textId="77777777" w:rsidTr="00FD23DE">
        <w:trPr>
          <w:trHeight w:val="369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DD4EC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8.2.1</w:t>
            </w:r>
          </w:p>
        </w:tc>
        <w:tc>
          <w:tcPr>
            <w:tcW w:w="5514" w:type="dxa"/>
            <w:tcBorders>
              <w:top w:val="nil"/>
              <w:left w:val="nil"/>
              <w:bottom w:val="single" w:sz="4" w:space="0" w:color="auto"/>
              <w:right w:val="single" w:sz="4" w:space="0" w:color="auto"/>
            </w:tcBorders>
            <w:shd w:val="clear" w:color="auto" w:fill="auto"/>
            <w:vAlign w:val="center"/>
            <w:hideMark/>
          </w:tcPr>
          <w:p w14:paraId="3C8206E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brakujące dane w ciągu 24 godzin od przyjęcia pacjenta (waga, płeć, data urodzenia, grupa krwi, osoba kontaktowa, wynik Apache, SOFA, SAPS II)</w:t>
            </w:r>
            <w:r w:rsidRPr="00CF3752">
              <w:rPr>
                <w:rFonts w:eastAsia="Times New Roman" w:cstheme="minorHAnsi"/>
                <w:lang w:eastAsia="pl-PL"/>
              </w:rPr>
              <w:br/>
              <w:t>- powiadomienie o gotowości pacjenta do zabiegu (udokumentowana ocena przedoperacyjna)</w:t>
            </w:r>
            <w:r w:rsidRPr="00CF3752">
              <w:rPr>
                <w:rFonts w:eastAsia="Times New Roman" w:cstheme="minorHAnsi"/>
                <w:lang w:eastAsia="pl-PL"/>
              </w:rPr>
              <w:br/>
              <w:t xml:space="preserve">- powiadomienie o zakończeniu operacji </w:t>
            </w:r>
            <w:r w:rsidRPr="00CF3752">
              <w:rPr>
                <w:rFonts w:eastAsia="Times New Roman" w:cstheme="minorHAnsi"/>
                <w:lang w:eastAsia="pl-PL"/>
              </w:rPr>
              <w:br/>
              <w:t>- powiadomienie dotyczące opaski uciskowej (ucisk w wyniku działania opaski ponad 60 minut)</w:t>
            </w:r>
            <w:r w:rsidRPr="00CF3752">
              <w:rPr>
                <w:rFonts w:eastAsia="Times New Roman" w:cstheme="minorHAnsi"/>
                <w:lang w:eastAsia="pl-PL"/>
              </w:rPr>
              <w:br/>
              <w:t>- powiadomienie dotyczące hipertermii</w:t>
            </w:r>
            <w:r w:rsidRPr="00CF3752">
              <w:rPr>
                <w:rFonts w:eastAsia="Times New Roman" w:cstheme="minorHAnsi"/>
                <w:lang w:eastAsia="pl-PL"/>
              </w:rPr>
              <w:br/>
              <w:t xml:space="preserve">- powiadomienie dotyczące opaski na gardło </w:t>
            </w:r>
            <w:r w:rsidRPr="00CF3752">
              <w:rPr>
                <w:rFonts w:eastAsia="Times New Roman" w:cstheme="minorHAnsi"/>
                <w:lang w:eastAsia="pl-PL"/>
              </w:rPr>
              <w:br/>
              <w:t>- powiadomienie dotyczące monitorowania bólu (brak dokumentacji poziomu bólu w ciągu 30 minut po podaniu środka przeciwbólowego)</w:t>
            </w:r>
            <w:r w:rsidRPr="00CF3752">
              <w:rPr>
                <w:rFonts w:eastAsia="Times New Roman" w:cstheme="minorHAnsi"/>
                <w:lang w:eastAsia="pl-PL"/>
              </w:rPr>
              <w:br/>
              <w:t xml:space="preserve">- powiadomienie o gotowości pacjenta do wypisu z oddziału pooperacyjnego (według ostatniego zarejestrowanego wyniku </w:t>
            </w:r>
            <w:proofErr w:type="spellStart"/>
            <w:r w:rsidRPr="00CF3752">
              <w:rPr>
                <w:rFonts w:eastAsia="Times New Roman" w:cstheme="minorHAnsi"/>
                <w:lang w:eastAsia="pl-PL"/>
              </w:rPr>
              <w:t>Aldreta</w:t>
            </w:r>
            <w:proofErr w:type="spellEnd"/>
            <w:r w:rsidRPr="00CF3752">
              <w:rPr>
                <w:rFonts w:eastAsia="Times New Roman" w:cstheme="minorHAnsi"/>
                <w:lang w:eastAsia="pl-PL"/>
              </w:rPr>
              <w:t xml:space="preserve">) </w:t>
            </w:r>
            <w:r w:rsidRPr="00CF3752">
              <w:rPr>
                <w:rFonts w:eastAsia="Times New Roman" w:cstheme="minorHAnsi"/>
                <w:lang w:eastAsia="pl-PL"/>
              </w:rPr>
              <w:br/>
              <w:t>- powiadomienie o czasie trwania antybiotykoterapii</w:t>
            </w:r>
          </w:p>
        </w:tc>
        <w:tc>
          <w:tcPr>
            <w:tcW w:w="1133" w:type="dxa"/>
            <w:tcBorders>
              <w:top w:val="nil"/>
              <w:left w:val="nil"/>
              <w:bottom w:val="single" w:sz="4" w:space="0" w:color="auto"/>
              <w:right w:val="single" w:sz="4" w:space="0" w:color="auto"/>
            </w:tcBorders>
            <w:shd w:val="clear" w:color="auto" w:fill="auto"/>
            <w:vAlign w:val="center"/>
            <w:hideMark/>
          </w:tcPr>
          <w:p w14:paraId="634E9C6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59D43F1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6CCC39C"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88FAA6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8.2.2</w:t>
            </w:r>
          </w:p>
        </w:tc>
        <w:tc>
          <w:tcPr>
            <w:tcW w:w="5514" w:type="dxa"/>
            <w:tcBorders>
              <w:top w:val="nil"/>
              <w:left w:val="nil"/>
              <w:bottom w:val="single" w:sz="4" w:space="0" w:color="auto"/>
              <w:right w:val="single" w:sz="4" w:space="0" w:color="auto"/>
            </w:tcBorders>
            <w:shd w:val="clear" w:color="auto" w:fill="auto"/>
            <w:vAlign w:val="center"/>
            <w:hideMark/>
          </w:tcPr>
          <w:p w14:paraId="5A88B27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powiadomienie o ryzyku ciężkiego uszkodzenia płuc (w zależności od wartości FiO2, częstości oddechu, SpO2 i </w:t>
            </w:r>
            <w:proofErr w:type="spellStart"/>
            <w:r w:rsidRPr="00CF3752">
              <w:rPr>
                <w:rFonts w:eastAsia="Times New Roman" w:cstheme="minorHAnsi"/>
                <w:lang w:eastAsia="pl-PL"/>
              </w:rPr>
              <w:t>pH</w:t>
            </w:r>
            <w:proofErr w:type="spellEnd"/>
            <w:r w:rsidRPr="00CF3752">
              <w:rPr>
                <w:rFonts w:eastAsia="Times New Roman" w:cstheme="minorHAnsi"/>
                <w:lang w:eastAsia="pl-PL"/>
              </w:rPr>
              <w:t>)</w:t>
            </w:r>
            <w:r w:rsidRPr="00CF3752">
              <w:rPr>
                <w:rFonts w:eastAsia="Times New Roman" w:cstheme="minorHAnsi"/>
                <w:lang w:eastAsia="pl-PL"/>
              </w:rPr>
              <w:br/>
              <w:t>- powiadomienie o spadku saturacji (&lt; 3% i &lt; 10% w ciągu ostatnich 0,5 – 2h)</w:t>
            </w:r>
            <w:r w:rsidRPr="00CF3752">
              <w:rPr>
                <w:rFonts w:eastAsia="Times New Roman" w:cstheme="minorHAnsi"/>
                <w:lang w:eastAsia="pl-PL"/>
              </w:rPr>
              <w:br/>
              <w:t>- powiadomienie o docelowym dziennym bilansie płynów (&gt; ustawiony limit płynów w okresie 24 godzin)</w:t>
            </w:r>
          </w:p>
        </w:tc>
        <w:tc>
          <w:tcPr>
            <w:tcW w:w="1133" w:type="dxa"/>
            <w:tcBorders>
              <w:top w:val="nil"/>
              <w:left w:val="nil"/>
              <w:bottom w:val="single" w:sz="4" w:space="0" w:color="auto"/>
              <w:right w:val="single" w:sz="4" w:space="0" w:color="auto"/>
            </w:tcBorders>
            <w:shd w:val="clear" w:color="auto" w:fill="auto"/>
            <w:vAlign w:val="center"/>
            <w:hideMark/>
          </w:tcPr>
          <w:p w14:paraId="49336DE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550BF54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1A8D282" w14:textId="77777777" w:rsidTr="00FD23DE">
        <w:trPr>
          <w:trHeight w:val="23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879215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8.2.3</w:t>
            </w:r>
          </w:p>
        </w:tc>
        <w:tc>
          <w:tcPr>
            <w:tcW w:w="5514" w:type="dxa"/>
            <w:tcBorders>
              <w:top w:val="nil"/>
              <w:left w:val="nil"/>
              <w:bottom w:val="single" w:sz="4" w:space="0" w:color="auto"/>
              <w:right w:val="single" w:sz="4" w:space="0" w:color="auto"/>
            </w:tcBorders>
            <w:shd w:val="clear" w:color="auto" w:fill="auto"/>
            <w:vAlign w:val="center"/>
            <w:hideMark/>
          </w:tcPr>
          <w:p w14:paraId="1A0024F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monitorowanie wkłuć (m.in. wymiana cewnika po 7 dniach, potwierdzenie położenia cewnika prześwietlaniem RTG w ciągu 30 min. od założenia, brak udokumentowania założenia zleconego wkłucia zewnątrzoponowego i </w:t>
            </w:r>
            <w:proofErr w:type="spellStart"/>
            <w:r w:rsidRPr="00CF3752">
              <w:rPr>
                <w:rFonts w:eastAsia="Times New Roman" w:cstheme="minorHAnsi"/>
                <w:lang w:eastAsia="pl-PL"/>
              </w:rPr>
              <w:t>śródkostnego</w:t>
            </w:r>
            <w:proofErr w:type="spellEnd"/>
            <w:r w:rsidRPr="00CF3752">
              <w:rPr>
                <w:rFonts w:eastAsia="Times New Roman" w:cstheme="minorHAnsi"/>
                <w:lang w:eastAsia="pl-PL"/>
              </w:rPr>
              <w:t>)</w:t>
            </w:r>
            <w:r w:rsidRPr="00CF3752">
              <w:rPr>
                <w:rFonts w:eastAsia="Times New Roman" w:cstheme="minorHAnsi"/>
                <w:lang w:eastAsia="pl-PL"/>
              </w:rPr>
              <w:br/>
              <w:t>- monitorowanie rurek (m.in. brak udokumentowania założenia zleconego zgłębnika żołądkowego)</w:t>
            </w:r>
            <w:r w:rsidRPr="00CF3752">
              <w:rPr>
                <w:rFonts w:eastAsia="Times New Roman" w:cstheme="minorHAnsi"/>
                <w:lang w:eastAsia="pl-PL"/>
              </w:rPr>
              <w:br/>
              <w:t xml:space="preserve">- monitorowanie po intubacji (m.in. przeprowadzenie testu połykania po 8 godzinach od </w:t>
            </w:r>
            <w:proofErr w:type="spellStart"/>
            <w:r w:rsidRPr="00CF3752">
              <w:rPr>
                <w:rFonts w:eastAsia="Times New Roman" w:cstheme="minorHAnsi"/>
                <w:lang w:eastAsia="pl-PL"/>
              </w:rPr>
              <w:t>ekstubacji</w:t>
            </w:r>
            <w:proofErr w:type="spellEnd"/>
            <w:r w:rsidRPr="00CF3752">
              <w:rPr>
                <w:rFonts w:eastAsia="Times New Roman" w:cstheme="minorHAnsi"/>
                <w:lang w:eastAsia="pl-PL"/>
              </w:rPr>
              <w:t xml:space="preserve">, wykonanie prześwietlenia RTG po 30 minutach od </w:t>
            </w:r>
            <w:proofErr w:type="spellStart"/>
            <w:r w:rsidRPr="00CF3752">
              <w:rPr>
                <w:rFonts w:eastAsia="Times New Roman" w:cstheme="minorHAnsi"/>
                <w:lang w:eastAsia="pl-PL"/>
              </w:rPr>
              <w:t>ekstubacji</w:t>
            </w:r>
            <w:proofErr w:type="spellEnd"/>
            <w:r w:rsidRPr="00CF3752">
              <w:rPr>
                <w:rFonts w:eastAsia="Times New Roman" w:cstheme="minorHAnsi"/>
                <w:lang w:eastAsia="pl-PL"/>
              </w:rPr>
              <w:t>)</w:t>
            </w:r>
          </w:p>
        </w:tc>
        <w:tc>
          <w:tcPr>
            <w:tcW w:w="1133" w:type="dxa"/>
            <w:tcBorders>
              <w:top w:val="nil"/>
              <w:left w:val="nil"/>
              <w:bottom w:val="single" w:sz="4" w:space="0" w:color="auto"/>
              <w:right w:val="single" w:sz="4" w:space="0" w:color="auto"/>
            </w:tcBorders>
            <w:shd w:val="clear" w:color="auto" w:fill="auto"/>
            <w:vAlign w:val="center"/>
            <w:hideMark/>
          </w:tcPr>
          <w:p w14:paraId="12974AA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511805F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FAF11E6" w14:textId="77777777" w:rsidTr="00FD23DE">
        <w:trPr>
          <w:trHeight w:val="23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4A0848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8.2.4</w:t>
            </w:r>
          </w:p>
        </w:tc>
        <w:tc>
          <w:tcPr>
            <w:tcW w:w="5514" w:type="dxa"/>
            <w:tcBorders>
              <w:top w:val="nil"/>
              <w:left w:val="nil"/>
              <w:bottom w:val="single" w:sz="4" w:space="0" w:color="auto"/>
              <w:right w:val="single" w:sz="4" w:space="0" w:color="auto"/>
            </w:tcBorders>
            <w:shd w:val="clear" w:color="auto" w:fill="auto"/>
            <w:vAlign w:val="center"/>
            <w:hideMark/>
          </w:tcPr>
          <w:p w14:paraId="7D098EA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monitorowanie delirium (m.in. unieruchomienie pacjenta z delirium przy pozytywnym wyniku CAM-ICU, zniesienie unieruchomienia pacjenta przy negatywnym wyniku CAM-ICU, ocena skóry 2 h po zniesieniu uruchomiania pacjenta)</w:t>
            </w:r>
            <w:r w:rsidRPr="00CF3752">
              <w:rPr>
                <w:rFonts w:eastAsia="Times New Roman" w:cstheme="minorHAnsi"/>
                <w:lang w:eastAsia="pl-PL"/>
              </w:rPr>
              <w:br/>
              <w:t>- monitorowanie infekcji (m.in. spełnienie kryteriów sepsy, spełnienie kryteriów ciężkiej sepsy)</w:t>
            </w:r>
            <w:r w:rsidRPr="00CF3752">
              <w:rPr>
                <w:rFonts w:eastAsia="Times New Roman" w:cstheme="minorHAnsi"/>
                <w:lang w:eastAsia="pl-PL"/>
              </w:rPr>
              <w:br/>
              <w:t xml:space="preserve">- monitorowanie oceny ryzyka (m.in. rozpoznanie pacjentów wysokiego ryzyka śmiertelności z podejrzeniem zakażenia na podstawie wyniku </w:t>
            </w:r>
            <w:proofErr w:type="spellStart"/>
            <w:r w:rsidRPr="00CF3752">
              <w:rPr>
                <w:rFonts w:eastAsia="Times New Roman" w:cstheme="minorHAnsi"/>
                <w:lang w:eastAsia="pl-PL"/>
              </w:rPr>
              <w:t>qSOFA</w:t>
            </w:r>
            <w:proofErr w:type="spellEnd"/>
            <w:r w:rsidRPr="00CF3752">
              <w:rPr>
                <w:rFonts w:eastAsia="Times New Roman" w:cstheme="minorHAnsi"/>
                <w:lang w:eastAsia="pl-PL"/>
              </w:rPr>
              <w:t>)</w:t>
            </w:r>
          </w:p>
        </w:tc>
        <w:tc>
          <w:tcPr>
            <w:tcW w:w="1133" w:type="dxa"/>
            <w:tcBorders>
              <w:top w:val="nil"/>
              <w:left w:val="nil"/>
              <w:bottom w:val="single" w:sz="4" w:space="0" w:color="auto"/>
              <w:right w:val="single" w:sz="4" w:space="0" w:color="auto"/>
            </w:tcBorders>
            <w:shd w:val="clear" w:color="auto" w:fill="auto"/>
            <w:vAlign w:val="center"/>
            <w:hideMark/>
          </w:tcPr>
          <w:p w14:paraId="72B190E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2111B73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8035ABE" w14:textId="77777777" w:rsidTr="00FD23DE">
        <w:trPr>
          <w:trHeight w:val="316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A4E78A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8.2.5</w:t>
            </w:r>
          </w:p>
        </w:tc>
        <w:tc>
          <w:tcPr>
            <w:tcW w:w="5514" w:type="dxa"/>
            <w:tcBorders>
              <w:top w:val="nil"/>
              <w:left w:val="nil"/>
              <w:bottom w:val="single" w:sz="4" w:space="0" w:color="auto"/>
              <w:right w:val="single" w:sz="4" w:space="0" w:color="auto"/>
            </w:tcBorders>
            <w:shd w:val="clear" w:color="auto" w:fill="auto"/>
            <w:vAlign w:val="center"/>
            <w:hideMark/>
          </w:tcPr>
          <w:p w14:paraId="6F76645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monitorowanie glukozy (m.in. brak pomiaru glukozy w ciągu 1 godziny od przyjęcia pacjenta, ponowny pomiar glukozy u pacjentów przyjmujących insulinę, wynik glukozy &gt; 12 </w:t>
            </w:r>
            <w:proofErr w:type="spellStart"/>
            <w:r w:rsidRPr="00CF3752">
              <w:rPr>
                <w:rFonts w:eastAsia="Times New Roman" w:cstheme="minorHAnsi"/>
                <w:lang w:eastAsia="pl-PL"/>
              </w:rPr>
              <w:t>mmol</w:t>
            </w:r>
            <w:proofErr w:type="spellEnd"/>
            <w:r w:rsidRPr="00CF3752">
              <w:rPr>
                <w:rFonts w:eastAsia="Times New Roman" w:cstheme="minorHAnsi"/>
                <w:lang w:eastAsia="pl-PL"/>
              </w:rPr>
              <w:t>/l)</w:t>
            </w:r>
            <w:r w:rsidRPr="00CF3752">
              <w:rPr>
                <w:rFonts w:eastAsia="Times New Roman" w:cstheme="minorHAnsi"/>
                <w:lang w:eastAsia="pl-PL"/>
              </w:rPr>
              <w:br/>
              <w:t xml:space="preserve">- monitorowanie potasu (m.in. ponowny pomiar potasu u pacjentów przyjmujących insulinę, dostosowanie dawki podawanego potasu u dorosłych przy wyniku przekraczającym 5 </w:t>
            </w:r>
            <w:proofErr w:type="spellStart"/>
            <w:r w:rsidRPr="00CF3752">
              <w:rPr>
                <w:rFonts w:eastAsia="Times New Roman" w:cstheme="minorHAnsi"/>
                <w:lang w:eastAsia="pl-PL"/>
              </w:rPr>
              <w:t>mmol</w:t>
            </w:r>
            <w:proofErr w:type="spellEnd"/>
            <w:r w:rsidRPr="00CF3752">
              <w:rPr>
                <w:rFonts w:eastAsia="Times New Roman" w:cstheme="minorHAnsi"/>
                <w:lang w:eastAsia="pl-PL"/>
              </w:rPr>
              <w:t xml:space="preserve">/l, 6 </w:t>
            </w:r>
            <w:proofErr w:type="spellStart"/>
            <w:r w:rsidRPr="00CF3752">
              <w:rPr>
                <w:rFonts w:eastAsia="Times New Roman" w:cstheme="minorHAnsi"/>
                <w:lang w:eastAsia="pl-PL"/>
              </w:rPr>
              <w:t>mmol</w:t>
            </w:r>
            <w:proofErr w:type="spellEnd"/>
            <w:r w:rsidRPr="00CF3752">
              <w:rPr>
                <w:rFonts w:eastAsia="Times New Roman" w:cstheme="minorHAnsi"/>
                <w:lang w:eastAsia="pl-PL"/>
              </w:rPr>
              <w:t xml:space="preserve">/l, 5 </w:t>
            </w:r>
            <w:proofErr w:type="spellStart"/>
            <w:r w:rsidRPr="00CF3752">
              <w:rPr>
                <w:rFonts w:eastAsia="Times New Roman" w:cstheme="minorHAnsi"/>
                <w:lang w:eastAsia="pl-PL"/>
              </w:rPr>
              <w:t>mEq</w:t>
            </w:r>
            <w:proofErr w:type="spellEnd"/>
            <w:r w:rsidRPr="00CF3752">
              <w:rPr>
                <w:rFonts w:eastAsia="Times New Roman" w:cstheme="minorHAnsi"/>
                <w:lang w:eastAsia="pl-PL"/>
              </w:rPr>
              <w:t xml:space="preserve">/l, 6 </w:t>
            </w:r>
            <w:proofErr w:type="spellStart"/>
            <w:r w:rsidRPr="00CF3752">
              <w:rPr>
                <w:rFonts w:eastAsia="Times New Roman" w:cstheme="minorHAnsi"/>
                <w:lang w:eastAsia="pl-PL"/>
              </w:rPr>
              <w:t>mEq</w:t>
            </w:r>
            <w:proofErr w:type="spellEnd"/>
            <w:r w:rsidRPr="00CF3752">
              <w:rPr>
                <w:rFonts w:eastAsia="Times New Roman" w:cstheme="minorHAnsi"/>
                <w:lang w:eastAsia="pl-PL"/>
              </w:rPr>
              <w:t xml:space="preserve">/l, zalecenie podania potasu u pacjentów z wynikiem &lt; 3,5 </w:t>
            </w:r>
            <w:proofErr w:type="spellStart"/>
            <w:r w:rsidRPr="00CF3752">
              <w:rPr>
                <w:rFonts w:eastAsia="Times New Roman" w:cstheme="minorHAnsi"/>
                <w:lang w:eastAsia="pl-PL"/>
              </w:rPr>
              <w:t>mmol</w:t>
            </w:r>
            <w:proofErr w:type="spellEnd"/>
            <w:r w:rsidRPr="00CF3752">
              <w:rPr>
                <w:rFonts w:eastAsia="Times New Roman" w:cstheme="minorHAnsi"/>
                <w:lang w:eastAsia="pl-PL"/>
              </w:rPr>
              <w:t xml:space="preserve">/l, &lt; 2.5 </w:t>
            </w:r>
            <w:proofErr w:type="spellStart"/>
            <w:r w:rsidRPr="00CF3752">
              <w:rPr>
                <w:rFonts w:eastAsia="Times New Roman" w:cstheme="minorHAnsi"/>
                <w:lang w:eastAsia="pl-PL"/>
              </w:rPr>
              <w:t>mmol</w:t>
            </w:r>
            <w:proofErr w:type="spellEnd"/>
            <w:r w:rsidRPr="00CF3752">
              <w:rPr>
                <w:rFonts w:eastAsia="Times New Roman" w:cstheme="minorHAnsi"/>
                <w:lang w:eastAsia="pl-PL"/>
              </w:rPr>
              <w:t xml:space="preserve">/l, &lt; 3,5 </w:t>
            </w:r>
            <w:proofErr w:type="spellStart"/>
            <w:r w:rsidRPr="00CF3752">
              <w:rPr>
                <w:rFonts w:eastAsia="Times New Roman" w:cstheme="minorHAnsi"/>
                <w:lang w:eastAsia="pl-PL"/>
              </w:rPr>
              <w:t>mEq</w:t>
            </w:r>
            <w:proofErr w:type="spellEnd"/>
            <w:r w:rsidRPr="00CF3752">
              <w:rPr>
                <w:rFonts w:eastAsia="Times New Roman" w:cstheme="minorHAnsi"/>
                <w:lang w:eastAsia="pl-PL"/>
              </w:rPr>
              <w:t xml:space="preserve">/l, &lt; 2.5 </w:t>
            </w:r>
            <w:proofErr w:type="spellStart"/>
            <w:r w:rsidRPr="00CF3752">
              <w:rPr>
                <w:rFonts w:eastAsia="Times New Roman" w:cstheme="minorHAnsi"/>
                <w:lang w:eastAsia="pl-PL"/>
              </w:rPr>
              <w:t>mEq</w:t>
            </w:r>
            <w:proofErr w:type="spellEnd"/>
            <w:r w:rsidRPr="00CF3752">
              <w:rPr>
                <w:rFonts w:eastAsia="Times New Roman" w:cstheme="minorHAnsi"/>
                <w:lang w:eastAsia="pl-PL"/>
              </w:rPr>
              <w:t>/l)</w:t>
            </w:r>
            <w:r w:rsidRPr="00CF3752">
              <w:rPr>
                <w:rFonts w:eastAsia="Times New Roman" w:cstheme="minorHAnsi"/>
                <w:lang w:eastAsia="pl-PL"/>
              </w:rPr>
              <w:br/>
              <w:t xml:space="preserve">- monitorowanie zjonizowanego wapnia (m.in. dostosowanie dawki podawanego wapnia przy wyniku przekraczającym 5,6 mg/dl, 7 mg/dl, 1,3 </w:t>
            </w:r>
            <w:proofErr w:type="spellStart"/>
            <w:r w:rsidRPr="00CF3752">
              <w:rPr>
                <w:rFonts w:eastAsia="Times New Roman" w:cstheme="minorHAnsi"/>
                <w:lang w:eastAsia="pl-PL"/>
              </w:rPr>
              <w:t>mmol</w:t>
            </w:r>
            <w:proofErr w:type="spellEnd"/>
            <w:r w:rsidRPr="00CF3752">
              <w:rPr>
                <w:rFonts w:eastAsia="Times New Roman" w:cstheme="minorHAnsi"/>
                <w:lang w:eastAsia="pl-PL"/>
              </w:rPr>
              <w:t xml:space="preserve">/l, 1,75 </w:t>
            </w:r>
            <w:proofErr w:type="spellStart"/>
            <w:r w:rsidRPr="00CF3752">
              <w:rPr>
                <w:rFonts w:eastAsia="Times New Roman" w:cstheme="minorHAnsi"/>
                <w:lang w:eastAsia="pl-PL"/>
              </w:rPr>
              <w:t>mmol</w:t>
            </w:r>
            <w:proofErr w:type="spellEnd"/>
            <w:r w:rsidRPr="00CF3752">
              <w:rPr>
                <w:rFonts w:eastAsia="Times New Roman" w:cstheme="minorHAnsi"/>
                <w:lang w:eastAsia="pl-PL"/>
              </w:rPr>
              <w:t xml:space="preserve">/l, zalecenie podania wapnia u pacjentów z wynikiem &lt; 4,5 mg/dl, &lt; 2 mg/dl, &lt; 1,5 </w:t>
            </w:r>
            <w:proofErr w:type="spellStart"/>
            <w:r w:rsidRPr="00CF3752">
              <w:rPr>
                <w:rFonts w:eastAsia="Times New Roman" w:cstheme="minorHAnsi"/>
                <w:lang w:eastAsia="pl-PL"/>
              </w:rPr>
              <w:t>mmol</w:t>
            </w:r>
            <w:proofErr w:type="spellEnd"/>
            <w:r w:rsidRPr="00CF3752">
              <w:rPr>
                <w:rFonts w:eastAsia="Times New Roman" w:cstheme="minorHAnsi"/>
                <w:lang w:eastAsia="pl-PL"/>
              </w:rPr>
              <w:t xml:space="preserve">/l, &lt; 0,5 </w:t>
            </w:r>
            <w:proofErr w:type="spellStart"/>
            <w:r w:rsidRPr="00CF3752">
              <w:rPr>
                <w:rFonts w:eastAsia="Times New Roman" w:cstheme="minorHAnsi"/>
                <w:lang w:eastAsia="pl-PL"/>
              </w:rPr>
              <w:t>mmol</w:t>
            </w:r>
            <w:proofErr w:type="spellEnd"/>
            <w:r w:rsidRPr="00CF3752">
              <w:rPr>
                <w:rFonts w:eastAsia="Times New Roman" w:cstheme="minorHAnsi"/>
                <w:lang w:eastAsia="pl-PL"/>
              </w:rPr>
              <w:t>/l)</w:t>
            </w:r>
          </w:p>
        </w:tc>
        <w:tc>
          <w:tcPr>
            <w:tcW w:w="1133" w:type="dxa"/>
            <w:tcBorders>
              <w:top w:val="nil"/>
              <w:left w:val="nil"/>
              <w:bottom w:val="single" w:sz="4" w:space="0" w:color="auto"/>
              <w:right w:val="single" w:sz="4" w:space="0" w:color="auto"/>
            </w:tcBorders>
            <w:shd w:val="clear" w:color="auto" w:fill="auto"/>
            <w:vAlign w:val="center"/>
            <w:hideMark/>
          </w:tcPr>
          <w:p w14:paraId="2BF3819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37BF7BF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F788363"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3BD04B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8.3</w:t>
            </w:r>
          </w:p>
        </w:tc>
        <w:tc>
          <w:tcPr>
            <w:tcW w:w="5514" w:type="dxa"/>
            <w:tcBorders>
              <w:top w:val="nil"/>
              <w:left w:val="nil"/>
              <w:bottom w:val="single" w:sz="4" w:space="0" w:color="auto"/>
              <w:right w:val="single" w:sz="4" w:space="0" w:color="auto"/>
            </w:tcBorders>
            <w:shd w:val="clear" w:color="auto" w:fill="auto"/>
            <w:vAlign w:val="center"/>
            <w:hideMark/>
          </w:tcPr>
          <w:p w14:paraId="456AA43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Możliwość zaimplementowanie innych powiadomień, wg preferencji i kryteriów Zamawiającego. </w:t>
            </w:r>
          </w:p>
        </w:tc>
        <w:tc>
          <w:tcPr>
            <w:tcW w:w="1133" w:type="dxa"/>
            <w:tcBorders>
              <w:top w:val="nil"/>
              <w:left w:val="nil"/>
              <w:bottom w:val="single" w:sz="4" w:space="0" w:color="auto"/>
              <w:right w:val="single" w:sz="4" w:space="0" w:color="auto"/>
            </w:tcBorders>
            <w:shd w:val="clear" w:color="auto" w:fill="auto"/>
            <w:vAlign w:val="center"/>
            <w:hideMark/>
          </w:tcPr>
          <w:p w14:paraId="272AB39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C395B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A526CAF"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3D553BC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9</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09E39186"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Skale</w:t>
            </w:r>
          </w:p>
        </w:tc>
      </w:tr>
      <w:tr w:rsidR="00CB3017" w:rsidRPr="00F8703A" w14:paraId="011492D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7207FD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9.1</w:t>
            </w:r>
          </w:p>
        </w:tc>
        <w:tc>
          <w:tcPr>
            <w:tcW w:w="5514" w:type="dxa"/>
            <w:tcBorders>
              <w:top w:val="nil"/>
              <w:left w:val="nil"/>
              <w:bottom w:val="single" w:sz="4" w:space="0" w:color="auto"/>
              <w:right w:val="single" w:sz="4" w:space="0" w:color="auto"/>
            </w:tcBorders>
            <w:shd w:val="clear" w:color="auto" w:fill="auto"/>
            <w:vAlign w:val="center"/>
            <w:hideMark/>
          </w:tcPr>
          <w:p w14:paraId="44D453B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zawiera wbudowane skale, które wyliczane są na podstawie parametrów znajdujących się w systemie CIS</w:t>
            </w:r>
          </w:p>
        </w:tc>
        <w:tc>
          <w:tcPr>
            <w:tcW w:w="1133" w:type="dxa"/>
            <w:tcBorders>
              <w:top w:val="nil"/>
              <w:left w:val="nil"/>
              <w:bottom w:val="single" w:sz="4" w:space="0" w:color="auto"/>
              <w:right w:val="single" w:sz="4" w:space="0" w:color="auto"/>
            </w:tcBorders>
            <w:shd w:val="clear" w:color="auto" w:fill="auto"/>
            <w:vAlign w:val="center"/>
            <w:hideMark/>
          </w:tcPr>
          <w:p w14:paraId="209C3E5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510658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F59BA5E"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D50FF1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9.2</w:t>
            </w:r>
          </w:p>
        </w:tc>
        <w:tc>
          <w:tcPr>
            <w:tcW w:w="5514" w:type="dxa"/>
            <w:tcBorders>
              <w:top w:val="nil"/>
              <w:left w:val="nil"/>
              <w:bottom w:val="single" w:sz="4" w:space="0" w:color="auto"/>
              <w:right w:val="single" w:sz="4" w:space="0" w:color="auto"/>
            </w:tcBorders>
            <w:shd w:val="clear" w:color="auto" w:fill="auto"/>
            <w:vAlign w:val="center"/>
            <w:hideMark/>
          </w:tcPr>
          <w:p w14:paraId="7756104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umożliwiać tworzenie i konfigurowanie dowolnej, własnej skali oceny, zgodnie z wymaganiami Zamawiającego.</w:t>
            </w:r>
          </w:p>
        </w:tc>
        <w:tc>
          <w:tcPr>
            <w:tcW w:w="1133" w:type="dxa"/>
            <w:tcBorders>
              <w:top w:val="nil"/>
              <w:left w:val="nil"/>
              <w:bottom w:val="single" w:sz="4" w:space="0" w:color="auto"/>
              <w:right w:val="single" w:sz="4" w:space="0" w:color="auto"/>
            </w:tcBorders>
            <w:shd w:val="clear" w:color="auto" w:fill="auto"/>
            <w:vAlign w:val="center"/>
            <w:hideMark/>
          </w:tcPr>
          <w:p w14:paraId="3BBB8F1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56CF0A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6DE3241" w14:textId="77777777" w:rsidTr="00FD23DE">
        <w:trPr>
          <w:trHeight w:val="264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04F97B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9.3</w:t>
            </w:r>
          </w:p>
        </w:tc>
        <w:tc>
          <w:tcPr>
            <w:tcW w:w="5514" w:type="dxa"/>
            <w:tcBorders>
              <w:top w:val="nil"/>
              <w:left w:val="nil"/>
              <w:bottom w:val="single" w:sz="4" w:space="0" w:color="auto"/>
              <w:right w:val="single" w:sz="4" w:space="0" w:color="auto"/>
            </w:tcBorders>
            <w:shd w:val="clear" w:color="auto" w:fill="auto"/>
            <w:vAlign w:val="center"/>
            <w:hideMark/>
          </w:tcPr>
          <w:p w14:paraId="587C331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pozwala dokumentować ocenę stanu neurologicznego pacjenta i poziom bólu, w tym:</w:t>
            </w:r>
            <w:r w:rsidRPr="00CF3752">
              <w:rPr>
                <w:rFonts w:eastAsia="Times New Roman" w:cstheme="minorHAnsi"/>
                <w:lang w:eastAsia="pl-PL"/>
              </w:rPr>
              <w:br/>
              <w:t xml:space="preserve">- ocenę neurologiczną w zakresie śpiączki, sedacji, opiatów i delirium wg </w:t>
            </w:r>
            <w:proofErr w:type="spellStart"/>
            <w:r w:rsidRPr="00CF3752">
              <w:rPr>
                <w:rFonts w:eastAsia="Times New Roman" w:cstheme="minorHAnsi"/>
                <w:lang w:eastAsia="pl-PL"/>
              </w:rPr>
              <w:t>skal</w:t>
            </w:r>
            <w:proofErr w:type="spellEnd"/>
            <w:r w:rsidRPr="00CF3752">
              <w:rPr>
                <w:rFonts w:eastAsia="Times New Roman" w:cstheme="minorHAnsi"/>
                <w:lang w:eastAsia="pl-PL"/>
              </w:rPr>
              <w:t>,</w:t>
            </w:r>
            <w:r w:rsidRPr="00CF3752">
              <w:rPr>
                <w:rFonts w:eastAsia="Times New Roman" w:cstheme="minorHAnsi"/>
                <w:lang w:eastAsia="pl-PL"/>
              </w:rPr>
              <w:br/>
              <w:t xml:space="preserve">- ocenę bólu u pacjent zaintubowanych i niezaintubowanych wg </w:t>
            </w:r>
            <w:proofErr w:type="spellStart"/>
            <w:r w:rsidRPr="00CF3752">
              <w:rPr>
                <w:rFonts w:eastAsia="Times New Roman" w:cstheme="minorHAnsi"/>
                <w:lang w:eastAsia="pl-PL"/>
              </w:rPr>
              <w:t>skal</w:t>
            </w:r>
            <w:proofErr w:type="spellEnd"/>
            <w:r w:rsidRPr="00CF3752">
              <w:rPr>
                <w:rFonts w:eastAsia="Times New Roman" w:cstheme="minorHAnsi"/>
                <w:lang w:eastAsia="pl-PL"/>
              </w:rPr>
              <w:t>,</w:t>
            </w:r>
            <w:r w:rsidRPr="00CF3752">
              <w:rPr>
                <w:rFonts w:eastAsia="Times New Roman" w:cstheme="minorHAnsi"/>
                <w:lang w:eastAsia="pl-PL"/>
              </w:rPr>
              <w:br/>
              <w:t>- ocenę bólu zgodnie z definicją Zamawiającego.</w:t>
            </w:r>
            <w:r w:rsidRPr="00CF3752">
              <w:rPr>
                <w:rFonts w:eastAsia="Times New Roman" w:cstheme="minorHAnsi"/>
                <w:lang w:eastAsia="pl-PL"/>
              </w:rPr>
              <w:br/>
              <w:t xml:space="preserve">Ponadto, system ma możliwość prowadzenia szczegółowej dokumentacji w zakresie zarządzania bólem oraz PCA, PCEA i PCRA. </w:t>
            </w:r>
            <w:r w:rsidRPr="00CF3752">
              <w:rPr>
                <w:rFonts w:eastAsia="Times New Roman" w:cstheme="minorHAnsi"/>
                <w:lang w:eastAsia="pl-PL"/>
              </w:rPr>
              <w:br/>
              <w:t>Funkcjonalność systemu posiada dedykowane widoki umożliwiające przegląd stanu neurologicznego pacjenta i informacji dotyczących bólu.</w:t>
            </w:r>
          </w:p>
        </w:tc>
        <w:tc>
          <w:tcPr>
            <w:tcW w:w="1133" w:type="dxa"/>
            <w:tcBorders>
              <w:top w:val="nil"/>
              <w:left w:val="nil"/>
              <w:bottom w:val="single" w:sz="4" w:space="0" w:color="auto"/>
              <w:right w:val="single" w:sz="4" w:space="0" w:color="auto"/>
            </w:tcBorders>
            <w:shd w:val="clear" w:color="auto" w:fill="auto"/>
            <w:vAlign w:val="center"/>
            <w:hideMark/>
          </w:tcPr>
          <w:p w14:paraId="2FC059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0142485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A5A75F9" w14:textId="77777777" w:rsidTr="00FD23DE">
        <w:trPr>
          <w:trHeight w:val="501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53AE31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9.4</w:t>
            </w:r>
          </w:p>
        </w:tc>
        <w:tc>
          <w:tcPr>
            <w:tcW w:w="5514" w:type="dxa"/>
            <w:tcBorders>
              <w:top w:val="nil"/>
              <w:left w:val="nil"/>
              <w:bottom w:val="single" w:sz="4" w:space="0" w:color="auto"/>
              <w:right w:val="single" w:sz="4" w:space="0" w:color="auto"/>
            </w:tcBorders>
            <w:shd w:val="clear" w:color="auto" w:fill="auto"/>
            <w:vAlign w:val="center"/>
            <w:hideMark/>
          </w:tcPr>
          <w:p w14:paraId="6F27023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skale do oceny ryzyka dla pacjenta, w tym minimum:</w:t>
            </w:r>
            <w:r w:rsidRPr="00CF3752">
              <w:rPr>
                <w:rFonts w:eastAsia="Times New Roman" w:cstheme="minorHAnsi"/>
                <w:lang w:eastAsia="pl-PL"/>
              </w:rPr>
              <w:br/>
              <w:t>- ACEF II</w:t>
            </w:r>
            <w:r w:rsidRPr="00CF3752">
              <w:rPr>
                <w:rFonts w:eastAsia="Times New Roman" w:cstheme="minorHAnsi"/>
                <w:lang w:eastAsia="pl-PL"/>
              </w:rPr>
              <w:br/>
              <w:t xml:space="preserve">- </w:t>
            </w:r>
            <w:proofErr w:type="spellStart"/>
            <w:r w:rsidRPr="00CF3752">
              <w:rPr>
                <w:rFonts w:eastAsia="Times New Roman" w:cstheme="minorHAnsi"/>
                <w:lang w:eastAsia="pl-PL"/>
              </w:rPr>
              <w:t>Apfel</w:t>
            </w:r>
            <w:proofErr w:type="spellEnd"/>
            <w:r w:rsidRPr="00CF3752">
              <w:rPr>
                <w:rFonts w:eastAsia="Times New Roman" w:cstheme="minorHAnsi"/>
                <w:lang w:eastAsia="pl-PL"/>
              </w:rPr>
              <w:t xml:space="preserve"> (PONV)</w:t>
            </w:r>
            <w:r w:rsidRPr="00CF3752">
              <w:rPr>
                <w:rFonts w:eastAsia="Times New Roman" w:cstheme="minorHAnsi"/>
                <w:lang w:eastAsia="pl-PL"/>
              </w:rPr>
              <w:br/>
              <w:t xml:space="preserve">- </w:t>
            </w:r>
            <w:proofErr w:type="spellStart"/>
            <w:r w:rsidRPr="00CF3752">
              <w:rPr>
                <w:rFonts w:eastAsia="Times New Roman" w:cstheme="minorHAnsi"/>
                <w:lang w:eastAsia="pl-PL"/>
              </w:rPr>
              <w:t>Aldreta</w:t>
            </w:r>
            <w:proofErr w:type="spellEnd"/>
            <w:r w:rsidRPr="00CF3752">
              <w:rPr>
                <w:rFonts w:eastAsia="Times New Roman" w:cstheme="minorHAnsi"/>
                <w:lang w:eastAsia="pl-PL"/>
              </w:rPr>
              <w:t xml:space="preserve"> zmodyfikowana</w:t>
            </w:r>
            <w:r w:rsidRPr="00CF3752">
              <w:rPr>
                <w:rFonts w:eastAsia="Times New Roman" w:cstheme="minorHAnsi"/>
                <w:lang w:eastAsia="pl-PL"/>
              </w:rPr>
              <w:br/>
              <w:t>- Klasyfikacja ASA</w:t>
            </w:r>
            <w:r w:rsidRPr="00CF3752">
              <w:rPr>
                <w:rFonts w:eastAsia="Times New Roman" w:cstheme="minorHAnsi"/>
                <w:lang w:eastAsia="pl-PL"/>
              </w:rPr>
              <w:br/>
              <w:t>- Cormack-</w:t>
            </w:r>
            <w:proofErr w:type="spellStart"/>
            <w:r w:rsidRPr="00CF3752">
              <w:rPr>
                <w:rFonts w:eastAsia="Times New Roman" w:cstheme="minorHAnsi"/>
                <w:lang w:eastAsia="pl-PL"/>
              </w:rPr>
              <w:t>Lehane</w:t>
            </w:r>
            <w:proofErr w:type="spellEnd"/>
            <w:r w:rsidRPr="00CF3752">
              <w:rPr>
                <w:rFonts w:eastAsia="Times New Roman" w:cstheme="minorHAnsi"/>
                <w:lang w:eastAsia="pl-PL"/>
              </w:rPr>
              <w:t xml:space="preserve"> zmodyfikowana</w:t>
            </w:r>
            <w:r w:rsidRPr="00CF3752">
              <w:rPr>
                <w:rFonts w:eastAsia="Times New Roman" w:cstheme="minorHAnsi"/>
                <w:lang w:eastAsia="pl-PL"/>
              </w:rPr>
              <w:br/>
              <w:t>- Douglas</w:t>
            </w:r>
            <w:r w:rsidRPr="00CF3752">
              <w:rPr>
                <w:rFonts w:eastAsia="Times New Roman" w:cstheme="minorHAnsi"/>
                <w:lang w:eastAsia="pl-PL"/>
              </w:rPr>
              <w:br/>
              <w:t xml:space="preserve">- </w:t>
            </w:r>
            <w:proofErr w:type="spellStart"/>
            <w:r w:rsidRPr="00CF3752">
              <w:rPr>
                <w:rFonts w:eastAsia="Times New Roman" w:cstheme="minorHAnsi"/>
                <w:lang w:eastAsia="pl-PL"/>
              </w:rPr>
              <w:t>EuroScore</w:t>
            </w:r>
            <w:proofErr w:type="spellEnd"/>
            <w:r w:rsidRPr="00CF3752">
              <w:rPr>
                <w:rFonts w:eastAsia="Times New Roman" w:cstheme="minorHAnsi"/>
                <w:lang w:eastAsia="pl-PL"/>
              </w:rPr>
              <w:t xml:space="preserve"> II</w:t>
            </w:r>
            <w:r w:rsidRPr="00CF3752">
              <w:rPr>
                <w:rFonts w:eastAsia="Times New Roman" w:cstheme="minorHAnsi"/>
                <w:lang w:eastAsia="pl-PL"/>
              </w:rPr>
              <w:br/>
              <w:t>- Genewska zmodyfikowana</w:t>
            </w:r>
            <w:r w:rsidRPr="00CF3752">
              <w:rPr>
                <w:rFonts w:eastAsia="Times New Roman" w:cstheme="minorHAnsi"/>
                <w:lang w:eastAsia="pl-PL"/>
              </w:rPr>
              <w:br/>
              <w:t>- wskaźnik Lee</w:t>
            </w:r>
            <w:r w:rsidRPr="00CF3752">
              <w:rPr>
                <w:rFonts w:eastAsia="Times New Roman" w:cstheme="minorHAnsi"/>
                <w:lang w:eastAsia="pl-PL"/>
              </w:rPr>
              <w:br/>
              <w:t xml:space="preserve">- </w:t>
            </w:r>
            <w:proofErr w:type="spellStart"/>
            <w:r w:rsidRPr="00CF3752">
              <w:rPr>
                <w:rFonts w:eastAsia="Times New Roman" w:cstheme="minorHAnsi"/>
                <w:lang w:eastAsia="pl-PL"/>
              </w:rPr>
              <w:t>Mallampati</w:t>
            </w:r>
            <w:proofErr w:type="spellEnd"/>
            <w:r w:rsidRPr="00CF3752">
              <w:rPr>
                <w:rFonts w:eastAsia="Times New Roman" w:cstheme="minorHAnsi"/>
                <w:lang w:eastAsia="pl-PL"/>
              </w:rPr>
              <w:t xml:space="preserve"> zmodyfikowana</w:t>
            </w:r>
            <w:r w:rsidRPr="00CF3752">
              <w:rPr>
                <w:rFonts w:eastAsia="Times New Roman" w:cstheme="minorHAnsi"/>
                <w:lang w:eastAsia="pl-PL"/>
              </w:rPr>
              <w:br/>
              <w:t>- NNIS</w:t>
            </w:r>
            <w:r w:rsidRPr="00CF3752">
              <w:rPr>
                <w:rFonts w:eastAsia="Times New Roman" w:cstheme="minorHAnsi"/>
                <w:lang w:eastAsia="pl-PL"/>
              </w:rPr>
              <w:br/>
              <w:t>- Norton</w:t>
            </w:r>
            <w:r w:rsidRPr="00CF3752">
              <w:rPr>
                <w:rFonts w:eastAsia="Times New Roman" w:cstheme="minorHAnsi"/>
                <w:lang w:eastAsia="pl-PL"/>
              </w:rPr>
              <w:br/>
              <w:t>- NYHA</w:t>
            </w:r>
            <w:r w:rsidRPr="00CF3752">
              <w:rPr>
                <w:rFonts w:eastAsia="Times New Roman" w:cstheme="minorHAnsi"/>
                <w:lang w:eastAsia="pl-PL"/>
              </w:rPr>
              <w:br/>
              <w:t>- Padewska</w:t>
            </w:r>
            <w:r w:rsidRPr="00CF3752">
              <w:rPr>
                <w:rFonts w:eastAsia="Times New Roman" w:cstheme="minorHAnsi"/>
                <w:lang w:eastAsia="pl-PL"/>
              </w:rPr>
              <w:br/>
              <w:t>- Potrzeba stymulatora po operacji zastawki serca</w:t>
            </w:r>
            <w:r w:rsidRPr="00CF3752">
              <w:rPr>
                <w:rFonts w:eastAsia="Times New Roman" w:cstheme="minorHAnsi"/>
                <w:lang w:eastAsia="pl-PL"/>
              </w:rPr>
              <w:br/>
              <w:t xml:space="preserve">- </w:t>
            </w:r>
            <w:proofErr w:type="spellStart"/>
            <w:r w:rsidRPr="00CF3752">
              <w:rPr>
                <w:rFonts w:eastAsia="Times New Roman" w:cstheme="minorHAnsi"/>
                <w:lang w:eastAsia="pl-PL"/>
              </w:rPr>
              <w:t>RiskE</w:t>
            </w:r>
            <w:proofErr w:type="spellEnd"/>
            <w:r w:rsidRPr="00CF3752">
              <w:rPr>
                <w:rFonts w:eastAsia="Times New Roman" w:cstheme="minorHAnsi"/>
                <w:lang w:eastAsia="pl-PL"/>
              </w:rPr>
              <w:br/>
              <w:t>- STOP-BANG</w:t>
            </w:r>
            <w:r w:rsidRPr="00CF3752">
              <w:rPr>
                <w:rFonts w:eastAsia="Times New Roman" w:cstheme="minorHAnsi"/>
                <w:lang w:eastAsia="pl-PL"/>
              </w:rPr>
              <w:br/>
              <w:t xml:space="preserve">- </w:t>
            </w:r>
            <w:proofErr w:type="spellStart"/>
            <w:r w:rsidRPr="00CF3752">
              <w:rPr>
                <w:rFonts w:eastAsia="Times New Roman" w:cstheme="minorHAnsi"/>
                <w:lang w:eastAsia="pl-PL"/>
              </w:rPr>
              <w:t>Well’s</w:t>
            </w:r>
            <w:proofErr w:type="spellEnd"/>
          </w:p>
        </w:tc>
        <w:tc>
          <w:tcPr>
            <w:tcW w:w="1133" w:type="dxa"/>
            <w:tcBorders>
              <w:top w:val="nil"/>
              <w:left w:val="nil"/>
              <w:bottom w:val="single" w:sz="4" w:space="0" w:color="auto"/>
              <w:right w:val="single" w:sz="4" w:space="0" w:color="auto"/>
            </w:tcBorders>
            <w:shd w:val="clear" w:color="auto" w:fill="auto"/>
            <w:vAlign w:val="center"/>
            <w:hideMark/>
          </w:tcPr>
          <w:p w14:paraId="468C9A1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AFF974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8C642DE"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B6CB7B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9.5</w:t>
            </w:r>
          </w:p>
        </w:tc>
        <w:tc>
          <w:tcPr>
            <w:tcW w:w="5514" w:type="dxa"/>
            <w:tcBorders>
              <w:top w:val="nil"/>
              <w:left w:val="nil"/>
              <w:bottom w:val="single" w:sz="4" w:space="0" w:color="auto"/>
              <w:right w:val="single" w:sz="4" w:space="0" w:color="auto"/>
            </w:tcBorders>
            <w:shd w:val="clear" w:color="auto" w:fill="auto"/>
            <w:vAlign w:val="center"/>
            <w:hideMark/>
          </w:tcPr>
          <w:p w14:paraId="74D17EC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skale do oceny znieczulenia, w tym minimum:</w:t>
            </w:r>
            <w:r w:rsidRPr="00CF3752">
              <w:rPr>
                <w:rFonts w:eastAsia="Times New Roman" w:cstheme="minorHAnsi"/>
                <w:lang w:eastAsia="pl-PL"/>
              </w:rPr>
              <w:br/>
              <w:t xml:space="preserve">- </w:t>
            </w:r>
            <w:proofErr w:type="spellStart"/>
            <w:r w:rsidRPr="00CF3752">
              <w:rPr>
                <w:rFonts w:eastAsia="Times New Roman" w:cstheme="minorHAnsi"/>
                <w:lang w:eastAsia="pl-PL"/>
              </w:rPr>
              <w:t>Bromage</w:t>
            </w:r>
            <w:proofErr w:type="spellEnd"/>
            <w:r w:rsidRPr="00CF3752">
              <w:rPr>
                <w:rFonts w:eastAsia="Times New Roman" w:cstheme="minorHAnsi"/>
                <w:lang w:eastAsia="pl-PL"/>
              </w:rPr>
              <w:t xml:space="preserve"> zmodyfikowana</w:t>
            </w:r>
          </w:p>
        </w:tc>
        <w:tc>
          <w:tcPr>
            <w:tcW w:w="1133" w:type="dxa"/>
            <w:tcBorders>
              <w:top w:val="nil"/>
              <w:left w:val="nil"/>
              <w:bottom w:val="single" w:sz="4" w:space="0" w:color="auto"/>
              <w:right w:val="single" w:sz="4" w:space="0" w:color="auto"/>
            </w:tcBorders>
            <w:shd w:val="clear" w:color="auto" w:fill="auto"/>
            <w:vAlign w:val="center"/>
            <w:hideMark/>
          </w:tcPr>
          <w:p w14:paraId="23FAD16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683FF5D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80EC00F"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90026B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9.6</w:t>
            </w:r>
          </w:p>
        </w:tc>
        <w:tc>
          <w:tcPr>
            <w:tcW w:w="5514" w:type="dxa"/>
            <w:tcBorders>
              <w:top w:val="nil"/>
              <w:left w:val="nil"/>
              <w:bottom w:val="single" w:sz="4" w:space="0" w:color="auto"/>
              <w:right w:val="single" w:sz="4" w:space="0" w:color="auto"/>
            </w:tcBorders>
            <w:shd w:val="clear" w:color="auto" w:fill="auto"/>
            <w:vAlign w:val="center"/>
            <w:hideMark/>
          </w:tcPr>
          <w:p w14:paraId="45DA6C9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skale do oceny stanu neurologicznego, co najmniej:</w:t>
            </w:r>
            <w:r w:rsidRPr="00CF3752">
              <w:rPr>
                <w:rFonts w:eastAsia="Times New Roman" w:cstheme="minorHAnsi"/>
                <w:lang w:eastAsia="pl-PL"/>
              </w:rPr>
              <w:br/>
              <w:t>- RASS</w:t>
            </w:r>
            <w:r w:rsidRPr="00CF3752">
              <w:rPr>
                <w:rFonts w:eastAsia="Times New Roman" w:cstheme="minorHAnsi"/>
                <w:lang w:eastAsia="pl-PL"/>
              </w:rPr>
              <w:br/>
              <w:t>- Ramsay</w:t>
            </w:r>
            <w:r w:rsidRPr="00CF3752">
              <w:rPr>
                <w:rFonts w:eastAsia="Times New Roman" w:cstheme="minorHAnsi"/>
                <w:lang w:eastAsia="pl-PL"/>
              </w:rPr>
              <w:br/>
              <w:t>- SAS</w:t>
            </w:r>
            <w:r w:rsidRPr="00CF3752">
              <w:rPr>
                <w:rFonts w:eastAsia="Times New Roman" w:cstheme="minorHAnsi"/>
                <w:lang w:eastAsia="pl-PL"/>
              </w:rPr>
              <w:br/>
              <w:t>- CAM-ICU</w:t>
            </w:r>
            <w:r w:rsidRPr="00CF3752">
              <w:rPr>
                <w:rFonts w:eastAsia="Times New Roman" w:cstheme="minorHAnsi"/>
                <w:lang w:eastAsia="pl-PL"/>
              </w:rPr>
              <w:br/>
              <w:t>- POSS</w:t>
            </w:r>
            <w:r w:rsidRPr="00CF3752">
              <w:rPr>
                <w:rFonts w:eastAsia="Times New Roman" w:cstheme="minorHAnsi"/>
                <w:lang w:eastAsia="pl-PL"/>
              </w:rPr>
              <w:br/>
              <w:t>- GCS</w:t>
            </w:r>
          </w:p>
        </w:tc>
        <w:tc>
          <w:tcPr>
            <w:tcW w:w="1133" w:type="dxa"/>
            <w:tcBorders>
              <w:top w:val="nil"/>
              <w:left w:val="nil"/>
              <w:bottom w:val="single" w:sz="4" w:space="0" w:color="auto"/>
              <w:right w:val="single" w:sz="4" w:space="0" w:color="auto"/>
            </w:tcBorders>
            <w:shd w:val="clear" w:color="auto" w:fill="auto"/>
            <w:vAlign w:val="center"/>
            <w:hideMark/>
          </w:tcPr>
          <w:p w14:paraId="6784871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62404E7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75509C8"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8EAEC5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9.7</w:t>
            </w:r>
          </w:p>
        </w:tc>
        <w:tc>
          <w:tcPr>
            <w:tcW w:w="5514" w:type="dxa"/>
            <w:tcBorders>
              <w:top w:val="nil"/>
              <w:left w:val="nil"/>
              <w:bottom w:val="single" w:sz="4" w:space="0" w:color="auto"/>
              <w:right w:val="single" w:sz="4" w:space="0" w:color="auto"/>
            </w:tcBorders>
            <w:shd w:val="clear" w:color="auto" w:fill="auto"/>
            <w:vAlign w:val="center"/>
            <w:hideMark/>
          </w:tcPr>
          <w:p w14:paraId="7778DCB4" w14:textId="77777777" w:rsidR="00CB3017" w:rsidRPr="00CF3752" w:rsidRDefault="00CB3017" w:rsidP="00880B0C">
            <w:pPr>
              <w:spacing w:after="0" w:line="240" w:lineRule="auto"/>
              <w:rPr>
                <w:rFonts w:eastAsia="Times New Roman" w:cstheme="minorHAnsi"/>
                <w:lang w:val="en-US" w:eastAsia="pl-PL"/>
              </w:rPr>
            </w:pPr>
            <w:proofErr w:type="spellStart"/>
            <w:r w:rsidRPr="00CF3752">
              <w:rPr>
                <w:rFonts w:eastAsia="Times New Roman" w:cstheme="minorHAnsi"/>
                <w:lang w:val="en-US" w:eastAsia="pl-PL"/>
              </w:rPr>
              <w:t>Zaimplementowane</w:t>
            </w:r>
            <w:proofErr w:type="spellEnd"/>
            <w:r w:rsidRPr="00CF3752">
              <w:rPr>
                <w:rFonts w:eastAsia="Times New Roman" w:cstheme="minorHAnsi"/>
                <w:lang w:val="en-US" w:eastAsia="pl-PL"/>
              </w:rPr>
              <w:t xml:space="preserve"> </w:t>
            </w:r>
            <w:proofErr w:type="spellStart"/>
            <w:r w:rsidRPr="00CF3752">
              <w:rPr>
                <w:rFonts w:eastAsia="Times New Roman" w:cstheme="minorHAnsi"/>
                <w:lang w:val="en-US" w:eastAsia="pl-PL"/>
              </w:rPr>
              <w:t>skale</w:t>
            </w:r>
            <w:proofErr w:type="spellEnd"/>
            <w:r w:rsidRPr="00CF3752">
              <w:rPr>
                <w:rFonts w:eastAsia="Times New Roman" w:cstheme="minorHAnsi"/>
                <w:lang w:val="en-US" w:eastAsia="pl-PL"/>
              </w:rPr>
              <w:t xml:space="preserve"> </w:t>
            </w:r>
            <w:proofErr w:type="spellStart"/>
            <w:r w:rsidRPr="00CF3752">
              <w:rPr>
                <w:rFonts w:eastAsia="Times New Roman" w:cstheme="minorHAnsi"/>
                <w:lang w:val="en-US" w:eastAsia="pl-PL"/>
              </w:rPr>
              <w:t>oceny</w:t>
            </w:r>
            <w:proofErr w:type="spellEnd"/>
            <w:r w:rsidRPr="00CF3752">
              <w:rPr>
                <w:rFonts w:eastAsia="Times New Roman" w:cstheme="minorHAnsi"/>
                <w:lang w:val="en-US" w:eastAsia="pl-PL"/>
              </w:rPr>
              <w:t xml:space="preserve"> </w:t>
            </w:r>
            <w:proofErr w:type="spellStart"/>
            <w:r w:rsidRPr="00CF3752">
              <w:rPr>
                <w:rFonts w:eastAsia="Times New Roman" w:cstheme="minorHAnsi"/>
                <w:lang w:val="en-US" w:eastAsia="pl-PL"/>
              </w:rPr>
              <w:t>bólu</w:t>
            </w:r>
            <w:proofErr w:type="spellEnd"/>
            <w:r w:rsidRPr="00CF3752">
              <w:rPr>
                <w:rFonts w:eastAsia="Times New Roman" w:cstheme="minorHAnsi"/>
                <w:lang w:val="en-US" w:eastAsia="pl-PL"/>
              </w:rPr>
              <w:t xml:space="preserve">, co </w:t>
            </w:r>
            <w:proofErr w:type="spellStart"/>
            <w:r w:rsidRPr="00CF3752">
              <w:rPr>
                <w:rFonts w:eastAsia="Times New Roman" w:cstheme="minorHAnsi"/>
                <w:lang w:val="en-US" w:eastAsia="pl-PL"/>
              </w:rPr>
              <w:t>najmniej</w:t>
            </w:r>
            <w:proofErr w:type="spellEnd"/>
            <w:r w:rsidRPr="00CF3752">
              <w:rPr>
                <w:rFonts w:eastAsia="Times New Roman" w:cstheme="minorHAnsi"/>
                <w:lang w:val="en-US" w:eastAsia="pl-PL"/>
              </w:rPr>
              <w:t>:</w:t>
            </w:r>
            <w:r w:rsidRPr="00CF3752">
              <w:rPr>
                <w:rFonts w:eastAsia="Times New Roman" w:cstheme="minorHAnsi"/>
                <w:lang w:val="en-US" w:eastAsia="pl-PL"/>
              </w:rPr>
              <w:br/>
              <w:t>- BPS (Behavioral Pain Scale)</w:t>
            </w:r>
            <w:r w:rsidRPr="00CF3752">
              <w:rPr>
                <w:rFonts w:eastAsia="Times New Roman" w:cstheme="minorHAnsi"/>
                <w:lang w:val="en-US" w:eastAsia="pl-PL"/>
              </w:rPr>
              <w:br/>
              <w:t>- VAS (Visual Analog Scale)</w:t>
            </w:r>
            <w:r w:rsidRPr="00CF3752">
              <w:rPr>
                <w:rFonts w:eastAsia="Times New Roman" w:cstheme="minorHAnsi"/>
                <w:lang w:val="en-US" w:eastAsia="pl-PL"/>
              </w:rPr>
              <w:br/>
              <w:t>- CPOT (Critical Pain Observation Tool)</w:t>
            </w:r>
            <w:r w:rsidRPr="00CF3752">
              <w:rPr>
                <w:rFonts w:eastAsia="Times New Roman" w:cstheme="minorHAnsi"/>
                <w:lang w:val="en-US" w:eastAsia="pl-PL"/>
              </w:rPr>
              <w:br/>
              <w:t>- NPRS (Numeric Pain Rating Scale)</w:t>
            </w:r>
            <w:r w:rsidRPr="00CF3752">
              <w:rPr>
                <w:rFonts w:eastAsia="Times New Roman" w:cstheme="minorHAnsi"/>
                <w:lang w:val="en-US" w:eastAsia="pl-PL"/>
              </w:rPr>
              <w:br/>
              <w:t>- NVPS (Nonverbal Pain Scale)</w:t>
            </w:r>
          </w:p>
        </w:tc>
        <w:tc>
          <w:tcPr>
            <w:tcW w:w="1133" w:type="dxa"/>
            <w:tcBorders>
              <w:top w:val="nil"/>
              <w:left w:val="nil"/>
              <w:bottom w:val="single" w:sz="4" w:space="0" w:color="auto"/>
              <w:right w:val="single" w:sz="4" w:space="0" w:color="auto"/>
            </w:tcBorders>
            <w:shd w:val="clear" w:color="auto" w:fill="auto"/>
            <w:vAlign w:val="center"/>
            <w:hideMark/>
          </w:tcPr>
          <w:p w14:paraId="72B7DA3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23ADDA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0C25042"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146522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06E9C1F4"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Prezentacja danych</w:t>
            </w:r>
          </w:p>
        </w:tc>
      </w:tr>
      <w:tr w:rsidR="00CB3017" w:rsidRPr="00F8703A" w14:paraId="5F2517D4" w14:textId="77777777" w:rsidTr="00FD23DE">
        <w:trPr>
          <w:trHeight w:val="81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98DCAA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w:t>
            </w:r>
          </w:p>
        </w:tc>
        <w:tc>
          <w:tcPr>
            <w:tcW w:w="5514" w:type="dxa"/>
            <w:tcBorders>
              <w:top w:val="nil"/>
              <w:left w:val="nil"/>
              <w:bottom w:val="single" w:sz="4" w:space="0" w:color="auto"/>
              <w:right w:val="single" w:sz="4" w:space="0" w:color="auto"/>
            </w:tcBorders>
            <w:shd w:val="clear" w:color="auto" w:fill="auto"/>
            <w:vAlign w:val="center"/>
            <w:hideMark/>
          </w:tcPr>
          <w:p w14:paraId="5FA4E20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Ekran główny Oprogramowania zawiera / prezentuje min.:</w:t>
            </w:r>
            <w:r w:rsidRPr="00CF3752">
              <w:rPr>
                <w:rFonts w:eastAsia="Times New Roman" w:cstheme="minorHAnsi"/>
                <w:lang w:eastAsia="pl-PL"/>
              </w:rPr>
              <w:br/>
              <w:t>- paski wyświetlające najważniejsze informacje (m.in. dane pacjenta, dane użytkownika, alerty)</w:t>
            </w:r>
            <w:r w:rsidRPr="00CF3752">
              <w:rPr>
                <w:rFonts w:eastAsia="Times New Roman" w:cstheme="minorHAnsi"/>
                <w:lang w:eastAsia="pl-PL"/>
              </w:rPr>
              <w:br/>
              <w:t>- przyciski uruchamiające różne funkcje systemu wg preferencji Zamawiającego</w:t>
            </w:r>
            <w:r w:rsidRPr="00CF3752">
              <w:rPr>
                <w:rFonts w:eastAsia="Times New Roman" w:cstheme="minorHAnsi"/>
                <w:lang w:eastAsia="pl-PL"/>
              </w:rPr>
              <w:br/>
              <w:t>- zakładki, organizujące różne widoki</w:t>
            </w:r>
            <w:r w:rsidRPr="00CF3752">
              <w:rPr>
                <w:rFonts w:eastAsia="Times New Roman" w:cstheme="minorHAnsi"/>
                <w:lang w:eastAsia="pl-PL"/>
              </w:rPr>
              <w:br/>
              <w:t>- trendy graficzne na osi czasu – parametry życiowe, wyniki laboratoryjne, bilans płynów</w:t>
            </w:r>
            <w:r w:rsidRPr="00CF3752">
              <w:rPr>
                <w:rFonts w:eastAsia="Times New Roman" w:cstheme="minorHAnsi"/>
                <w:lang w:eastAsia="pl-PL"/>
              </w:rPr>
              <w:br/>
              <w:t>- tabele z wynikami na osi czasu – parametry życiowe, skale, wyniki laboratoryjne, bilans płynów</w:t>
            </w:r>
            <w:r w:rsidRPr="00CF3752">
              <w:rPr>
                <w:rFonts w:eastAsia="Times New Roman" w:cstheme="minorHAnsi"/>
                <w:lang w:eastAsia="pl-PL"/>
              </w:rPr>
              <w:br/>
              <w:t>- zlecenia i podaże na osi czasu</w:t>
            </w:r>
            <w:r w:rsidRPr="00CF3752">
              <w:rPr>
                <w:rFonts w:eastAsia="Times New Roman" w:cstheme="minorHAnsi"/>
                <w:lang w:eastAsia="pl-PL"/>
              </w:rPr>
              <w:br/>
              <w:t>- zdarzenia kliniczne na osi czasu</w:t>
            </w:r>
            <w:r w:rsidRPr="00CF3752">
              <w:rPr>
                <w:rFonts w:eastAsia="Times New Roman" w:cstheme="minorHAnsi"/>
                <w:lang w:eastAsia="pl-PL"/>
              </w:rPr>
              <w:br/>
              <w:t>- wkłucia z prezentacją graficzną miejsca wkłucia na schemacie graficznym symbolizującym pacjenta</w:t>
            </w:r>
            <w:r w:rsidRPr="00CF3752">
              <w:rPr>
                <w:rFonts w:eastAsia="Times New Roman" w:cstheme="minorHAnsi"/>
                <w:lang w:eastAsia="pl-PL"/>
              </w:rPr>
              <w:br/>
              <w:t>- rany, odleżyny, dreny z prezentacją graficzną (niezależną od dokumentacji wkłuć) lokalizacji na schemacie symbolizującym pacjenta</w:t>
            </w:r>
            <w:r w:rsidRPr="00CF3752">
              <w:rPr>
                <w:rFonts w:eastAsia="Times New Roman" w:cstheme="minorHAnsi"/>
                <w:lang w:eastAsia="pl-PL"/>
              </w:rPr>
              <w:br/>
              <w:t xml:space="preserve">Układ i zawartość ekranu aplikacji musi podlegać konfiguracji.           W przypadku braku aktywności, po zdefiniowanym czasie system uruchamia </w:t>
            </w:r>
            <w:proofErr w:type="spellStart"/>
            <w:r w:rsidRPr="00CF3752">
              <w:rPr>
                <w:rFonts w:eastAsia="Times New Roman" w:cstheme="minorHAnsi"/>
                <w:lang w:eastAsia="pl-PL"/>
              </w:rPr>
              <w:t>autoblokadę</w:t>
            </w:r>
            <w:proofErr w:type="spellEnd"/>
            <w:r w:rsidRPr="00CF3752">
              <w:rPr>
                <w:rFonts w:eastAsia="Times New Roman" w:cstheme="minorHAnsi"/>
                <w:lang w:eastAsia="pl-PL"/>
              </w:rPr>
              <w:t xml:space="preserve"> bez wygaszacza ekranu. Wyświetlany jest wybrany ekran informacyjny z kluczowymi danymi klinicznymi pacjenta, takimi jak trendy parametrów, diureza godzinowa, drenaże czy aktualny bilans płynów. Podgląd tych informacji jest możliwy bez logowania, natomiast wykonywanie jakichkolwiek działań wymaga uwierzytelnienia użytkownika.</w:t>
            </w:r>
            <w:r w:rsidRPr="00CF3752">
              <w:rPr>
                <w:rFonts w:eastAsia="Times New Roman" w:cstheme="minorHAnsi"/>
                <w:lang w:eastAsia="pl-PL"/>
              </w:rPr>
              <w:br/>
            </w:r>
            <w:r w:rsidRPr="00CF3752">
              <w:rPr>
                <w:rFonts w:eastAsia="Times New Roman" w:cstheme="minorHAnsi"/>
                <w:lang w:eastAsia="pl-PL"/>
              </w:rPr>
              <w:br/>
              <w:t>Rozwiązanie umożliwia szybki wgląd w najważniejsze informacje kliniczne bez konieczności każdorazowego logowania, analogicznie do tradycyjnej karty obserwacji pacjenta dostępnej przy łóżku chorego.</w:t>
            </w:r>
            <w:r w:rsidRPr="00CF3752">
              <w:rPr>
                <w:rFonts w:eastAsia="Times New Roman" w:cstheme="minorHAnsi"/>
                <w:lang w:eastAsia="pl-PL"/>
              </w:rPr>
              <w:br/>
            </w:r>
            <w:r w:rsidRPr="00CF3752">
              <w:rPr>
                <w:rFonts w:eastAsia="Times New Roman" w:cstheme="minorHAnsi"/>
                <w:lang w:eastAsia="pl-PL"/>
              </w:rPr>
              <w:br/>
              <w:t xml:space="preserve">Funkcja może zostać wyłączona, np. na sali operacyjnej, gdzie system jest używany przez jednego użytkownika.            </w:t>
            </w:r>
          </w:p>
        </w:tc>
        <w:tc>
          <w:tcPr>
            <w:tcW w:w="1133" w:type="dxa"/>
            <w:tcBorders>
              <w:top w:val="nil"/>
              <w:left w:val="nil"/>
              <w:bottom w:val="single" w:sz="4" w:space="0" w:color="auto"/>
              <w:right w:val="single" w:sz="4" w:space="0" w:color="auto"/>
            </w:tcBorders>
            <w:shd w:val="clear" w:color="auto" w:fill="auto"/>
            <w:vAlign w:val="center"/>
            <w:hideMark/>
          </w:tcPr>
          <w:p w14:paraId="5380139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737B602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CDC3721"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D10018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w:t>
            </w:r>
          </w:p>
        </w:tc>
        <w:tc>
          <w:tcPr>
            <w:tcW w:w="5514" w:type="dxa"/>
            <w:tcBorders>
              <w:top w:val="nil"/>
              <w:left w:val="nil"/>
              <w:bottom w:val="single" w:sz="4" w:space="0" w:color="auto"/>
              <w:right w:val="single" w:sz="4" w:space="0" w:color="auto"/>
            </w:tcBorders>
            <w:shd w:val="clear" w:color="auto" w:fill="auto"/>
            <w:vAlign w:val="center"/>
            <w:hideMark/>
          </w:tcPr>
          <w:p w14:paraId="5A164B0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Użytkownik systemu może na bieżąco dostosowywać wielkość widoków graficznych, tab</w:t>
            </w:r>
            <w:r>
              <w:rPr>
                <w:rFonts w:eastAsia="Times New Roman" w:cstheme="minorHAnsi"/>
                <w:lang w:eastAsia="pl-PL"/>
              </w:rPr>
              <w:t>e</w:t>
            </w:r>
            <w:r w:rsidRPr="00CF3752">
              <w:rPr>
                <w:rFonts w:eastAsia="Times New Roman" w:cstheme="minorHAnsi"/>
                <w:lang w:eastAsia="pl-PL"/>
              </w:rPr>
              <w:t xml:space="preserve">larycznych zleceń i podaży, a </w:t>
            </w:r>
            <w:r w:rsidRPr="00F8703A">
              <w:rPr>
                <w:rFonts w:eastAsia="Times New Roman" w:cstheme="minorHAnsi"/>
                <w:lang w:eastAsia="pl-PL"/>
              </w:rPr>
              <w:t>także</w:t>
            </w:r>
            <w:r w:rsidRPr="00CF3752">
              <w:rPr>
                <w:rFonts w:eastAsia="Times New Roman" w:cstheme="minorHAnsi"/>
                <w:lang w:eastAsia="pl-PL"/>
              </w:rPr>
              <w:t xml:space="preserve"> ukryć widok, który w danym momencie nie zawiera istotnych informacji. Po wylogowaniu lub odświeżeniu, ustawienia wracają do wielkości domyślnych.</w:t>
            </w:r>
          </w:p>
        </w:tc>
        <w:tc>
          <w:tcPr>
            <w:tcW w:w="1133" w:type="dxa"/>
            <w:tcBorders>
              <w:top w:val="nil"/>
              <w:left w:val="nil"/>
              <w:bottom w:val="single" w:sz="4" w:space="0" w:color="auto"/>
              <w:right w:val="single" w:sz="4" w:space="0" w:color="auto"/>
            </w:tcBorders>
            <w:shd w:val="clear" w:color="auto" w:fill="auto"/>
            <w:vAlign w:val="center"/>
            <w:hideMark/>
          </w:tcPr>
          <w:p w14:paraId="244999A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699299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881D51A"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73BC1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w:t>
            </w:r>
          </w:p>
        </w:tc>
        <w:tc>
          <w:tcPr>
            <w:tcW w:w="5514" w:type="dxa"/>
            <w:tcBorders>
              <w:top w:val="nil"/>
              <w:left w:val="nil"/>
              <w:bottom w:val="single" w:sz="4" w:space="0" w:color="auto"/>
              <w:right w:val="single" w:sz="4" w:space="0" w:color="auto"/>
            </w:tcBorders>
            <w:shd w:val="clear" w:color="auto" w:fill="auto"/>
            <w:vAlign w:val="center"/>
            <w:hideMark/>
          </w:tcPr>
          <w:p w14:paraId="6A6FEE6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ma możliwość personalizacji wyglądu Oprogramowania dla każdego typu użytkownika m.in. w zakresie kolorystyki oraz ilości i kolejności zakładek i przycisków.</w:t>
            </w:r>
          </w:p>
        </w:tc>
        <w:tc>
          <w:tcPr>
            <w:tcW w:w="1133" w:type="dxa"/>
            <w:tcBorders>
              <w:top w:val="nil"/>
              <w:left w:val="nil"/>
              <w:bottom w:val="single" w:sz="4" w:space="0" w:color="auto"/>
              <w:right w:val="single" w:sz="4" w:space="0" w:color="auto"/>
            </w:tcBorders>
            <w:shd w:val="clear" w:color="auto" w:fill="auto"/>
            <w:vAlign w:val="center"/>
            <w:hideMark/>
          </w:tcPr>
          <w:p w14:paraId="6319278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70E3E8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1136289"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7D91D4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10.4</w:t>
            </w:r>
          </w:p>
        </w:tc>
        <w:tc>
          <w:tcPr>
            <w:tcW w:w="5514" w:type="dxa"/>
            <w:tcBorders>
              <w:top w:val="nil"/>
              <w:left w:val="nil"/>
              <w:bottom w:val="single" w:sz="4" w:space="0" w:color="auto"/>
              <w:right w:val="single" w:sz="4" w:space="0" w:color="auto"/>
            </w:tcBorders>
            <w:shd w:val="clear" w:color="auto" w:fill="auto"/>
            <w:vAlign w:val="center"/>
            <w:hideMark/>
          </w:tcPr>
          <w:p w14:paraId="2F45675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wyboru interwału wyświetlania kolumn (min. 1 min – 24h, tryb oparty na danych [ukrywanie interwałów, w których nie ma danych] oraz  tryb oparty na zakładkach).</w:t>
            </w:r>
          </w:p>
        </w:tc>
        <w:tc>
          <w:tcPr>
            <w:tcW w:w="1133" w:type="dxa"/>
            <w:tcBorders>
              <w:top w:val="nil"/>
              <w:left w:val="nil"/>
              <w:bottom w:val="single" w:sz="4" w:space="0" w:color="auto"/>
              <w:right w:val="single" w:sz="4" w:space="0" w:color="auto"/>
            </w:tcBorders>
            <w:shd w:val="clear" w:color="auto" w:fill="auto"/>
            <w:vAlign w:val="center"/>
            <w:hideMark/>
          </w:tcPr>
          <w:p w14:paraId="149B3F9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2E25CE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ED97D4E"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FB8005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10.5</w:t>
            </w:r>
          </w:p>
        </w:tc>
        <w:tc>
          <w:tcPr>
            <w:tcW w:w="5514" w:type="dxa"/>
            <w:tcBorders>
              <w:top w:val="nil"/>
              <w:left w:val="nil"/>
              <w:bottom w:val="single" w:sz="4" w:space="0" w:color="auto"/>
              <w:right w:val="single" w:sz="4" w:space="0" w:color="auto"/>
            </w:tcBorders>
            <w:shd w:val="clear" w:color="auto" w:fill="auto"/>
            <w:vAlign w:val="center"/>
            <w:hideMark/>
          </w:tcPr>
          <w:p w14:paraId="10F1793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wyświetlenia danych pacjenta z zadanego dnia i godziny, z momentu przejęcia na oddział,  przeniesienia na inny oddział, wypisania.</w:t>
            </w:r>
          </w:p>
        </w:tc>
        <w:tc>
          <w:tcPr>
            <w:tcW w:w="1133" w:type="dxa"/>
            <w:tcBorders>
              <w:top w:val="nil"/>
              <w:left w:val="nil"/>
              <w:bottom w:val="single" w:sz="4" w:space="0" w:color="auto"/>
              <w:right w:val="single" w:sz="4" w:space="0" w:color="auto"/>
            </w:tcBorders>
            <w:shd w:val="clear" w:color="auto" w:fill="auto"/>
            <w:vAlign w:val="center"/>
            <w:hideMark/>
          </w:tcPr>
          <w:p w14:paraId="1AC3557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2B2C26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C2421C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8A8EB8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10.6</w:t>
            </w:r>
          </w:p>
        </w:tc>
        <w:tc>
          <w:tcPr>
            <w:tcW w:w="5514" w:type="dxa"/>
            <w:tcBorders>
              <w:top w:val="nil"/>
              <w:left w:val="nil"/>
              <w:bottom w:val="single" w:sz="4" w:space="0" w:color="auto"/>
              <w:right w:val="single" w:sz="4" w:space="0" w:color="auto"/>
            </w:tcBorders>
            <w:shd w:val="clear" w:color="auto" w:fill="auto"/>
            <w:vAlign w:val="center"/>
            <w:hideMark/>
          </w:tcPr>
          <w:p w14:paraId="3360A43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Powrót do wyświetlania danych w aktualnym czasie dostępny pod jednym przyciskiem.</w:t>
            </w:r>
          </w:p>
        </w:tc>
        <w:tc>
          <w:tcPr>
            <w:tcW w:w="1133" w:type="dxa"/>
            <w:tcBorders>
              <w:top w:val="nil"/>
              <w:left w:val="nil"/>
              <w:bottom w:val="single" w:sz="4" w:space="0" w:color="auto"/>
              <w:right w:val="single" w:sz="4" w:space="0" w:color="auto"/>
            </w:tcBorders>
            <w:shd w:val="clear" w:color="auto" w:fill="auto"/>
            <w:vAlign w:val="center"/>
            <w:hideMark/>
          </w:tcPr>
          <w:p w14:paraId="1D88835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9242EC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91B513C"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13179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10.7</w:t>
            </w:r>
          </w:p>
        </w:tc>
        <w:tc>
          <w:tcPr>
            <w:tcW w:w="5514" w:type="dxa"/>
            <w:tcBorders>
              <w:top w:val="nil"/>
              <w:left w:val="nil"/>
              <w:bottom w:val="single" w:sz="4" w:space="0" w:color="auto"/>
              <w:right w:val="single" w:sz="4" w:space="0" w:color="auto"/>
            </w:tcBorders>
            <w:shd w:val="clear" w:color="auto" w:fill="auto"/>
            <w:vAlign w:val="center"/>
            <w:hideMark/>
          </w:tcPr>
          <w:p w14:paraId="5203C7E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Przyciski do przewijania do przodu i wstecz o jedną kolumnę i o całą stronę.</w:t>
            </w:r>
          </w:p>
        </w:tc>
        <w:tc>
          <w:tcPr>
            <w:tcW w:w="1133" w:type="dxa"/>
            <w:tcBorders>
              <w:top w:val="nil"/>
              <w:left w:val="nil"/>
              <w:bottom w:val="single" w:sz="4" w:space="0" w:color="auto"/>
              <w:right w:val="single" w:sz="4" w:space="0" w:color="auto"/>
            </w:tcBorders>
            <w:shd w:val="clear" w:color="auto" w:fill="auto"/>
            <w:vAlign w:val="center"/>
            <w:hideMark/>
          </w:tcPr>
          <w:p w14:paraId="76181CF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61B1C5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AF6716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808288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10.8</w:t>
            </w:r>
          </w:p>
        </w:tc>
        <w:tc>
          <w:tcPr>
            <w:tcW w:w="5514" w:type="dxa"/>
            <w:tcBorders>
              <w:top w:val="nil"/>
              <w:left w:val="nil"/>
              <w:bottom w:val="single" w:sz="4" w:space="0" w:color="auto"/>
              <w:right w:val="single" w:sz="4" w:space="0" w:color="auto"/>
            </w:tcBorders>
            <w:shd w:val="clear" w:color="auto" w:fill="auto"/>
            <w:vAlign w:val="center"/>
            <w:hideMark/>
          </w:tcPr>
          <w:p w14:paraId="0C08036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Możliwość wyświetlenia wszystkich interwałów czasu, w których znajdują się dane.  </w:t>
            </w:r>
          </w:p>
        </w:tc>
        <w:tc>
          <w:tcPr>
            <w:tcW w:w="1133" w:type="dxa"/>
            <w:tcBorders>
              <w:top w:val="nil"/>
              <w:left w:val="nil"/>
              <w:bottom w:val="single" w:sz="4" w:space="0" w:color="auto"/>
              <w:right w:val="single" w:sz="4" w:space="0" w:color="auto"/>
            </w:tcBorders>
            <w:shd w:val="clear" w:color="auto" w:fill="auto"/>
            <w:vAlign w:val="center"/>
            <w:hideMark/>
          </w:tcPr>
          <w:p w14:paraId="2A76AAD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5856EC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433F9D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B6931F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10.9</w:t>
            </w:r>
          </w:p>
        </w:tc>
        <w:tc>
          <w:tcPr>
            <w:tcW w:w="5514" w:type="dxa"/>
            <w:tcBorders>
              <w:top w:val="nil"/>
              <w:left w:val="nil"/>
              <w:bottom w:val="single" w:sz="4" w:space="0" w:color="auto"/>
              <w:right w:val="single" w:sz="4" w:space="0" w:color="auto"/>
            </w:tcBorders>
            <w:shd w:val="clear" w:color="auto" w:fill="auto"/>
            <w:vAlign w:val="center"/>
            <w:hideMark/>
          </w:tcPr>
          <w:p w14:paraId="7DAFB23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Możliwość wyświetlenia wszystkich interwałów czasu, w których znajdują się zatwierdzone przez personel medyczny dane.  </w:t>
            </w:r>
          </w:p>
        </w:tc>
        <w:tc>
          <w:tcPr>
            <w:tcW w:w="1133" w:type="dxa"/>
            <w:tcBorders>
              <w:top w:val="nil"/>
              <w:left w:val="nil"/>
              <w:bottom w:val="single" w:sz="4" w:space="0" w:color="auto"/>
              <w:right w:val="single" w:sz="4" w:space="0" w:color="auto"/>
            </w:tcBorders>
            <w:shd w:val="clear" w:color="auto" w:fill="auto"/>
            <w:vAlign w:val="center"/>
            <w:hideMark/>
          </w:tcPr>
          <w:p w14:paraId="5855CD9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EBDD8D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3A0CCF6"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905334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10.10</w:t>
            </w:r>
          </w:p>
        </w:tc>
        <w:tc>
          <w:tcPr>
            <w:tcW w:w="5514" w:type="dxa"/>
            <w:tcBorders>
              <w:top w:val="nil"/>
              <w:left w:val="nil"/>
              <w:bottom w:val="single" w:sz="4" w:space="0" w:color="auto"/>
              <w:right w:val="single" w:sz="4" w:space="0" w:color="auto"/>
            </w:tcBorders>
            <w:shd w:val="clear" w:color="auto" w:fill="auto"/>
            <w:vAlign w:val="center"/>
            <w:hideMark/>
          </w:tcPr>
          <w:p w14:paraId="378D1A2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ukrycia danych oznaczonych jako błędne.</w:t>
            </w:r>
          </w:p>
        </w:tc>
        <w:tc>
          <w:tcPr>
            <w:tcW w:w="1133" w:type="dxa"/>
            <w:tcBorders>
              <w:top w:val="nil"/>
              <w:left w:val="nil"/>
              <w:bottom w:val="single" w:sz="4" w:space="0" w:color="auto"/>
              <w:right w:val="single" w:sz="4" w:space="0" w:color="auto"/>
            </w:tcBorders>
            <w:shd w:val="clear" w:color="auto" w:fill="auto"/>
            <w:vAlign w:val="center"/>
            <w:hideMark/>
          </w:tcPr>
          <w:p w14:paraId="3B30876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FC780B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41AFE4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AE3B7D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10.11</w:t>
            </w:r>
          </w:p>
        </w:tc>
        <w:tc>
          <w:tcPr>
            <w:tcW w:w="5514" w:type="dxa"/>
            <w:tcBorders>
              <w:top w:val="nil"/>
              <w:left w:val="nil"/>
              <w:bottom w:val="single" w:sz="4" w:space="0" w:color="auto"/>
              <w:right w:val="single" w:sz="4" w:space="0" w:color="auto"/>
            </w:tcBorders>
            <w:shd w:val="clear" w:color="auto" w:fill="auto"/>
            <w:vAlign w:val="center"/>
            <w:hideMark/>
          </w:tcPr>
          <w:p w14:paraId="4D11392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ukrycia lub pokazania pustych wierszy tabeli, w których nie ma danych.</w:t>
            </w:r>
          </w:p>
        </w:tc>
        <w:tc>
          <w:tcPr>
            <w:tcW w:w="1133" w:type="dxa"/>
            <w:tcBorders>
              <w:top w:val="nil"/>
              <w:left w:val="nil"/>
              <w:bottom w:val="single" w:sz="4" w:space="0" w:color="auto"/>
              <w:right w:val="single" w:sz="4" w:space="0" w:color="auto"/>
            </w:tcBorders>
            <w:shd w:val="clear" w:color="auto" w:fill="auto"/>
            <w:vAlign w:val="center"/>
            <w:hideMark/>
          </w:tcPr>
          <w:p w14:paraId="28C9886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68269A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C686F88"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A9A043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10.12</w:t>
            </w:r>
          </w:p>
        </w:tc>
        <w:tc>
          <w:tcPr>
            <w:tcW w:w="5514" w:type="dxa"/>
            <w:tcBorders>
              <w:top w:val="nil"/>
              <w:left w:val="nil"/>
              <w:bottom w:val="single" w:sz="4" w:space="0" w:color="auto"/>
              <w:right w:val="single" w:sz="4" w:space="0" w:color="auto"/>
            </w:tcBorders>
            <w:shd w:val="clear" w:color="auto" w:fill="auto"/>
            <w:vAlign w:val="center"/>
            <w:hideMark/>
          </w:tcPr>
          <w:p w14:paraId="01A0C00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wyświetlenie kombinacji dowolnych monitorowanych wartości z różnych źródeł (np. aparatura medyczna, dane laboratoryjne i dane wprowadzone przez użytkownika) na jednym wykresie i tabeli.</w:t>
            </w:r>
          </w:p>
        </w:tc>
        <w:tc>
          <w:tcPr>
            <w:tcW w:w="1133" w:type="dxa"/>
            <w:tcBorders>
              <w:top w:val="nil"/>
              <w:left w:val="nil"/>
              <w:bottom w:val="single" w:sz="4" w:space="0" w:color="auto"/>
              <w:right w:val="single" w:sz="4" w:space="0" w:color="auto"/>
            </w:tcBorders>
            <w:shd w:val="clear" w:color="auto" w:fill="auto"/>
            <w:vAlign w:val="center"/>
            <w:hideMark/>
          </w:tcPr>
          <w:p w14:paraId="0EF44ED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D80AC8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58D166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D8B8F8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10.13</w:t>
            </w:r>
          </w:p>
        </w:tc>
        <w:tc>
          <w:tcPr>
            <w:tcW w:w="5514" w:type="dxa"/>
            <w:tcBorders>
              <w:top w:val="nil"/>
              <w:left w:val="nil"/>
              <w:bottom w:val="single" w:sz="4" w:space="0" w:color="auto"/>
              <w:right w:val="single" w:sz="4" w:space="0" w:color="auto"/>
            </w:tcBorders>
            <w:shd w:val="clear" w:color="auto" w:fill="auto"/>
            <w:vAlign w:val="center"/>
            <w:hideMark/>
          </w:tcPr>
          <w:p w14:paraId="5E0DB65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ręcznego ustawienia zakładek w celu zaznaczania wybranych kolumn np. zawierających istotne dane kliniczne.</w:t>
            </w:r>
          </w:p>
        </w:tc>
        <w:tc>
          <w:tcPr>
            <w:tcW w:w="1133" w:type="dxa"/>
            <w:tcBorders>
              <w:top w:val="nil"/>
              <w:left w:val="nil"/>
              <w:bottom w:val="single" w:sz="4" w:space="0" w:color="auto"/>
              <w:right w:val="single" w:sz="4" w:space="0" w:color="auto"/>
            </w:tcBorders>
            <w:shd w:val="clear" w:color="auto" w:fill="auto"/>
            <w:vAlign w:val="center"/>
            <w:hideMark/>
          </w:tcPr>
          <w:p w14:paraId="4F19C77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B068E4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DFD91BB"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0A15AB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10.14</w:t>
            </w:r>
          </w:p>
        </w:tc>
        <w:tc>
          <w:tcPr>
            <w:tcW w:w="5514" w:type="dxa"/>
            <w:tcBorders>
              <w:top w:val="nil"/>
              <w:left w:val="nil"/>
              <w:bottom w:val="single" w:sz="4" w:space="0" w:color="auto"/>
              <w:right w:val="single" w:sz="4" w:space="0" w:color="auto"/>
            </w:tcBorders>
            <w:shd w:val="clear" w:color="auto" w:fill="auto"/>
            <w:vAlign w:val="center"/>
            <w:hideMark/>
          </w:tcPr>
          <w:p w14:paraId="4922DF0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dodawania zdarzeń klinicznych. Wybór spośród predefiniowanej listy z możliwością dodania komentarza. Możliwość edycji wcześniej wprowadzonego zdarzenia oraz oznaczenia go jako błąd.</w:t>
            </w:r>
          </w:p>
        </w:tc>
        <w:tc>
          <w:tcPr>
            <w:tcW w:w="1133" w:type="dxa"/>
            <w:tcBorders>
              <w:top w:val="nil"/>
              <w:left w:val="nil"/>
              <w:bottom w:val="single" w:sz="4" w:space="0" w:color="auto"/>
              <w:right w:val="single" w:sz="4" w:space="0" w:color="auto"/>
            </w:tcBorders>
            <w:shd w:val="clear" w:color="auto" w:fill="auto"/>
            <w:vAlign w:val="center"/>
            <w:hideMark/>
          </w:tcPr>
          <w:p w14:paraId="59D2C54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5E6B01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0722357"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3CCA20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10.15</w:t>
            </w:r>
          </w:p>
        </w:tc>
        <w:tc>
          <w:tcPr>
            <w:tcW w:w="5514" w:type="dxa"/>
            <w:tcBorders>
              <w:top w:val="nil"/>
              <w:left w:val="nil"/>
              <w:bottom w:val="single" w:sz="4" w:space="0" w:color="auto"/>
              <w:right w:val="single" w:sz="4" w:space="0" w:color="auto"/>
            </w:tcBorders>
            <w:shd w:val="clear" w:color="auto" w:fill="auto"/>
            <w:vAlign w:val="center"/>
            <w:hideMark/>
          </w:tcPr>
          <w:p w14:paraId="5C71B4F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 udokumentowani zdarzenia, wyświetla się ono na liście wraz z datą i godzina oraz w dedykowanym sektorze zdarzeń na osi czasu z prezentacją graficzną/ ikoną.</w:t>
            </w:r>
          </w:p>
        </w:tc>
        <w:tc>
          <w:tcPr>
            <w:tcW w:w="1133" w:type="dxa"/>
            <w:tcBorders>
              <w:top w:val="nil"/>
              <w:left w:val="nil"/>
              <w:bottom w:val="single" w:sz="4" w:space="0" w:color="auto"/>
              <w:right w:val="single" w:sz="4" w:space="0" w:color="auto"/>
            </w:tcBorders>
            <w:shd w:val="clear" w:color="auto" w:fill="auto"/>
            <w:vAlign w:val="center"/>
            <w:hideMark/>
          </w:tcPr>
          <w:p w14:paraId="11379B2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D480EF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71C6E1E"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5C2C11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10.16</w:t>
            </w:r>
          </w:p>
        </w:tc>
        <w:tc>
          <w:tcPr>
            <w:tcW w:w="5514" w:type="dxa"/>
            <w:tcBorders>
              <w:top w:val="nil"/>
              <w:left w:val="nil"/>
              <w:bottom w:val="single" w:sz="4" w:space="0" w:color="auto"/>
              <w:right w:val="single" w:sz="4" w:space="0" w:color="auto"/>
            </w:tcBorders>
            <w:shd w:val="clear" w:color="auto" w:fill="auto"/>
            <w:vAlign w:val="center"/>
            <w:hideMark/>
          </w:tcPr>
          <w:p w14:paraId="7B77166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dodania do listy dowolnego nowego zdarzenia, które po udokumentowaniu wyświetli się na liście wraz z datą i godzina oraz w dedykowanym sektorze zdarzeń na osi czasu z prezentacją graficzną/ ikoną.</w:t>
            </w:r>
          </w:p>
        </w:tc>
        <w:tc>
          <w:tcPr>
            <w:tcW w:w="1133" w:type="dxa"/>
            <w:tcBorders>
              <w:top w:val="nil"/>
              <w:left w:val="nil"/>
              <w:bottom w:val="single" w:sz="4" w:space="0" w:color="auto"/>
              <w:right w:val="single" w:sz="4" w:space="0" w:color="auto"/>
            </w:tcBorders>
            <w:shd w:val="clear" w:color="auto" w:fill="auto"/>
            <w:vAlign w:val="center"/>
            <w:hideMark/>
          </w:tcPr>
          <w:p w14:paraId="22A449D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3B1627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9CBF9C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8B92F6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10.17</w:t>
            </w:r>
          </w:p>
        </w:tc>
        <w:tc>
          <w:tcPr>
            <w:tcW w:w="5514" w:type="dxa"/>
            <w:tcBorders>
              <w:top w:val="nil"/>
              <w:left w:val="nil"/>
              <w:bottom w:val="single" w:sz="4" w:space="0" w:color="auto"/>
              <w:right w:val="single" w:sz="4" w:space="0" w:color="auto"/>
            </w:tcBorders>
            <w:shd w:val="clear" w:color="auto" w:fill="auto"/>
            <w:vAlign w:val="center"/>
            <w:hideMark/>
          </w:tcPr>
          <w:p w14:paraId="335CF06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wprowadzania wybranych zdarzeń za pomocą skonfigurowanych przycisków – wprowadzenie zdarzenia odbywa się poprzez jedno kliknięcie.</w:t>
            </w:r>
          </w:p>
        </w:tc>
        <w:tc>
          <w:tcPr>
            <w:tcW w:w="1133" w:type="dxa"/>
            <w:tcBorders>
              <w:top w:val="nil"/>
              <w:left w:val="nil"/>
              <w:bottom w:val="single" w:sz="4" w:space="0" w:color="auto"/>
              <w:right w:val="single" w:sz="4" w:space="0" w:color="auto"/>
            </w:tcBorders>
            <w:shd w:val="clear" w:color="auto" w:fill="auto"/>
            <w:vAlign w:val="center"/>
            <w:hideMark/>
          </w:tcPr>
          <w:p w14:paraId="0F7F01F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67B788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F55203D" w14:textId="77777777" w:rsidTr="00FD23DE">
        <w:trPr>
          <w:trHeight w:val="343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139671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10.18</w:t>
            </w:r>
          </w:p>
        </w:tc>
        <w:tc>
          <w:tcPr>
            <w:tcW w:w="5514" w:type="dxa"/>
            <w:tcBorders>
              <w:top w:val="nil"/>
              <w:left w:val="nil"/>
              <w:bottom w:val="single" w:sz="4" w:space="0" w:color="auto"/>
              <w:right w:val="single" w:sz="4" w:space="0" w:color="auto"/>
            </w:tcBorders>
            <w:shd w:val="clear" w:color="auto" w:fill="auto"/>
            <w:vAlign w:val="center"/>
            <w:hideMark/>
          </w:tcPr>
          <w:p w14:paraId="5234882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wyświetlania panelu / okna z krótkim podsumowaniem (forma kokpitu zbiorczego) stanu pacjenta w zadanym czasie min.:</w:t>
            </w:r>
            <w:r w:rsidRPr="00CF3752">
              <w:rPr>
                <w:rFonts w:eastAsia="Times New Roman" w:cstheme="minorHAnsi"/>
                <w:lang w:eastAsia="pl-PL"/>
              </w:rPr>
              <w:br/>
              <w:t>- dane demograficzne</w:t>
            </w:r>
            <w:r w:rsidRPr="00CF3752">
              <w:rPr>
                <w:rFonts w:eastAsia="Times New Roman" w:cstheme="minorHAnsi"/>
                <w:lang w:eastAsia="pl-PL"/>
              </w:rPr>
              <w:br/>
              <w:t>- informację o alergiach</w:t>
            </w:r>
            <w:r w:rsidRPr="00CF3752">
              <w:rPr>
                <w:rFonts w:eastAsia="Times New Roman" w:cstheme="minorHAnsi"/>
                <w:lang w:eastAsia="pl-PL"/>
              </w:rPr>
              <w:br/>
              <w:t xml:space="preserve">- wyniki ocen wg stosowanych </w:t>
            </w:r>
            <w:proofErr w:type="spellStart"/>
            <w:r w:rsidRPr="00CF3752">
              <w:rPr>
                <w:rFonts w:eastAsia="Times New Roman" w:cstheme="minorHAnsi"/>
                <w:lang w:eastAsia="pl-PL"/>
              </w:rPr>
              <w:t>skal</w:t>
            </w:r>
            <w:proofErr w:type="spellEnd"/>
            <w:r w:rsidRPr="00CF3752">
              <w:rPr>
                <w:rFonts w:eastAsia="Times New Roman" w:cstheme="minorHAnsi"/>
                <w:lang w:eastAsia="pl-PL"/>
              </w:rPr>
              <w:br/>
              <w:t>- listę zdarzeń, wyzwolonych poprzez menadżera zdarzeń</w:t>
            </w:r>
            <w:r w:rsidRPr="00CF3752">
              <w:rPr>
                <w:rFonts w:eastAsia="Times New Roman" w:cstheme="minorHAnsi"/>
                <w:lang w:eastAsia="pl-PL"/>
              </w:rPr>
              <w:br/>
              <w:t>- zwięzłą informację na temat stanu układu krążenia, oddechowego, stanu neurologicznego</w:t>
            </w:r>
            <w:r w:rsidRPr="00CF3752">
              <w:rPr>
                <w:rFonts w:eastAsia="Times New Roman" w:cstheme="minorHAnsi"/>
                <w:lang w:eastAsia="pl-PL"/>
              </w:rPr>
              <w:br/>
              <w:t>- wykres trendów parametrów życiowych</w:t>
            </w:r>
            <w:r w:rsidRPr="00CF3752">
              <w:rPr>
                <w:rFonts w:eastAsia="Times New Roman" w:cstheme="minorHAnsi"/>
                <w:lang w:eastAsia="pl-PL"/>
              </w:rPr>
              <w:br/>
              <w:t>- wyniki podstawowych badań laboratoryjnych</w:t>
            </w:r>
            <w:r w:rsidRPr="00CF3752">
              <w:rPr>
                <w:rFonts w:eastAsia="Times New Roman" w:cstheme="minorHAnsi"/>
                <w:lang w:eastAsia="pl-PL"/>
              </w:rPr>
              <w:br/>
              <w:t>- bilans płynów</w:t>
            </w:r>
            <w:r w:rsidRPr="00CF3752">
              <w:rPr>
                <w:rFonts w:eastAsia="Times New Roman" w:cstheme="minorHAnsi"/>
                <w:lang w:eastAsia="pl-PL"/>
              </w:rPr>
              <w:br/>
              <w:t>- listę aktywnych zleceń</w:t>
            </w:r>
            <w:r w:rsidRPr="00CF3752">
              <w:rPr>
                <w:rFonts w:eastAsia="Times New Roman" w:cstheme="minorHAnsi"/>
                <w:lang w:eastAsia="pl-PL"/>
              </w:rPr>
              <w:br/>
              <w:t>- pole tekstowe zawierające diagnozę i ewentualnie dodatkowe komentarze</w:t>
            </w:r>
          </w:p>
        </w:tc>
        <w:tc>
          <w:tcPr>
            <w:tcW w:w="1133" w:type="dxa"/>
            <w:tcBorders>
              <w:top w:val="nil"/>
              <w:left w:val="nil"/>
              <w:bottom w:val="single" w:sz="4" w:space="0" w:color="auto"/>
              <w:right w:val="single" w:sz="4" w:space="0" w:color="auto"/>
            </w:tcBorders>
            <w:shd w:val="clear" w:color="auto" w:fill="auto"/>
            <w:vAlign w:val="center"/>
            <w:hideMark/>
          </w:tcPr>
          <w:p w14:paraId="44579C0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700A89C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64271D6"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FC2A8C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10.19</w:t>
            </w:r>
          </w:p>
        </w:tc>
        <w:tc>
          <w:tcPr>
            <w:tcW w:w="5514" w:type="dxa"/>
            <w:tcBorders>
              <w:top w:val="nil"/>
              <w:left w:val="nil"/>
              <w:bottom w:val="single" w:sz="4" w:space="0" w:color="auto"/>
              <w:right w:val="single" w:sz="4" w:space="0" w:color="auto"/>
            </w:tcBorders>
            <w:shd w:val="clear" w:color="auto" w:fill="auto"/>
            <w:vAlign w:val="center"/>
            <w:hideMark/>
          </w:tcPr>
          <w:p w14:paraId="49D2250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umożliwiająca komunikację między użytkownikami systemu, przesyłanie wiadomości oraz powiadomienia. Możliwość przypisania do wiadomości pacjenta (i grupy pacjentów) którego ona dotyczy.</w:t>
            </w:r>
          </w:p>
        </w:tc>
        <w:tc>
          <w:tcPr>
            <w:tcW w:w="1133" w:type="dxa"/>
            <w:tcBorders>
              <w:top w:val="nil"/>
              <w:left w:val="nil"/>
              <w:bottom w:val="single" w:sz="4" w:space="0" w:color="auto"/>
              <w:right w:val="single" w:sz="4" w:space="0" w:color="auto"/>
            </w:tcBorders>
            <w:shd w:val="clear" w:color="auto" w:fill="auto"/>
            <w:vAlign w:val="center"/>
            <w:hideMark/>
          </w:tcPr>
          <w:p w14:paraId="1DE42B2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5576EC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3987F35"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E15DD8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10.20</w:t>
            </w:r>
          </w:p>
        </w:tc>
        <w:tc>
          <w:tcPr>
            <w:tcW w:w="5514" w:type="dxa"/>
            <w:tcBorders>
              <w:top w:val="nil"/>
              <w:left w:val="nil"/>
              <w:bottom w:val="single" w:sz="4" w:space="0" w:color="auto"/>
              <w:right w:val="single" w:sz="4" w:space="0" w:color="auto"/>
            </w:tcBorders>
            <w:shd w:val="clear" w:color="auto" w:fill="auto"/>
            <w:vAlign w:val="center"/>
            <w:hideMark/>
          </w:tcPr>
          <w:p w14:paraId="77E08C7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Widok zbiorczy pacjentów - system prezentuje graficzną mapę oddziału (układ łóżek i pomieszczeń), z poziomu której możliwe jest udokumentowanie przyjęcia pacjenta oraz zmianę łóżka. Dokumentowanie zmiany łóżka odbywa się na zasadzie „drag and drop”.</w:t>
            </w:r>
            <w:r w:rsidRPr="00CF3752">
              <w:rPr>
                <w:rFonts w:eastAsia="Times New Roman" w:cstheme="minorHAnsi"/>
                <w:lang w:eastAsia="pl-PL"/>
              </w:rPr>
              <w:br/>
              <w:t xml:space="preserve">Na mapie oddziału widoczne jest imię i nazwisko pacjenta, numer/nazwa łóżka, numer identyfikacyjny oraz wybrane parametry istotne dla użytkownika (m.in. funkcje życiowe, wyniki </w:t>
            </w:r>
            <w:proofErr w:type="spellStart"/>
            <w:r w:rsidRPr="00CF3752">
              <w:rPr>
                <w:rFonts w:eastAsia="Times New Roman" w:cstheme="minorHAnsi"/>
                <w:lang w:eastAsia="pl-PL"/>
              </w:rPr>
              <w:t>skal</w:t>
            </w:r>
            <w:proofErr w:type="spellEnd"/>
            <w:r w:rsidRPr="00CF3752">
              <w:rPr>
                <w:rFonts w:eastAsia="Times New Roman" w:cstheme="minorHAnsi"/>
                <w:lang w:eastAsia="pl-PL"/>
              </w:rPr>
              <w:t>).</w:t>
            </w:r>
          </w:p>
        </w:tc>
        <w:tc>
          <w:tcPr>
            <w:tcW w:w="1133" w:type="dxa"/>
            <w:tcBorders>
              <w:top w:val="nil"/>
              <w:left w:val="nil"/>
              <w:bottom w:val="single" w:sz="4" w:space="0" w:color="auto"/>
              <w:right w:val="single" w:sz="4" w:space="0" w:color="auto"/>
            </w:tcBorders>
            <w:shd w:val="clear" w:color="auto" w:fill="auto"/>
            <w:vAlign w:val="center"/>
            <w:hideMark/>
          </w:tcPr>
          <w:p w14:paraId="7C7A685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F01654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6F84049" w14:textId="77777777" w:rsidTr="00FD23DE">
        <w:trPr>
          <w:trHeight w:val="343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C5509A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10.21</w:t>
            </w:r>
          </w:p>
        </w:tc>
        <w:tc>
          <w:tcPr>
            <w:tcW w:w="5514" w:type="dxa"/>
            <w:tcBorders>
              <w:top w:val="nil"/>
              <w:left w:val="nil"/>
              <w:bottom w:val="single" w:sz="4" w:space="0" w:color="auto"/>
              <w:right w:val="single" w:sz="4" w:space="0" w:color="auto"/>
            </w:tcBorders>
            <w:shd w:val="clear" w:color="auto" w:fill="auto"/>
            <w:vAlign w:val="center"/>
            <w:hideMark/>
          </w:tcPr>
          <w:p w14:paraId="2560B0E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Zbiorczy widok wielu pacjentów zawierający co najmniej następujące dane dla każdego z nich:</w:t>
            </w:r>
            <w:r w:rsidRPr="00CF3752">
              <w:rPr>
                <w:rFonts w:eastAsia="Times New Roman" w:cstheme="minorHAnsi"/>
                <w:lang w:eastAsia="pl-PL"/>
              </w:rPr>
              <w:br/>
              <w:t>- imię i nazwisko</w:t>
            </w:r>
            <w:r w:rsidRPr="00CF3752">
              <w:rPr>
                <w:rFonts w:eastAsia="Times New Roman" w:cstheme="minorHAnsi"/>
                <w:lang w:eastAsia="pl-PL"/>
              </w:rPr>
              <w:br/>
              <w:t xml:space="preserve">- podstawowe parametry życiowe </w:t>
            </w:r>
            <w:r w:rsidRPr="00CF3752">
              <w:rPr>
                <w:rFonts w:eastAsia="Times New Roman" w:cstheme="minorHAnsi"/>
                <w:lang w:eastAsia="pl-PL"/>
              </w:rPr>
              <w:br/>
              <w:t>- rozpoznanie / diagnoza</w:t>
            </w:r>
            <w:r w:rsidRPr="00CF3752">
              <w:rPr>
                <w:rFonts w:eastAsia="Times New Roman" w:cstheme="minorHAnsi"/>
                <w:lang w:eastAsia="pl-PL"/>
              </w:rPr>
              <w:br/>
              <w:t>- status alergii</w:t>
            </w:r>
            <w:r w:rsidRPr="00CF3752">
              <w:rPr>
                <w:rFonts w:eastAsia="Times New Roman" w:cstheme="minorHAnsi"/>
                <w:lang w:eastAsia="pl-PL"/>
              </w:rPr>
              <w:br/>
              <w:t>- wyniki laboratoryjne</w:t>
            </w:r>
            <w:r w:rsidRPr="00CF3752">
              <w:rPr>
                <w:rFonts w:eastAsia="Times New Roman" w:cstheme="minorHAnsi"/>
                <w:lang w:eastAsia="pl-PL"/>
              </w:rPr>
              <w:br/>
              <w:t>- ocena wg wybranej skali (np. EWS)</w:t>
            </w:r>
            <w:r w:rsidRPr="00CF3752">
              <w:rPr>
                <w:rFonts w:eastAsia="Times New Roman" w:cstheme="minorHAnsi"/>
                <w:lang w:eastAsia="pl-PL"/>
              </w:rPr>
              <w:br/>
              <w:t>- dane lekarza prowadzącego</w:t>
            </w:r>
            <w:r w:rsidRPr="00CF3752">
              <w:rPr>
                <w:rFonts w:eastAsia="Times New Roman" w:cstheme="minorHAnsi"/>
                <w:lang w:eastAsia="pl-PL"/>
              </w:rPr>
              <w:br/>
              <w:t>Poszczególne elementy oznaczone są kolorami i ikonami.</w:t>
            </w:r>
            <w:r w:rsidRPr="00CF3752">
              <w:rPr>
                <w:rFonts w:eastAsia="Times New Roman" w:cstheme="minorHAnsi"/>
                <w:lang w:eastAsia="pl-PL"/>
              </w:rPr>
              <w:br/>
              <w:t xml:space="preserve">Z poziomu zbiorczego widoku, bez jego zamykania i otwierania, można otworzyć i uzupełnić wybrany formularz dla poszczególnych </w:t>
            </w:r>
            <w:r w:rsidRPr="00F8703A">
              <w:rPr>
                <w:rFonts w:eastAsia="Times New Roman" w:cstheme="minorHAnsi"/>
                <w:lang w:eastAsia="pl-PL"/>
              </w:rPr>
              <w:t>pacjentów</w:t>
            </w:r>
            <w:r w:rsidRPr="00CF3752">
              <w:rPr>
                <w:rFonts w:eastAsia="Times New Roman" w:cstheme="minorHAnsi"/>
                <w:lang w:eastAsia="pl-PL"/>
              </w:rPr>
              <w:t xml:space="preserve">. System zapewnia możliwość konfiguracji (edycji) </w:t>
            </w:r>
            <w:r w:rsidRPr="00F8703A">
              <w:rPr>
                <w:rFonts w:eastAsia="Times New Roman" w:cstheme="minorHAnsi"/>
                <w:lang w:eastAsia="pl-PL"/>
              </w:rPr>
              <w:t>zbiorczego</w:t>
            </w:r>
            <w:r w:rsidRPr="00CF3752">
              <w:rPr>
                <w:rFonts w:eastAsia="Times New Roman" w:cstheme="minorHAnsi"/>
                <w:lang w:eastAsia="pl-PL"/>
              </w:rPr>
              <w:t xml:space="preserve">  widoku.   </w:t>
            </w:r>
          </w:p>
        </w:tc>
        <w:tc>
          <w:tcPr>
            <w:tcW w:w="1133" w:type="dxa"/>
            <w:tcBorders>
              <w:top w:val="nil"/>
              <w:left w:val="nil"/>
              <w:bottom w:val="single" w:sz="4" w:space="0" w:color="auto"/>
              <w:right w:val="single" w:sz="4" w:space="0" w:color="auto"/>
            </w:tcBorders>
            <w:shd w:val="clear" w:color="auto" w:fill="auto"/>
            <w:vAlign w:val="center"/>
            <w:hideMark/>
          </w:tcPr>
          <w:p w14:paraId="096E4D5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679A569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A4FAB2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CC7062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10.22</w:t>
            </w:r>
          </w:p>
        </w:tc>
        <w:tc>
          <w:tcPr>
            <w:tcW w:w="5514" w:type="dxa"/>
            <w:tcBorders>
              <w:top w:val="nil"/>
              <w:left w:val="nil"/>
              <w:bottom w:val="single" w:sz="4" w:space="0" w:color="auto"/>
              <w:right w:val="single" w:sz="4" w:space="0" w:color="auto"/>
            </w:tcBorders>
            <w:shd w:val="clear" w:color="auto" w:fill="auto"/>
            <w:vAlign w:val="center"/>
            <w:hideMark/>
          </w:tcPr>
          <w:p w14:paraId="1A44445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wyświetlenia widoku wielu pacjentów w trybie pełnoekranowym lub w pływającym oknie.</w:t>
            </w:r>
          </w:p>
        </w:tc>
        <w:tc>
          <w:tcPr>
            <w:tcW w:w="1133" w:type="dxa"/>
            <w:tcBorders>
              <w:top w:val="nil"/>
              <w:left w:val="nil"/>
              <w:bottom w:val="single" w:sz="4" w:space="0" w:color="auto"/>
              <w:right w:val="single" w:sz="4" w:space="0" w:color="auto"/>
            </w:tcBorders>
            <w:shd w:val="clear" w:color="auto" w:fill="auto"/>
            <w:vAlign w:val="center"/>
            <w:hideMark/>
          </w:tcPr>
          <w:p w14:paraId="47FE713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74AC40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45448FA"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D65796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10.23</w:t>
            </w:r>
          </w:p>
        </w:tc>
        <w:tc>
          <w:tcPr>
            <w:tcW w:w="5514" w:type="dxa"/>
            <w:tcBorders>
              <w:top w:val="nil"/>
              <w:left w:val="nil"/>
              <w:bottom w:val="single" w:sz="4" w:space="0" w:color="auto"/>
              <w:right w:val="single" w:sz="4" w:space="0" w:color="auto"/>
            </w:tcBorders>
            <w:shd w:val="clear" w:color="auto" w:fill="auto"/>
            <w:vAlign w:val="center"/>
            <w:hideMark/>
          </w:tcPr>
          <w:p w14:paraId="78EFC29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wydruku bezpośrednio z poziomu otwartego widoku zbiorczego pacjentów w postaci listy.</w:t>
            </w:r>
          </w:p>
        </w:tc>
        <w:tc>
          <w:tcPr>
            <w:tcW w:w="1133" w:type="dxa"/>
            <w:tcBorders>
              <w:top w:val="nil"/>
              <w:left w:val="nil"/>
              <w:bottom w:val="single" w:sz="4" w:space="0" w:color="auto"/>
              <w:right w:val="single" w:sz="4" w:space="0" w:color="auto"/>
            </w:tcBorders>
            <w:shd w:val="clear" w:color="auto" w:fill="auto"/>
            <w:vAlign w:val="center"/>
            <w:hideMark/>
          </w:tcPr>
          <w:p w14:paraId="2108974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19FA39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CD3DAE7"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080663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10.24</w:t>
            </w:r>
          </w:p>
        </w:tc>
        <w:tc>
          <w:tcPr>
            <w:tcW w:w="5514" w:type="dxa"/>
            <w:tcBorders>
              <w:top w:val="nil"/>
              <w:left w:val="nil"/>
              <w:bottom w:val="single" w:sz="4" w:space="0" w:color="auto"/>
              <w:right w:val="single" w:sz="4" w:space="0" w:color="auto"/>
            </w:tcBorders>
            <w:shd w:val="clear" w:color="auto" w:fill="auto"/>
            <w:vAlign w:val="center"/>
            <w:hideMark/>
          </w:tcPr>
          <w:p w14:paraId="08DE9CE2" w14:textId="77777777" w:rsidR="00CB3017" w:rsidRPr="00CF3752" w:rsidRDefault="00CB3017" w:rsidP="00880B0C">
            <w:pPr>
              <w:spacing w:after="0" w:line="240" w:lineRule="auto"/>
              <w:rPr>
                <w:rFonts w:eastAsia="Times New Roman" w:cstheme="minorHAnsi"/>
                <w:lang w:eastAsia="pl-PL"/>
              </w:rPr>
            </w:pPr>
            <w:r w:rsidRPr="00F8703A">
              <w:rPr>
                <w:rFonts w:eastAsia="Times New Roman" w:cstheme="minorHAnsi"/>
                <w:lang w:eastAsia="pl-PL"/>
              </w:rPr>
              <w:t>Możliwość</w:t>
            </w:r>
            <w:r w:rsidRPr="00CF3752">
              <w:rPr>
                <w:rFonts w:eastAsia="Times New Roman" w:cstheme="minorHAnsi"/>
                <w:lang w:eastAsia="pl-PL"/>
              </w:rPr>
              <w:t xml:space="preserve"> sortowania po wybrany parametrze,  m.in. parametrze życiowym, laboratoryjnym, wyniku skali, dacie przyjęcia, płci, wieku, </w:t>
            </w:r>
            <w:r w:rsidRPr="00F8703A">
              <w:rPr>
                <w:rFonts w:eastAsia="Times New Roman" w:cstheme="minorHAnsi"/>
                <w:lang w:eastAsia="pl-PL"/>
              </w:rPr>
              <w:t>rozpoznaniu</w:t>
            </w:r>
            <w:r w:rsidRPr="00CF3752">
              <w:rPr>
                <w:rFonts w:eastAsia="Times New Roman" w:cstheme="minorHAnsi"/>
                <w:lang w:eastAsia="pl-PL"/>
              </w:rPr>
              <w:t xml:space="preserve"> itp.</w:t>
            </w:r>
          </w:p>
        </w:tc>
        <w:tc>
          <w:tcPr>
            <w:tcW w:w="1133" w:type="dxa"/>
            <w:tcBorders>
              <w:top w:val="nil"/>
              <w:left w:val="nil"/>
              <w:bottom w:val="single" w:sz="4" w:space="0" w:color="auto"/>
              <w:right w:val="single" w:sz="4" w:space="0" w:color="auto"/>
            </w:tcBorders>
            <w:shd w:val="clear" w:color="auto" w:fill="auto"/>
            <w:vAlign w:val="center"/>
            <w:hideMark/>
          </w:tcPr>
          <w:p w14:paraId="5F354D7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AE98D0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E4A1A52"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6817A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10.25</w:t>
            </w:r>
          </w:p>
        </w:tc>
        <w:tc>
          <w:tcPr>
            <w:tcW w:w="5514" w:type="dxa"/>
            <w:tcBorders>
              <w:top w:val="nil"/>
              <w:left w:val="nil"/>
              <w:bottom w:val="single" w:sz="4" w:space="0" w:color="auto"/>
              <w:right w:val="single" w:sz="4" w:space="0" w:color="auto"/>
            </w:tcBorders>
            <w:shd w:val="clear" w:color="auto" w:fill="auto"/>
            <w:vAlign w:val="center"/>
            <w:hideMark/>
          </w:tcPr>
          <w:p w14:paraId="20447AC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tworzenia własnych list pacjentów według kryteriów użytkownika, m.in. pacjenci przypisanymi do danego opiekuna, pacjenci w izolatkach, pacjenci wentylowani.</w:t>
            </w:r>
          </w:p>
        </w:tc>
        <w:tc>
          <w:tcPr>
            <w:tcW w:w="1133" w:type="dxa"/>
            <w:tcBorders>
              <w:top w:val="nil"/>
              <w:left w:val="nil"/>
              <w:bottom w:val="single" w:sz="4" w:space="0" w:color="auto"/>
              <w:right w:val="single" w:sz="4" w:space="0" w:color="auto"/>
            </w:tcBorders>
            <w:shd w:val="clear" w:color="auto" w:fill="auto"/>
            <w:vAlign w:val="center"/>
            <w:hideMark/>
          </w:tcPr>
          <w:p w14:paraId="7E260F2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5216C7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CB0AB52"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BE08B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10.26</w:t>
            </w:r>
          </w:p>
        </w:tc>
        <w:tc>
          <w:tcPr>
            <w:tcW w:w="5514" w:type="dxa"/>
            <w:tcBorders>
              <w:top w:val="nil"/>
              <w:left w:val="nil"/>
              <w:bottom w:val="single" w:sz="4" w:space="0" w:color="auto"/>
              <w:right w:val="single" w:sz="4" w:space="0" w:color="auto"/>
            </w:tcBorders>
            <w:shd w:val="clear" w:color="auto" w:fill="auto"/>
            <w:vAlign w:val="center"/>
            <w:hideMark/>
          </w:tcPr>
          <w:p w14:paraId="3055049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zdefiniowania rodzaju informacji widocznych dla danego, aktualnie zalogowanego użytkownika.</w:t>
            </w:r>
          </w:p>
        </w:tc>
        <w:tc>
          <w:tcPr>
            <w:tcW w:w="1133" w:type="dxa"/>
            <w:tcBorders>
              <w:top w:val="nil"/>
              <w:left w:val="nil"/>
              <w:bottom w:val="single" w:sz="4" w:space="0" w:color="auto"/>
              <w:right w:val="single" w:sz="4" w:space="0" w:color="auto"/>
            </w:tcBorders>
            <w:shd w:val="clear" w:color="auto" w:fill="auto"/>
            <w:vAlign w:val="center"/>
            <w:hideMark/>
          </w:tcPr>
          <w:p w14:paraId="489F0E0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8EAA46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DAD784F"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0A96EB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10.27</w:t>
            </w:r>
          </w:p>
        </w:tc>
        <w:tc>
          <w:tcPr>
            <w:tcW w:w="5514" w:type="dxa"/>
            <w:tcBorders>
              <w:top w:val="nil"/>
              <w:left w:val="nil"/>
              <w:bottom w:val="single" w:sz="4" w:space="0" w:color="auto"/>
              <w:right w:val="single" w:sz="4" w:space="0" w:color="auto"/>
            </w:tcBorders>
            <w:shd w:val="clear" w:color="auto" w:fill="auto"/>
            <w:vAlign w:val="center"/>
            <w:hideMark/>
          </w:tcPr>
          <w:p w14:paraId="1F08203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zdefiniowania grupy pacjentów widocznych dla danego, aktualnie zalogowanego użytkownika.</w:t>
            </w:r>
          </w:p>
        </w:tc>
        <w:tc>
          <w:tcPr>
            <w:tcW w:w="1133" w:type="dxa"/>
            <w:tcBorders>
              <w:top w:val="nil"/>
              <w:left w:val="nil"/>
              <w:bottom w:val="single" w:sz="4" w:space="0" w:color="auto"/>
              <w:right w:val="single" w:sz="4" w:space="0" w:color="auto"/>
            </w:tcBorders>
            <w:shd w:val="clear" w:color="auto" w:fill="auto"/>
            <w:vAlign w:val="center"/>
            <w:hideMark/>
          </w:tcPr>
          <w:p w14:paraId="15C7D1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DCAF1D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43502A1"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2ED646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10.28</w:t>
            </w:r>
          </w:p>
        </w:tc>
        <w:tc>
          <w:tcPr>
            <w:tcW w:w="5514" w:type="dxa"/>
            <w:tcBorders>
              <w:top w:val="nil"/>
              <w:left w:val="nil"/>
              <w:bottom w:val="single" w:sz="4" w:space="0" w:color="auto"/>
              <w:right w:val="single" w:sz="4" w:space="0" w:color="auto"/>
            </w:tcBorders>
            <w:shd w:val="clear" w:color="auto" w:fill="auto"/>
            <w:vAlign w:val="center"/>
            <w:hideMark/>
          </w:tcPr>
          <w:p w14:paraId="4831F7B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Zbiorczy widok wielu pacjentów podlega personalizacji, co oznacza, że każdy użytkownik może dostosować widok do własnych </w:t>
            </w:r>
            <w:r w:rsidRPr="00F8703A">
              <w:rPr>
                <w:rFonts w:eastAsia="Times New Roman" w:cstheme="minorHAnsi"/>
                <w:lang w:eastAsia="pl-PL"/>
              </w:rPr>
              <w:t>potrzeb</w:t>
            </w:r>
            <w:r w:rsidRPr="00CF3752">
              <w:rPr>
                <w:rFonts w:eastAsia="Times New Roman" w:cstheme="minorHAnsi"/>
                <w:lang w:eastAsia="pl-PL"/>
              </w:rPr>
              <w:t xml:space="preserve"> z poziomu otwartej aplikacji. Użytkownik może wybrać które informacje (m.in. parametry życiowe, laboratoryjne, wyniki </w:t>
            </w:r>
            <w:proofErr w:type="spellStart"/>
            <w:r w:rsidRPr="00CF3752">
              <w:rPr>
                <w:rFonts w:eastAsia="Times New Roman" w:cstheme="minorHAnsi"/>
                <w:lang w:eastAsia="pl-PL"/>
              </w:rPr>
              <w:t>skal</w:t>
            </w:r>
            <w:proofErr w:type="spellEnd"/>
            <w:r w:rsidRPr="00CF3752">
              <w:rPr>
                <w:rFonts w:eastAsia="Times New Roman" w:cstheme="minorHAnsi"/>
                <w:lang w:eastAsia="pl-PL"/>
              </w:rPr>
              <w:t>, rozpoznania, dane demograficzne, data przyjęcia, zabiegu, czas założonego wkłucia, przyczyna izolacji) i w jakiej kolejności mają być wyświetlane dla pacjentów.</w:t>
            </w:r>
          </w:p>
        </w:tc>
        <w:tc>
          <w:tcPr>
            <w:tcW w:w="1133" w:type="dxa"/>
            <w:tcBorders>
              <w:top w:val="nil"/>
              <w:left w:val="nil"/>
              <w:bottom w:val="single" w:sz="4" w:space="0" w:color="auto"/>
              <w:right w:val="single" w:sz="4" w:space="0" w:color="auto"/>
            </w:tcBorders>
            <w:shd w:val="clear" w:color="auto" w:fill="auto"/>
            <w:vAlign w:val="center"/>
            <w:hideMark/>
          </w:tcPr>
          <w:p w14:paraId="3FF8428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21E01B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9DFD0E9"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0B2ADF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10.29</w:t>
            </w:r>
          </w:p>
        </w:tc>
        <w:tc>
          <w:tcPr>
            <w:tcW w:w="5514" w:type="dxa"/>
            <w:tcBorders>
              <w:top w:val="nil"/>
              <w:left w:val="nil"/>
              <w:bottom w:val="single" w:sz="4" w:space="0" w:color="auto"/>
              <w:right w:val="single" w:sz="4" w:space="0" w:color="auto"/>
            </w:tcBorders>
            <w:shd w:val="clear" w:color="auto" w:fill="auto"/>
            <w:vAlign w:val="center"/>
            <w:hideMark/>
          </w:tcPr>
          <w:p w14:paraId="21C8772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Możliwość wglądu i edycji dokumentacji pacjenta z dowolnej stacji roboczej. W przypadku korzystania z systemu z poziomu innej stacji roboczej, niż tej umiejscowionej przy stanowisku danego pacjenta, ekran główny będzie oznaczony w wyraźny sposób, np.. wyświetlona zostanie ramka w ostrzegawczym kolorze. </w:t>
            </w:r>
          </w:p>
        </w:tc>
        <w:tc>
          <w:tcPr>
            <w:tcW w:w="1133" w:type="dxa"/>
            <w:tcBorders>
              <w:top w:val="nil"/>
              <w:left w:val="nil"/>
              <w:bottom w:val="single" w:sz="4" w:space="0" w:color="auto"/>
              <w:right w:val="single" w:sz="4" w:space="0" w:color="auto"/>
            </w:tcBorders>
            <w:shd w:val="clear" w:color="auto" w:fill="auto"/>
            <w:vAlign w:val="center"/>
            <w:hideMark/>
          </w:tcPr>
          <w:p w14:paraId="2290FE1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F71C00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B163D28"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A5E5FB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10.30</w:t>
            </w:r>
          </w:p>
        </w:tc>
        <w:tc>
          <w:tcPr>
            <w:tcW w:w="5514" w:type="dxa"/>
            <w:tcBorders>
              <w:top w:val="nil"/>
              <w:left w:val="nil"/>
              <w:bottom w:val="single" w:sz="4" w:space="0" w:color="auto"/>
              <w:right w:val="single" w:sz="4" w:space="0" w:color="auto"/>
            </w:tcBorders>
            <w:shd w:val="clear" w:color="auto" w:fill="auto"/>
            <w:vAlign w:val="center"/>
            <w:hideMark/>
          </w:tcPr>
          <w:p w14:paraId="718B175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Zbiorcza lista pacjentów dostępna jest również na ekranie głównym w sposób nie zasłaniający innych danych. Po wybraniu innego pacjenta, system prezentuje tę samą dokumentację, która była otwarta przy poprzednim pacjencie. Taka </w:t>
            </w:r>
            <w:r w:rsidRPr="00F8703A">
              <w:rPr>
                <w:rFonts w:eastAsia="Times New Roman" w:cstheme="minorHAnsi"/>
                <w:lang w:eastAsia="pl-PL"/>
              </w:rPr>
              <w:t>funkcjonalność</w:t>
            </w:r>
            <w:r w:rsidRPr="00CF3752">
              <w:rPr>
                <w:rFonts w:eastAsia="Times New Roman" w:cstheme="minorHAnsi"/>
                <w:lang w:eastAsia="pl-PL"/>
              </w:rPr>
              <w:t xml:space="preserve"> umożliwia m.in. przeglądanie zleceń kolejnych pacjentów poprzez jedno kliknięcie myszy. </w:t>
            </w:r>
          </w:p>
        </w:tc>
        <w:tc>
          <w:tcPr>
            <w:tcW w:w="1133" w:type="dxa"/>
            <w:tcBorders>
              <w:top w:val="nil"/>
              <w:left w:val="nil"/>
              <w:bottom w:val="single" w:sz="4" w:space="0" w:color="auto"/>
              <w:right w:val="single" w:sz="4" w:space="0" w:color="auto"/>
            </w:tcBorders>
            <w:shd w:val="clear" w:color="auto" w:fill="auto"/>
            <w:vAlign w:val="center"/>
            <w:hideMark/>
          </w:tcPr>
          <w:p w14:paraId="000A79D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CF0C0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EE5C1B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F34E74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10.31</w:t>
            </w:r>
          </w:p>
        </w:tc>
        <w:tc>
          <w:tcPr>
            <w:tcW w:w="5514" w:type="dxa"/>
            <w:tcBorders>
              <w:top w:val="nil"/>
              <w:left w:val="nil"/>
              <w:bottom w:val="single" w:sz="4" w:space="0" w:color="auto"/>
              <w:right w:val="single" w:sz="4" w:space="0" w:color="auto"/>
            </w:tcBorders>
            <w:shd w:val="clear" w:color="auto" w:fill="auto"/>
            <w:vAlign w:val="center"/>
            <w:hideMark/>
          </w:tcPr>
          <w:p w14:paraId="7B9A183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Zbiorczy widok zaplanowanych podaży leków i zadań dla określonej grupy pacjentów jednocześnie.</w:t>
            </w:r>
          </w:p>
        </w:tc>
        <w:tc>
          <w:tcPr>
            <w:tcW w:w="1133" w:type="dxa"/>
            <w:tcBorders>
              <w:top w:val="nil"/>
              <w:left w:val="nil"/>
              <w:bottom w:val="single" w:sz="4" w:space="0" w:color="auto"/>
              <w:right w:val="single" w:sz="4" w:space="0" w:color="auto"/>
            </w:tcBorders>
            <w:shd w:val="clear" w:color="auto" w:fill="auto"/>
            <w:vAlign w:val="center"/>
            <w:hideMark/>
          </w:tcPr>
          <w:p w14:paraId="619ED1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4D873F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9FD068E"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F45746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10.32</w:t>
            </w:r>
          </w:p>
        </w:tc>
        <w:tc>
          <w:tcPr>
            <w:tcW w:w="5514" w:type="dxa"/>
            <w:tcBorders>
              <w:top w:val="nil"/>
              <w:left w:val="nil"/>
              <w:bottom w:val="single" w:sz="4" w:space="0" w:color="auto"/>
              <w:right w:val="single" w:sz="4" w:space="0" w:color="auto"/>
            </w:tcBorders>
            <w:shd w:val="clear" w:color="auto" w:fill="auto"/>
            <w:vAlign w:val="center"/>
            <w:hideMark/>
          </w:tcPr>
          <w:p w14:paraId="568F74F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wspiera definiowanie </w:t>
            </w:r>
            <w:proofErr w:type="spellStart"/>
            <w:r w:rsidRPr="00CF3752">
              <w:rPr>
                <w:rFonts w:eastAsia="Times New Roman" w:cstheme="minorHAnsi"/>
                <w:lang w:eastAsia="pl-PL"/>
              </w:rPr>
              <w:t>multidyscyplinarnych</w:t>
            </w:r>
            <w:proofErr w:type="spellEnd"/>
            <w:r w:rsidRPr="00CF3752">
              <w:rPr>
                <w:rFonts w:eastAsia="Times New Roman" w:cstheme="minorHAnsi"/>
                <w:lang w:eastAsia="pl-PL"/>
              </w:rPr>
              <w:t xml:space="preserve"> zespołów opieki. Zespoły te są przydzielane do konkretnych pacjentów i mają pełny dostęp do ich danych, niezależnie od oddziału (nadpisanie uprawnień).</w:t>
            </w:r>
          </w:p>
        </w:tc>
        <w:tc>
          <w:tcPr>
            <w:tcW w:w="1133" w:type="dxa"/>
            <w:tcBorders>
              <w:top w:val="nil"/>
              <w:left w:val="nil"/>
              <w:bottom w:val="single" w:sz="4" w:space="0" w:color="auto"/>
              <w:right w:val="single" w:sz="4" w:space="0" w:color="auto"/>
            </w:tcBorders>
            <w:shd w:val="clear" w:color="auto" w:fill="auto"/>
            <w:vAlign w:val="center"/>
            <w:hideMark/>
          </w:tcPr>
          <w:p w14:paraId="588761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CB36A2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FDFF9F4"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AF156F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10.33</w:t>
            </w:r>
          </w:p>
        </w:tc>
        <w:tc>
          <w:tcPr>
            <w:tcW w:w="5514" w:type="dxa"/>
            <w:tcBorders>
              <w:top w:val="nil"/>
              <w:left w:val="nil"/>
              <w:bottom w:val="single" w:sz="4" w:space="0" w:color="auto"/>
              <w:right w:val="single" w:sz="4" w:space="0" w:color="auto"/>
            </w:tcBorders>
            <w:shd w:val="clear" w:color="auto" w:fill="auto"/>
            <w:vAlign w:val="center"/>
            <w:hideMark/>
          </w:tcPr>
          <w:p w14:paraId="07A32D3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tworzenia planów opieki, opartych na ocenie i rozpoznaniu, którym można przypisać zestaw działań, które należy wdrożyć w celu poprawienia stanu zdrowia pacjenta. W oparciu o plany opieki realizowana jest ocena reakcji pacjenta. Plany opieki są na bieżąco aktualizowane, jeśli zachodzi taka potrzeba (uzasadnienie kliniczne, decyzja personelu medycznego).</w:t>
            </w:r>
          </w:p>
        </w:tc>
        <w:tc>
          <w:tcPr>
            <w:tcW w:w="1133" w:type="dxa"/>
            <w:tcBorders>
              <w:top w:val="nil"/>
              <w:left w:val="nil"/>
              <w:bottom w:val="single" w:sz="4" w:space="0" w:color="auto"/>
              <w:right w:val="single" w:sz="4" w:space="0" w:color="auto"/>
            </w:tcBorders>
            <w:shd w:val="clear" w:color="auto" w:fill="auto"/>
            <w:vAlign w:val="center"/>
            <w:hideMark/>
          </w:tcPr>
          <w:p w14:paraId="1A0A296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2E395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34180EA"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E84EE7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10.34</w:t>
            </w:r>
          </w:p>
        </w:tc>
        <w:tc>
          <w:tcPr>
            <w:tcW w:w="5514" w:type="dxa"/>
            <w:tcBorders>
              <w:top w:val="nil"/>
              <w:left w:val="nil"/>
              <w:bottom w:val="single" w:sz="4" w:space="0" w:color="auto"/>
              <w:right w:val="single" w:sz="4" w:space="0" w:color="auto"/>
            </w:tcBorders>
            <w:shd w:val="clear" w:color="auto" w:fill="auto"/>
            <w:vAlign w:val="center"/>
            <w:hideMark/>
          </w:tcPr>
          <w:p w14:paraId="1CBD297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Dedykowany widok do planowania i podaży z danymi żywieniowymi i automatycznym obliczaniem spożycia H2O, kalorii, makroskładników, witamin i elektrolitów.</w:t>
            </w:r>
          </w:p>
        </w:tc>
        <w:tc>
          <w:tcPr>
            <w:tcW w:w="1133" w:type="dxa"/>
            <w:tcBorders>
              <w:top w:val="nil"/>
              <w:left w:val="nil"/>
              <w:bottom w:val="single" w:sz="4" w:space="0" w:color="auto"/>
              <w:right w:val="single" w:sz="4" w:space="0" w:color="auto"/>
            </w:tcBorders>
            <w:shd w:val="clear" w:color="auto" w:fill="auto"/>
            <w:vAlign w:val="center"/>
            <w:hideMark/>
          </w:tcPr>
          <w:p w14:paraId="1FED8D9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75D598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D92122F" w14:textId="77777777" w:rsidTr="00FD23DE">
        <w:trPr>
          <w:trHeight w:val="396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2FB733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10.35</w:t>
            </w:r>
          </w:p>
        </w:tc>
        <w:tc>
          <w:tcPr>
            <w:tcW w:w="5514" w:type="dxa"/>
            <w:tcBorders>
              <w:top w:val="nil"/>
              <w:left w:val="nil"/>
              <w:bottom w:val="single" w:sz="4" w:space="0" w:color="auto"/>
              <w:right w:val="single" w:sz="4" w:space="0" w:color="auto"/>
            </w:tcBorders>
            <w:shd w:val="clear" w:color="auto" w:fill="auto"/>
            <w:vAlign w:val="center"/>
            <w:hideMark/>
          </w:tcPr>
          <w:p w14:paraId="5380CA0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wyświetlania wyników badań obrazowych (hiperłącze do systemu PACS Zamawiającego oraz/lub podgląd badań obrazowych bezpośrednio z systemu PACS) obejmuje:</w:t>
            </w:r>
            <w:r w:rsidRPr="00CF3752">
              <w:rPr>
                <w:rFonts w:eastAsia="Times New Roman" w:cstheme="minorHAnsi"/>
                <w:lang w:eastAsia="pl-PL"/>
              </w:rPr>
              <w:br/>
              <w:t>- ogólny formularz prezentacji wyników badań obrazowych,</w:t>
            </w:r>
            <w:r w:rsidRPr="00CF3752">
              <w:rPr>
                <w:rFonts w:eastAsia="Times New Roman" w:cstheme="minorHAnsi"/>
                <w:lang w:eastAsia="pl-PL"/>
              </w:rPr>
              <w:br/>
              <w:t>- formularz dedykowany dla badania echokardiograficznego,</w:t>
            </w:r>
            <w:r w:rsidRPr="00CF3752">
              <w:rPr>
                <w:rFonts w:eastAsia="Times New Roman" w:cstheme="minorHAnsi"/>
                <w:lang w:eastAsia="pl-PL"/>
              </w:rPr>
              <w:br/>
              <w:t>- formularz dedykowany dla badania bronchoskopii,</w:t>
            </w:r>
            <w:r w:rsidRPr="00CF3752">
              <w:rPr>
                <w:rFonts w:eastAsia="Times New Roman" w:cstheme="minorHAnsi"/>
                <w:lang w:eastAsia="pl-PL"/>
              </w:rPr>
              <w:br/>
              <w:t>- formularz dedykowany dla badania EKG,</w:t>
            </w:r>
            <w:r w:rsidRPr="00CF3752">
              <w:rPr>
                <w:rFonts w:eastAsia="Times New Roman" w:cstheme="minorHAnsi"/>
                <w:lang w:eastAsia="pl-PL"/>
              </w:rPr>
              <w:br/>
              <w:t>- formularz dedykowany dla badania USG,</w:t>
            </w:r>
            <w:r w:rsidRPr="00CF3752">
              <w:rPr>
                <w:rFonts w:eastAsia="Times New Roman" w:cstheme="minorHAnsi"/>
                <w:lang w:eastAsia="pl-PL"/>
              </w:rPr>
              <w:br/>
              <w:t>- formularz dedykowany dla badania RTG,</w:t>
            </w:r>
            <w:r w:rsidRPr="00CF3752">
              <w:rPr>
                <w:rFonts w:eastAsia="Times New Roman" w:cstheme="minorHAnsi"/>
                <w:lang w:eastAsia="pl-PL"/>
              </w:rPr>
              <w:br/>
              <w:t>- formularz dedykowany dla badania rezonansu magnetycznego (MRI),</w:t>
            </w:r>
            <w:r w:rsidRPr="00CF3752">
              <w:rPr>
                <w:rFonts w:eastAsia="Times New Roman" w:cstheme="minorHAnsi"/>
                <w:lang w:eastAsia="pl-PL"/>
              </w:rPr>
              <w:br/>
              <w:t>- formularz dedykowany dla badania gastroskopii,</w:t>
            </w:r>
            <w:r w:rsidRPr="00CF3752">
              <w:rPr>
                <w:rFonts w:eastAsia="Times New Roman" w:cstheme="minorHAnsi"/>
                <w:lang w:eastAsia="pl-PL"/>
              </w:rPr>
              <w:br/>
              <w:t>- formularz dedykowany dla badania EEG,</w:t>
            </w:r>
            <w:r w:rsidRPr="00CF3752">
              <w:rPr>
                <w:rFonts w:eastAsia="Times New Roman" w:cstheme="minorHAnsi"/>
                <w:lang w:eastAsia="pl-PL"/>
              </w:rPr>
              <w:br/>
              <w:t>- formularz dedykowany dla badania EMG,</w:t>
            </w:r>
            <w:r w:rsidRPr="00CF3752">
              <w:rPr>
                <w:rFonts w:eastAsia="Times New Roman" w:cstheme="minorHAnsi"/>
                <w:lang w:eastAsia="pl-PL"/>
              </w:rPr>
              <w:br/>
              <w:t>- formularze dedykowane dla innych badań diagnostycznych, zgodnie z potrzebami Zamawiającego.</w:t>
            </w:r>
          </w:p>
        </w:tc>
        <w:tc>
          <w:tcPr>
            <w:tcW w:w="1133" w:type="dxa"/>
            <w:tcBorders>
              <w:top w:val="nil"/>
              <w:left w:val="nil"/>
              <w:bottom w:val="single" w:sz="4" w:space="0" w:color="auto"/>
              <w:right w:val="single" w:sz="4" w:space="0" w:color="auto"/>
            </w:tcBorders>
            <w:shd w:val="clear" w:color="auto" w:fill="auto"/>
            <w:vAlign w:val="center"/>
            <w:hideMark/>
          </w:tcPr>
          <w:p w14:paraId="0ED2FA0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4ECDF08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3D537C5"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7D0816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10.36</w:t>
            </w:r>
          </w:p>
        </w:tc>
        <w:tc>
          <w:tcPr>
            <w:tcW w:w="5514" w:type="dxa"/>
            <w:tcBorders>
              <w:top w:val="nil"/>
              <w:left w:val="nil"/>
              <w:bottom w:val="single" w:sz="4" w:space="0" w:color="auto"/>
              <w:right w:val="single" w:sz="4" w:space="0" w:color="auto"/>
            </w:tcBorders>
            <w:shd w:val="clear" w:color="auto" w:fill="auto"/>
            <w:vAlign w:val="center"/>
            <w:hideMark/>
          </w:tcPr>
          <w:p w14:paraId="1501D8B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osadzenia przeglądarki internetowej w karcie arkusza danych. Nawigacja do wstępnie zdefiniowanej strony internetowej, która może być oparta na aktualnym kontekście systemu, umożliwiając ciągłą aktualizację istotnych informacji otrzymanych za pośrednictwem strony internetowej, widocznej bezpośrednio w systemie.</w:t>
            </w:r>
          </w:p>
        </w:tc>
        <w:tc>
          <w:tcPr>
            <w:tcW w:w="1133" w:type="dxa"/>
            <w:tcBorders>
              <w:top w:val="nil"/>
              <w:left w:val="nil"/>
              <w:bottom w:val="single" w:sz="4" w:space="0" w:color="auto"/>
              <w:right w:val="single" w:sz="4" w:space="0" w:color="auto"/>
            </w:tcBorders>
            <w:shd w:val="clear" w:color="auto" w:fill="auto"/>
            <w:vAlign w:val="center"/>
            <w:hideMark/>
          </w:tcPr>
          <w:p w14:paraId="02E48FA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568782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551A990"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5C970B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10.37</w:t>
            </w:r>
          </w:p>
        </w:tc>
        <w:tc>
          <w:tcPr>
            <w:tcW w:w="5514" w:type="dxa"/>
            <w:tcBorders>
              <w:top w:val="nil"/>
              <w:left w:val="nil"/>
              <w:bottom w:val="single" w:sz="4" w:space="0" w:color="auto"/>
              <w:right w:val="single" w:sz="4" w:space="0" w:color="auto"/>
            </w:tcBorders>
            <w:shd w:val="clear" w:color="auto" w:fill="auto"/>
            <w:vAlign w:val="center"/>
            <w:hideMark/>
          </w:tcPr>
          <w:p w14:paraId="1BF6B2E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Zlecenia leków prezentowane są w formie listy oraz graficznie na osi czasu.</w:t>
            </w:r>
          </w:p>
        </w:tc>
        <w:tc>
          <w:tcPr>
            <w:tcW w:w="1133" w:type="dxa"/>
            <w:tcBorders>
              <w:top w:val="nil"/>
              <w:left w:val="nil"/>
              <w:bottom w:val="single" w:sz="4" w:space="0" w:color="auto"/>
              <w:right w:val="single" w:sz="4" w:space="0" w:color="auto"/>
            </w:tcBorders>
            <w:shd w:val="clear" w:color="auto" w:fill="auto"/>
            <w:vAlign w:val="center"/>
            <w:hideMark/>
          </w:tcPr>
          <w:p w14:paraId="623A93F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C4A9C0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C14F65F"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8E2E97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10.38</w:t>
            </w:r>
          </w:p>
        </w:tc>
        <w:tc>
          <w:tcPr>
            <w:tcW w:w="5514" w:type="dxa"/>
            <w:tcBorders>
              <w:top w:val="nil"/>
              <w:left w:val="nil"/>
              <w:bottom w:val="single" w:sz="4" w:space="0" w:color="auto"/>
              <w:right w:val="single" w:sz="4" w:space="0" w:color="auto"/>
            </w:tcBorders>
            <w:shd w:val="clear" w:color="auto" w:fill="auto"/>
            <w:vAlign w:val="center"/>
            <w:hideMark/>
          </w:tcPr>
          <w:p w14:paraId="7423EA4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Podaże leków prezentowane są w formie listy oraz graficznie na osi czasu.</w:t>
            </w:r>
          </w:p>
        </w:tc>
        <w:tc>
          <w:tcPr>
            <w:tcW w:w="1133" w:type="dxa"/>
            <w:tcBorders>
              <w:top w:val="nil"/>
              <w:left w:val="nil"/>
              <w:bottom w:val="single" w:sz="4" w:space="0" w:color="auto"/>
              <w:right w:val="single" w:sz="4" w:space="0" w:color="auto"/>
            </w:tcBorders>
            <w:shd w:val="clear" w:color="auto" w:fill="auto"/>
            <w:vAlign w:val="center"/>
            <w:hideMark/>
          </w:tcPr>
          <w:p w14:paraId="20E064E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B8C2FD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A1C5C8B"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B3C601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10.39</w:t>
            </w:r>
          </w:p>
        </w:tc>
        <w:tc>
          <w:tcPr>
            <w:tcW w:w="5514" w:type="dxa"/>
            <w:tcBorders>
              <w:top w:val="nil"/>
              <w:left w:val="nil"/>
              <w:bottom w:val="single" w:sz="4" w:space="0" w:color="auto"/>
              <w:right w:val="single" w:sz="4" w:space="0" w:color="auto"/>
            </w:tcBorders>
            <w:shd w:val="clear" w:color="auto" w:fill="auto"/>
            <w:vAlign w:val="center"/>
            <w:hideMark/>
          </w:tcPr>
          <w:p w14:paraId="1640554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Zarządzanie statusem/zajętością łóżek na osi czasu wraz z możliwością wstawienia komentarza. Możliwość planowania z wyprzedzeniem.</w:t>
            </w:r>
            <w:r w:rsidRPr="00CF3752">
              <w:rPr>
                <w:rFonts w:eastAsia="Times New Roman" w:cstheme="minorHAnsi"/>
                <w:lang w:eastAsia="pl-PL"/>
              </w:rPr>
              <w:br/>
              <w:t>Możliwe ustawienie statusu dla każdego łóżka z osobna. Statusy oznaczone są kolorami.</w:t>
            </w:r>
          </w:p>
        </w:tc>
        <w:tc>
          <w:tcPr>
            <w:tcW w:w="1133" w:type="dxa"/>
            <w:tcBorders>
              <w:top w:val="nil"/>
              <w:left w:val="nil"/>
              <w:bottom w:val="single" w:sz="4" w:space="0" w:color="auto"/>
              <w:right w:val="single" w:sz="4" w:space="0" w:color="auto"/>
            </w:tcBorders>
            <w:shd w:val="clear" w:color="auto" w:fill="auto"/>
            <w:vAlign w:val="center"/>
            <w:hideMark/>
          </w:tcPr>
          <w:p w14:paraId="3D14AB0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CF33A9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B4AAC00"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D17339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10.40</w:t>
            </w:r>
          </w:p>
        </w:tc>
        <w:tc>
          <w:tcPr>
            <w:tcW w:w="5514" w:type="dxa"/>
            <w:tcBorders>
              <w:top w:val="nil"/>
              <w:left w:val="nil"/>
              <w:bottom w:val="single" w:sz="4" w:space="0" w:color="auto"/>
              <w:right w:val="single" w:sz="4" w:space="0" w:color="auto"/>
            </w:tcBorders>
            <w:shd w:val="clear" w:color="auto" w:fill="auto"/>
            <w:vAlign w:val="center"/>
            <w:hideMark/>
          </w:tcPr>
          <w:p w14:paraId="6E22DB5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zapewnia użytkownikom funkcję oceny stanu pacjenta na podstawie automatycznych grafów, takich jak siatki centylowe i </w:t>
            </w:r>
            <w:r w:rsidRPr="00F8703A">
              <w:rPr>
                <w:rFonts w:eastAsia="Times New Roman" w:cstheme="minorHAnsi"/>
                <w:lang w:eastAsia="pl-PL"/>
              </w:rPr>
              <w:t>protokół</w:t>
            </w:r>
            <w:r w:rsidRPr="00CF3752">
              <w:rPr>
                <w:rFonts w:eastAsia="Times New Roman" w:cstheme="minorHAnsi"/>
                <w:lang w:eastAsia="pl-PL"/>
              </w:rPr>
              <w:t xml:space="preserve"> żółtaczki (NICE). System automatycznie wypełnia niezbędne dane, zapewniając dokładność w czasie zbliżonym do rzeczywistego.</w:t>
            </w:r>
          </w:p>
        </w:tc>
        <w:tc>
          <w:tcPr>
            <w:tcW w:w="1133" w:type="dxa"/>
            <w:tcBorders>
              <w:top w:val="nil"/>
              <w:left w:val="nil"/>
              <w:bottom w:val="single" w:sz="4" w:space="0" w:color="auto"/>
              <w:right w:val="single" w:sz="4" w:space="0" w:color="auto"/>
            </w:tcBorders>
            <w:shd w:val="clear" w:color="auto" w:fill="auto"/>
            <w:vAlign w:val="center"/>
            <w:hideMark/>
          </w:tcPr>
          <w:p w14:paraId="4A451D8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88B83C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E4FA749"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AB565D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10.41</w:t>
            </w:r>
          </w:p>
        </w:tc>
        <w:tc>
          <w:tcPr>
            <w:tcW w:w="5514" w:type="dxa"/>
            <w:tcBorders>
              <w:top w:val="nil"/>
              <w:left w:val="nil"/>
              <w:bottom w:val="single" w:sz="4" w:space="0" w:color="auto"/>
              <w:right w:val="single" w:sz="4" w:space="0" w:color="auto"/>
            </w:tcBorders>
            <w:shd w:val="clear" w:color="auto" w:fill="auto"/>
            <w:vAlign w:val="center"/>
            <w:hideMark/>
          </w:tcPr>
          <w:p w14:paraId="1C120F2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automatyczne obliczanie i wyświetlanie różnych typów wieku pacjenta, m.in. metrykalnego, ciążowego i skorygowanego.</w:t>
            </w:r>
          </w:p>
        </w:tc>
        <w:tc>
          <w:tcPr>
            <w:tcW w:w="1133" w:type="dxa"/>
            <w:tcBorders>
              <w:top w:val="nil"/>
              <w:left w:val="nil"/>
              <w:bottom w:val="single" w:sz="4" w:space="0" w:color="auto"/>
              <w:right w:val="single" w:sz="4" w:space="0" w:color="auto"/>
            </w:tcBorders>
            <w:shd w:val="clear" w:color="auto" w:fill="auto"/>
            <w:vAlign w:val="center"/>
            <w:hideMark/>
          </w:tcPr>
          <w:p w14:paraId="7BDD123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B1135F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7E83E7D"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0D166A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10.42</w:t>
            </w:r>
          </w:p>
        </w:tc>
        <w:tc>
          <w:tcPr>
            <w:tcW w:w="5514" w:type="dxa"/>
            <w:tcBorders>
              <w:top w:val="nil"/>
              <w:left w:val="nil"/>
              <w:bottom w:val="single" w:sz="4" w:space="0" w:color="auto"/>
              <w:right w:val="single" w:sz="4" w:space="0" w:color="auto"/>
            </w:tcBorders>
            <w:shd w:val="clear" w:color="auto" w:fill="auto"/>
            <w:vAlign w:val="center"/>
            <w:hideMark/>
          </w:tcPr>
          <w:p w14:paraId="1C5CB57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udokumentowanie zasobów/materiałów, które są wykorzystywane do każdego zabiegu lub zadania związanego z opieką nad pacjentem.</w:t>
            </w:r>
          </w:p>
        </w:tc>
        <w:tc>
          <w:tcPr>
            <w:tcW w:w="1133" w:type="dxa"/>
            <w:tcBorders>
              <w:top w:val="nil"/>
              <w:left w:val="nil"/>
              <w:bottom w:val="single" w:sz="4" w:space="0" w:color="auto"/>
              <w:right w:val="single" w:sz="4" w:space="0" w:color="auto"/>
            </w:tcBorders>
            <w:shd w:val="clear" w:color="auto" w:fill="auto"/>
            <w:vAlign w:val="center"/>
            <w:hideMark/>
          </w:tcPr>
          <w:p w14:paraId="2BA98B8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25AFEA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9BEB56B"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3B1F18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10.43</w:t>
            </w:r>
          </w:p>
        </w:tc>
        <w:tc>
          <w:tcPr>
            <w:tcW w:w="5514" w:type="dxa"/>
            <w:tcBorders>
              <w:top w:val="nil"/>
              <w:left w:val="nil"/>
              <w:bottom w:val="single" w:sz="4" w:space="0" w:color="auto"/>
              <w:right w:val="single" w:sz="4" w:space="0" w:color="auto"/>
            </w:tcBorders>
            <w:shd w:val="clear" w:color="auto" w:fill="auto"/>
            <w:vAlign w:val="center"/>
            <w:hideMark/>
          </w:tcPr>
          <w:p w14:paraId="1C8B1FF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konfigurację domyślnych informacji o zasobie/materiale dla każdej procedury.</w:t>
            </w:r>
          </w:p>
        </w:tc>
        <w:tc>
          <w:tcPr>
            <w:tcW w:w="1133" w:type="dxa"/>
            <w:tcBorders>
              <w:top w:val="nil"/>
              <w:left w:val="nil"/>
              <w:bottom w:val="single" w:sz="4" w:space="0" w:color="auto"/>
              <w:right w:val="single" w:sz="4" w:space="0" w:color="auto"/>
            </w:tcBorders>
            <w:shd w:val="clear" w:color="auto" w:fill="auto"/>
            <w:vAlign w:val="center"/>
            <w:hideMark/>
          </w:tcPr>
          <w:p w14:paraId="2055CD0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6A742E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2C7BE45"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4429C5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10.44</w:t>
            </w:r>
          </w:p>
        </w:tc>
        <w:tc>
          <w:tcPr>
            <w:tcW w:w="5514" w:type="dxa"/>
            <w:tcBorders>
              <w:top w:val="nil"/>
              <w:left w:val="nil"/>
              <w:bottom w:val="single" w:sz="4" w:space="0" w:color="auto"/>
              <w:right w:val="single" w:sz="4" w:space="0" w:color="auto"/>
            </w:tcBorders>
            <w:shd w:val="clear" w:color="auto" w:fill="auto"/>
            <w:vAlign w:val="center"/>
            <w:hideMark/>
          </w:tcPr>
          <w:p w14:paraId="5A759B7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użytkownikowi końcowemu edytowanie i dostosowywanie informacji domyślnych.</w:t>
            </w:r>
          </w:p>
        </w:tc>
        <w:tc>
          <w:tcPr>
            <w:tcW w:w="1133" w:type="dxa"/>
            <w:tcBorders>
              <w:top w:val="nil"/>
              <w:left w:val="nil"/>
              <w:bottom w:val="single" w:sz="4" w:space="0" w:color="auto"/>
              <w:right w:val="single" w:sz="4" w:space="0" w:color="auto"/>
            </w:tcBorders>
            <w:shd w:val="clear" w:color="auto" w:fill="auto"/>
            <w:vAlign w:val="center"/>
            <w:hideMark/>
          </w:tcPr>
          <w:p w14:paraId="6CD9EB7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F2BEA4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8776B22"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3DB4F7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10.45</w:t>
            </w:r>
          </w:p>
        </w:tc>
        <w:tc>
          <w:tcPr>
            <w:tcW w:w="5514" w:type="dxa"/>
            <w:tcBorders>
              <w:top w:val="nil"/>
              <w:left w:val="nil"/>
              <w:bottom w:val="single" w:sz="4" w:space="0" w:color="auto"/>
              <w:right w:val="single" w:sz="4" w:space="0" w:color="auto"/>
            </w:tcBorders>
            <w:shd w:val="clear" w:color="auto" w:fill="auto"/>
            <w:vAlign w:val="center"/>
            <w:hideMark/>
          </w:tcPr>
          <w:p w14:paraId="1F85098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eksport udokumentowanych zasobów/materiałów do zewnętrznego systemu rozliczeniowego oraz automatyczną aktualizację z katalogu źródłowego.</w:t>
            </w:r>
          </w:p>
        </w:tc>
        <w:tc>
          <w:tcPr>
            <w:tcW w:w="1133" w:type="dxa"/>
            <w:tcBorders>
              <w:top w:val="nil"/>
              <w:left w:val="nil"/>
              <w:bottom w:val="single" w:sz="4" w:space="0" w:color="auto"/>
              <w:right w:val="single" w:sz="4" w:space="0" w:color="auto"/>
            </w:tcBorders>
            <w:shd w:val="clear" w:color="auto" w:fill="auto"/>
            <w:vAlign w:val="center"/>
            <w:hideMark/>
          </w:tcPr>
          <w:p w14:paraId="4DCB9D2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75950A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A9E49C8"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855E31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10.46</w:t>
            </w:r>
          </w:p>
        </w:tc>
        <w:tc>
          <w:tcPr>
            <w:tcW w:w="5514" w:type="dxa"/>
            <w:tcBorders>
              <w:top w:val="nil"/>
              <w:left w:val="nil"/>
              <w:bottom w:val="single" w:sz="4" w:space="0" w:color="auto"/>
              <w:right w:val="single" w:sz="4" w:space="0" w:color="auto"/>
            </w:tcBorders>
            <w:shd w:val="clear" w:color="auto" w:fill="auto"/>
            <w:vAlign w:val="center"/>
            <w:hideMark/>
          </w:tcPr>
          <w:p w14:paraId="11F6179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automatyczne obliczenia bilansu płynów i składników odżywczych, zgodnie z udokumentowaną podażą leków, płynów, żywienia oraz wydaleniami i utratami. Prezentacja w formie graficznej i tabelarycznej. Możliwość wyboru widoku przebiegu zmian np. z ostatnich 24 godzin lub z okresu znieczulenia (dla bloku operacyjnego).</w:t>
            </w:r>
          </w:p>
        </w:tc>
        <w:tc>
          <w:tcPr>
            <w:tcW w:w="1133" w:type="dxa"/>
            <w:tcBorders>
              <w:top w:val="nil"/>
              <w:left w:val="nil"/>
              <w:bottom w:val="single" w:sz="4" w:space="0" w:color="auto"/>
              <w:right w:val="single" w:sz="4" w:space="0" w:color="auto"/>
            </w:tcBorders>
            <w:shd w:val="clear" w:color="auto" w:fill="auto"/>
            <w:vAlign w:val="center"/>
            <w:hideMark/>
          </w:tcPr>
          <w:p w14:paraId="28F2D54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6ED59E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459242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581623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10.47</w:t>
            </w:r>
          </w:p>
        </w:tc>
        <w:tc>
          <w:tcPr>
            <w:tcW w:w="5514" w:type="dxa"/>
            <w:tcBorders>
              <w:top w:val="nil"/>
              <w:left w:val="nil"/>
              <w:bottom w:val="single" w:sz="4" w:space="0" w:color="auto"/>
              <w:right w:val="single" w:sz="4" w:space="0" w:color="auto"/>
            </w:tcBorders>
            <w:shd w:val="clear" w:color="auto" w:fill="auto"/>
            <w:vAlign w:val="center"/>
            <w:hideMark/>
          </w:tcPr>
          <w:p w14:paraId="4FA1825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użytkownikowi ustawienie celu, a następnie wizualizuje różnicy między danymi rzeczywistymi a celem.</w:t>
            </w:r>
          </w:p>
        </w:tc>
        <w:tc>
          <w:tcPr>
            <w:tcW w:w="1133" w:type="dxa"/>
            <w:tcBorders>
              <w:top w:val="nil"/>
              <w:left w:val="nil"/>
              <w:bottom w:val="single" w:sz="4" w:space="0" w:color="auto"/>
              <w:right w:val="single" w:sz="4" w:space="0" w:color="auto"/>
            </w:tcBorders>
            <w:shd w:val="clear" w:color="auto" w:fill="auto"/>
            <w:vAlign w:val="center"/>
            <w:hideMark/>
          </w:tcPr>
          <w:p w14:paraId="021128F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75CF61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A3F2042"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1ACCB03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39909208"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Widok graficzny i tabelaryczny</w:t>
            </w:r>
          </w:p>
        </w:tc>
      </w:tr>
      <w:tr w:rsidR="00CB3017" w:rsidRPr="00F8703A" w14:paraId="4151C92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2C57EA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w:t>
            </w:r>
          </w:p>
        </w:tc>
        <w:tc>
          <w:tcPr>
            <w:tcW w:w="5514" w:type="dxa"/>
            <w:tcBorders>
              <w:top w:val="nil"/>
              <w:left w:val="nil"/>
              <w:bottom w:val="single" w:sz="4" w:space="0" w:color="auto"/>
              <w:right w:val="single" w:sz="4" w:space="0" w:color="auto"/>
            </w:tcBorders>
            <w:shd w:val="clear" w:color="auto" w:fill="auto"/>
            <w:vAlign w:val="center"/>
            <w:hideMark/>
          </w:tcPr>
          <w:p w14:paraId="4D97F40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Widoki służą jedynie w celu prezentacji danych. W żadnym wypadku nie mogą modyfikować danych oryginalnych znajdujących się w systemie</w:t>
            </w:r>
          </w:p>
        </w:tc>
        <w:tc>
          <w:tcPr>
            <w:tcW w:w="1133" w:type="dxa"/>
            <w:tcBorders>
              <w:top w:val="nil"/>
              <w:left w:val="nil"/>
              <w:bottom w:val="single" w:sz="4" w:space="0" w:color="auto"/>
              <w:right w:val="single" w:sz="4" w:space="0" w:color="auto"/>
            </w:tcBorders>
            <w:shd w:val="clear" w:color="auto" w:fill="auto"/>
            <w:vAlign w:val="center"/>
            <w:hideMark/>
          </w:tcPr>
          <w:p w14:paraId="59798EF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76DFB63"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 </w:t>
            </w:r>
          </w:p>
        </w:tc>
      </w:tr>
      <w:tr w:rsidR="00CB3017" w:rsidRPr="00F8703A" w14:paraId="7858F9C0"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99E9BE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11.2</w:t>
            </w:r>
          </w:p>
        </w:tc>
        <w:tc>
          <w:tcPr>
            <w:tcW w:w="5514" w:type="dxa"/>
            <w:tcBorders>
              <w:top w:val="nil"/>
              <w:left w:val="nil"/>
              <w:bottom w:val="single" w:sz="4" w:space="0" w:color="auto"/>
              <w:right w:val="single" w:sz="4" w:space="0" w:color="auto"/>
            </w:tcBorders>
            <w:shd w:val="clear" w:color="auto" w:fill="auto"/>
            <w:vAlign w:val="center"/>
            <w:hideMark/>
          </w:tcPr>
          <w:p w14:paraId="54CF083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Widok graficzny musi umożliwiać wyświetlenie jednoczasowo przebiegów co najmniej 10 różnych, wybranych przez użytkownika parametrów.</w:t>
            </w:r>
          </w:p>
        </w:tc>
        <w:tc>
          <w:tcPr>
            <w:tcW w:w="1133" w:type="dxa"/>
            <w:tcBorders>
              <w:top w:val="nil"/>
              <w:left w:val="nil"/>
              <w:bottom w:val="single" w:sz="4" w:space="0" w:color="auto"/>
              <w:right w:val="single" w:sz="4" w:space="0" w:color="auto"/>
            </w:tcBorders>
            <w:shd w:val="clear" w:color="auto" w:fill="auto"/>
            <w:vAlign w:val="center"/>
            <w:hideMark/>
          </w:tcPr>
          <w:p w14:paraId="257AFB0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79FCF53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2FAE43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8723DC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11.3</w:t>
            </w:r>
          </w:p>
        </w:tc>
        <w:tc>
          <w:tcPr>
            <w:tcW w:w="5514" w:type="dxa"/>
            <w:tcBorders>
              <w:top w:val="nil"/>
              <w:left w:val="nil"/>
              <w:bottom w:val="single" w:sz="4" w:space="0" w:color="auto"/>
              <w:right w:val="single" w:sz="4" w:space="0" w:color="auto"/>
            </w:tcBorders>
            <w:shd w:val="clear" w:color="auto" w:fill="auto"/>
            <w:vAlign w:val="center"/>
            <w:hideMark/>
          </w:tcPr>
          <w:p w14:paraId="21B9AF7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wyboru koloru oraz stylu linii i punktów odpowiadających wykresowi danego parametru.</w:t>
            </w:r>
          </w:p>
        </w:tc>
        <w:tc>
          <w:tcPr>
            <w:tcW w:w="1133" w:type="dxa"/>
            <w:tcBorders>
              <w:top w:val="nil"/>
              <w:left w:val="nil"/>
              <w:bottom w:val="single" w:sz="4" w:space="0" w:color="auto"/>
              <w:right w:val="single" w:sz="4" w:space="0" w:color="auto"/>
            </w:tcBorders>
            <w:shd w:val="clear" w:color="auto" w:fill="auto"/>
            <w:vAlign w:val="center"/>
            <w:hideMark/>
          </w:tcPr>
          <w:p w14:paraId="6B8D922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12D53F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7C580A9"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E115E9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11.4</w:t>
            </w:r>
          </w:p>
        </w:tc>
        <w:tc>
          <w:tcPr>
            <w:tcW w:w="5514" w:type="dxa"/>
            <w:tcBorders>
              <w:top w:val="nil"/>
              <w:left w:val="nil"/>
              <w:bottom w:val="single" w:sz="4" w:space="0" w:color="auto"/>
              <w:right w:val="single" w:sz="4" w:space="0" w:color="auto"/>
            </w:tcBorders>
            <w:shd w:val="clear" w:color="auto" w:fill="auto"/>
            <w:vAlign w:val="center"/>
            <w:hideMark/>
          </w:tcPr>
          <w:p w14:paraId="5B663CB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Widok graficzny posiada funkcję wyświetlania linii odniesienia oraz linii wyznaczających zakres prawidłowych wartości parametru.</w:t>
            </w:r>
          </w:p>
        </w:tc>
        <w:tc>
          <w:tcPr>
            <w:tcW w:w="1133" w:type="dxa"/>
            <w:tcBorders>
              <w:top w:val="nil"/>
              <w:left w:val="nil"/>
              <w:bottom w:val="single" w:sz="4" w:space="0" w:color="auto"/>
              <w:right w:val="single" w:sz="4" w:space="0" w:color="auto"/>
            </w:tcBorders>
            <w:shd w:val="clear" w:color="auto" w:fill="auto"/>
            <w:vAlign w:val="center"/>
            <w:hideMark/>
          </w:tcPr>
          <w:p w14:paraId="7C350AD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9EE587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15ED10C"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EE5B7A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11.5</w:t>
            </w:r>
          </w:p>
        </w:tc>
        <w:tc>
          <w:tcPr>
            <w:tcW w:w="5514" w:type="dxa"/>
            <w:tcBorders>
              <w:top w:val="nil"/>
              <w:left w:val="nil"/>
              <w:bottom w:val="single" w:sz="4" w:space="0" w:color="auto"/>
              <w:right w:val="single" w:sz="4" w:space="0" w:color="auto"/>
            </w:tcBorders>
            <w:shd w:val="clear" w:color="auto" w:fill="auto"/>
            <w:vAlign w:val="center"/>
            <w:hideMark/>
          </w:tcPr>
          <w:p w14:paraId="6DC3367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Hybrydowy wykres, przedstawiający graficznie 2 wartości parametru, będących ze sobą w relacji, m.in. NIBP.</w:t>
            </w:r>
          </w:p>
        </w:tc>
        <w:tc>
          <w:tcPr>
            <w:tcW w:w="1133" w:type="dxa"/>
            <w:tcBorders>
              <w:top w:val="nil"/>
              <w:left w:val="nil"/>
              <w:bottom w:val="single" w:sz="4" w:space="0" w:color="auto"/>
              <w:right w:val="single" w:sz="4" w:space="0" w:color="auto"/>
            </w:tcBorders>
            <w:shd w:val="clear" w:color="auto" w:fill="auto"/>
            <w:vAlign w:val="center"/>
            <w:hideMark/>
          </w:tcPr>
          <w:p w14:paraId="750E5BC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2E409F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CB83DDB"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D86996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11.6</w:t>
            </w:r>
          </w:p>
        </w:tc>
        <w:tc>
          <w:tcPr>
            <w:tcW w:w="5514" w:type="dxa"/>
            <w:tcBorders>
              <w:top w:val="nil"/>
              <w:left w:val="nil"/>
              <w:bottom w:val="single" w:sz="4" w:space="0" w:color="auto"/>
              <w:right w:val="single" w:sz="4" w:space="0" w:color="auto"/>
            </w:tcBorders>
            <w:shd w:val="clear" w:color="auto" w:fill="auto"/>
            <w:vAlign w:val="center"/>
            <w:hideMark/>
          </w:tcPr>
          <w:p w14:paraId="5FB8727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Hybrydowy wykres, przedstawiający graficznie parametr skorelowany ze wskazaną przez użytkownika wartością bezwzględną (m.in. aktualny odczyt SpO2 z ustawioną wartością 100% lub inną, ustaloną przez użytkownika).</w:t>
            </w:r>
          </w:p>
        </w:tc>
        <w:tc>
          <w:tcPr>
            <w:tcW w:w="1133" w:type="dxa"/>
            <w:tcBorders>
              <w:top w:val="nil"/>
              <w:left w:val="nil"/>
              <w:bottom w:val="single" w:sz="4" w:space="0" w:color="auto"/>
              <w:right w:val="single" w:sz="4" w:space="0" w:color="auto"/>
            </w:tcBorders>
            <w:shd w:val="clear" w:color="auto" w:fill="auto"/>
            <w:vAlign w:val="center"/>
            <w:hideMark/>
          </w:tcPr>
          <w:p w14:paraId="420C1BE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597D44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FFE74F7"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329B0A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11.7</w:t>
            </w:r>
          </w:p>
        </w:tc>
        <w:tc>
          <w:tcPr>
            <w:tcW w:w="5514" w:type="dxa"/>
            <w:tcBorders>
              <w:top w:val="nil"/>
              <w:left w:val="nil"/>
              <w:bottom w:val="single" w:sz="4" w:space="0" w:color="auto"/>
              <w:right w:val="single" w:sz="4" w:space="0" w:color="auto"/>
            </w:tcBorders>
            <w:shd w:val="clear" w:color="auto" w:fill="auto"/>
            <w:vAlign w:val="center"/>
            <w:hideMark/>
          </w:tcPr>
          <w:p w14:paraId="416AFC6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ręcznego wprowadzania danych w widoku trendów graficznych.</w:t>
            </w:r>
          </w:p>
        </w:tc>
        <w:tc>
          <w:tcPr>
            <w:tcW w:w="1133" w:type="dxa"/>
            <w:tcBorders>
              <w:top w:val="nil"/>
              <w:left w:val="nil"/>
              <w:bottom w:val="single" w:sz="4" w:space="0" w:color="auto"/>
              <w:right w:val="single" w:sz="4" w:space="0" w:color="auto"/>
            </w:tcBorders>
            <w:shd w:val="clear" w:color="auto" w:fill="auto"/>
            <w:vAlign w:val="center"/>
            <w:hideMark/>
          </w:tcPr>
          <w:p w14:paraId="4062511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6CEA0E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1FD9BB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FD9D51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11.8</w:t>
            </w:r>
          </w:p>
        </w:tc>
        <w:tc>
          <w:tcPr>
            <w:tcW w:w="5514" w:type="dxa"/>
            <w:tcBorders>
              <w:top w:val="nil"/>
              <w:left w:val="nil"/>
              <w:bottom w:val="single" w:sz="4" w:space="0" w:color="auto"/>
              <w:right w:val="single" w:sz="4" w:space="0" w:color="auto"/>
            </w:tcBorders>
            <w:shd w:val="clear" w:color="auto" w:fill="auto"/>
            <w:vAlign w:val="center"/>
            <w:hideMark/>
          </w:tcPr>
          <w:p w14:paraId="52CF9C8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wyświetlenia na jednym arkuszu min. 10 widoków zawierających trendy graficzne</w:t>
            </w:r>
          </w:p>
        </w:tc>
        <w:tc>
          <w:tcPr>
            <w:tcW w:w="1133" w:type="dxa"/>
            <w:tcBorders>
              <w:top w:val="nil"/>
              <w:left w:val="nil"/>
              <w:bottom w:val="single" w:sz="4" w:space="0" w:color="auto"/>
              <w:right w:val="single" w:sz="4" w:space="0" w:color="auto"/>
            </w:tcBorders>
            <w:shd w:val="clear" w:color="auto" w:fill="auto"/>
            <w:vAlign w:val="center"/>
            <w:hideMark/>
          </w:tcPr>
          <w:p w14:paraId="01B4DF7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2ED3B0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C279CD9"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94B79B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11.9</w:t>
            </w:r>
          </w:p>
        </w:tc>
        <w:tc>
          <w:tcPr>
            <w:tcW w:w="5514" w:type="dxa"/>
            <w:tcBorders>
              <w:top w:val="nil"/>
              <w:left w:val="nil"/>
              <w:bottom w:val="single" w:sz="4" w:space="0" w:color="auto"/>
              <w:right w:val="single" w:sz="4" w:space="0" w:color="auto"/>
            </w:tcBorders>
            <w:shd w:val="clear" w:color="auto" w:fill="auto"/>
            <w:vAlign w:val="center"/>
            <w:hideMark/>
          </w:tcPr>
          <w:p w14:paraId="0F8A6C0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Ręczne i automatyczne skalowanie wykresów.</w:t>
            </w:r>
          </w:p>
        </w:tc>
        <w:tc>
          <w:tcPr>
            <w:tcW w:w="1133" w:type="dxa"/>
            <w:tcBorders>
              <w:top w:val="nil"/>
              <w:left w:val="nil"/>
              <w:bottom w:val="single" w:sz="4" w:space="0" w:color="auto"/>
              <w:right w:val="single" w:sz="4" w:space="0" w:color="auto"/>
            </w:tcBorders>
            <w:shd w:val="clear" w:color="auto" w:fill="auto"/>
            <w:vAlign w:val="center"/>
            <w:hideMark/>
          </w:tcPr>
          <w:p w14:paraId="4C601C7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E31EB9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D579F2C"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6B93C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11.10</w:t>
            </w:r>
          </w:p>
        </w:tc>
        <w:tc>
          <w:tcPr>
            <w:tcW w:w="5514" w:type="dxa"/>
            <w:tcBorders>
              <w:top w:val="nil"/>
              <w:left w:val="nil"/>
              <w:bottom w:val="single" w:sz="4" w:space="0" w:color="auto"/>
              <w:right w:val="single" w:sz="4" w:space="0" w:color="auto"/>
            </w:tcBorders>
            <w:shd w:val="clear" w:color="auto" w:fill="auto"/>
            <w:vAlign w:val="center"/>
            <w:hideMark/>
          </w:tcPr>
          <w:p w14:paraId="5B4D049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dodania parametru do wykresu przez użytkownika poprzez wybranie go w widoku tabelarycznym w tej samej karcie, przeciągnięcie i upuszczenie (ang. drag and drop). Wykres powraca do pierwotnej postaci po odświeżeniu systemu.</w:t>
            </w:r>
          </w:p>
        </w:tc>
        <w:tc>
          <w:tcPr>
            <w:tcW w:w="1133" w:type="dxa"/>
            <w:tcBorders>
              <w:top w:val="nil"/>
              <w:left w:val="nil"/>
              <w:bottom w:val="single" w:sz="4" w:space="0" w:color="auto"/>
              <w:right w:val="single" w:sz="4" w:space="0" w:color="auto"/>
            </w:tcBorders>
            <w:shd w:val="clear" w:color="auto" w:fill="auto"/>
            <w:vAlign w:val="center"/>
            <w:hideMark/>
          </w:tcPr>
          <w:p w14:paraId="34B4E72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B155B2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62B057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5821BF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11.11</w:t>
            </w:r>
          </w:p>
        </w:tc>
        <w:tc>
          <w:tcPr>
            <w:tcW w:w="5514" w:type="dxa"/>
            <w:tcBorders>
              <w:top w:val="nil"/>
              <w:left w:val="nil"/>
              <w:bottom w:val="single" w:sz="4" w:space="0" w:color="auto"/>
              <w:right w:val="single" w:sz="4" w:space="0" w:color="auto"/>
            </w:tcBorders>
            <w:shd w:val="clear" w:color="auto" w:fill="auto"/>
            <w:vAlign w:val="center"/>
            <w:hideMark/>
          </w:tcPr>
          <w:p w14:paraId="2B76FF4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chwilowej lub trwałej konfiguracji wyświetlania wykresów, uwzględniające lub pomijające wartości parametrów, w zależności od ich statusów (zatwierdzone / niezatwierdzone przez personel medyczny).</w:t>
            </w:r>
          </w:p>
        </w:tc>
        <w:tc>
          <w:tcPr>
            <w:tcW w:w="1133" w:type="dxa"/>
            <w:tcBorders>
              <w:top w:val="nil"/>
              <w:left w:val="nil"/>
              <w:bottom w:val="single" w:sz="4" w:space="0" w:color="auto"/>
              <w:right w:val="single" w:sz="4" w:space="0" w:color="auto"/>
            </w:tcBorders>
            <w:shd w:val="clear" w:color="auto" w:fill="auto"/>
            <w:vAlign w:val="center"/>
            <w:hideMark/>
          </w:tcPr>
          <w:p w14:paraId="0F2B79D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1EE186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032442A" w14:textId="77777777" w:rsidTr="00FD23DE">
        <w:trPr>
          <w:trHeight w:val="290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B7D0B6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11.12</w:t>
            </w:r>
          </w:p>
        </w:tc>
        <w:tc>
          <w:tcPr>
            <w:tcW w:w="5514" w:type="dxa"/>
            <w:tcBorders>
              <w:top w:val="nil"/>
              <w:left w:val="nil"/>
              <w:bottom w:val="single" w:sz="4" w:space="0" w:color="auto"/>
              <w:right w:val="single" w:sz="4" w:space="0" w:color="auto"/>
            </w:tcBorders>
            <w:shd w:val="clear" w:color="auto" w:fill="auto"/>
            <w:vAlign w:val="center"/>
            <w:hideMark/>
          </w:tcPr>
          <w:p w14:paraId="372B6DB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zmiany sposobu wyświetlania podglądu parametrów przez użytkownika podczas pracy z systemem:</w:t>
            </w:r>
            <w:r w:rsidRPr="00CF3752">
              <w:rPr>
                <w:rFonts w:eastAsia="Times New Roman" w:cstheme="minorHAnsi"/>
                <w:lang w:eastAsia="pl-PL"/>
              </w:rPr>
              <w:br/>
              <w:t>- Dodanie dowolnego parametru do wyświetlanej tabeli wartości (np. dodanie parametru mierzonego przez respirator do tabeli funkcji życiowych mierzonych przez kardiomonitor).</w:t>
            </w:r>
            <w:r w:rsidRPr="00CF3752">
              <w:rPr>
                <w:rFonts w:eastAsia="Times New Roman" w:cstheme="minorHAnsi"/>
                <w:lang w:eastAsia="pl-PL"/>
              </w:rPr>
              <w:br/>
              <w:t>- Dodanie lub usunięcie parametru w wyświetlanym trendzie graficznym, zmiana wielkości wyświetlanego trendu, zmiana kolorów poszczególnych parametrów.</w:t>
            </w:r>
            <w:r w:rsidRPr="00CF3752">
              <w:rPr>
                <w:rFonts w:eastAsia="Times New Roman" w:cstheme="minorHAnsi"/>
                <w:lang w:eastAsia="pl-PL"/>
              </w:rPr>
              <w:br/>
              <w:t>Wszystkie takie dostosowania, wykonane przez użytkownika w interfejsie muszą mieć charakter tymczasowy – odświeżenie interfejsu lub przelogowanie przywraca stan domyślny.</w:t>
            </w:r>
          </w:p>
        </w:tc>
        <w:tc>
          <w:tcPr>
            <w:tcW w:w="1133" w:type="dxa"/>
            <w:tcBorders>
              <w:top w:val="nil"/>
              <w:left w:val="nil"/>
              <w:bottom w:val="single" w:sz="4" w:space="0" w:color="auto"/>
              <w:right w:val="single" w:sz="4" w:space="0" w:color="auto"/>
            </w:tcBorders>
            <w:shd w:val="clear" w:color="auto" w:fill="auto"/>
            <w:vAlign w:val="center"/>
            <w:hideMark/>
          </w:tcPr>
          <w:p w14:paraId="181D1D1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FF0B3E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2AD65C6" w14:textId="77777777" w:rsidTr="00FD23DE">
        <w:trPr>
          <w:trHeight w:val="23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36DCF4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11.13</w:t>
            </w:r>
          </w:p>
        </w:tc>
        <w:tc>
          <w:tcPr>
            <w:tcW w:w="5514" w:type="dxa"/>
            <w:tcBorders>
              <w:top w:val="nil"/>
              <w:left w:val="nil"/>
              <w:bottom w:val="single" w:sz="4" w:space="0" w:color="auto"/>
              <w:right w:val="single" w:sz="4" w:space="0" w:color="auto"/>
            </w:tcBorders>
            <w:shd w:val="clear" w:color="auto" w:fill="auto"/>
            <w:vAlign w:val="center"/>
            <w:hideMark/>
          </w:tcPr>
          <w:p w14:paraId="06B5D6B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Widok tabelaryczny musi pozwalać na oznaczenie oraz szybką identyfikację wizualną parametru (np. poprzez zastosowanie innej czcionki, stylu lub koloru tekstu):</w:t>
            </w:r>
            <w:r w:rsidRPr="00CF3752">
              <w:rPr>
                <w:rFonts w:eastAsia="Times New Roman" w:cstheme="minorHAnsi"/>
                <w:lang w:eastAsia="pl-PL"/>
              </w:rPr>
              <w:br/>
              <w:t>- wyniku pomiaru zatwierdzonego / niezatwierdzonego</w:t>
            </w:r>
            <w:r w:rsidRPr="00CF3752">
              <w:rPr>
                <w:rFonts w:eastAsia="Times New Roman" w:cstheme="minorHAnsi"/>
                <w:lang w:eastAsia="pl-PL"/>
              </w:rPr>
              <w:br/>
              <w:t>- błędnego wyniku pomiaru</w:t>
            </w:r>
            <w:r w:rsidRPr="00CF3752">
              <w:rPr>
                <w:rFonts w:eastAsia="Times New Roman" w:cstheme="minorHAnsi"/>
                <w:lang w:eastAsia="pl-PL"/>
              </w:rPr>
              <w:br/>
              <w:t>- ostrzeżenia</w:t>
            </w:r>
            <w:r w:rsidRPr="00CF3752">
              <w:rPr>
                <w:rFonts w:eastAsia="Times New Roman" w:cstheme="minorHAnsi"/>
                <w:lang w:eastAsia="pl-PL"/>
              </w:rPr>
              <w:br/>
              <w:t>- wartości z komentarzem</w:t>
            </w:r>
            <w:r w:rsidRPr="00CF3752">
              <w:rPr>
                <w:rFonts w:eastAsia="Times New Roman" w:cstheme="minorHAnsi"/>
                <w:lang w:eastAsia="pl-PL"/>
              </w:rPr>
              <w:br/>
              <w:t xml:space="preserve">- wartość poza zakresem </w:t>
            </w:r>
            <w:r w:rsidRPr="00CF3752">
              <w:rPr>
                <w:rFonts w:eastAsia="Times New Roman" w:cstheme="minorHAnsi"/>
                <w:lang w:eastAsia="pl-PL"/>
              </w:rPr>
              <w:br/>
              <w:t>Powyższe oznaczenia nie mogą być wprowadzane w formie komentarza.</w:t>
            </w:r>
          </w:p>
        </w:tc>
        <w:tc>
          <w:tcPr>
            <w:tcW w:w="1133" w:type="dxa"/>
            <w:tcBorders>
              <w:top w:val="nil"/>
              <w:left w:val="nil"/>
              <w:bottom w:val="single" w:sz="4" w:space="0" w:color="auto"/>
              <w:right w:val="single" w:sz="4" w:space="0" w:color="auto"/>
            </w:tcBorders>
            <w:shd w:val="clear" w:color="auto" w:fill="auto"/>
            <w:vAlign w:val="center"/>
            <w:hideMark/>
          </w:tcPr>
          <w:p w14:paraId="08FA46D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47BF68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E8E5F63"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126106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11.14</w:t>
            </w:r>
          </w:p>
        </w:tc>
        <w:tc>
          <w:tcPr>
            <w:tcW w:w="5514" w:type="dxa"/>
            <w:tcBorders>
              <w:top w:val="nil"/>
              <w:left w:val="nil"/>
              <w:bottom w:val="single" w:sz="4" w:space="0" w:color="auto"/>
              <w:right w:val="single" w:sz="4" w:space="0" w:color="auto"/>
            </w:tcBorders>
            <w:shd w:val="clear" w:color="auto" w:fill="auto"/>
            <w:vAlign w:val="center"/>
            <w:hideMark/>
          </w:tcPr>
          <w:p w14:paraId="5C50377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szybkiego dodania parametru do tabeli przez użytkownika. Tabela powraca do pierwotnej postaci po odświeżeniu systemu.</w:t>
            </w:r>
          </w:p>
        </w:tc>
        <w:tc>
          <w:tcPr>
            <w:tcW w:w="1133" w:type="dxa"/>
            <w:tcBorders>
              <w:top w:val="nil"/>
              <w:left w:val="nil"/>
              <w:bottom w:val="single" w:sz="4" w:space="0" w:color="auto"/>
              <w:right w:val="single" w:sz="4" w:space="0" w:color="auto"/>
            </w:tcBorders>
            <w:shd w:val="clear" w:color="auto" w:fill="auto"/>
            <w:vAlign w:val="center"/>
            <w:hideMark/>
          </w:tcPr>
          <w:p w14:paraId="0C6C36A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E7A8D6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809714E"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6EE25B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11.15</w:t>
            </w:r>
          </w:p>
        </w:tc>
        <w:tc>
          <w:tcPr>
            <w:tcW w:w="5514" w:type="dxa"/>
            <w:tcBorders>
              <w:top w:val="nil"/>
              <w:left w:val="nil"/>
              <w:bottom w:val="single" w:sz="4" w:space="0" w:color="auto"/>
              <w:right w:val="single" w:sz="4" w:space="0" w:color="auto"/>
            </w:tcBorders>
            <w:shd w:val="clear" w:color="auto" w:fill="auto"/>
            <w:vAlign w:val="center"/>
            <w:hideMark/>
          </w:tcPr>
          <w:p w14:paraId="1928D12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wyświetlania dymków zawierających podstawowe dane na temat pomiaru (czas wykonania, czas wprowadzenia, wartość) po najechaniu kursorem na komórkę tabeli.</w:t>
            </w:r>
          </w:p>
        </w:tc>
        <w:tc>
          <w:tcPr>
            <w:tcW w:w="1133" w:type="dxa"/>
            <w:tcBorders>
              <w:top w:val="nil"/>
              <w:left w:val="nil"/>
              <w:bottom w:val="single" w:sz="4" w:space="0" w:color="auto"/>
              <w:right w:val="single" w:sz="4" w:space="0" w:color="auto"/>
            </w:tcBorders>
            <w:shd w:val="clear" w:color="auto" w:fill="auto"/>
            <w:vAlign w:val="center"/>
            <w:hideMark/>
          </w:tcPr>
          <w:p w14:paraId="4DEC23C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724562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2B38BF0"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D4C891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11.16</w:t>
            </w:r>
          </w:p>
        </w:tc>
        <w:tc>
          <w:tcPr>
            <w:tcW w:w="5514" w:type="dxa"/>
            <w:tcBorders>
              <w:top w:val="nil"/>
              <w:left w:val="nil"/>
              <w:bottom w:val="single" w:sz="4" w:space="0" w:color="auto"/>
              <w:right w:val="single" w:sz="4" w:space="0" w:color="auto"/>
            </w:tcBorders>
            <w:shd w:val="clear" w:color="auto" w:fill="auto"/>
            <w:vAlign w:val="center"/>
            <w:hideMark/>
          </w:tcPr>
          <w:p w14:paraId="6C34035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przeglądania historii zmian wartości, wprowadzanych w danej komórce tabeli wyników, zawierająca: autora zmiany, czas zmiany, wartość, przyczynę zmiany.</w:t>
            </w:r>
          </w:p>
        </w:tc>
        <w:tc>
          <w:tcPr>
            <w:tcW w:w="1133" w:type="dxa"/>
            <w:tcBorders>
              <w:top w:val="nil"/>
              <w:left w:val="nil"/>
              <w:bottom w:val="single" w:sz="4" w:space="0" w:color="auto"/>
              <w:right w:val="single" w:sz="4" w:space="0" w:color="auto"/>
            </w:tcBorders>
            <w:shd w:val="clear" w:color="auto" w:fill="auto"/>
            <w:vAlign w:val="center"/>
            <w:hideMark/>
          </w:tcPr>
          <w:p w14:paraId="2270B4C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8D3716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E2D4835"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D0C3D2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11.17</w:t>
            </w:r>
          </w:p>
        </w:tc>
        <w:tc>
          <w:tcPr>
            <w:tcW w:w="5514" w:type="dxa"/>
            <w:tcBorders>
              <w:top w:val="nil"/>
              <w:left w:val="nil"/>
              <w:bottom w:val="single" w:sz="4" w:space="0" w:color="auto"/>
              <w:right w:val="single" w:sz="4" w:space="0" w:color="auto"/>
            </w:tcBorders>
            <w:shd w:val="clear" w:color="auto" w:fill="auto"/>
            <w:vAlign w:val="center"/>
            <w:hideMark/>
          </w:tcPr>
          <w:p w14:paraId="59928EC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przeglądania historii wartości danego parametru (np. HR, NIBP) z możliwością: filtrowania w czasie, prezentacją danych w formie tabeli oraz wykresu, wskazaniem wartości średniej, minimalnej i maksymalnej. Tabelę i wykres można przekopiować np. do pliku xls.</w:t>
            </w:r>
          </w:p>
        </w:tc>
        <w:tc>
          <w:tcPr>
            <w:tcW w:w="1133" w:type="dxa"/>
            <w:tcBorders>
              <w:top w:val="nil"/>
              <w:left w:val="nil"/>
              <w:bottom w:val="single" w:sz="4" w:space="0" w:color="auto"/>
              <w:right w:val="single" w:sz="4" w:space="0" w:color="auto"/>
            </w:tcBorders>
            <w:shd w:val="clear" w:color="auto" w:fill="auto"/>
            <w:vAlign w:val="center"/>
            <w:hideMark/>
          </w:tcPr>
          <w:p w14:paraId="667D511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09C106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1985960"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A37F38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11.18</w:t>
            </w:r>
          </w:p>
        </w:tc>
        <w:tc>
          <w:tcPr>
            <w:tcW w:w="5514" w:type="dxa"/>
            <w:tcBorders>
              <w:top w:val="nil"/>
              <w:left w:val="nil"/>
              <w:bottom w:val="single" w:sz="4" w:space="0" w:color="auto"/>
              <w:right w:val="single" w:sz="4" w:space="0" w:color="auto"/>
            </w:tcBorders>
            <w:shd w:val="clear" w:color="auto" w:fill="auto"/>
            <w:vAlign w:val="center"/>
            <w:hideMark/>
          </w:tcPr>
          <w:p w14:paraId="6F86F09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Możliwość automatycznego przeliczenia przez system parametru w celu prezentacji go w innej jednostce niż przesyłana przez urządzenie przyłóżkowe. </w:t>
            </w:r>
          </w:p>
        </w:tc>
        <w:tc>
          <w:tcPr>
            <w:tcW w:w="1133" w:type="dxa"/>
            <w:tcBorders>
              <w:top w:val="nil"/>
              <w:left w:val="nil"/>
              <w:bottom w:val="single" w:sz="4" w:space="0" w:color="auto"/>
              <w:right w:val="single" w:sz="4" w:space="0" w:color="auto"/>
            </w:tcBorders>
            <w:shd w:val="clear" w:color="auto" w:fill="auto"/>
            <w:vAlign w:val="center"/>
            <w:hideMark/>
          </w:tcPr>
          <w:p w14:paraId="26C99E1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FC19C5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18A6B48"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2CA99D8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12</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020E16B9"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Widok schematu pacjenta</w:t>
            </w:r>
          </w:p>
        </w:tc>
      </w:tr>
      <w:tr w:rsidR="00CB3017" w:rsidRPr="00F8703A" w14:paraId="4DCDD2CB"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6428C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12.1</w:t>
            </w:r>
          </w:p>
        </w:tc>
        <w:tc>
          <w:tcPr>
            <w:tcW w:w="5514" w:type="dxa"/>
            <w:tcBorders>
              <w:top w:val="nil"/>
              <w:left w:val="nil"/>
              <w:bottom w:val="single" w:sz="4" w:space="0" w:color="auto"/>
              <w:right w:val="single" w:sz="4" w:space="0" w:color="auto"/>
            </w:tcBorders>
            <w:shd w:val="clear" w:color="auto" w:fill="auto"/>
            <w:vAlign w:val="center"/>
            <w:hideMark/>
          </w:tcPr>
          <w:p w14:paraId="2209E97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Schemat graficzny pacjenta dostosowany jest automatycznie do wieku </w:t>
            </w:r>
            <w:r w:rsidRPr="00F8703A">
              <w:rPr>
                <w:rFonts w:eastAsia="Times New Roman" w:cstheme="minorHAnsi"/>
                <w:lang w:eastAsia="pl-PL"/>
              </w:rPr>
              <w:t>pacjenta</w:t>
            </w:r>
            <w:r w:rsidRPr="00CF3752">
              <w:rPr>
                <w:rFonts w:eastAsia="Times New Roman" w:cstheme="minorHAnsi"/>
                <w:lang w:eastAsia="pl-PL"/>
              </w:rPr>
              <w:t xml:space="preserve"> - niemowlę / dziecko / dorosły.</w:t>
            </w:r>
          </w:p>
        </w:tc>
        <w:tc>
          <w:tcPr>
            <w:tcW w:w="1133" w:type="dxa"/>
            <w:tcBorders>
              <w:top w:val="nil"/>
              <w:left w:val="nil"/>
              <w:bottom w:val="single" w:sz="4" w:space="0" w:color="auto"/>
              <w:right w:val="single" w:sz="4" w:space="0" w:color="auto"/>
            </w:tcBorders>
            <w:shd w:val="clear" w:color="auto" w:fill="auto"/>
            <w:vAlign w:val="center"/>
            <w:hideMark/>
          </w:tcPr>
          <w:p w14:paraId="714EE2C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7A5FF1D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788597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C1CA22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12.2</w:t>
            </w:r>
          </w:p>
        </w:tc>
        <w:tc>
          <w:tcPr>
            <w:tcW w:w="5514" w:type="dxa"/>
            <w:tcBorders>
              <w:top w:val="nil"/>
              <w:left w:val="nil"/>
              <w:bottom w:val="single" w:sz="4" w:space="0" w:color="auto"/>
              <w:right w:val="single" w:sz="4" w:space="0" w:color="auto"/>
            </w:tcBorders>
            <w:shd w:val="clear" w:color="auto" w:fill="auto"/>
            <w:vAlign w:val="center"/>
            <w:hideMark/>
          </w:tcPr>
          <w:p w14:paraId="21861F1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Na schemacie pacjenta w widoczny sposób zaznaczone są wszelkie wkłucia i rurki, z odniesieniem do dokładnej lokalizacji w ciele i </w:t>
            </w:r>
            <w:r w:rsidRPr="00F8703A">
              <w:rPr>
                <w:rFonts w:eastAsia="Times New Roman" w:cstheme="minorHAnsi"/>
                <w:lang w:eastAsia="pl-PL"/>
              </w:rPr>
              <w:t>informacją</w:t>
            </w:r>
            <w:r w:rsidRPr="00CF3752">
              <w:rPr>
                <w:rFonts w:eastAsia="Times New Roman" w:cstheme="minorHAnsi"/>
                <w:lang w:eastAsia="pl-PL"/>
              </w:rPr>
              <w:t xml:space="preserve"> o czasie trwania.</w:t>
            </w:r>
          </w:p>
        </w:tc>
        <w:tc>
          <w:tcPr>
            <w:tcW w:w="1133" w:type="dxa"/>
            <w:tcBorders>
              <w:top w:val="nil"/>
              <w:left w:val="nil"/>
              <w:bottom w:val="single" w:sz="4" w:space="0" w:color="auto"/>
              <w:right w:val="single" w:sz="4" w:space="0" w:color="auto"/>
            </w:tcBorders>
            <w:shd w:val="clear" w:color="auto" w:fill="auto"/>
            <w:vAlign w:val="center"/>
            <w:hideMark/>
          </w:tcPr>
          <w:p w14:paraId="31639CA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57EAB8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250F0AC"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4DC7C1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12.3</w:t>
            </w:r>
          </w:p>
        </w:tc>
        <w:tc>
          <w:tcPr>
            <w:tcW w:w="5514" w:type="dxa"/>
            <w:tcBorders>
              <w:top w:val="nil"/>
              <w:left w:val="nil"/>
              <w:bottom w:val="single" w:sz="4" w:space="0" w:color="auto"/>
              <w:right w:val="single" w:sz="4" w:space="0" w:color="auto"/>
            </w:tcBorders>
            <w:shd w:val="clear" w:color="auto" w:fill="auto"/>
            <w:vAlign w:val="center"/>
            <w:hideMark/>
          </w:tcPr>
          <w:p w14:paraId="5990C2F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dodanie dowolnej szczegółowej lokalizacji na ciele pacjenta (wg nazewnictwa oddziału, np. górna część przedramienia lewego) oraz dowolnej żyły lub tętnicy.</w:t>
            </w:r>
          </w:p>
        </w:tc>
        <w:tc>
          <w:tcPr>
            <w:tcW w:w="1133" w:type="dxa"/>
            <w:tcBorders>
              <w:top w:val="nil"/>
              <w:left w:val="nil"/>
              <w:bottom w:val="single" w:sz="4" w:space="0" w:color="auto"/>
              <w:right w:val="single" w:sz="4" w:space="0" w:color="auto"/>
            </w:tcBorders>
            <w:shd w:val="clear" w:color="auto" w:fill="auto"/>
            <w:vAlign w:val="center"/>
            <w:hideMark/>
          </w:tcPr>
          <w:p w14:paraId="2193497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2A75BFE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61AB4EC"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62D96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12.4</w:t>
            </w:r>
          </w:p>
        </w:tc>
        <w:tc>
          <w:tcPr>
            <w:tcW w:w="5514" w:type="dxa"/>
            <w:tcBorders>
              <w:top w:val="nil"/>
              <w:left w:val="nil"/>
              <w:bottom w:val="single" w:sz="4" w:space="0" w:color="auto"/>
              <w:right w:val="single" w:sz="4" w:space="0" w:color="auto"/>
            </w:tcBorders>
            <w:shd w:val="clear" w:color="auto" w:fill="auto"/>
            <w:vAlign w:val="center"/>
            <w:hideMark/>
          </w:tcPr>
          <w:p w14:paraId="4DF2B5A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Na oddzielnym schemacie pacjenta w widoczny sposób zaznaczone są wszelkie rany i dreny, z odniesieniem do dokładnej lokalizacji w ciele i </w:t>
            </w:r>
            <w:r w:rsidRPr="00F8703A">
              <w:rPr>
                <w:rFonts w:eastAsia="Times New Roman" w:cstheme="minorHAnsi"/>
                <w:lang w:eastAsia="pl-PL"/>
              </w:rPr>
              <w:t>informacją</w:t>
            </w:r>
            <w:r w:rsidRPr="00CF3752">
              <w:rPr>
                <w:rFonts w:eastAsia="Times New Roman" w:cstheme="minorHAnsi"/>
                <w:lang w:eastAsia="pl-PL"/>
              </w:rPr>
              <w:t xml:space="preserve"> o czasie trwania.</w:t>
            </w:r>
          </w:p>
        </w:tc>
        <w:tc>
          <w:tcPr>
            <w:tcW w:w="1133" w:type="dxa"/>
            <w:tcBorders>
              <w:top w:val="nil"/>
              <w:left w:val="nil"/>
              <w:bottom w:val="single" w:sz="4" w:space="0" w:color="auto"/>
              <w:right w:val="single" w:sz="4" w:space="0" w:color="auto"/>
            </w:tcBorders>
            <w:shd w:val="clear" w:color="auto" w:fill="auto"/>
            <w:vAlign w:val="center"/>
            <w:hideMark/>
          </w:tcPr>
          <w:p w14:paraId="7330288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98FA0D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F06C280"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99B808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12.5</w:t>
            </w:r>
          </w:p>
        </w:tc>
        <w:tc>
          <w:tcPr>
            <w:tcW w:w="5514" w:type="dxa"/>
            <w:tcBorders>
              <w:top w:val="nil"/>
              <w:left w:val="nil"/>
              <w:bottom w:val="single" w:sz="4" w:space="0" w:color="auto"/>
              <w:right w:val="single" w:sz="4" w:space="0" w:color="auto"/>
            </w:tcBorders>
            <w:shd w:val="clear" w:color="auto" w:fill="auto"/>
            <w:vAlign w:val="center"/>
            <w:hideMark/>
          </w:tcPr>
          <w:p w14:paraId="1D9E76C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Z poziomu schematów pacjenta, wybierając odpowiednią nazwę wkłucia/rurki/rany/drenu w danej lokalizacji na ciele, można otworzyć </w:t>
            </w:r>
            <w:r w:rsidRPr="00F8703A">
              <w:rPr>
                <w:rFonts w:eastAsia="Times New Roman" w:cstheme="minorHAnsi"/>
                <w:lang w:eastAsia="pl-PL"/>
              </w:rPr>
              <w:t>formularz</w:t>
            </w:r>
            <w:r w:rsidRPr="00CF3752">
              <w:rPr>
                <w:rFonts w:eastAsia="Times New Roman" w:cstheme="minorHAnsi"/>
                <w:lang w:eastAsia="pl-PL"/>
              </w:rPr>
              <w:t xml:space="preserve"> i uzupełnić szczegóły o danym procesie. W formularzu rany można wgrać zdjęcia, aby śledzić na bieżąco proces gojenia. Po wgraniu kilku zdjęć możliwe jest ich przewijanie jednym kliknięciem.</w:t>
            </w:r>
          </w:p>
        </w:tc>
        <w:tc>
          <w:tcPr>
            <w:tcW w:w="1133" w:type="dxa"/>
            <w:tcBorders>
              <w:top w:val="nil"/>
              <w:left w:val="nil"/>
              <w:bottom w:val="single" w:sz="4" w:space="0" w:color="auto"/>
              <w:right w:val="single" w:sz="4" w:space="0" w:color="auto"/>
            </w:tcBorders>
            <w:shd w:val="clear" w:color="auto" w:fill="auto"/>
            <w:vAlign w:val="center"/>
            <w:hideMark/>
          </w:tcPr>
          <w:p w14:paraId="633EE7C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F4E044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0AB27F3"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7160970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218E71A9"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Raporty</w:t>
            </w:r>
          </w:p>
        </w:tc>
      </w:tr>
      <w:tr w:rsidR="00CB3017" w:rsidRPr="00F8703A" w14:paraId="2ED433D4"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128810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13.1</w:t>
            </w:r>
          </w:p>
        </w:tc>
        <w:tc>
          <w:tcPr>
            <w:tcW w:w="5514" w:type="dxa"/>
            <w:tcBorders>
              <w:top w:val="nil"/>
              <w:left w:val="nil"/>
              <w:bottom w:val="single" w:sz="4" w:space="0" w:color="auto"/>
              <w:right w:val="single" w:sz="4" w:space="0" w:color="auto"/>
            </w:tcBorders>
            <w:shd w:val="clear" w:color="auto" w:fill="auto"/>
            <w:vAlign w:val="center"/>
            <w:hideMark/>
          </w:tcPr>
          <w:p w14:paraId="39EAA4D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gotowe, łatwe w użyciu raporty, które zapewniają ekstrakcję i wizualizację danych oraz ułatwiają podejmowanie decyzji.</w:t>
            </w:r>
            <w:r w:rsidRPr="00CF3752">
              <w:rPr>
                <w:rFonts w:eastAsia="Times New Roman" w:cstheme="minorHAnsi"/>
                <w:lang w:eastAsia="pl-PL"/>
              </w:rPr>
              <w:br/>
              <w:t>M.in. zestawienia dotyczące długości pobytu, diagnoz, obłożenia, wentylacji, dializy, ECMO oraz śmiertelności. Dodatkowe raporty są konfigurowane tak, aby spełniały unikalne potrzeby Zamawiającego.</w:t>
            </w:r>
          </w:p>
        </w:tc>
        <w:tc>
          <w:tcPr>
            <w:tcW w:w="1133" w:type="dxa"/>
            <w:tcBorders>
              <w:top w:val="nil"/>
              <w:left w:val="nil"/>
              <w:bottom w:val="single" w:sz="4" w:space="0" w:color="auto"/>
              <w:right w:val="single" w:sz="4" w:space="0" w:color="auto"/>
            </w:tcBorders>
            <w:shd w:val="clear" w:color="auto" w:fill="auto"/>
            <w:vAlign w:val="center"/>
            <w:hideMark/>
          </w:tcPr>
          <w:p w14:paraId="79C18D1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14F6B4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26A4A47" w14:textId="77777777" w:rsidTr="00FD23DE">
        <w:trPr>
          <w:trHeight w:val="23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DD5111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13.2</w:t>
            </w:r>
          </w:p>
        </w:tc>
        <w:tc>
          <w:tcPr>
            <w:tcW w:w="5514" w:type="dxa"/>
            <w:tcBorders>
              <w:top w:val="nil"/>
              <w:left w:val="nil"/>
              <w:bottom w:val="single" w:sz="4" w:space="0" w:color="auto"/>
              <w:right w:val="single" w:sz="4" w:space="0" w:color="auto"/>
            </w:tcBorders>
            <w:shd w:val="clear" w:color="auto" w:fill="auto"/>
            <w:vAlign w:val="center"/>
            <w:hideMark/>
          </w:tcPr>
          <w:p w14:paraId="11FDD80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Prekonfigurowane różne formaty raportów z możliwością edycji i dopasowania zawartości do potrzeb klienta. Dostępne raporty (minimum):</w:t>
            </w:r>
            <w:r w:rsidRPr="00CF3752">
              <w:rPr>
                <w:rFonts w:eastAsia="Times New Roman" w:cstheme="minorHAnsi"/>
                <w:lang w:eastAsia="pl-PL"/>
              </w:rPr>
              <w:br/>
              <w:t>- raport z wypisu (lekarski)</w:t>
            </w:r>
            <w:r w:rsidRPr="00CF3752">
              <w:rPr>
                <w:rFonts w:eastAsia="Times New Roman" w:cstheme="minorHAnsi"/>
                <w:lang w:eastAsia="pl-PL"/>
              </w:rPr>
              <w:br/>
              <w:t>- raport z wypisu (pielęgniarski)</w:t>
            </w:r>
            <w:r w:rsidRPr="00CF3752">
              <w:rPr>
                <w:rFonts w:eastAsia="Times New Roman" w:cstheme="minorHAnsi"/>
                <w:lang w:eastAsia="pl-PL"/>
              </w:rPr>
              <w:br/>
              <w:t>- raport z opieki pielęgniarskiej</w:t>
            </w:r>
            <w:r w:rsidRPr="00CF3752">
              <w:rPr>
                <w:rFonts w:eastAsia="Times New Roman" w:cstheme="minorHAnsi"/>
                <w:lang w:eastAsia="pl-PL"/>
              </w:rPr>
              <w:br/>
              <w:t>- raport na temat linii, drenów, wkłuć, ran</w:t>
            </w:r>
            <w:r w:rsidRPr="00CF3752">
              <w:rPr>
                <w:rFonts w:eastAsia="Times New Roman" w:cstheme="minorHAnsi"/>
                <w:lang w:eastAsia="pl-PL"/>
              </w:rPr>
              <w:br/>
              <w:t>- pełny raport z pobytu pacjenta</w:t>
            </w:r>
            <w:r w:rsidRPr="00CF3752">
              <w:rPr>
                <w:rFonts w:eastAsia="Times New Roman" w:cstheme="minorHAnsi"/>
                <w:lang w:eastAsia="pl-PL"/>
              </w:rPr>
              <w:br/>
              <w:t>Możliwość ręcznego wyboru okresu obejmowanego przez raport oraz interwału danych zawartych w raporcie.</w:t>
            </w:r>
          </w:p>
        </w:tc>
        <w:tc>
          <w:tcPr>
            <w:tcW w:w="1133" w:type="dxa"/>
            <w:tcBorders>
              <w:top w:val="nil"/>
              <w:left w:val="nil"/>
              <w:bottom w:val="single" w:sz="4" w:space="0" w:color="auto"/>
              <w:right w:val="single" w:sz="4" w:space="0" w:color="auto"/>
            </w:tcBorders>
            <w:shd w:val="clear" w:color="auto" w:fill="auto"/>
            <w:vAlign w:val="center"/>
            <w:hideMark/>
          </w:tcPr>
          <w:p w14:paraId="5256611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56D848B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BF3113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2B06FA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13.3</w:t>
            </w:r>
          </w:p>
        </w:tc>
        <w:tc>
          <w:tcPr>
            <w:tcW w:w="5514" w:type="dxa"/>
            <w:tcBorders>
              <w:top w:val="nil"/>
              <w:left w:val="nil"/>
              <w:bottom w:val="single" w:sz="4" w:space="0" w:color="auto"/>
              <w:right w:val="single" w:sz="4" w:space="0" w:color="auto"/>
            </w:tcBorders>
            <w:shd w:val="clear" w:color="auto" w:fill="auto"/>
            <w:vAlign w:val="center"/>
            <w:hideMark/>
          </w:tcPr>
          <w:p w14:paraId="45B8BFD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pominięcia pozycji, dla których nie zarejestrowano żadnych wartości w celu zredukowania długości raportu.</w:t>
            </w:r>
          </w:p>
        </w:tc>
        <w:tc>
          <w:tcPr>
            <w:tcW w:w="1133" w:type="dxa"/>
            <w:tcBorders>
              <w:top w:val="nil"/>
              <w:left w:val="nil"/>
              <w:bottom w:val="single" w:sz="4" w:space="0" w:color="auto"/>
              <w:right w:val="single" w:sz="4" w:space="0" w:color="auto"/>
            </w:tcBorders>
            <w:shd w:val="clear" w:color="auto" w:fill="auto"/>
            <w:vAlign w:val="center"/>
            <w:hideMark/>
          </w:tcPr>
          <w:p w14:paraId="5BA4C1A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AA6CC2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21A93EF"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6E8606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13.4</w:t>
            </w:r>
          </w:p>
        </w:tc>
        <w:tc>
          <w:tcPr>
            <w:tcW w:w="5514" w:type="dxa"/>
            <w:tcBorders>
              <w:top w:val="nil"/>
              <w:left w:val="nil"/>
              <w:bottom w:val="single" w:sz="4" w:space="0" w:color="auto"/>
              <w:right w:val="single" w:sz="4" w:space="0" w:color="auto"/>
            </w:tcBorders>
            <w:shd w:val="clear" w:color="auto" w:fill="auto"/>
            <w:vAlign w:val="center"/>
            <w:hideMark/>
          </w:tcPr>
          <w:p w14:paraId="5BC6CE5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zastrzeżenia, że drukowane są wyłącznie parametry, które zostały zatwierdzone przez użytkownika.</w:t>
            </w:r>
          </w:p>
        </w:tc>
        <w:tc>
          <w:tcPr>
            <w:tcW w:w="1133" w:type="dxa"/>
            <w:tcBorders>
              <w:top w:val="nil"/>
              <w:left w:val="nil"/>
              <w:bottom w:val="single" w:sz="4" w:space="0" w:color="auto"/>
              <w:right w:val="single" w:sz="4" w:space="0" w:color="auto"/>
            </w:tcBorders>
            <w:shd w:val="clear" w:color="auto" w:fill="auto"/>
            <w:vAlign w:val="center"/>
            <w:hideMark/>
          </w:tcPr>
          <w:p w14:paraId="74E7D78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D43EE5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D81658A"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0AA111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13.5</w:t>
            </w:r>
          </w:p>
        </w:tc>
        <w:tc>
          <w:tcPr>
            <w:tcW w:w="5514" w:type="dxa"/>
            <w:tcBorders>
              <w:top w:val="nil"/>
              <w:left w:val="nil"/>
              <w:bottom w:val="single" w:sz="4" w:space="0" w:color="auto"/>
              <w:right w:val="single" w:sz="4" w:space="0" w:color="auto"/>
            </w:tcBorders>
            <w:shd w:val="clear" w:color="auto" w:fill="auto"/>
            <w:vAlign w:val="center"/>
            <w:hideMark/>
          </w:tcPr>
          <w:p w14:paraId="575D797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tworzenie raportów na podstawie wstępnie skonfigurowanych szablonów, łącząc informacje o pacjencie zebrane z różnych modułów i widoków w ramach dokumentacji pacjenta.</w:t>
            </w:r>
          </w:p>
        </w:tc>
        <w:tc>
          <w:tcPr>
            <w:tcW w:w="1133" w:type="dxa"/>
            <w:tcBorders>
              <w:top w:val="nil"/>
              <w:left w:val="nil"/>
              <w:bottom w:val="single" w:sz="4" w:space="0" w:color="auto"/>
              <w:right w:val="single" w:sz="4" w:space="0" w:color="auto"/>
            </w:tcBorders>
            <w:shd w:val="clear" w:color="auto" w:fill="auto"/>
            <w:vAlign w:val="center"/>
            <w:hideMark/>
          </w:tcPr>
          <w:p w14:paraId="38099E3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407E24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89580E1"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821102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13.6</w:t>
            </w:r>
          </w:p>
        </w:tc>
        <w:tc>
          <w:tcPr>
            <w:tcW w:w="5514" w:type="dxa"/>
            <w:tcBorders>
              <w:top w:val="nil"/>
              <w:left w:val="nil"/>
              <w:bottom w:val="single" w:sz="4" w:space="0" w:color="auto"/>
              <w:right w:val="single" w:sz="4" w:space="0" w:color="auto"/>
            </w:tcBorders>
            <w:shd w:val="clear" w:color="auto" w:fill="auto"/>
            <w:vAlign w:val="center"/>
            <w:hideMark/>
          </w:tcPr>
          <w:p w14:paraId="7774E09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zapisanie i odczyt uprzednio utworzonych raportów w formacie PDF w zagnieżdżonym oknie systemu i poprzez oddzielną przeglądarkę pdf.</w:t>
            </w:r>
          </w:p>
        </w:tc>
        <w:tc>
          <w:tcPr>
            <w:tcW w:w="1133" w:type="dxa"/>
            <w:tcBorders>
              <w:top w:val="nil"/>
              <w:left w:val="nil"/>
              <w:bottom w:val="single" w:sz="4" w:space="0" w:color="auto"/>
              <w:right w:val="single" w:sz="4" w:space="0" w:color="auto"/>
            </w:tcBorders>
            <w:shd w:val="clear" w:color="auto" w:fill="auto"/>
            <w:vAlign w:val="center"/>
            <w:hideMark/>
          </w:tcPr>
          <w:p w14:paraId="59D9AEF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F1A21F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AFBFF5D"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A7E1F8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13.7</w:t>
            </w:r>
          </w:p>
        </w:tc>
        <w:tc>
          <w:tcPr>
            <w:tcW w:w="5514" w:type="dxa"/>
            <w:tcBorders>
              <w:top w:val="nil"/>
              <w:left w:val="nil"/>
              <w:bottom w:val="single" w:sz="4" w:space="0" w:color="auto"/>
              <w:right w:val="single" w:sz="4" w:space="0" w:color="auto"/>
            </w:tcBorders>
            <w:shd w:val="clear" w:color="auto" w:fill="auto"/>
            <w:vAlign w:val="center"/>
            <w:hideMark/>
          </w:tcPr>
          <w:p w14:paraId="738BD47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drukowania raportów na papierze, do pliku i do bazy danych.</w:t>
            </w:r>
          </w:p>
        </w:tc>
        <w:tc>
          <w:tcPr>
            <w:tcW w:w="1133" w:type="dxa"/>
            <w:tcBorders>
              <w:top w:val="nil"/>
              <w:left w:val="nil"/>
              <w:bottom w:val="single" w:sz="4" w:space="0" w:color="auto"/>
              <w:right w:val="single" w:sz="4" w:space="0" w:color="auto"/>
            </w:tcBorders>
            <w:shd w:val="clear" w:color="auto" w:fill="auto"/>
            <w:vAlign w:val="center"/>
            <w:hideMark/>
          </w:tcPr>
          <w:p w14:paraId="56626D9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913E31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28B201E"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0805EF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13.8</w:t>
            </w:r>
          </w:p>
        </w:tc>
        <w:tc>
          <w:tcPr>
            <w:tcW w:w="5514" w:type="dxa"/>
            <w:tcBorders>
              <w:top w:val="nil"/>
              <w:left w:val="nil"/>
              <w:bottom w:val="single" w:sz="4" w:space="0" w:color="auto"/>
              <w:right w:val="single" w:sz="4" w:space="0" w:color="auto"/>
            </w:tcBorders>
            <w:shd w:val="clear" w:color="auto" w:fill="auto"/>
            <w:vAlign w:val="center"/>
            <w:hideMark/>
          </w:tcPr>
          <w:p w14:paraId="77C8DF5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 przypadku drukowania do pliku, możliwość wyboru nazwy raportu pomiędzy predefiniowanymi (systemowymi) i zdefiniowanymi przez użytkownika.</w:t>
            </w:r>
          </w:p>
        </w:tc>
        <w:tc>
          <w:tcPr>
            <w:tcW w:w="1133" w:type="dxa"/>
            <w:tcBorders>
              <w:top w:val="nil"/>
              <w:left w:val="nil"/>
              <w:bottom w:val="single" w:sz="4" w:space="0" w:color="auto"/>
              <w:right w:val="single" w:sz="4" w:space="0" w:color="auto"/>
            </w:tcBorders>
            <w:shd w:val="clear" w:color="auto" w:fill="auto"/>
            <w:vAlign w:val="center"/>
            <w:hideMark/>
          </w:tcPr>
          <w:p w14:paraId="702CAE6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D2B55E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A7BD72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E5BBDF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13.9</w:t>
            </w:r>
          </w:p>
        </w:tc>
        <w:tc>
          <w:tcPr>
            <w:tcW w:w="5514" w:type="dxa"/>
            <w:tcBorders>
              <w:top w:val="nil"/>
              <w:left w:val="nil"/>
              <w:bottom w:val="single" w:sz="4" w:space="0" w:color="auto"/>
              <w:right w:val="single" w:sz="4" w:space="0" w:color="auto"/>
            </w:tcBorders>
            <w:shd w:val="clear" w:color="auto" w:fill="auto"/>
            <w:vAlign w:val="center"/>
            <w:hideMark/>
          </w:tcPr>
          <w:p w14:paraId="1094A1B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 przypadku drukowania do pliku, możliwość wyboru opcjonalnego szyfrowania pliku wynikowego (raportu pdf).</w:t>
            </w:r>
          </w:p>
        </w:tc>
        <w:tc>
          <w:tcPr>
            <w:tcW w:w="1133" w:type="dxa"/>
            <w:tcBorders>
              <w:top w:val="nil"/>
              <w:left w:val="nil"/>
              <w:bottom w:val="single" w:sz="4" w:space="0" w:color="auto"/>
              <w:right w:val="single" w:sz="4" w:space="0" w:color="auto"/>
            </w:tcBorders>
            <w:shd w:val="clear" w:color="auto" w:fill="auto"/>
            <w:vAlign w:val="center"/>
            <w:hideMark/>
          </w:tcPr>
          <w:p w14:paraId="310D2EF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1D0989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2402BA1"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BF94F9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13.10</w:t>
            </w:r>
          </w:p>
        </w:tc>
        <w:tc>
          <w:tcPr>
            <w:tcW w:w="5514" w:type="dxa"/>
            <w:tcBorders>
              <w:top w:val="nil"/>
              <w:left w:val="nil"/>
              <w:bottom w:val="single" w:sz="4" w:space="0" w:color="auto"/>
              <w:right w:val="single" w:sz="4" w:space="0" w:color="auto"/>
            </w:tcBorders>
            <w:shd w:val="clear" w:color="auto" w:fill="auto"/>
            <w:vAlign w:val="center"/>
            <w:hideMark/>
          </w:tcPr>
          <w:p w14:paraId="466EAFE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Minimalne ustawienia / funkcje wydruków:</w:t>
            </w:r>
            <w:r w:rsidRPr="00CF3752">
              <w:rPr>
                <w:rFonts w:eastAsia="Times New Roman" w:cstheme="minorHAnsi"/>
                <w:lang w:eastAsia="pl-PL"/>
              </w:rPr>
              <w:br/>
              <w:t>- zakres czasowy, interwał czasowy, liczba kolumn</w:t>
            </w:r>
            <w:r w:rsidRPr="00CF3752">
              <w:rPr>
                <w:rFonts w:eastAsia="Times New Roman" w:cstheme="minorHAnsi"/>
                <w:lang w:eastAsia="pl-PL"/>
              </w:rPr>
              <w:br/>
              <w:t>- podgląd wydruku</w:t>
            </w:r>
            <w:r w:rsidRPr="00CF3752">
              <w:rPr>
                <w:rFonts w:eastAsia="Times New Roman" w:cstheme="minorHAnsi"/>
                <w:lang w:eastAsia="pl-PL"/>
              </w:rPr>
              <w:br/>
              <w:t>- ilość kopii</w:t>
            </w:r>
            <w:r w:rsidRPr="00CF3752">
              <w:rPr>
                <w:rFonts w:eastAsia="Times New Roman" w:cstheme="minorHAnsi"/>
                <w:lang w:eastAsia="pl-PL"/>
              </w:rPr>
              <w:br/>
              <w:t>- wydruk jedno lub dwustronny</w:t>
            </w:r>
            <w:r w:rsidRPr="00CF3752">
              <w:rPr>
                <w:rFonts w:eastAsia="Times New Roman" w:cstheme="minorHAnsi"/>
                <w:lang w:eastAsia="pl-PL"/>
              </w:rPr>
              <w:br/>
              <w:t>- marginesy</w:t>
            </w:r>
            <w:r w:rsidRPr="00CF3752">
              <w:rPr>
                <w:rFonts w:eastAsia="Times New Roman" w:cstheme="minorHAnsi"/>
                <w:lang w:eastAsia="pl-PL"/>
              </w:rPr>
              <w:br/>
              <w:t>- dopasowanie zawartości do 1 strony</w:t>
            </w:r>
          </w:p>
        </w:tc>
        <w:tc>
          <w:tcPr>
            <w:tcW w:w="1133" w:type="dxa"/>
            <w:tcBorders>
              <w:top w:val="nil"/>
              <w:left w:val="nil"/>
              <w:bottom w:val="single" w:sz="4" w:space="0" w:color="auto"/>
              <w:right w:val="single" w:sz="4" w:space="0" w:color="auto"/>
            </w:tcBorders>
            <w:shd w:val="clear" w:color="auto" w:fill="auto"/>
            <w:vAlign w:val="center"/>
            <w:hideMark/>
          </w:tcPr>
          <w:p w14:paraId="1F5E90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09D959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01F8AD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2D6B67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13.11</w:t>
            </w:r>
          </w:p>
        </w:tc>
        <w:tc>
          <w:tcPr>
            <w:tcW w:w="5514" w:type="dxa"/>
            <w:tcBorders>
              <w:top w:val="nil"/>
              <w:left w:val="nil"/>
              <w:bottom w:val="single" w:sz="4" w:space="0" w:color="auto"/>
              <w:right w:val="single" w:sz="4" w:space="0" w:color="auto"/>
            </w:tcBorders>
            <w:shd w:val="clear" w:color="auto" w:fill="auto"/>
            <w:vAlign w:val="center"/>
            <w:hideMark/>
          </w:tcPr>
          <w:p w14:paraId="22232AE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przypisania domyślnego typu raportu do określonej grupy pacjentów.</w:t>
            </w:r>
          </w:p>
        </w:tc>
        <w:tc>
          <w:tcPr>
            <w:tcW w:w="1133" w:type="dxa"/>
            <w:tcBorders>
              <w:top w:val="nil"/>
              <w:left w:val="nil"/>
              <w:bottom w:val="single" w:sz="4" w:space="0" w:color="auto"/>
              <w:right w:val="single" w:sz="4" w:space="0" w:color="auto"/>
            </w:tcBorders>
            <w:shd w:val="clear" w:color="auto" w:fill="auto"/>
            <w:vAlign w:val="center"/>
            <w:hideMark/>
          </w:tcPr>
          <w:p w14:paraId="3A30DB4C" w14:textId="53005351" w:rsidR="00CB3017" w:rsidRPr="00CF3752" w:rsidRDefault="00657540" w:rsidP="00880B0C">
            <w:pPr>
              <w:spacing w:after="0" w:line="240" w:lineRule="auto"/>
              <w:jc w:val="center"/>
              <w:rPr>
                <w:rFonts w:eastAsia="Times New Roman" w:cstheme="minorHAnsi"/>
                <w:lang w:eastAsia="pl-PL"/>
              </w:rPr>
            </w:pPr>
            <w:r>
              <w:rPr>
                <w:rFonts w:eastAsia="Times New Roman" w:cstheme="minorHAnsi"/>
                <w:lang w:eastAsia="pl-PL"/>
              </w:rPr>
              <w:t>TAK</w:t>
            </w:r>
            <w:r w:rsidR="00CB3017" w:rsidRPr="00CF3752">
              <w:rPr>
                <w:rFonts w:eastAsia="Times New Roman" w:cstheme="minorHAnsi"/>
                <w:lang w:eastAsia="pl-PL"/>
              </w:rPr>
              <w:t> </w:t>
            </w:r>
          </w:p>
        </w:tc>
        <w:tc>
          <w:tcPr>
            <w:tcW w:w="2011" w:type="dxa"/>
            <w:tcBorders>
              <w:top w:val="nil"/>
              <w:left w:val="nil"/>
              <w:bottom w:val="single" w:sz="4" w:space="0" w:color="auto"/>
              <w:right w:val="single" w:sz="4" w:space="0" w:color="auto"/>
            </w:tcBorders>
            <w:shd w:val="clear" w:color="auto" w:fill="auto"/>
            <w:vAlign w:val="center"/>
            <w:hideMark/>
          </w:tcPr>
          <w:p w14:paraId="7F59B91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BAD7063"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451D426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14</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0E883D89"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Notatki</w:t>
            </w:r>
          </w:p>
        </w:tc>
      </w:tr>
      <w:tr w:rsidR="00CB3017" w:rsidRPr="00F8703A" w14:paraId="45085E2C"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7BD419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14.1</w:t>
            </w:r>
          </w:p>
        </w:tc>
        <w:tc>
          <w:tcPr>
            <w:tcW w:w="5514" w:type="dxa"/>
            <w:tcBorders>
              <w:top w:val="nil"/>
              <w:left w:val="nil"/>
              <w:bottom w:val="single" w:sz="4" w:space="0" w:color="auto"/>
              <w:right w:val="single" w:sz="4" w:space="0" w:color="auto"/>
            </w:tcBorders>
            <w:shd w:val="clear" w:color="auto" w:fill="auto"/>
            <w:vAlign w:val="center"/>
            <w:hideMark/>
          </w:tcPr>
          <w:p w14:paraId="628AC7A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Funkcja tworzenia notatek na zasadzie pracy w standardowym edytorze tekstów (np. Microsoft Word, </w:t>
            </w:r>
            <w:proofErr w:type="spellStart"/>
            <w:r w:rsidRPr="00CF3752">
              <w:rPr>
                <w:rFonts w:eastAsia="Times New Roman" w:cstheme="minorHAnsi"/>
                <w:lang w:eastAsia="pl-PL"/>
              </w:rPr>
              <w:t>LibreOffice</w:t>
            </w:r>
            <w:proofErr w:type="spellEnd"/>
            <w:r w:rsidRPr="00CF3752">
              <w:rPr>
                <w:rFonts w:eastAsia="Times New Roman" w:cstheme="minorHAnsi"/>
                <w:lang w:eastAsia="pl-PL"/>
              </w:rPr>
              <w:t>, itp.) z możliwością formatowania tekstu. Dostępne różne szablony notatek oraz pusty dokument.</w:t>
            </w:r>
          </w:p>
        </w:tc>
        <w:tc>
          <w:tcPr>
            <w:tcW w:w="1133" w:type="dxa"/>
            <w:tcBorders>
              <w:top w:val="nil"/>
              <w:left w:val="nil"/>
              <w:bottom w:val="single" w:sz="4" w:space="0" w:color="auto"/>
              <w:right w:val="single" w:sz="4" w:space="0" w:color="auto"/>
            </w:tcBorders>
            <w:shd w:val="clear" w:color="auto" w:fill="auto"/>
            <w:vAlign w:val="center"/>
            <w:hideMark/>
          </w:tcPr>
          <w:p w14:paraId="011929A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D60C8E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E36AA2C"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D11A6E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14.2</w:t>
            </w:r>
          </w:p>
        </w:tc>
        <w:tc>
          <w:tcPr>
            <w:tcW w:w="5514" w:type="dxa"/>
            <w:tcBorders>
              <w:top w:val="nil"/>
              <w:left w:val="nil"/>
              <w:bottom w:val="single" w:sz="4" w:space="0" w:color="auto"/>
              <w:right w:val="single" w:sz="4" w:space="0" w:color="auto"/>
            </w:tcBorders>
            <w:shd w:val="clear" w:color="auto" w:fill="auto"/>
            <w:vAlign w:val="center"/>
            <w:hideMark/>
          </w:tcPr>
          <w:p w14:paraId="593C115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edycji wcześniej utworzonych notatek oraz ustalenia kto oprócz autora notatki jest uprawniony do jej edycji. Przeglądanie listy notatek.</w:t>
            </w:r>
          </w:p>
        </w:tc>
        <w:tc>
          <w:tcPr>
            <w:tcW w:w="1133" w:type="dxa"/>
            <w:tcBorders>
              <w:top w:val="nil"/>
              <w:left w:val="nil"/>
              <w:bottom w:val="single" w:sz="4" w:space="0" w:color="auto"/>
              <w:right w:val="single" w:sz="4" w:space="0" w:color="auto"/>
            </w:tcBorders>
            <w:shd w:val="clear" w:color="auto" w:fill="auto"/>
            <w:vAlign w:val="center"/>
            <w:hideMark/>
          </w:tcPr>
          <w:p w14:paraId="7071ACA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3F8E35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49B7CFF"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22B0F7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14.3</w:t>
            </w:r>
          </w:p>
        </w:tc>
        <w:tc>
          <w:tcPr>
            <w:tcW w:w="5514" w:type="dxa"/>
            <w:tcBorders>
              <w:top w:val="nil"/>
              <w:left w:val="nil"/>
              <w:bottom w:val="single" w:sz="4" w:space="0" w:color="auto"/>
              <w:right w:val="single" w:sz="4" w:space="0" w:color="auto"/>
            </w:tcBorders>
            <w:shd w:val="clear" w:color="auto" w:fill="auto"/>
            <w:vAlign w:val="center"/>
            <w:hideMark/>
          </w:tcPr>
          <w:p w14:paraId="28FDD60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Funkcja tworzenia krótkich uwag / komentarzy w formie swobodnego, niesformatowanego tekstu, dodawanie komentarzy i odnotowywanie zadań związanych z karta pacjenta. Uwagi wyświetlane są jako ciągły zapis, opatrzony znacznikiem czasu i nazwą użytkownika, który wprowadził dane. </w:t>
            </w:r>
          </w:p>
        </w:tc>
        <w:tc>
          <w:tcPr>
            <w:tcW w:w="1133" w:type="dxa"/>
            <w:tcBorders>
              <w:top w:val="nil"/>
              <w:left w:val="nil"/>
              <w:bottom w:val="single" w:sz="4" w:space="0" w:color="auto"/>
              <w:right w:val="single" w:sz="4" w:space="0" w:color="auto"/>
            </w:tcBorders>
            <w:shd w:val="clear" w:color="auto" w:fill="auto"/>
            <w:vAlign w:val="center"/>
            <w:hideMark/>
          </w:tcPr>
          <w:p w14:paraId="2D09679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CD7246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46EF03"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1C1721B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3E757CF1"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Formularze</w:t>
            </w:r>
          </w:p>
        </w:tc>
      </w:tr>
      <w:tr w:rsidR="00CB3017" w:rsidRPr="00F8703A" w14:paraId="16E8721C"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84C082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w:t>
            </w:r>
          </w:p>
        </w:tc>
        <w:tc>
          <w:tcPr>
            <w:tcW w:w="5514" w:type="dxa"/>
            <w:tcBorders>
              <w:top w:val="nil"/>
              <w:left w:val="nil"/>
              <w:bottom w:val="single" w:sz="4" w:space="0" w:color="auto"/>
              <w:right w:val="single" w:sz="4" w:space="0" w:color="auto"/>
            </w:tcBorders>
            <w:shd w:val="clear" w:color="auto" w:fill="auto"/>
            <w:vAlign w:val="center"/>
            <w:hideMark/>
          </w:tcPr>
          <w:p w14:paraId="67E2882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celów monitorowania - możliwość definicji celów w zakresie monitorowania parametrów życiowych.</w:t>
            </w:r>
          </w:p>
        </w:tc>
        <w:tc>
          <w:tcPr>
            <w:tcW w:w="1133" w:type="dxa"/>
            <w:tcBorders>
              <w:top w:val="nil"/>
              <w:left w:val="nil"/>
              <w:bottom w:val="single" w:sz="4" w:space="0" w:color="auto"/>
              <w:right w:val="single" w:sz="4" w:space="0" w:color="auto"/>
            </w:tcBorders>
            <w:shd w:val="clear" w:color="auto" w:fill="auto"/>
            <w:vAlign w:val="center"/>
            <w:hideMark/>
          </w:tcPr>
          <w:p w14:paraId="788D356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C467AF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D79B5FB"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E6E52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15.2</w:t>
            </w:r>
          </w:p>
        </w:tc>
        <w:tc>
          <w:tcPr>
            <w:tcW w:w="5514" w:type="dxa"/>
            <w:tcBorders>
              <w:top w:val="nil"/>
              <w:left w:val="nil"/>
              <w:bottom w:val="single" w:sz="4" w:space="0" w:color="auto"/>
              <w:right w:val="single" w:sz="4" w:space="0" w:color="auto"/>
            </w:tcBorders>
            <w:shd w:val="clear" w:color="auto" w:fill="auto"/>
            <w:vAlign w:val="center"/>
            <w:hideMark/>
          </w:tcPr>
          <w:p w14:paraId="196DFF6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danych pacjenta pozwala na przechowywanie danych administracyjnych pacjenta oraz jego własności (rzeczy pozostawionych w szpitalu/na oddziale).</w:t>
            </w:r>
          </w:p>
        </w:tc>
        <w:tc>
          <w:tcPr>
            <w:tcW w:w="1133" w:type="dxa"/>
            <w:tcBorders>
              <w:top w:val="nil"/>
              <w:left w:val="nil"/>
              <w:bottom w:val="single" w:sz="4" w:space="0" w:color="auto"/>
              <w:right w:val="single" w:sz="4" w:space="0" w:color="auto"/>
            </w:tcBorders>
            <w:shd w:val="clear" w:color="auto" w:fill="auto"/>
            <w:vAlign w:val="center"/>
            <w:hideMark/>
          </w:tcPr>
          <w:p w14:paraId="2BEC6D9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834D26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8E2CE1A"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14726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15.3</w:t>
            </w:r>
          </w:p>
        </w:tc>
        <w:tc>
          <w:tcPr>
            <w:tcW w:w="5514" w:type="dxa"/>
            <w:tcBorders>
              <w:top w:val="nil"/>
              <w:left w:val="nil"/>
              <w:bottom w:val="single" w:sz="4" w:space="0" w:color="auto"/>
              <w:right w:val="single" w:sz="4" w:space="0" w:color="auto"/>
            </w:tcBorders>
            <w:shd w:val="clear" w:color="auto" w:fill="auto"/>
            <w:vAlign w:val="center"/>
            <w:hideMark/>
          </w:tcPr>
          <w:p w14:paraId="71AACD7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dane kontaktowe najbliższej rodziny pacjenta.</w:t>
            </w:r>
          </w:p>
        </w:tc>
        <w:tc>
          <w:tcPr>
            <w:tcW w:w="1133" w:type="dxa"/>
            <w:tcBorders>
              <w:top w:val="nil"/>
              <w:left w:val="nil"/>
              <w:bottom w:val="single" w:sz="4" w:space="0" w:color="auto"/>
              <w:right w:val="single" w:sz="4" w:space="0" w:color="auto"/>
            </w:tcBorders>
            <w:shd w:val="clear" w:color="auto" w:fill="auto"/>
            <w:vAlign w:val="center"/>
            <w:hideMark/>
          </w:tcPr>
          <w:p w14:paraId="40993EA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204454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858372B"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00960F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15.4</w:t>
            </w:r>
          </w:p>
        </w:tc>
        <w:tc>
          <w:tcPr>
            <w:tcW w:w="5514" w:type="dxa"/>
            <w:tcBorders>
              <w:top w:val="nil"/>
              <w:left w:val="nil"/>
              <w:bottom w:val="single" w:sz="4" w:space="0" w:color="auto"/>
              <w:right w:val="single" w:sz="4" w:space="0" w:color="auto"/>
            </w:tcBorders>
            <w:shd w:val="clear" w:color="auto" w:fill="auto"/>
            <w:vAlign w:val="center"/>
            <w:hideMark/>
          </w:tcPr>
          <w:p w14:paraId="02DA7D7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do udokumentowania danych istotnych w przypadku transportu pacjenta.</w:t>
            </w:r>
          </w:p>
        </w:tc>
        <w:tc>
          <w:tcPr>
            <w:tcW w:w="1133" w:type="dxa"/>
            <w:tcBorders>
              <w:top w:val="nil"/>
              <w:left w:val="nil"/>
              <w:bottom w:val="single" w:sz="4" w:space="0" w:color="auto"/>
              <w:right w:val="single" w:sz="4" w:space="0" w:color="auto"/>
            </w:tcBorders>
            <w:shd w:val="clear" w:color="auto" w:fill="auto"/>
            <w:vAlign w:val="center"/>
            <w:hideMark/>
          </w:tcPr>
          <w:p w14:paraId="130BF0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C168E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DE4A3CB"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B493B7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15.5</w:t>
            </w:r>
          </w:p>
        </w:tc>
        <w:tc>
          <w:tcPr>
            <w:tcW w:w="5514" w:type="dxa"/>
            <w:tcBorders>
              <w:top w:val="nil"/>
              <w:left w:val="nil"/>
              <w:bottom w:val="single" w:sz="4" w:space="0" w:color="auto"/>
              <w:right w:val="single" w:sz="4" w:space="0" w:color="auto"/>
            </w:tcBorders>
            <w:shd w:val="clear" w:color="auto" w:fill="auto"/>
            <w:vAlign w:val="center"/>
            <w:hideMark/>
          </w:tcPr>
          <w:p w14:paraId="137A618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umożliwiający zdefiniowanie zespołu medycznego odpowiedzialnego za opiekę nad danym pacjentem.</w:t>
            </w:r>
          </w:p>
        </w:tc>
        <w:tc>
          <w:tcPr>
            <w:tcW w:w="1133" w:type="dxa"/>
            <w:tcBorders>
              <w:top w:val="nil"/>
              <w:left w:val="nil"/>
              <w:bottom w:val="single" w:sz="4" w:space="0" w:color="auto"/>
              <w:right w:val="single" w:sz="4" w:space="0" w:color="auto"/>
            </w:tcBorders>
            <w:shd w:val="clear" w:color="auto" w:fill="auto"/>
            <w:vAlign w:val="center"/>
            <w:hideMark/>
          </w:tcPr>
          <w:p w14:paraId="58FD2F9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417BE1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117626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76C6CF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15.6</w:t>
            </w:r>
          </w:p>
        </w:tc>
        <w:tc>
          <w:tcPr>
            <w:tcW w:w="5514" w:type="dxa"/>
            <w:tcBorders>
              <w:top w:val="nil"/>
              <w:left w:val="nil"/>
              <w:bottom w:val="single" w:sz="4" w:space="0" w:color="auto"/>
              <w:right w:val="single" w:sz="4" w:space="0" w:color="auto"/>
            </w:tcBorders>
            <w:shd w:val="clear" w:color="auto" w:fill="auto"/>
            <w:vAlign w:val="center"/>
            <w:hideMark/>
          </w:tcPr>
          <w:p w14:paraId="459E731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dedykowany do dokumentowania konsultacji przed znieczuleniem</w:t>
            </w:r>
          </w:p>
        </w:tc>
        <w:tc>
          <w:tcPr>
            <w:tcW w:w="1133" w:type="dxa"/>
            <w:tcBorders>
              <w:top w:val="nil"/>
              <w:left w:val="nil"/>
              <w:bottom w:val="single" w:sz="4" w:space="0" w:color="auto"/>
              <w:right w:val="single" w:sz="4" w:space="0" w:color="auto"/>
            </w:tcBorders>
            <w:shd w:val="clear" w:color="auto" w:fill="auto"/>
            <w:vAlign w:val="center"/>
            <w:hideMark/>
          </w:tcPr>
          <w:p w14:paraId="6AB1136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641B05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66C1709"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927175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15.7</w:t>
            </w:r>
          </w:p>
        </w:tc>
        <w:tc>
          <w:tcPr>
            <w:tcW w:w="5514" w:type="dxa"/>
            <w:tcBorders>
              <w:top w:val="nil"/>
              <w:left w:val="nil"/>
              <w:bottom w:val="single" w:sz="4" w:space="0" w:color="auto"/>
              <w:right w:val="single" w:sz="4" w:space="0" w:color="auto"/>
            </w:tcBorders>
            <w:shd w:val="clear" w:color="auto" w:fill="auto"/>
            <w:vAlign w:val="center"/>
            <w:hideMark/>
          </w:tcPr>
          <w:p w14:paraId="2BB6F2C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wypełnienia i wygenerowania formularza zgody na znieczulenie i zgody na zabieg chirurgiczny.</w:t>
            </w:r>
          </w:p>
        </w:tc>
        <w:tc>
          <w:tcPr>
            <w:tcW w:w="1133" w:type="dxa"/>
            <w:tcBorders>
              <w:top w:val="nil"/>
              <w:left w:val="nil"/>
              <w:bottom w:val="single" w:sz="4" w:space="0" w:color="auto"/>
              <w:right w:val="single" w:sz="4" w:space="0" w:color="auto"/>
            </w:tcBorders>
            <w:shd w:val="clear" w:color="auto" w:fill="auto"/>
            <w:vAlign w:val="center"/>
            <w:hideMark/>
          </w:tcPr>
          <w:p w14:paraId="248C2FB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10EF8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E189A4F"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BBC751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15.8</w:t>
            </w:r>
          </w:p>
        </w:tc>
        <w:tc>
          <w:tcPr>
            <w:tcW w:w="5514" w:type="dxa"/>
            <w:tcBorders>
              <w:top w:val="nil"/>
              <w:left w:val="nil"/>
              <w:bottom w:val="single" w:sz="4" w:space="0" w:color="auto"/>
              <w:right w:val="single" w:sz="4" w:space="0" w:color="auto"/>
            </w:tcBorders>
            <w:shd w:val="clear" w:color="auto" w:fill="auto"/>
            <w:vAlign w:val="center"/>
            <w:hideMark/>
          </w:tcPr>
          <w:p w14:paraId="27E4850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dedykowany do dokumentowania wyników laboratoryjnych.</w:t>
            </w:r>
          </w:p>
        </w:tc>
        <w:tc>
          <w:tcPr>
            <w:tcW w:w="1133" w:type="dxa"/>
            <w:tcBorders>
              <w:top w:val="nil"/>
              <w:left w:val="nil"/>
              <w:bottom w:val="single" w:sz="4" w:space="0" w:color="auto"/>
              <w:right w:val="single" w:sz="4" w:space="0" w:color="auto"/>
            </w:tcBorders>
            <w:shd w:val="clear" w:color="auto" w:fill="auto"/>
            <w:vAlign w:val="center"/>
            <w:hideMark/>
          </w:tcPr>
          <w:p w14:paraId="04D0A56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3653E6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0FF91A3"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0E4CA2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15.9</w:t>
            </w:r>
          </w:p>
        </w:tc>
        <w:tc>
          <w:tcPr>
            <w:tcW w:w="5514" w:type="dxa"/>
            <w:tcBorders>
              <w:top w:val="nil"/>
              <w:left w:val="nil"/>
              <w:bottom w:val="single" w:sz="4" w:space="0" w:color="auto"/>
              <w:right w:val="single" w:sz="4" w:space="0" w:color="auto"/>
            </w:tcBorders>
            <w:shd w:val="clear" w:color="auto" w:fill="auto"/>
            <w:vAlign w:val="center"/>
            <w:hideMark/>
          </w:tcPr>
          <w:p w14:paraId="242CF56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Formularz dedykowany do oceny dróg oddechowych i ryzyka intubacji (m.in. asymetrie, </w:t>
            </w:r>
            <w:proofErr w:type="spellStart"/>
            <w:r w:rsidRPr="00CF3752">
              <w:rPr>
                <w:rFonts w:eastAsia="Times New Roman" w:cstheme="minorHAnsi"/>
                <w:lang w:eastAsia="pl-PL"/>
              </w:rPr>
              <w:t>mikrognacja</w:t>
            </w:r>
            <w:proofErr w:type="spellEnd"/>
            <w:r w:rsidRPr="00CF3752">
              <w:rPr>
                <w:rFonts w:eastAsia="Times New Roman" w:cstheme="minorHAnsi"/>
                <w:lang w:eastAsia="pl-PL"/>
              </w:rPr>
              <w:t xml:space="preserve">, rozszczep podniebienia, </w:t>
            </w:r>
            <w:proofErr w:type="spellStart"/>
            <w:r w:rsidRPr="00CF3752">
              <w:rPr>
                <w:rFonts w:eastAsia="Times New Roman" w:cstheme="minorHAnsi"/>
                <w:lang w:eastAsia="pl-PL"/>
              </w:rPr>
              <w:t>glossoptoza</w:t>
            </w:r>
            <w:proofErr w:type="spellEnd"/>
            <w:r w:rsidRPr="00CF3752">
              <w:rPr>
                <w:rFonts w:eastAsia="Times New Roman" w:cstheme="minorHAnsi"/>
                <w:lang w:eastAsia="pl-PL"/>
              </w:rPr>
              <w:t>, luźne zęby, przerost migdałków) oraz samego procesu intubacji (możliwość wprowadzania danych m.in. na temat rozmiaru i typu użytej rurki, typu sprzętu użytego do intubacji, techniki i podejmowanych prób).</w:t>
            </w:r>
          </w:p>
        </w:tc>
        <w:tc>
          <w:tcPr>
            <w:tcW w:w="1133" w:type="dxa"/>
            <w:tcBorders>
              <w:top w:val="nil"/>
              <w:left w:val="nil"/>
              <w:bottom w:val="single" w:sz="4" w:space="0" w:color="auto"/>
              <w:right w:val="single" w:sz="4" w:space="0" w:color="auto"/>
            </w:tcBorders>
            <w:shd w:val="clear" w:color="auto" w:fill="auto"/>
            <w:vAlign w:val="center"/>
            <w:hideMark/>
          </w:tcPr>
          <w:p w14:paraId="6BCEDD6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A0FF38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3ED23B3" w14:textId="77777777" w:rsidTr="00FD23DE">
        <w:trPr>
          <w:trHeight w:val="211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782E8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15.10</w:t>
            </w:r>
          </w:p>
        </w:tc>
        <w:tc>
          <w:tcPr>
            <w:tcW w:w="5514" w:type="dxa"/>
            <w:tcBorders>
              <w:top w:val="nil"/>
              <w:left w:val="nil"/>
              <w:bottom w:val="single" w:sz="4" w:space="0" w:color="auto"/>
              <w:right w:val="single" w:sz="4" w:space="0" w:color="auto"/>
            </w:tcBorders>
            <w:shd w:val="clear" w:color="auto" w:fill="auto"/>
            <w:vAlign w:val="center"/>
            <w:hideMark/>
          </w:tcPr>
          <w:p w14:paraId="7413633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dokumentowanie transfuzji krwi poprzez dodanie do okna wprowadzania dawki krwi formularza opcjonalnego lub obowiązkowego oraz prowadzenie elektronicznej księgi transfuzjologicznej (listy pacjentów, którym przetoczono krew). W ramach tej funkcji możliwy jest wybór przetaczanej jednostki z listy lub jej identyfikacja po zeskanowaniu kodu kreskowego, z automatycznym pobraniem z systemu HIS niezbędnych parametrów preparatu oraz uwzględnieniem jego objętości w bilansie płynów pacjenta.</w:t>
            </w:r>
          </w:p>
        </w:tc>
        <w:tc>
          <w:tcPr>
            <w:tcW w:w="1133" w:type="dxa"/>
            <w:tcBorders>
              <w:top w:val="nil"/>
              <w:left w:val="nil"/>
              <w:bottom w:val="single" w:sz="4" w:space="0" w:color="auto"/>
              <w:right w:val="single" w:sz="4" w:space="0" w:color="auto"/>
            </w:tcBorders>
            <w:shd w:val="clear" w:color="auto" w:fill="auto"/>
            <w:vAlign w:val="center"/>
            <w:hideMark/>
          </w:tcPr>
          <w:p w14:paraId="26D1272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0D76FE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87E5C8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B7F4CA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15.11</w:t>
            </w:r>
          </w:p>
        </w:tc>
        <w:tc>
          <w:tcPr>
            <w:tcW w:w="5514" w:type="dxa"/>
            <w:tcBorders>
              <w:top w:val="nil"/>
              <w:left w:val="nil"/>
              <w:bottom w:val="single" w:sz="4" w:space="0" w:color="auto"/>
              <w:right w:val="single" w:sz="4" w:space="0" w:color="auto"/>
            </w:tcBorders>
            <w:shd w:val="clear" w:color="auto" w:fill="auto"/>
            <w:vAlign w:val="center"/>
            <w:hideMark/>
          </w:tcPr>
          <w:p w14:paraId="3DABF56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protokołu insulinowego - szczegóły protokołu insulinowego zgodnie z wynikami glikemii załączonymi do zlecenia.</w:t>
            </w:r>
          </w:p>
        </w:tc>
        <w:tc>
          <w:tcPr>
            <w:tcW w:w="1133" w:type="dxa"/>
            <w:tcBorders>
              <w:top w:val="nil"/>
              <w:left w:val="nil"/>
              <w:bottom w:val="single" w:sz="4" w:space="0" w:color="auto"/>
              <w:right w:val="single" w:sz="4" w:space="0" w:color="auto"/>
            </w:tcBorders>
            <w:shd w:val="clear" w:color="auto" w:fill="auto"/>
            <w:vAlign w:val="center"/>
            <w:hideMark/>
          </w:tcPr>
          <w:p w14:paraId="08F2A21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F40801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17E4CB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2B16C8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15.12</w:t>
            </w:r>
          </w:p>
        </w:tc>
        <w:tc>
          <w:tcPr>
            <w:tcW w:w="5514" w:type="dxa"/>
            <w:tcBorders>
              <w:top w:val="nil"/>
              <w:left w:val="nil"/>
              <w:bottom w:val="single" w:sz="4" w:space="0" w:color="auto"/>
              <w:right w:val="single" w:sz="4" w:space="0" w:color="auto"/>
            </w:tcBorders>
            <w:shd w:val="clear" w:color="auto" w:fill="auto"/>
            <w:vAlign w:val="center"/>
            <w:hideMark/>
          </w:tcPr>
          <w:p w14:paraId="5B9D790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Dedykowany formularz do dokumentowania resuscytacji krążeniowo-oddechowej (CPR) wywoływany jednym przyciskiem z poziomu głównego ekranu.</w:t>
            </w:r>
          </w:p>
        </w:tc>
        <w:tc>
          <w:tcPr>
            <w:tcW w:w="1133" w:type="dxa"/>
            <w:tcBorders>
              <w:top w:val="nil"/>
              <w:left w:val="nil"/>
              <w:bottom w:val="single" w:sz="4" w:space="0" w:color="auto"/>
              <w:right w:val="single" w:sz="4" w:space="0" w:color="auto"/>
            </w:tcBorders>
            <w:shd w:val="clear" w:color="auto" w:fill="auto"/>
            <w:vAlign w:val="center"/>
            <w:hideMark/>
          </w:tcPr>
          <w:p w14:paraId="43397A7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F1B9DB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74C763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55132F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15.13</w:t>
            </w:r>
          </w:p>
        </w:tc>
        <w:tc>
          <w:tcPr>
            <w:tcW w:w="5514" w:type="dxa"/>
            <w:tcBorders>
              <w:top w:val="nil"/>
              <w:left w:val="nil"/>
              <w:bottom w:val="single" w:sz="4" w:space="0" w:color="auto"/>
              <w:right w:val="single" w:sz="4" w:space="0" w:color="auto"/>
            </w:tcBorders>
            <w:shd w:val="clear" w:color="auto" w:fill="auto"/>
            <w:vAlign w:val="center"/>
            <w:hideMark/>
          </w:tcPr>
          <w:p w14:paraId="271DE41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wspierający decyzje kliniczne w zakresie doboru odpowiednich leków na potrzeby resuscytacji w zależności od stanu i wagi pacjenta.</w:t>
            </w:r>
          </w:p>
        </w:tc>
        <w:tc>
          <w:tcPr>
            <w:tcW w:w="1133" w:type="dxa"/>
            <w:tcBorders>
              <w:top w:val="nil"/>
              <w:left w:val="nil"/>
              <w:bottom w:val="single" w:sz="4" w:space="0" w:color="auto"/>
              <w:right w:val="single" w:sz="4" w:space="0" w:color="auto"/>
            </w:tcBorders>
            <w:shd w:val="clear" w:color="auto" w:fill="auto"/>
            <w:vAlign w:val="center"/>
            <w:hideMark/>
          </w:tcPr>
          <w:p w14:paraId="40C3E11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59F9CB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9677E4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B5F21D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15.14</w:t>
            </w:r>
          </w:p>
        </w:tc>
        <w:tc>
          <w:tcPr>
            <w:tcW w:w="5514" w:type="dxa"/>
            <w:tcBorders>
              <w:top w:val="nil"/>
              <w:left w:val="nil"/>
              <w:bottom w:val="single" w:sz="4" w:space="0" w:color="auto"/>
              <w:right w:val="single" w:sz="4" w:space="0" w:color="auto"/>
            </w:tcBorders>
            <w:shd w:val="clear" w:color="auto" w:fill="auto"/>
            <w:vAlign w:val="center"/>
            <w:hideMark/>
          </w:tcPr>
          <w:p w14:paraId="6BA258D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dokumentujący stwierdzenie śmierci mózgu wg kryteriów zgodnych z wymaganiami Zamawiającego.</w:t>
            </w:r>
          </w:p>
        </w:tc>
        <w:tc>
          <w:tcPr>
            <w:tcW w:w="1133" w:type="dxa"/>
            <w:tcBorders>
              <w:top w:val="nil"/>
              <w:left w:val="nil"/>
              <w:bottom w:val="single" w:sz="4" w:space="0" w:color="auto"/>
              <w:right w:val="single" w:sz="4" w:space="0" w:color="auto"/>
            </w:tcBorders>
            <w:shd w:val="clear" w:color="auto" w:fill="auto"/>
            <w:vAlign w:val="center"/>
            <w:hideMark/>
          </w:tcPr>
          <w:p w14:paraId="4E366C1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8DCCB1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1844F27"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263621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15.15</w:t>
            </w:r>
          </w:p>
        </w:tc>
        <w:tc>
          <w:tcPr>
            <w:tcW w:w="5514" w:type="dxa"/>
            <w:tcBorders>
              <w:top w:val="nil"/>
              <w:left w:val="nil"/>
              <w:bottom w:val="single" w:sz="4" w:space="0" w:color="auto"/>
              <w:right w:val="single" w:sz="4" w:space="0" w:color="auto"/>
            </w:tcBorders>
            <w:shd w:val="clear" w:color="auto" w:fill="auto"/>
            <w:vAlign w:val="center"/>
            <w:hideMark/>
          </w:tcPr>
          <w:p w14:paraId="79B734C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dokumentujący procedurę postępowania ze zmarłym.</w:t>
            </w:r>
          </w:p>
        </w:tc>
        <w:tc>
          <w:tcPr>
            <w:tcW w:w="1133" w:type="dxa"/>
            <w:tcBorders>
              <w:top w:val="nil"/>
              <w:left w:val="nil"/>
              <w:bottom w:val="single" w:sz="4" w:space="0" w:color="auto"/>
              <w:right w:val="single" w:sz="4" w:space="0" w:color="auto"/>
            </w:tcBorders>
            <w:shd w:val="clear" w:color="auto" w:fill="auto"/>
            <w:vAlign w:val="center"/>
            <w:hideMark/>
          </w:tcPr>
          <w:p w14:paraId="0471362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6381B8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16C1C19"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BDD477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15.16</w:t>
            </w:r>
          </w:p>
        </w:tc>
        <w:tc>
          <w:tcPr>
            <w:tcW w:w="5514" w:type="dxa"/>
            <w:tcBorders>
              <w:top w:val="nil"/>
              <w:left w:val="nil"/>
              <w:bottom w:val="single" w:sz="4" w:space="0" w:color="auto"/>
              <w:right w:val="single" w:sz="4" w:space="0" w:color="auto"/>
            </w:tcBorders>
            <w:shd w:val="clear" w:color="auto" w:fill="auto"/>
            <w:vAlign w:val="center"/>
            <w:hideMark/>
          </w:tcPr>
          <w:p w14:paraId="330C425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dokumentujący procedury związane z przekazaniem narządów do transplantacji wg kryteriów zgodnych z wymaganiami Zamawiającego.</w:t>
            </w:r>
          </w:p>
        </w:tc>
        <w:tc>
          <w:tcPr>
            <w:tcW w:w="1133" w:type="dxa"/>
            <w:tcBorders>
              <w:top w:val="nil"/>
              <w:left w:val="nil"/>
              <w:bottom w:val="single" w:sz="4" w:space="0" w:color="auto"/>
              <w:right w:val="single" w:sz="4" w:space="0" w:color="auto"/>
            </w:tcBorders>
            <w:shd w:val="clear" w:color="auto" w:fill="auto"/>
            <w:vAlign w:val="center"/>
            <w:hideMark/>
          </w:tcPr>
          <w:p w14:paraId="785A5C8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D9C54C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84BA927"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B7EB67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15.17</w:t>
            </w:r>
          </w:p>
        </w:tc>
        <w:tc>
          <w:tcPr>
            <w:tcW w:w="5514" w:type="dxa"/>
            <w:tcBorders>
              <w:top w:val="nil"/>
              <w:left w:val="nil"/>
              <w:bottom w:val="single" w:sz="4" w:space="0" w:color="auto"/>
              <w:right w:val="single" w:sz="4" w:space="0" w:color="auto"/>
            </w:tcBorders>
            <w:shd w:val="clear" w:color="auto" w:fill="auto"/>
            <w:vAlign w:val="center"/>
            <w:hideMark/>
          </w:tcPr>
          <w:p w14:paraId="672A9C5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do oceny klinicznej, monitorowania i przeglądu parametrów.</w:t>
            </w:r>
          </w:p>
        </w:tc>
        <w:tc>
          <w:tcPr>
            <w:tcW w:w="1133" w:type="dxa"/>
            <w:tcBorders>
              <w:top w:val="nil"/>
              <w:left w:val="nil"/>
              <w:bottom w:val="single" w:sz="4" w:space="0" w:color="auto"/>
              <w:right w:val="single" w:sz="4" w:space="0" w:color="auto"/>
            </w:tcBorders>
            <w:shd w:val="clear" w:color="auto" w:fill="auto"/>
            <w:vAlign w:val="center"/>
            <w:hideMark/>
          </w:tcPr>
          <w:p w14:paraId="68BD914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B7AFD1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A62540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9A5228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15.18</w:t>
            </w:r>
          </w:p>
        </w:tc>
        <w:tc>
          <w:tcPr>
            <w:tcW w:w="5514" w:type="dxa"/>
            <w:tcBorders>
              <w:top w:val="nil"/>
              <w:left w:val="nil"/>
              <w:bottom w:val="single" w:sz="4" w:space="0" w:color="auto"/>
              <w:right w:val="single" w:sz="4" w:space="0" w:color="auto"/>
            </w:tcBorders>
            <w:shd w:val="clear" w:color="auto" w:fill="auto"/>
            <w:vAlign w:val="center"/>
            <w:hideMark/>
          </w:tcPr>
          <w:p w14:paraId="6F2B257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definiowania innych, specyficznych formularzy wg wymagań Zamawiającego.</w:t>
            </w:r>
          </w:p>
        </w:tc>
        <w:tc>
          <w:tcPr>
            <w:tcW w:w="1133" w:type="dxa"/>
            <w:tcBorders>
              <w:top w:val="nil"/>
              <w:left w:val="nil"/>
              <w:bottom w:val="single" w:sz="4" w:space="0" w:color="auto"/>
              <w:right w:val="single" w:sz="4" w:space="0" w:color="auto"/>
            </w:tcBorders>
            <w:shd w:val="clear" w:color="auto" w:fill="auto"/>
            <w:vAlign w:val="center"/>
            <w:hideMark/>
          </w:tcPr>
          <w:p w14:paraId="6549CA9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AEE7DF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7478204"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93E635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15.19</w:t>
            </w:r>
          </w:p>
        </w:tc>
        <w:tc>
          <w:tcPr>
            <w:tcW w:w="5514" w:type="dxa"/>
            <w:tcBorders>
              <w:top w:val="nil"/>
              <w:left w:val="nil"/>
              <w:bottom w:val="single" w:sz="4" w:space="0" w:color="auto"/>
              <w:right w:val="single" w:sz="4" w:space="0" w:color="auto"/>
            </w:tcBorders>
            <w:shd w:val="clear" w:color="auto" w:fill="auto"/>
            <w:vAlign w:val="center"/>
            <w:hideMark/>
          </w:tcPr>
          <w:p w14:paraId="6975CF6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zdefiniowania przez użytkownika o odpowiednich uprawnieniach, obowiązkowych pól formularza, których niewypełnienie uniemożliwia zapisanie formularza.</w:t>
            </w:r>
          </w:p>
        </w:tc>
        <w:tc>
          <w:tcPr>
            <w:tcW w:w="1133" w:type="dxa"/>
            <w:tcBorders>
              <w:top w:val="nil"/>
              <w:left w:val="nil"/>
              <w:bottom w:val="single" w:sz="4" w:space="0" w:color="auto"/>
              <w:right w:val="single" w:sz="4" w:space="0" w:color="auto"/>
            </w:tcBorders>
            <w:shd w:val="clear" w:color="auto" w:fill="auto"/>
            <w:vAlign w:val="center"/>
            <w:hideMark/>
          </w:tcPr>
          <w:p w14:paraId="67A38C1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8426C7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3C361D6"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D53D88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15.20</w:t>
            </w:r>
          </w:p>
        </w:tc>
        <w:tc>
          <w:tcPr>
            <w:tcW w:w="5514" w:type="dxa"/>
            <w:tcBorders>
              <w:top w:val="nil"/>
              <w:left w:val="nil"/>
              <w:bottom w:val="single" w:sz="4" w:space="0" w:color="auto"/>
              <w:right w:val="single" w:sz="4" w:space="0" w:color="auto"/>
            </w:tcBorders>
            <w:shd w:val="clear" w:color="auto" w:fill="auto"/>
            <w:vAlign w:val="center"/>
            <w:hideMark/>
          </w:tcPr>
          <w:p w14:paraId="64A67D4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W formularzach można </w:t>
            </w:r>
            <w:r w:rsidRPr="00F8703A">
              <w:rPr>
                <w:rFonts w:eastAsia="Times New Roman" w:cstheme="minorHAnsi"/>
                <w:lang w:eastAsia="pl-PL"/>
              </w:rPr>
              <w:t>umieścić</w:t>
            </w:r>
            <w:r w:rsidRPr="00CF3752">
              <w:rPr>
                <w:rFonts w:eastAsia="Times New Roman" w:cstheme="minorHAnsi"/>
                <w:lang w:eastAsia="pl-PL"/>
              </w:rPr>
              <w:t xml:space="preserve"> pola w różnych formach m.in. dowolny tekst, lista rozwijana, wartość numeryczna, pole </w:t>
            </w:r>
            <w:r w:rsidRPr="00F8703A">
              <w:rPr>
                <w:rFonts w:eastAsia="Times New Roman" w:cstheme="minorHAnsi"/>
                <w:lang w:eastAsia="pl-PL"/>
              </w:rPr>
              <w:t>wyboru</w:t>
            </w:r>
            <w:r w:rsidRPr="00CF3752">
              <w:rPr>
                <w:rFonts w:eastAsia="Times New Roman" w:cstheme="minorHAnsi"/>
                <w:lang w:eastAsia="pl-PL"/>
              </w:rPr>
              <w:t xml:space="preserve"> (</w:t>
            </w:r>
            <w:proofErr w:type="spellStart"/>
            <w:r w:rsidRPr="00CF3752">
              <w:rPr>
                <w:rFonts w:eastAsia="Times New Roman" w:cstheme="minorHAnsi"/>
                <w:lang w:eastAsia="pl-PL"/>
              </w:rPr>
              <w:t>checkbox</w:t>
            </w:r>
            <w:proofErr w:type="spellEnd"/>
            <w:r w:rsidRPr="00CF3752">
              <w:rPr>
                <w:rFonts w:eastAsia="Times New Roman" w:cstheme="minorHAnsi"/>
                <w:lang w:eastAsia="pl-PL"/>
              </w:rPr>
              <w:t xml:space="preserve">), grupa przycisków (radio </w:t>
            </w:r>
            <w:proofErr w:type="spellStart"/>
            <w:r w:rsidRPr="00CF3752">
              <w:rPr>
                <w:rFonts w:eastAsia="Times New Roman" w:cstheme="minorHAnsi"/>
                <w:lang w:eastAsia="pl-PL"/>
              </w:rPr>
              <w:t>button</w:t>
            </w:r>
            <w:proofErr w:type="spellEnd"/>
            <w:r w:rsidRPr="00CF3752">
              <w:rPr>
                <w:rFonts w:eastAsia="Times New Roman" w:cstheme="minorHAnsi"/>
                <w:lang w:eastAsia="pl-PL"/>
              </w:rPr>
              <w:t>), data, godzina, data i godzina, obraz,  etykieta, załącznik, parametr słownikowy. Parametry umieszczone w polach mogą wyświetlać wartość domyślną, m.in. ostatnią, aktualną, zadaną wartość.</w:t>
            </w:r>
          </w:p>
        </w:tc>
        <w:tc>
          <w:tcPr>
            <w:tcW w:w="1133" w:type="dxa"/>
            <w:tcBorders>
              <w:top w:val="nil"/>
              <w:left w:val="nil"/>
              <w:bottom w:val="single" w:sz="4" w:space="0" w:color="auto"/>
              <w:right w:val="single" w:sz="4" w:space="0" w:color="auto"/>
            </w:tcBorders>
            <w:shd w:val="clear" w:color="auto" w:fill="auto"/>
            <w:vAlign w:val="center"/>
            <w:hideMark/>
          </w:tcPr>
          <w:p w14:paraId="6221A6A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003FB1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20BA8D0"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98D447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15.21</w:t>
            </w:r>
          </w:p>
        </w:tc>
        <w:tc>
          <w:tcPr>
            <w:tcW w:w="5514" w:type="dxa"/>
            <w:tcBorders>
              <w:top w:val="nil"/>
              <w:left w:val="nil"/>
              <w:bottom w:val="single" w:sz="4" w:space="0" w:color="auto"/>
              <w:right w:val="single" w:sz="4" w:space="0" w:color="auto"/>
            </w:tcBorders>
            <w:shd w:val="clear" w:color="auto" w:fill="auto"/>
            <w:vAlign w:val="center"/>
            <w:hideMark/>
          </w:tcPr>
          <w:p w14:paraId="2B87FDC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Pola można konfigurować pod kątem: nazwy, wysokości, długości, wyrównania poziomego i pionowego, oznaczenia jako obowiązkowe.</w:t>
            </w:r>
          </w:p>
        </w:tc>
        <w:tc>
          <w:tcPr>
            <w:tcW w:w="1133" w:type="dxa"/>
            <w:tcBorders>
              <w:top w:val="nil"/>
              <w:left w:val="nil"/>
              <w:bottom w:val="single" w:sz="4" w:space="0" w:color="auto"/>
              <w:right w:val="single" w:sz="4" w:space="0" w:color="auto"/>
            </w:tcBorders>
            <w:shd w:val="clear" w:color="auto" w:fill="auto"/>
            <w:vAlign w:val="center"/>
            <w:hideMark/>
          </w:tcPr>
          <w:p w14:paraId="1B1F2A1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59D63D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70CA414"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45803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15.22</w:t>
            </w:r>
          </w:p>
        </w:tc>
        <w:tc>
          <w:tcPr>
            <w:tcW w:w="5514" w:type="dxa"/>
            <w:tcBorders>
              <w:top w:val="nil"/>
              <w:left w:val="nil"/>
              <w:bottom w:val="single" w:sz="4" w:space="0" w:color="auto"/>
              <w:right w:val="single" w:sz="4" w:space="0" w:color="auto"/>
            </w:tcBorders>
            <w:shd w:val="clear" w:color="auto" w:fill="auto"/>
            <w:vAlign w:val="center"/>
            <w:hideMark/>
          </w:tcPr>
          <w:p w14:paraId="5F8B8B2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Pola z dowolnym tekstem podlegają </w:t>
            </w:r>
            <w:r w:rsidRPr="00F8703A">
              <w:rPr>
                <w:rFonts w:eastAsia="Times New Roman" w:cstheme="minorHAnsi"/>
                <w:lang w:eastAsia="pl-PL"/>
              </w:rPr>
              <w:t>personalizacji</w:t>
            </w:r>
            <w:r w:rsidRPr="00CF3752">
              <w:rPr>
                <w:rFonts w:eastAsia="Times New Roman" w:cstheme="minorHAnsi"/>
                <w:lang w:eastAsia="pl-PL"/>
              </w:rPr>
              <w:t>, to znaczy każdy użytkownik systemu może stworzyć własny szablon tekstu z poziomu aplikacji. Szablon ten jest zapisany dla danego użyt</w:t>
            </w:r>
            <w:r>
              <w:rPr>
                <w:rFonts w:eastAsia="Times New Roman" w:cstheme="minorHAnsi"/>
                <w:lang w:eastAsia="pl-PL"/>
              </w:rPr>
              <w:t>kow</w:t>
            </w:r>
            <w:r w:rsidRPr="00CF3752">
              <w:rPr>
                <w:rFonts w:eastAsia="Times New Roman" w:cstheme="minorHAnsi"/>
                <w:lang w:eastAsia="pl-PL"/>
              </w:rPr>
              <w:t xml:space="preserve">nika i może zostać wykorzystany ponownie. W szablonie mogą </w:t>
            </w:r>
            <w:r w:rsidRPr="00F8703A">
              <w:rPr>
                <w:rFonts w:eastAsia="Times New Roman" w:cstheme="minorHAnsi"/>
                <w:lang w:eastAsia="pl-PL"/>
              </w:rPr>
              <w:t>znaleźć</w:t>
            </w:r>
            <w:r w:rsidRPr="00CF3752">
              <w:rPr>
                <w:rFonts w:eastAsia="Times New Roman" w:cstheme="minorHAnsi"/>
                <w:lang w:eastAsia="pl-PL"/>
              </w:rPr>
              <w:t xml:space="preserve"> się m.in. parametry życiowe i laboratoryjne, które po wybraniu szablonu pojawią </w:t>
            </w:r>
            <w:r w:rsidRPr="00F8703A">
              <w:rPr>
                <w:rFonts w:eastAsia="Times New Roman" w:cstheme="minorHAnsi"/>
                <w:lang w:eastAsia="pl-PL"/>
              </w:rPr>
              <w:t>się</w:t>
            </w:r>
            <w:r w:rsidRPr="00CF3752">
              <w:rPr>
                <w:rFonts w:eastAsia="Times New Roman" w:cstheme="minorHAnsi"/>
                <w:lang w:eastAsia="pl-PL"/>
              </w:rPr>
              <w:t xml:space="preserve"> w polu </w:t>
            </w:r>
            <w:r w:rsidRPr="00F8703A">
              <w:rPr>
                <w:rFonts w:eastAsia="Times New Roman" w:cstheme="minorHAnsi"/>
                <w:lang w:eastAsia="pl-PL"/>
              </w:rPr>
              <w:t>formularza</w:t>
            </w:r>
            <w:r w:rsidRPr="00CF3752">
              <w:rPr>
                <w:rFonts w:eastAsia="Times New Roman" w:cstheme="minorHAnsi"/>
                <w:lang w:eastAsia="pl-PL"/>
              </w:rPr>
              <w:t xml:space="preserve"> wraz z aktualną lub ostatnia zarejestrowaną wartością i datą i godziną.</w:t>
            </w:r>
          </w:p>
        </w:tc>
        <w:tc>
          <w:tcPr>
            <w:tcW w:w="1133" w:type="dxa"/>
            <w:tcBorders>
              <w:top w:val="nil"/>
              <w:left w:val="nil"/>
              <w:bottom w:val="single" w:sz="4" w:space="0" w:color="auto"/>
              <w:right w:val="single" w:sz="4" w:space="0" w:color="auto"/>
            </w:tcBorders>
            <w:shd w:val="clear" w:color="auto" w:fill="auto"/>
            <w:vAlign w:val="center"/>
            <w:hideMark/>
          </w:tcPr>
          <w:p w14:paraId="0766842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2E99BD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BEDC77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AFF81B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15.23</w:t>
            </w:r>
          </w:p>
        </w:tc>
        <w:tc>
          <w:tcPr>
            <w:tcW w:w="5514" w:type="dxa"/>
            <w:tcBorders>
              <w:top w:val="nil"/>
              <w:left w:val="nil"/>
              <w:bottom w:val="single" w:sz="4" w:space="0" w:color="auto"/>
              <w:right w:val="single" w:sz="4" w:space="0" w:color="auto"/>
            </w:tcBorders>
            <w:shd w:val="clear" w:color="auto" w:fill="auto"/>
            <w:vAlign w:val="center"/>
            <w:hideMark/>
          </w:tcPr>
          <w:p w14:paraId="572009E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Dla zachowania czytelności, dane w formularzach </w:t>
            </w:r>
            <w:r w:rsidRPr="00F8703A">
              <w:rPr>
                <w:rFonts w:eastAsia="Times New Roman" w:cstheme="minorHAnsi"/>
                <w:lang w:eastAsia="pl-PL"/>
              </w:rPr>
              <w:t>organizowane</w:t>
            </w:r>
            <w:r w:rsidRPr="00CF3752">
              <w:rPr>
                <w:rFonts w:eastAsia="Times New Roman" w:cstheme="minorHAnsi"/>
                <w:lang w:eastAsia="pl-PL"/>
              </w:rPr>
              <w:t xml:space="preserve"> są w ramkach i zakładkach.</w:t>
            </w:r>
          </w:p>
        </w:tc>
        <w:tc>
          <w:tcPr>
            <w:tcW w:w="1133" w:type="dxa"/>
            <w:tcBorders>
              <w:top w:val="nil"/>
              <w:left w:val="nil"/>
              <w:bottom w:val="single" w:sz="4" w:space="0" w:color="auto"/>
              <w:right w:val="single" w:sz="4" w:space="0" w:color="auto"/>
            </w:tcBorders>
            <w:shd w:val="clear" w:color="auto" w:fill="auto"/>
            <w:vAlign w:val="center"/>
            <w:hideMark/>
          </w:tcPr>
          <w:p w14:paraId="03295E4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513995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6E23D0"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C0A078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15.24</w:t>
            </w:r>
          </w:p>
        </w:tc>
        <w:tc>
          <w:tcPr>
            <w:tcW w:w="5514" w:type="dxa"/>
            <w:tcBorders>
              <w:top w:val="nil"/>
              <w:left w:val="nil"/>
              <w:bottom w:val="single" w:sz="4" w:space="0" w:color="auto"/>
              <w:right w:val="single" w:sz="4" w:space="0" w:color="auto"/>
            </w:tcBorders>
            <w:shd w:val="clear" w:color="auto" w:fill="auto"/>
            <w:vAlign w:val="center"/>
            <w:hideMark/>
          </w:tcPr>
          <w:p w14:paraId="17D0BEE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W razie potrzeby, część pół w formularzu może zostać wyświetlone tylko w przypadku wystąpienia </w:t>
            </w:r>
            <w:r w:rsidRPr="00F8703A">
              <w:rPr>
                <w:rFonts w:eastAsia="Times New Roman" w:cstheme="minorHAnsi"/>
                <w:lang w:eastAsia="pl-PL"/>
              </w:rPr>
              <w:t>konkretnych</w:t>
            </w:r>
            <w:r w:rsidRPr="00CF3752">
              <w:rPr>
                <w:rFonts w:eastAsia="Times New Roman" w:cstheme="minorHAnsi"/>
                <w:lang w:eastAsia="pl-PL"/>
              </w:rPr>
              <w:t xml:space="preserve"> okoliczności. Np. jeśli zostanie zaznaczone pole wyboru potwierdzające, że pacjent jest zaintubowany, to zostaną wyświetlone dodatkowe pola z rodzajem, rozmiarem i głębokością założenia rurki. Dzięki tej funkcjonalności formularz zawiera tylko </w:t>
            </w:r>
            <w:r w:rsidRPr="00F8703A">
              <w:rPr>
                <w:rFonts w:eastAsia="Times New Roman" w:cstheme="minorHAnsi"/>
                <w:lang w:eastAsia="pl-PL"/>
              </w:rPr>
              <w:t>niezbędne</w:t>
            </w:r>
            <w:r w:rsidRPr="00CF3752">
              <w:rPr>
                <w:rFonts w:eastAsia="Times New Roman" w:cstheme="minorHAnsi"/>
                <w:lang w:eastAsia="pl-PL"/>
              </w:rPr>
              <w:t xml:space="preserve"> dane i eliminuje niepotrzebne nagromadzenie pól.</w:t>
            </w:r>
          </w:p>
        </w:tc>
        <w:tc>
          <w:tcPr>
            <w:tcW w:w="1133" w:type="dxa"/>
            <w:tcBorders>
              <w:top w:val="nil"/>
              <w:left w:val="nil"/>
              <w:bottom w:val="single" w:sz="4" w:space="0" w:color="auto"/>
              <w:right w:val="single" w:sz="4" w:space="0" w:color="auto"/>
            </w:tcBorders>
            <w:shd w:val="clear" w:color="auto" w:fill="auto"/>
            <w:vAlign w:val="center"/>
            <w:hideMark/>
          </w:tcPr>
          <w:p w14:paraId="3E39A35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43B927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049E50A"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860BAD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15.25</w:t>
            </w:r>
          </w:p>
        </w:tc>
        <w:tc>
          <w:tcPr>
            <w:tcW w:w="5514" w:type="dxa"/>
            <w:tcBorders>
              <w:top w:val="nil"/>
              <w:left w:val="nil"/>
              <w:bottom w:val="single" w:sz="4" w:space="0" w:color="auto"/>
              <w:right w:val="single" w:sz="4" w:space="0" w:color="auto"/>
            </w:tcBorders>
            <w:shd w:val="clear" w:color="auto" w:fill="auto"/>
            <w:vAlign w:val="center"/>
            <w:hideMark/>
          </w:tcPr>
          <w:p w14:paraId="61EC2FC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 poziomu formularza można otworzyć m.in. inny formularz, zlecenia, skale, raport.</w:t>
            </w:r>
          </w:p>
        </w:tc>
        <w:tc>
          <w:tcPr>
            <w:tcW w:w="1133" w:type="dxa"/>
            <w:tcBorders>
              <w:top w:val="nil"/>
              <w:left w:val="nil"/>
              <w:bottom w:val="single" w:sz="4" w:space="0" w:color="auto"/>
              <w:right w:val="single" w:sz="4" w:space="0" w:color="auto"/>
            </w:tcBorders>
            <w:shd w:val="clear" w:color="auto" w:fill="auto"/>
            <w:vAlign w:val="center"/>
            <w:hideMark/>
          </w:tcPr>
          <w:p w14:paraId="3CF2D50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AE3CD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8DCB4FB"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DE4875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15.26</w:t>
            </w:r>
          </w:p>
        </w:tc>
        <w:tc>
          <w:tcPr>
            <w:tcW w:w="5514" w:type="dxa"/>
            <w:tcBorders>
              <w:top w:val="nil"/>
              <w:left w:val="nil"/>
              <w:bottom w:val="single" w:sz="4" w:space="0" w:color="auto"/>
              <w:right w:val="single" w:sz="4" w:space="0" w:color="auto"/>
            </w:tcBorders>
            <w:shd w:val="clear" w:color="auto" w:fill="auto"/>
            <w:vAlign w:val="center"/>
            <w:hideMark/>
          </w:tcPr>
          <w:p w14:paraId="53285B0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Z poziomu </w:t>
            </w:r>
            <w:r w:rsidRPr="00F8703A">
              <w:rPr>
                <w:rFonts w:eastAsia="Times New Roman" w:cstheme="minorHAnsi"/>
                <w:lang w:eastAsia="pl-PL"/>
              </w:rPr>
              <w:t>formularza</w:t>
            </w:r>
            <w:r w:rsidRPr="00CF3752">
              <w:rPr>
                <w:rFonts w:eastAsia="Times New Roman" w:cstheme="minorHAnsi"/>
                <w:lang w:eastAsia="pl-PL"/>
              </w:rPr>
              <w:t xml:space="preserve"> można wygenerować raport, zawierające dane w nim zawarte.</w:t>
            </w:r>
          </w:p>
        </w:tc>
        <w:tc>
          <w:tcPr>
            <w:tcW w:w="1133" w:type="dxa"/>
            <w:tcBorders>
              <w:top w:val="nil"/>
              <w:left w:val="nil"/>
              <w:bottom w:val="single" w:sz="4" w:space="0" w:color="auto"/>
              <w:right w:val="single" w:sz="4" w:space="0" w:color="auto"/>
            </w:tcBorders>
            <w:shd w:val="clear" w:color="auto" w:fill="auto"/>
            <w:vAlign w:val="center"/>
            <w:hideMark/>
          </w:tcPr>
          <w:p w14:paraId="4E3A3B7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B084F7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5D13DCA"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61808F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15.27</w:t>
            </w:r>
          </w:p>
        </w:tc>
        <w:tc>
          <w:tcPr>
            <w:tcW w:w="5514" w:type="dxa"/>
            <w:tcBorders>
              <w:top w:val="nil"/>
              <w:left w:val="nil"/>
              <w:bottom w:val="single" w:sz="4" w:space="0" w:color="auto"/>
              <w:right w:val="single" w:sz="4" w:space="0" w:color="auto"/>
            </w:tcBorders>
            <w:shd w:val="clear" w:color="auto" w:fill="auto"/>
            <w:vAlign w:val="center"/>
            <w:hideMark/>
          </w:tcPr>
          <w:p w14:paraId="231C579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nadania wybranym formularzom właściwości cechy niemodalnych, umożliwiających nieliniową, wielozadaniową pracę z wieloma oknami jednocześnie, eliminując wymuszony przez system jeden określony sposób pracy z formularzami. Tak skonfigurowane formularze można zminimalizować, przesuwać po ekranie, uzupełniać dwa formularze jednocześnie (bez konieczności zamykania jednego z nich), nawigować po dokumentacji pacjenta bez konieczności zamykania formularza.</w:t>
            </w:r>
          </w:p>
        </w:tc>
        <w:tc>
          <w:tcPr>
            <w:tcW w:w="1133" w:type="dxa"/>
            <w:tcBorders>
              <w:top w:val="nil"/>
              <w:left w:val="nil"/>
              <w:bottom w:val="single" w:sz="4" w:space="0" w:color="auto"/>
              <w:right w:val="single" w:sz="4" w:space="0" w:color="auto"/>
            </w:tcBorders>
            <w:shd w:val="clear" w:color="auto" w:fill="auto"/>
            <w:vAlign w:val="center"/>
            <w:hideMark/>
          </w:tcPr>
          <w:p w14:paraId="1158819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B6F3F0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C0510C3"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073C57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30EA6A84"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Moduł konfiguracyjny</w:t>
            </w:r>
          </w:p>
        </w:tc>
      </w:tr>
      <w:tr w:rsidR="00CB3017" w:rsidRPr="00F8703A" w14:paraId="6DF0898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960D54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16.1</w:t>
            </w:r>
          </w:p>
        </w:tc>
        <w:tc>
          <w:tcPr>
            <w:tcW w:w="5514" w:type="dxa"/>
            <w:tcBorders>
              <w:top w:val="nil"/>
              <w:left w:val="nil"/>
              <w:bottom w:val="single" w:sz="4" w:space="0" w:color="auto"/>
              <w:right w:val="single" w:sz="4" w:space="0" w:color="auto"/>
            </w:tcBorders>
            <w:shd w:val="clear" w:color="auto" w:fill="auto"/>
            <w:vAlign w:val="center"/>
            <w:hideMark/>
          </w:tcPr>
          <w:p w14:paraId="72E2760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Konfiguracja systemu na poziomie szpitala, oddziału, użytkownika i pacjenta.</w:t>
            </w:r>
          </w:p>
        </w:tc>
        <w:tc>
          <w:tcPr>
            <w:tcW w:w="1133" w:type="dxa"/>
            <w:tcBorders>
              <w:top w:val="nil"/>
              <w:left w:val="nil"/>
              <w:bottom w:val="single" w:sz="4" w:space="0" w:color="auto"/>
              <w:right w:val="single" w:sz="4" w:space="0" w:color="auto"/>
            </w:tcBorders>
            <w:shd w:val="clear" w:color="auto" w:fill="auto"/>
            <w:vAlign w:val="center"/>
            <w:hideMark/>
          </w:tcPr>
          <w:p w14:paraId="74D6F30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53784D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CD10512"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FD8839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w:t>
            </w:r>
          </w:p>
        </w:tc>
        <w:tc>
          <w:tcPr>
            <w:tcW w:w="5514" w:type="dxa"/>
            <w:tcBorders>
              <w:top w:val="nil"/>
              <w:left w:val="nil"/>
              <w:bottom w:val="single" w:sz="4" w:space="0" w:color="auto"/>
              <w:right w:val="single" w:sz="4" w:space="0" w:color="auto"/>
            </w:tcBorders>
            <w:shd w:val="clear" w:color="auto" w:fill="auto"/>
            <w:vAlign w:val="center"/>
            <w:hideMark/>
          </w:tcPr>
          <w:p w14:paraId="703C19D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przeszkolonym użytkownikom konfigurację następujących części, bez konieczności dysponowania wiedzą programistyczną:</w:t>
            </w:r>
          </w:p>
        </w:tc>
        <w:tc>
          <w:tcPr>
            <w:tcW w:w="1133" w:type="dxa"/>
            <w:tcBorders>
              <w:top w:val="nil"/>
              <w:left w:val="nil"/>
              <w:bottom w:val="single" w:sz="4" w:space="0" w:color="auto"/>
              <w:right w:val="single" w:sz="4" w:space="0" w:color="auto"/>
            </w:tcBorders>
            <w:shd w:val="clear" w:color="auto" w:fill="auto"/>
            <w:vAlign w:val="center"/>
            <w:hideMark/>
          </w:tcPr>
          <w:p w14:paraId="4CB7D72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3C58D7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6032A7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9BC3A2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16.2.1</w:t>
            </w:r>
          </w:p>
        </w:tc>
        <w:tc>
          <w:tcPr>
            <w:tcW w:w="5514" w:type="dxa"/>
            <w:tcBorders>
              <w:top w:val="nil"/>
              <w:left w:val="nil"/>
              <w:bottom w:val="single" w:sz="4" w:space="0" w:color="auto"/>
              <w:right w:val="single" w:sz="4" w:space="0" w:color="auto"/>
            </w:tcBorders>
            <w:shd w:val="clear" w:color="auto" w:fill="auto"/>
            <w:vAlign w:val="center"/>
            <w:hideMark/>
          </w:tcPr>
          <w:p w14:paraId="551020B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dodawanie nowych i edycja parametrów, leków, pól formularzy, formularzy i raportów</w:t>
            </w:r>
          </w:p>
        </w:tc>
        <w:tc>
          <w:tcPr>
            <w:tcW w:w="1133" w:type="dxa"/>
            <w:tcBorders>
              <w:top w:val="nil"/>
              <w:left w:val="nil"/>
              <w:bottom w:val="single" w:sz="4" w:space="0" w:color="auto"/>
              <w:right w:val="single" w:sz="4" w:space="0" w:color="auto"/>
            </w:tcBorders>
            <w:shd w:val="clear" w:color="auto" w:fill="auto"/>
            <w:vAlign w:val="center"/>
            <w:hideMark/>
          </w:tcPr>
          <w:p w14:paraId="66C3126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4A6973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5EB1DAC"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280CDC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16.2.2</w:t>
            </w:r>
          </w:p>
        </w:tc>
        <w:tc>
          <w:tcPr>
            <w:tcW w:w="5514" w:type="dxa"/>
            <w:tcBorders>
              <w:top w:val="nil"/>
              <w:left w:val="nil"/>
              <w:bottom w:val="single" w:sz="4" w:space="0" w:color="auto"/>
              <w:right w:val="single" w:sz="4" w:space="0" w:color="auto"/>
            </w:tcBorders>
            <w:shd w:val="clear" w:color="auto" w:fill="auto"/>
            <w:vAlign w:val="center"/>
            <w:hideMark/>
          </w:tcPr>
          <w:p w14:paraId="42632E2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dodawanie nowych i edycja oddziałów i łóżek</w:t>
            </w:r>
          </w:p>
        </w:tc>
        <w:tc>
          <w:tcPr>
            <w:tcW w:w="1133" w:type="dxa"/>
            <w:tcBorders>
              <w:top w:val="nil"/>
              <w:left w:val="nil"/>
              <w:bottom w:val="single" w:sz="4" w:space="0" w:color="auto"/>
              <w:right w:val="single" w:sz="4" w:space="0" w:color="auto"/>
            </w:tcBorders>
            <w:shd w:val="clear" w:color="auto" w:fill="auto"/>
            <w:vAlign w:val="center"/>
            <w:hideMark/>
          </w:tcPr>
          <w:p w14:paraId="71ED4B8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776717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07DC975"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7DE219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16.2.3</w:t>
            </w:r>
          </w:p>
        </w:tc>
        <w:tc>
          <w:tcPr>
            <w:tcW w:w="5514" w:type="dxa"/>
            <w:tcBorders>
              <w:top w:val="nil"/>
              <w:left w:val="nil"/>
              <w:bottom w:val="single" w:sz="4" w:space="0" w:color="auto"/>
              <w:right w:val="single" w:sz="4" w:space="0" w:color="auto"/>
            </w:tcBorders>
            <w:shd w:val="clear" w:color="auto" w:fill="auto"/>
            <w:vAlign w:val="center"/>
            <w:hideMark/>
          </w:tcPr>
          <w:p w14:paraId="5FBC142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dodawanie nowych i edycja użytkowników, grup użytkowników, uprawnień użytkowników</w:t>
            </w:r>
          </w:p>
        </w:tc>
        <w:tc>
          <w:tcPr>
            <w:tcW w:w="1133" w:type="dxa"/>
            <w:tcBorders>
              <w:top w:val="nil"/>
              <w:left w:val="nil"/>
              <w:bottom w:val="single" w:sz="4" w:space="0" w:color="auto"/>
              <w:right w:val="single" w:sz="4" w:space="0" w:color="auto"/>
            </w:tcBorders>
            <w:shd w:val="clear" w:color="auto" w:fill="auto"/>
            <w:vAlign w:val="center"/>
            <w:hideMark/>
          </w:tcPr>
          <w:p w14:paraId="4D5DAB4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D819D5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083853D"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4A63F7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16.2.4</w:t>
            </w:r>
          </w:p>
        </w:tc>
        <w:tc>
          <w:tcPr>
            <w:tcW w:w="5514" w:type="dxa"/>
            <w:tcBorders>
              <w:top w:val="nil"/>
              <w:left w:val="nil"/>
              <w:bottom w:val="single" w:sz="4" w:space="0" w:color="auto"/>
              <w:right w:val="single" w:sz="4" w:space="0" w:color="auto"/>
            </w:tcBorders>
            <w:shd w:val="clear" w:color="auto" w:fill="auto"/>
            <w:vAlign w:val="center"/>
            <w:hideMark/>
          </w:tcPr>
          <w:p w14:paraId="38DE317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dodawanie nowych i edycja kart, tabeli, wykresów, trendów, przycisków</w:t>
            </w:r>
          </w:p>
        </w:tc>
        <w:tc>
          <w:tcPr>
            <w:tcW w:w="1133" w:type="dxa"/>
            <w:tcBorders>
              <w:top w:val="nil"/>
              <w:left w:val="nil"/>
              <w:bottom w:val="single" w:sz="4" w:space="0" w:color="auto"/>
              <w:right w:val="single" w:sz="4" w:space="0" w:color="auto"/>
            </w:tcBorders>
            <w:shd w:val="clear" w:color="auto" w:fill="auto"/>
            <w:vAlign w:val="center"/>
            <w:hideMark/>
          </w:tcPr>
          <w:p w14:paraId="3F1B9B2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11B547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6BE1DBB"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09B373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16.2.5</w:t>
            </w:r>
          </w:p>
        </w:tc>
        <w:tc>
          <w:tcPr>
            <w:tcW w:w="5514" w:type="dxa"/>
            <w:tcBorders>
              <w:top w:val="nil"/>
              <w:left w:val="nil"/>
              <w:bottom w:val="single" w:sz="4" w:space="0" w:color="auto"/>
              <w:right w:val="single" w:sz="4" w:space="0" w:color="auto"/>
            </w:tcBorders>
            <w:shd w:val="clear" w:color="auto" w:fill="auto"/>
            <w:vAlign w:val="center"/>
            <w:hideMark/>
          </w:tcPr>
          <w:p w14:paraId="1DA34DA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dodawanie nowych i edycja klawiszy skrótów i pasków narzędzi</w:t>
            </w:r>
          </w:p>
        </w:tc>
        <w:tc>
          <w:tcPr>
            <w:tcW w:w="1133" w:type="dxa"/>
            <w:tcBorders>
              <w:top w:val="nil"/>
              <w:left w:val="nil"/>
              <w:bottom w:val="single" w:sz="4" w:space="0" w:color="auto"/>
              <w:right w:val="single" w:sz="4" w:space="0" w:color="auto"/>
            </w:tcBorders>
            <w:shd w:val="clear" w:color="auto" w:fill="auto"/>
            <w:vAlign w:val="center"/>
            <w:hideMark/>
          </w:tcPr>
          <w:p w14:paraId="1CE7748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66E765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BF163B6"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6873E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16.2.6</w:t>
            </w:r>
          </w:p>
        </w:tc>
        <w:tc>
          <w:tcPr>
            <w:tcW w:w="5514" w:type="dxa"/>
            <w:tcBorders>
              <w:top w:val="nil"/>
              <w:left w:val="nil"/>
              <w:bottom w:val="single" w:sz="4" w:space="0" w:color="auto"/>
              <w:right w:val="single" w:sz="4" w:space="0" w:color="auto"/>
            </w:tcBorders>
            <w:shd w:val="clear" w:color="auto" w:fill="auto"/>
            <w:vAlign w:val="center"/>
            <w:hideMark/>
          </w:tcPr>
          <w:p w14:paraId="4D818E0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dodawanie nowych i edycja protokołów kliniczne i planów opieki</w:t>
            </w:r>
          </w:p>
        </w:tc>
        <w:tc>
          <w:tcPr>
            <w:tcW w:w="1133" w:type="dxa"/>
            <w:tcBorders>
              <w:top w:val="nil"/>
              <w:left w:val="nil"/>
              <w:bottom w:val="single" w:sz="4" w:space="0" w:color="auto"/>
              <w:right w:val="single" w:sz="4" w:space="0" w:color="auto"/>
            </w:tcBorders>
            <w:shd w:val="clear" w:color="auto" w:fill="auto"/>
            <w:vAlign w:val="center"/>
            <w:hideMark/>
          </w:tcPr>
          <w:p w14:paraId="7E325B8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CEF85E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5459A7F"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68B00C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16.2.7</w:t>
            </w:r>
          </w:p>
        </w:tc>
        <w:tc>
          <w:tcPr>
            <w:tcW w:w="5514" w:type="dxa"/>
            <w:tcBorders>
              <w:top w:val="nil"/>
              <w:left w:val="nil"/>
              <w:bottom w:val="single" w:sz="4" w:space="0" w:color="auto"/>
              <w:right w:val="single" w:sz="4" w:space="0" w:color="auto"/>
            </w:tcBorders>
            <w:shd w:val="clear" w:color="auto" w:fill="auto"/>
            <w:vAlign w:val="center"/>
            <w:hideMark/>
          </w:tcPr>
          <w:p w14:paraId="0DA9ACF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zarządzanie rozmiarem, kolorem i rozmieszczeniem podstawowych elementów na ekranie</w:t>
            </w:r>
          </w:p>
        </w:tc>
        <w:tc>
          <w:tcPr>
            <w:tcW w:w="1133" w:type="dxa"/>
            <w:tcBorders>
              <w:top w:val="nil"/>
              <w:left w:val="nil"/>
              <w:bottom w:val="single" w:sz="4" w:space="0" w:color="auto"/>
              <w:right w:val="single" w:sz="4" w:space="0" w:color="auto"/>
            </w:tcBorders>
            <w:shd w:val="clear" w:color="auto" w:fill="auto"/>
            <w:vAlign w:val="center"/>
            <w:hideMark/>
          </w:tcPr>
          <w:p w14:paraId="415D049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8865A5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0CC9596"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A44C58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16.2.8</w:t>
            </w:r>
          </w:p>
        </w:tc>
        <w:tc>
          <w:tcPr>
            <w:tcW w:w="5514" w:type="dxa"/>
            <w:tcBorders>
              <w:top w:val="nil"/>
              <w:left w:val="nil"/>
              <w:bottom w:val="single" w:sz="4" w:space="0" w:color="auto"/>
              <w:right w:val="single" w:sz="4" w:space="0" w:color="auto"/>
            </w:tcBorders>
            <w:shd w:val="clear" w:color="auto" w:fill="auto"/>
            <w:vAlign w:val="center"/>
            <w:hideMark/>
          </w:tcPr>
          <w:p w14:paraId="5B5A287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dowolne przeglądy i listy pacjentów, wyświetlane na podstawie zadanych kryteriów</w:t>
            </w:r>
          </w:p>
        </w:tc>
        <w:tc>
          <w:tcPr>
            <w:tcW w:w="1133" w:type="dxa"/>
            <w:tcBorders>
              <w:top w:val="nil"/>
              <w:left w:val="nil"/>
              <w:bottom w:val="single" w:sz="4" w:space="0" w:color="auto"/>
              <w:right w:val="single" w:sz="4" w:space="0" w:color="auto"/>
            </w:tcBorders>
            <w:shd w:val="clear" w:color="auto" w:fill="auto"/>
            <w:vAlign w:val="center"/>
            <w:hideMark/>
          </w:tcPr>
          <w:p w14:paraId="2CCEB94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1A638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81F1DFF"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3935A8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16.2.9</w:t>
            </w:r>
          </w:p>
        </w:tc>
        <w:tc>
          <w:tcPr>
            <w:tcW w:w="5514" w:type="dxa"/>
            <w:tcBorders>
              <w:top w:val="nil"/>
              <w:left w:val="nil"/>
              <w:bottom w:val="single" w:sz="4" w:space="0" w:color="auto"/>
              <w:right w:val="single" w:sz="4" w:space="0" w:color="auto"/>
            </w:tcBorders>
            <w:shd w:val="clear" w:color="auto" w:fill="auto"/>
            <w:vAlign w:val="center"/>
            <w:hideMark/>
          </w:tcPr>
          <w:p w14:paraId="3703FDD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zmiana i uzupełnienie graficznego interfejsu użytkownika (wygląd aplikacji na stanowisku przy łóżku pacjenta i na oddziale)</w:t>
            </w:r>
          </w:p>
        </w:tc>
        <w:tc>
          <w:tcPr>
            <w:tcW w:w="1133" w:type="dxa"/>
            <w:tcBorders>
              <w:top w:val="nil"/>
              <w:left w:val="nil"/>
              <w:bottom w:val="single" w:sz="4" w:space="0" w:color="auto"/>
              <w:right w:val="single" w:sz="4" w:space="0" w:color="auto"/>
            </w:tcBorders>
            <w:shd w:val="clear" w:color="auto" w:fill="auto"/>
            <w:vAlign w:val="center"/>
            <w:hideMark/>
          </w:tcPr>
          <w:p w14:paraId="2F2E58C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00FC5A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B168EE0"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CCE703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16.2.10</w:t>
            </w:r>
          </w:p>
        </w:tc>
        <w:tc>
          <w:tcPr>
            <w:tcW w:w="5514" w:type="dxa"/>
            <w:tcBorders>
              <w:top w:val="nil"/>
              <w:left w:val="nil"/>
              <w:bottom w:val="single" w:sz="4" w:space="0" w:color="auto"/>
              <w:right w:val="single" w:sz="4" w:space="0" w:color="auto"/>
            </w:tcBorders>
            <w:shd w:val="clear" w:color="auto" w:fill="auto"/>
            <w:vAlign w:val="center"/>
            <w:hideMark/>
          </w:tcPr>
          <w:p w14:paraId="16B2D64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Opcje konfiguracji obejmują ustawianie domyślnych i niestandardowych ikon, dostosowywanie kolorów tła, określanie niestandardowych szerokości, włączanie dźwięków przycisków i przypisywanie kodów kreskowych do leków.</w:t>
            </w:r>
          </w:p>
        </w:tc>
        <w:tc>
          <w:tcPr>
            <w:tcW w:w="1133" w:type="dxa"/>
            <w:tcBorders>
              <w:top w:val="nil"/>
              <w:left w:val="nil"/>
              <w:bottom w:val="single" w:sz="4" w:space="0" w:color="auto"/>
              <w:right w:val="single" w:sz="4" w:space="0" w:color="auto"/>
            </w:tcBorders>
            <w:shd w:val="clear" w:color="auto" w:fill="auto"/>
            <w:vAlign w:val="center"/>
            <w:hideMark/>
          </w:tcPr>
          <w:p w14:paraId="65D235F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C6DCB2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4D84838" w14:textId="77777777" w:rsidTr="00FD23DE">
        <w:trPr>
          <w:trHeight w:val="211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B73F1B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16.3</w:t>
            </w:r>
          </w:p>
        </w:tc>
        <w:tc>
          <w:tcPr>
            <w:tcW w:w="5514" w:type="dxa"/>
            <w:tcBorders>
              <w:top w:val="nil"/>
              <w:left w:val="nil"/>
              <w:bottom w:val="single" w:sz="4" w:space="0" w:color="auto"/>
              <w:right w:val="single" w:sz="4" w:space="0" w:color="auto"/>
            </w:tcBorders>
            <w:shd w:val="clear" w:color="auto" w:fill="auto"/>
            <w:vAlign w:val="center"/>
            <w:hideMark/>
          </w:tcPr>
          <w:p w14:paraId="4A0C676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szerokie możliwości konfiguracji przycisków, związanych z różnorodnym zestawem działań o zasadniczym znaczeniu dla użytkowników. Szybkie inicjowanie następujących czynności: dokumentowanie zdarzeń klinicznych, zarządzanie zleceniami, automatyczne tworzenie dawek leków i zestawów dawek, otwieranie formularzy, przełączanie pomiędzy oddziałami, dostosowywanie układów, nawigowanie po arkuszu danych, wyświetlanie widoków, dostęp do nowych wyników laboratoryjnych.</w:t>
            </w:r>
          </w:p>
        </w:tc>
        <w:tc>
          <w:tcPr>
            <w:tcW w:w="1133" w:type="dxa"/>
            <w:tcBorders>
              <w:top w:val="nil"/>
              <w:left w:val="nil"/>
              <w:bottom w:val="single" w:sz="4" w:space="0" w:color="auto"/>
              <w:right w:val="single" w:sz="4" w:space="0" w:color="auto"/>
            </w:tcBorders>
            <w:shd w:val="clear" w:color="auto" w:fill="auto"/>
            <w:vAlign w:val="center"/>
            <w:hideMark/>
          </w:tcPr>
          <w:p w14:paraId="58E87CB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A045FB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D5E3E1F"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8575F4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16.4</w:t>
            </w:r>
          </w:p>
        </w:tc>
        <w:tc>
          <w:tcPr>
            <w:tcW w:w="5514" w:type="dxa"/>
            <w:tcBorders>
              <w:top w:val="nil"/>
              <w:left w:val="nil"/>
              <w:bottom w:val="single" w:sz="4" w:space="0" w:color="auto"/>
              <w:right w:val="single" w:sz="4" w:space="0" w:color="auto"/>
            </w:tcBorders>
            <w:shd w:val="clear" w:color="auto" w:fill="auto"/>
            <w:vAlign w:val="center"/>
            <w:hideMark/>
          </w:tcPr>
          <w:p w14:paraId="0AEF76A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zapewnia szerokie możliwości konfiguracji formularzy, w tym dodawanie, usuwanie, wyrównywanie w poziomie i pionie pól tekstowych, liczbowych, daty, godziny, pola listy, pola wyboru, grupy przycisków, plików, obrazów, przycisków funkcyjnych.</w:t>
            </w:r>
          </w:p>
        </w:tc>
        <w:tc>
          <w:tcPr>
            <w:tcW w:w="1133" w:type="dxa"/>
            <w:tcBorders>
              <w:top w:val="nil"/>
              <w:left w:val="nil"/>
              <w:bottom w:val="single" w:sz="4" w:space="0" w:color="auto"/>
              <w:right w:val="single" w:sz="4" w:space="0" w:color="auto"/>
            </w:tcBorders>
            <w:shd w:val="clear" w:color="auto" w:fill="auto"/>
            <w:vAlign w:val="center"/>
            <w:hideMark/>
          </w:tcPr>
          <w:p w14:paraId="1FA76CD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5071FD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7625D21" w14:textId="77777777" w:rsidTr="00FD23DE">
        <w:trPr>
          <w:trHeight w:val="211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382073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16.5</w:t>
            </w:r>
          </w:p>
        </w:tc>
        <w:tc>
          <w:tcPr>
            <w:tcW w:w="5514" w:type="dxa"/>
            <w:tcBorders>
              <w:top w:val="nil"/>
              <w:left w:val="nil"/>
              <w:bottom w:val="single" w:sz="4" w:space="0" w:color="auto"/>
              <w:right w:val="single" w:sz="4" w:space="0" w:color="auto"/>
            </w:tcBorders>
            <w:shd w:val="clear" w:color="auto" w:fill="auto"/>
            <w:vAlign w:val="center"/>
            <w:hideMark/>
          </w:tcPr>
          <w:p w14:paraId="7E5B047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 konfiguracji formularza możliwe jest dodanie skryptu VBA, który m.in. umożliwia wyświetlanie określonych pól dopiero po spełnieniu wskazanego warunku (np. pola B, C i D pojawią się wyłącznie wtedy, gdy zostanie zaznaczone pole A). Skrypt może również automatycznie przeliczać wartości w wybranych polach na podstawie wcześniej wprowadzonych danych do formularza, wyświetlać dodatkowe informacje lub otwierać kolejny formularz w zależności od wybranej opcji w danym polu (np. po wybraniu opcji 1 w polu A).</w:t>
            </w:r>
          </w:p>
        </w:tc>
        <w:tc>
          <w:tcPr>
            <w:tcW w:w="1133" w:type="dxa"/>
            <w:tcBorders>
              <w:top w:val="nil"/>
              <w:left w:val="nil"/>
              <w:bottom w:val="single" w:sz="4" w:space="0" w:color="auto"/>
              <w:right w:val="single" w:sz="4" w:space="0" w:color="auto"/>
            </w:tcBorders>
            <w:shd w:val="clear" w:color="auto" w:fill="auto"/>
            <w:vAlign w:val="center"/>
            <w:hideMark/>
          </w:tcPr>
          <w:p w14:paraId="04C8553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47A6AD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45F5FD7"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39B815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16.6</w:t>
            </w:r>
          </w:p>
        </w:tc>
        <w:tc>
          <w:tcPr>
            <w:tcW w:w="5514" w:type="dxa"/>
            <w:tcBorders>
              <w:top w:val="nil"/>
              <w:left w:val="nil"/>
              <w:bottom w:val="single" w:sz="4" w:space="0" w:color="auto"/>
              <w:right w:val="single" w:sz="4" w:space="0" w:color="auto"/>
            </w:tcBorders>
            <w:shd w:val="clear" w:color="auto" w:fill="auto"/>
            <w:vAlign w:val="center"/>
            <w:hideMark/>
          </w:tcPr>
          <w:p w14:paraId="0FBDFC5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konfigurowanie słowników zgodnie z potrzebami Zamawiającego, m.in. katalog leków (receptariusz), zadania, alergie, diagnozy, procedury i materiały zużywalne.</w:t>
            </w:r>
          </w:p>
        </w:tc>
        <w:tc>
          <w:tcPr>
            <w:tcW w:w="1133" w:type="dxa"/>
            <w:tcBorders>
              <w:top w:val="nil"/>
              <w:left w:val="nil"/>
              <w:bottom w:val="single" w:sz="4" w:space="0" w:color="auto"/>
              <w:right w:val="single" w:sz="4" w:space="0" w:color="auto"/>
            </w:tcBorders>
            <w:shd w:val="clear" w:color="auto" w:fill="auto"/>
            <w:vAlign w:val="center"/>
            <w:hideMark/>
          </w:tcPr>
          <w:p w14:paraId="06855FC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5B74F0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C9AAC57" w14:textId="77777777" w:rsidTr="00FD23DE">
        <w:trPr>
          <w:trHeight w:val="264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9EC799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16.7</w:t>
            </w:r>
          </w:p>
        </w:tc>
        <w:tc>
          <w:tcPr>
            <w:tcW w:w="5514" w:type="dxa"/>
            <w:tcBorders>
              <w:top w:val="nil"/>
              <w:left w:val="nil"/>
              <w:bottom w:val="single" w:sz="4" w:space="0" w:color="auto"/>
              <w:right w:val="single" w:sz="4" w:space="0" w:color="auto"/>
            </w:tcBorders>
            <w:shd w:val="clear" w:color="auto" w:fill="auto"/>
            <w:vAlign w:val="center"/>
            <w:hideMark/>
          </w:tcPr>
          <w:p w14:paraId="0001A8C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osobny moduł, który umożliwi użytkownikowi utworzenie zapytania/filtru na temat danych znajdujących się w bazie systemu.</w:t>
            </w:r>
            <w:r w:rsidRPr="00CF3752">
              <w:rPr>
                <w:rFonts w:eastAsia="Times New Roman" w:cstheme="minorHAnsi"/>
                <w:lang w:eastAsia="pl-PL"/>
              </w:rPr>
              <w:br/>
              <w:t>- filtrowanie po wszystkich wartościach i parametrach przechowywanych w systemie (np. połączenie danych demograficznych pacjenta z czasem, zleceniem leku, polem formularza, oddziałem itp.)</w:t>
            </w:r>
            <w:r w:rsidRPr="00CF3752">
              <w:rPr>
                <w:rFonts w:eastAsia="Times New Roman" w:cstheme="minorHAnsi"/>
                <w:lang w:eastAsia="pl-PL"/>
              </w:rPr>
              <w:br/>
              <w:t>- wynik przedstawiony w formie tabeli, którą można bezpośrednio zapisać w aplikacjach Word, Excel</w:t>
            </w:r>
            <w:r w:rsidRPr="00CF3752">
              <w:rPr>
                <w:rFonts w:eastAsia="Times New Roman" w:cstheme="minorHAnsi"/>
                <w:lang w:eastAsia="pl-PL"/>
              </w:rPr>
              <w:br/>
              <w:t>- raport stworzony przez użytkownika musi mieć możliwość zapisania jako szablon, aby użytkownik mógł z niego wielokrotnie korzystać w przyszłości</w:t>
            </w:r>
          </w:p>
        </w:tc>
        <w:tc>
          <w:tcPr>
            <w:tcW w:w="1133" w:type="dxa"/>
            <w:tcBorders>
              <w:top w:val="nil"/>
              <w:left w:val="nil"/>
              <w:bottom w:val="single" w:sz="4" w:space="0" w:color="auto"/>
              <w:right w:val="single" w:sz="4" w:space="0" w:color="auto"/>
            </w:tcBorders>
            <w:shd w:val="clear" w:color="auto" w:fill="auto"/>
            <w:vAlign w:val="center"/>
            <w:hideMark/>
          </w:tcPr>
          <w:p w14:paraId="5AB52ED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3D3BA3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81BEE5"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74D2447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419998A5"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Interoperacyjność</w:t>
            </w:r>
          </w:p>
        </w:tc>
      </w:tr>
      <w:tr w:rsidR="00CB3017" w:rsidRPr="00F8703A" w14:paraId="58678940" w14:textId="77777777" w:rsidTr="00FD23DE">
        <w:trPr>
          <w:trHeight w:val="396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8851F9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17.0</w:t>
            </w:r>
          </w:p>
        </w:tc>
        <w:tc>
          <w:tcPr>
            <w:tcW w:w="5514" w:type="dxa"/>
            <w:tcBorders>
              <w:top w:val="nil"/>
              <w:left w:val="nil"/>
              <w:bottom w:val="single" w:sz="4" w:space="0" w:color="auto"/>
              <w:right w:val="single" w:sz="4" w:space="0" w:color="auto"/>
            </w:tcBorders>
            <w:shd w:val="clear" w:color="auto" w:fill="auto"/>
            <w:vAlign w:val="center"/>
            <w:hideMark/>
          </w:tcPr>
          <w:p w14:paraId="06190FB7" w14:textId="2716FC46"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Zamawiający wymaga Interoperacyjności systemów teleinformatycznych, w ramach oferowanej ceny, zgodnie z</w:t>
            </w:r>
            <w:r w:rsidR="00C97E91">
              <w:rPr>
                <w:rFonts w:eastAsia="Times New Roman" w:cstheme="minorHAnsi"/>
                <w:lang w:eastAsia="pl-PL"/>
              </w:rPr>
              <w:t>*</w:t>
            </w:r>
            <w:r w:rsidRPr="00CF3752">
              <w:rPr>
                <w:rFonts w:eastAsia="Times New Roman" w:cstheme="minorHAnsi"/>
                <w:lang w:eastAsia="pl-PL"/>
              </w:rPr>
              <w:t>:</w:t>
            </w:r>
            <w:r w:rsidRPr="00CF3752">
              <w:rPr>
                <w:rFonts w:eastAsia="Times New Roman" w:cstheme="minorHAnsi"/>
                <w:lang w:eastAsia="pl-PL"/>
              </w:rPr>
              <w:br/>
              <w:t xml:space="preserve">a) ustawą z dnia 17 lutego 2005 roku o informatyzacji działalności podmiotów realizujących zadania publiczne (Dz.U.  z 2024 r. poz. 1557 z </w:t>
            </w:r>
            <w:proofErr w:type="spellStart"/>
            <w:r w:rsidRPr="00CF3752">
              <w:rPr>
                <w:rFonts w:eastAsia="Times New Roman" w:cstheme="minorHAnsi"/>
                <w:lang w:eastAsia="pl-PL"/>
              </w:rPr>
              <w:t>późn</w:t>
            </w:r>
            <w:proofErr w:type="spellEnd"/>
            <w:r w:rsidRPr="00CF3752">
              <w:rPr>
                <w:rFonts w:eastAsia="Times New Roman" w:cstheme="minorHAnsi"/>
                <w:lang w:eastAsia="pl-PL"/>
              </w:rPr>
              <w:t>. zm.); </w:t>
            </w:r>
            <w:r w:rsidRPr="00CF3752">
              <w:rPr>
                <w:rFonts w:eastAsia="Times New Roman" w:cstheme="minorHAnsi"/>
                <w:lang w:eastAsia="pl-PL"/>
              </w:rPr>
              <w:br/>
              <w:t>b) Rozporządzeniem Rady Ministrów z dnia 21 maja 2024 r. w sprawie Krajowych Ram Interoperacyjności, minimalnych wymagań dla rejestrów publicznych i wymiany informacji w postaci elektronicznej oraz minimalnych wymagań dla systemów teleinformatycznych (Dz.U. poz. 773); </w:t>
            </w:r>
            <w:r w:rsidRPr="00CF3752">
              <w:rPr>
                <w:rFonts w:eastAsia="Times New Roman" w:cstheme="minorHAnsi"/>
                <w:lang w:eastAsia="pl-PL"/>
              </w:rPr>
              <w:br/>
              <w:t>c) ustawą z dnia 28 kwietnia 2011 r. o systemie informacji w ochronie zdrowia (Dz.U. z 2023 r. poz. 2465 z późn.zm.); </w:t>
            </w:r>
            <w:r w:rsidRPr="00CF3752">
              <w:rPr>
                <w:rFonts w:eastAsia="Times New Roman" w:cstheme="minorHAnsi"/>
                <w:lang w:eastAsia="pl-PL"/>
              </w:rPr>
              <w:br/>
              <w:t xml:space="preserve">d) minimalnymi wymaganiami dla systemów określonych w treści art. 8a ustawy z dnia 28 kwietnia 2011 r. o systemie informacji w ochronie zdrowia (Dz.U. </w:t>
            </w:r>
            <w:proofErr w:type="spellStart"/>
            <w:r w:rsidRPr="00CF3752">
              <w:rPr>
                <w:rFonts w:eastAsia="Times New Roman" w:cstheme="minorHAnsi"/>
                <w:lang w:eastAsia="pl-PL"/>
              </w:rPr>
              <w:t>j.w</w:t>
            </w:r>
            <w:proofErr w:type="spellEnd"/>
            <w:r w:rsidRPr="00CF3752">
              <w:rPr>
                <w:rFonts w:eastAsia="Times New Roman" w:cstheme="minorHAnsi"/>
                <w:lang w:eastAsia="pl-PL"/>
              </w:rPr>
              <w:t>.); </w:t>
            </w:r>
            <w:r w:rsidR="00C97E91">
              <w:rPr>
                <w:rFonts w:eastAsia="Times New Roman" w:cstheme="minorHAnsi"/>
                <w:lang w:eastAsia="pl-PL"/>
              </w:rPr>
              <w:br/>
              <w:t>*jeżeli dotyczy</w:t>
            </w:r>
          </w:p>
        </w:tc>
        <w:tc>
          <w:tcPr>
            <w:tcW w:w="1133" w:type="dxa"/>
            <w:tcBorders>
              <w:top w:val="nil"/>
              <w:left w:val="nil"/>
              <w:bottom w:val="single" w:sz="4" w:space="0" w:color="auto"/>
              <w:right w:val="single" w:sz="4" w:space="0" w:color="auto"/>
            </w:tcBorders>
            <w:shd w:val="clear" w:color="auto" w:fill="auto"/>
            <w:vAlign w:val="center"/>
            <w:hideMark/>
          </w:tcPr>
          <w:p w14:paraId="0A7C93A2" w14:textId="5E78ADF9" w:rsidR="00CB3017" w:rsidRPr="00C97E91" w:rsidRDefault="00CB3017" w:rsidP="00880B0C">
            <w:pPr>
              <w:spacing w:after="0" w:line="240" w:lineRule="auto"/>
              <w:jc w:val="center"/>
              <w:rPr>
                <w:rFonts w:eastAsia="Times New Roman" w:cstheme="minorHAnsi"/>
                <w:lang w:eastAsia="pl-PL"/>
              </w:rPr>
            </w:pPr>
            <w:r w:rsidRPr="00CF3752">
              <w:rPr>
                <w:rFonts w:eastAsia="Times New Roman" w:cstheme="minorHAnsi"/>
                <w:b/>
                <w:bCs/>
                <w:lang w:eastAsia="pl-PL"/>
              </w:rPr>
              <w:t> </w:t>
            </w:r>
            <w:r w:rsidR="00C97E91" w:rsidRPr="00C97E91">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8387182"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 </w:t>
            </w:r>
          </w:p>
        </w:tc>
      </w:tr>
      <w:tr w:rsidR="00CB3017" w:rsidRPr="00F8703A" w14:paraId="028EEAD1" w14:textId="77777777" w:rsidTr="00FD23DE">
        <w:trPr>
          <w:trHeight w:val="211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709543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w:t>
            </w:r>
          </w:p>
        </w:tc>
        <w:tc>
          <w:tcPr>
            <w:tcW w:w="5514" w:type="dxa"/>
            <w:tcBorders>
              <w:top w:val="nil"/>
              <w:left w:val="nil"/>
              <w:bottom w:val="single" w:sz="4" w:space="0" w:color="auto"/>
              <w:right w:val="single" w:sz="4" w:space="0" w:color="auto"/>
            </w:tcBorders>
            <w:shd w:val="clear" w:color="auto" w:fill="auto"/>
            <w:vAlign w:val="center"/>
            <w:hideMark/>
          </w:tcPr>
          <w:p w14:paraId="5BF06E0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łączność z urządzeniami medycznymi (w tym: aparatami do znieczulenia, analizatorami gazów anestezjologicznych, pompami IABP, analizatorami parametrów krytycznych krwi, płuco-sercami, aparatami do dializy, monitorami płynów, nawilżaczami, kardiomonitorami, pompami infuzyjnymi i respiratorami).</w:t>
            </w:r>
            <w:r w:rsidRPr="00CF3752">
              <w:rPr>
                <w:rFonts w:eastAsia="Times New Roman" w:cstheme="minorHAnsi"/>
                <w:lang w:eastAsia="pl-PL"/>
              </w:rPr>
              <w:br/>
              <w:t>Ponadto umożliwia komunikację z różnymi systemami szpitalnymi z wykorzystaniem ogólnie przyjętych w tego typu rozwiązaniach  standardów i protokołów</w:t>
            </w:r>
          </w:p>
        </w:tc>
        <w:tc>
          <w:tcPr>
            <w:tcW w:w="1133" w:type="dxa"/>
            <w:tcBorders>
              <w:top w:val="nil"/>
              <w:left w:val="nil"/>
              <w:bottom w:val="single" w:sz="4" w:space="0" w:color="auto"/>
              <w:right w:val="single" w:sz="4" w:space="0" w:color="auto"/>
            </w:tcBorders>
            <w:shd w:val="clear" w:color="auto" w:fill="auto"/>
            <w:vAlign w:val="center"/>
            <w:hideMark/>
          </w:tcPr>
          <w:p w14:paraId="31BA47F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5268339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6907974"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FD2FCB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17.2</w:t>
            </w:r>
          </w:p>
        </w:tc>
        <w:tc>
          <w:tcPr>
            <w:tcW w:w="5514" w:type="dxa"/>
            <w:tcBorders>
              <w:top w:val="nil"/>
              <w:left w:val="nil"/>
              <w:bottom w:val="single" w:sz="4" w:space="0" w:color="auto"/>
              <w:right w:val="single" w:sz="4" w:space="0" w:color="auto"/>
            </w:tcBorders>
            <w:shd w:val="clear" w:color="auto" w:fill="auto"/>
            <w:vAlign w:val="center"/>
            <w:hideMark/>
          </w:tcPr>
          <w:p w14:paraId="1C34BE9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obsługuje automatyczne i natychmiastowe gromadzenie danych po podłączeniu sprzętu medycznego do pacjenta, a przechowywanie danych odbywa się automatycznie w odstępach jednominutowych. Dane są wyświetlane zgodnie z rozdzielczością skonfigurowaną przez </w:t>
            </w:r>
            <w:r w:rsidRPr="00F8703A">
              <w:rPr>
                <w:rFonts w:eastAsia="Times New Roman" w:cstheme="minorHAnsi"/>
                <w:lang w:eastAsia="pl-PL"/>
              </w:rPr>
              <w:t>użytkownika</w:t>
            </w:r>
            <w:r w:rsidRPr="00CF3752">
              <w:rPr>
                <w:rFonts w:eastAsia="Times New Roman" w:cstheme="minorHAnsi"/>
                <w:lang w:eastAsia="pl-PL"/>
              </w:rPr>
              <w:t>.</w:t>
            </w:r>
          </w:p>
        </w:tc>
        <w:tc>
          <w:tcPr>
            <w:tcW w:w="1133" w:type="dxa"/>
            <w:tcBorders>
              <w:top w:val="nil"/>
              <w:left w:val="nil"/>
              <w:bottom w:val="single" w:sz="4" w:space="0" w:color="auto"/>
              <w:right w:val="single" w:sz="4" w:space="0" w:color="auto"/>
            </w:tcBorders>
            <w:shd w:val="clear" w:color="auto" w:fill="auto"/>
            <w:vAlign w:val="center"/>
            <w:hideMark/>
          </w:tcPr>
          <w:p w14:paraId="2E80586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CCB83E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4DEA186"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F9041F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17.3</w:t>
            </w:r>
          </w:p>
        </w:tc>
        <w:tc>
          <w:tcPr>
            <w:tcW w:w="5514" w:type="dxa"/>
            <w:tcBorders>
              <w:top w:val="nil"/>
              <w:left w:val="nil"/>
              <w:bottom w:val="single" w:sz="4" w:space="0" w:color="auto"/>
              <w:right w:val="single" w:sz="4" w:space="0" w:color="auto"/>
            </w:tcBorders>
            <w:shd w:val="clear" w:color="auto" w:fill="auto"/>
            <w:vAlign w:val="center"/>
            <w:hideMark/>
          </w:tcPr>
          <w:p w14:paraId="7C4061A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Dane z urządzeń medycznych są przesyłane do bazy danych systemu na bieżąco, niezależnie od tego czy aplikacja na stacji roboczej (np. przy stanowisku pacjenta) jest uruchomiona. Jeśli zarejestrowano sygnały dla danego stanowiska, przy rejestracji pacjenta system zapyta, czy przypisać te wcześniej zarejestrowane sygnały do tego pacjenta oraz od której godziny.</w:t>
            </w:r>
          </w:p>
        </w:tc>
        <w:tc>
          <w:tcPr>
            <w:tcW w:w="1133" w:type="dxa"/>
            <w:tcBorders>
              <w:top w:val="nil"/>
              <w:left w:val="nil"/>
              <w:bottom w:val="single" w:sz="4" w:space="0" w:color="auto"/>
              <w:right w:val="single" w:sz="4" w:space="0" w:color="auto"/>
            </w:tcBorders>
            <w:shd w:val="clear" w:color="auto" w:fill="auto"/>
            <w:vAlign w:val="center"/>
            <w:hideMark/>
          </w:tcPr>
          <w:p w14:paraId="4CEEF5D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65B3A7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4BA3342"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BE777A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17.4</w:t>
            </w:r>
          </w:p>
        </w:tc>
        <w:tc>
          <w:tcPr>
            <w:tcW w:w="5514" w:type="dxa"/>
            <w:tcBorders>
              <w:top w:val="nil"/>
              <w:left w:val="nil"/>
              <w:bottom w:val="single" w:sz="4" w:space="0" w:color="auto"/>
              <w:right w:val="single" w:sz="4" w:space="0" w:color="auto"/>
            </w:tcBorders>
            <w:shd w:val="clear" w:color="auto" w:fill="auto"/>
            <w:vAlign w:val="center"/>
            <w:hideMark/>
          </w:tcPr>
          <w:p w14:paraId="19E64A1D" w14:textId="7688C6C9"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posiada udokumentowaną </w:t>
            </w:r>
            <w:r w:rsidRPr="00F8703A">
              <w:rPr>
                <w:rFonts w:eastAsia="Times New Roman" w:cstheme="minorHAnsi"/>
                <w:lang w:eastAsia="pl-PL"/>
              </w:rPr>
              <w:t>komunikacj</w:t>
            </w:r>
            <w:r>
              <w:rPr>
                <w:rFonts w:eastAsia="Times New Roman" w:cstheme="minorHAnsi"/>
                <w:lang w:eastAsia="pl-PL"/>
              </w:rPr>
              <w:t>ę</w:t>
            </w:r>
            <w:r w:rsidRPr="00CF3752">
              <w:rPr>
                <w:rFonts w:eastAsia="Times New Roman" w:cstheme="minorHAnsi"/>
                <w:lang w:eastAsia="pl-PL"/>
              </w:rPr>
              <w:t xml:space="preserve"> (wytworzone sterowniki) z różnymi urządzeniami medycznymi, w tym </w:t>
            </w:r>
            <w:r w:rsidR="00A153CD">
              <w:rPr>
                <w:rFonts w:eastAsia="Times New Roman" w:cstheme="minorHAnsi"/>
                <w:lang w:eastAsia="pl-PL"/>
              </w:rPr>
              <w:t xml:space="preserve">z </w:t>
            </w:r>
            <w:r w:rsidRPr="00CF3752">
              <w:rPr>
                <w:rFonts w:eastAsia="Times New Roman" w:cstheme="minorHAnsi"/>
                <w:lang w:eastAsia="pl-PL"/>
              </w:rPr>
              <w:t>przynajmniej 30 różnymi modelami kardiomonitorów, 30 różnymi modelami respiratorów, 30 różnymi modelami aparatów do znieczulenia, 50 różnymi modelami pompami infuzyjn</w:t>
            </w:r>
            <w:r>
              <w:rPr>
                <w:rFonts w:eastAsia="Times New Roman" w:cstheme="minorHAnsi"/>
                <w:lang w:eastAsia="pl-PL"/>
              </w:rPr>
              <w:t>ymi</w:t>
            </w:r>
            <w:r w:rsidRPr="00CF3752">
              <w:rPr>
                <w:rFonts w:eastAsia="Times New Roman" w:cstheme="minorHAnsi"/>
                <w:lang w:eastAsia="pl-PL"/>
              </w:rPr>
              <w:t>/</w:t>
            </w:r>
            <w:proofErr w:type="spellStart"/>
            <w:r w:rsidRPr="00CF3752">
              <w:rPr>
                <w:rFonts w:eastAsia="Times New Roman" w:cstheme="minorHAnsi"/>
                <w:lang w:eastAsia="pl-PL"/>
              </w:rPr>
              <w:t>strzykawkowy</w:t>
            </w:r>
            <w:r>
              <w:rPr>
                <w:rFonts w:eastAsia="Times New Roman" w:cstheme="minorHAnsi"/>
                <w:lang w:eastAsia="pl-PL"/>
              </w:rPr>
              <w:t>mi</w:t>
            </w:r>
            <w:proofErr w:type="spellEnd"/>
            <w:r w:rsidRPr="00CF3752">
              <w:rPr>
                <w:rFonts w:eastAsia="Times New Roman" w:cstheme="minorHAnsi"/>
                <w:lang w:eastAsia="pl-PL"/>
              </w:rPr>
              <w:t xml:space="preserve"> lub stacjami dokującymi do tych pomp.</w:t>
            </w:r>
          </w:p>
        </w:tc>
        <w:tc>
          <w:tcPr>
            <w:tcW w:w="1133" w:type="dxa"/>
            <w:tcBorders>
              <w:top w:val="nil"/>
              <w:left w:val="nil"/>
              <w:bottom w:val="single" w:sz="4" w:space="0" w:color="auto"/>
              <w:right w:val="single" w:sz="4" w:space="0" w:color="auto"/>
            </w:tcBorders>
            <w:shd w:val="clear" w:color="auto" w:fill="auto"/>
            <w:vAlign w:val="center"/>
            <w:hideMark/>
          </w:tcPr>
          <w:p w14:paraId="32B60B7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0CE267F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EE2F74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64D595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17.5</w:t>
            </w:r>
          </w:p>
        </w:tc>
        <w:tc>
          <w:tcPr>
            <w:tcW w:w="5514" w:type="dxa"/>
            <w:tcBorders>
              <w:top w:val="nil"/>
              <w:left w:val="nil"/>
              <w:bottom w:val="single" w:sz="4" w:space="0" w:color="auto"/>
              <w:right w:val="single" w:sz="4" w:space="0" w:color="auto"/>
            </w:tcBorders>
            <w:shd w:val="clear" w:color="auto" w:fill="auto"/>
            <w:vAlign w:val="center"/>
            <w:hideMark/>
          </w:tcPr>
          <w:p w14:paraId="7069742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manualne kojarzenie urządzeń medycznych z pacjentem zgodnie ze wstępnie skonfigurowaną listą urządzeń medycznych.</w:t>
            </w:r>
          </w:p>
        </w:tc>
        <w:tc>
          <w:tcPr>
            <w:tcW w:w="1133" w:type="dxa"/>
            <w:tcBorders>
              <w:top w:val="nil"/>
              <w:left w:val="nil"/>
              <w:bottom w:val="single" w:sz="4" w:space="0" w:color="auto"/>
              <w:right w:val="single" w:sz="4" w:space="0" w:color="auto"/>
            </w:tcBorders>
            <w:shd w:val="clear" w:color="auto" w:fill="auto"/>
            <w:vAlign w:val="center"/>
            <w:hideMark/>
          </w:tcPr>
          <w:p w14:paraId="189A380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F63B35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70A2FC1"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4362CE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17.6</w:t>
            </w:r>
          </w:p>
        </w:tc>
        <w:tc>
          <w:tcPr>
            <w:tcW w:w="5514" w:type="dxa"/>
            <w:tcBorders>
              <w:top w:val="nil"/>
              <w:left w:val="nil"/>
              <w:bottom w:val="single" w:sz="4" w:space="0" w:color="auto"/>
              <w:right w:val="single" w:sz="4" w:space="0" w:color="auto"/>
            </w:tcBorders>
            <w:shd w:val="clear" w:color="auto" w:fill="auto"/>
            <w:vAlign w:val="center"/>
            <w:hideMark/>
          </w:tcPr>
          <w:p w14:paraId="6D654AE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automatyczne kojarzenie i przesyłanie danych z urządzeń medycznych do dokumentacji pacjentów, którzy są przenoszeni pomiędzy łóżkami.</w:t>
            </w:r>
          </w:p>
        </w:tc>
        <w:tc>
          <w:tcPr>
            <w:tcW w:w="1133" w:type="dxa"/>
            <w:tcBorders>
              <w:top w:val="nil"/>
              <w:left w:val="nil"/>
              <w:bottom w:val="single" w:sz="4" w:space="0" w:color="auto"/>
              <w:right w:val="single" w:sz="4" w:space="0" w:color="auto"/>
            </w:tcBorders>
            <w:shd w:val="clear" w:color="auto" w:fill="auto"/>
            <w:vAlign w:val="center"/>
            <w:hideMark/>
          </w:tcPr>
          <w:p w14:paraId="61F811A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4C93BD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E48A9A4"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CD6C7D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17.7</w:t>
            </w:r>
          </w:p>
        </w:tc>
        <w:tc>
          <w:tcPr>
            <w:tcW w:w="5514" w:type="dxa"/>
            <w:tcBorders>
              <w:top w:val="nil"/>
              <w:left w:val="nil"/>
              <w:bottom w:val="single" w:sz="4" w:space="0" w:color="auto"/>
              <w:right w:val="single" w:sz="4" w:space="0" w:color="auto"/>
            </w:tcBorders>
            <w:shd w:val="clear" w:color="auto" w:fill="auto"/>
            <w:vAlign w:val="center"/>
            <w:hideMark/>
          </w:tcPr>
          <w:p w14:paraId="76BE77C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użytkownikowi wskazanie, czy podłączone urządzenia są aktywne, czy nieaktywne, aby móc dokumentować okresy rzeczywistego użytkowania. System wyświetla ustawiony stan urządzenia medycznego.</w:t>
            </w:r>
          </w:p>
        </w:tc>
        <w:tc>
          <w:tcPr>
            <w:tcW w:w="1133" w:type="dxa"/>
            <w:tcBorders>
              <w:top w:val="nil"/>
              <w:left w:val="nil"/>
              <w:bottom w:val="single" w:sz="4" w:space="0" w:color="auto"/>
              <w:right w:val="single" w:sz="4" w:space="0" w:color="auto"/>
            </w:tcBorders>
            <w:shd w:val="clear" w:color="auto" w:fill="auto"/>
            <w:vAlign w:val="center"/>
            <w:hideMark/>
          </w:tcPr>
          <w:p w14:paraId="0406B96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102AA3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A5C79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4A0D21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17.8</w:t>
            </w:r>
          </w:p>
        </w:tc>
        <w:tc>
          <w:tcPr>
            <w:tcW w:w="5514" w:type="dxa"/>
            <w:tcBorders>
              <w:top w:val="nil"/>
              <w:left w:val="nil"/>
              <w:bottom w:val="single" w:sz="4" w:space="0" w:color="auto"/>
              <w:right w:val="single" w:sz="4" w:space="0" w:color="auto"/>
            </w:tcBorders>
            <w:shd w:val="clear" w:color="auto" w:fill="auto"/>
            <w:vAlign w:val="center"/>
            <w:hideMark/>
          </w:tcPr>
          <w:p w14:paraId="18A9A51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komunikację z urządzeniami z wyjściem szeregowym (RS-232) lub sieciowym (RJ45)</w:t>
            </w:r>
          </w:p>
        </w:tc>
        <w:tc>
          <w:tcPr>
            <w:tcW w:w="1133" w:type="dxa"/>
            <w:tcBorders>
              <w:top w:val="nil"/>
              <w:left w:val="nil"/>
              <w:bottom w:val="single" w:sz="4" w:space="0" w:color="auto"/>
              <w:right w:val="single" w:sz="4" w:space="0" w:color="auto"/>
            </w:tcBorders>
            <w:shd w:val="clear" w:color="auto" w:fill="auto"/>
            <w:vAlign w:val="center"/>
            <w:hideMark/>
          </w:tcPr>
          <w:p w14:paraId="3F2E1A5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6B4AEE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BFE6918"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EE64A7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17.9</w:t>
            </w:r>
          </w:p>
        </w:tc>
        <w:tc>
          <w:tcPr>
            <w:tcW w:w="5514" w:type="dxa"/>
            <w:tcBorders>
              <w:top w:val="nil"/>
              <w:left w:val="nil"/>
              <w:bottom w:val="single" w:sz="4" w:space="0" w:color="auto"/>
              <w:right w:val="single" w:sz="4" w:space="0" w:color="auto"/>
            </w:tcBorders>
            <w:shd w:val="clear" w:color="auto" w:fill="auto"/>
            <w:vAlign w:val="center"/>
            <w:hideMark/>
          </w:tcPr>
          <w:p w14:paraId="23C2841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rejestrowanie pacjentów poprzez wczytanie danych pacjenta z systemu HIS, ręczne wprowadzenie danych i poprzez zeskanowanie kodu kreskowego, w zależności od preferencji.</w:t>
            </w:r>
          </w:p>
        </w:tc>
        <w:tc>
          <w:tcPr>
            <w:tcW w:w="1133" w:type="dxa"/>
            <w:tcBorders>
              <w:top w:val="nil"/>
              <w:left w:val="nil"/>
              <w:bottom w:val="single" w:sz="4" w:space="0" w:color="auto"/>
              <w:right w:val="single" w:sz="4" w:space="0" w:color="auto"/>
            </w:tcBorders>
            <w:shd w:val="clear" w:color="auto" w:fill="auto"/>
            <w:vAlign w:val="center"/>
            <w:hideMark/>
          </w:tcPr>
          <w:p w14:paraId="7851C17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378CA8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7470D05"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A12A5A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17.10</w:t>
            </w:r>
          </w:p>
        </w:tc>
        <w:tc>
          <w:tcPr>
            <w:tcW w:w="5514" w:type="dxa"/>
            <w:tcBorders>
              <w:top w:val="nil"/>
              <w:left w:val="nil"/>
              <w:bottom w:val="single" w:sz="4" w:space="0" w:color="auto"/>
              <w:right w:val="single" w:sz="4" w:space="0" w:color="auto"/>
            </w:tcBorders>
            <w:shd w:val="clear" w:color="auto" w:fill="auto"/>
            <w:vAlign w:val="center"/>
            <w:hideMark/>
          </w:tcPr>
          <w:p w14:paraId="6869826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dokumentowania przenoszenia pacjentów między oddziałami oraz ustawianie statusu pacjenta w oddziale przyjmującym.</w:t>
            </w:r>
          </w:p>
        </w:tc>
        <w:tc>
          <w:tcPr>
            <w:tcW w:w="1133" w:type="dxa"/>
            <w:tcBorders>
              <w:top w:val="nil"/>
              <w:left w:val="nil"/>
              <w:bottom w:val="single" w:sz="4" w:space="0" w:color="auto"/>
              <w:right w:val="single" w:sz="4" w:space="0" w:color="auto"/>
            </w:tcBorders>
            <w:shd w:val="clear" w:color="auto" w:fill="auto"/>
            <w:vAlign w:val="center"/>
            <w:hideMark/>
          </w:tcPr>
          <w:p w14:paraId="32BBC27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820396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65E2C8B"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BCB422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17.11</w:t>
            </w:r>
          </w:p>
        </w:tc>
        <w:tc>
          <w:tcPr>
            <w:tcW w:w="5514" w:type="dxa"/>
            <w:tcBorders>
              <w:top w:val="nil"/>
              <w:left w:val="nil"/>
              <w:bottom w:val="single" w:sz="4" w:space="0" w:color="auto"/>
              <w:right w:val="single" w:sz="4" w:space="0" w:color="auto"/>
            </w:tcBorders>
            <w:shd w:val="clear" w:color="auto" w:fill="auto"/>
            <w:vAlign w:val="center"/>
            <w:hideMark/>
          </w:tcPr>
          <w:p w14:paraId="7FB6652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umożliwia automatyczne zamknięcie kartoteki pacjenta (wypis) po otrzymaniu komunikatu A03 (w </w:t>
            </w:r>
            <w:r w:rsidRPr="00F8703A">
              <w:rPr>
                <w:rFonts w:eastAsia="Times New Roman" w:cstheme="minorHAnsi"/>
                <w:lang w:eastAsia="pl-PL"/>
              </w:rPr>
              <w:t>zależności</w:t>
            </w:r>
            <w:r w:rsidRPr="00CF3752">
              <w:rPr>
                <w:rFonts w:eastAsia="Times New Roman" w:cstheme="minorHAnsi"/>
                <w:lang w:eastAsia="pl-PL"/>
              </w:rPr>
              <w:t xml:space="preserve"> od bieżącego statusu </w:t>
            </w:r>
            <w:r w:rsidRPr="00F8703A">
              <w:rPr>
                <w:rFonts w:eastAsia="Times New Roman" w:cstheme="minorHAnsi"/>
                <w:lang w:eastAsia="pl-PL"/>
              </w:rPr>
              <w:t>pacjenta</w:t>
            </w:r>
            <w:r w:rsidRPr="00CF3752">
              <w:rPr>
                <w:rFonts w:eastAsia="Times New Roman" w:cstheme="minorHAnsi"/>
                <w:lang w:eastAsia="pl-PL"/>
              </w:rPr>
              <w:t xml:space="preserve">) </w:t>
            </w:r>
          </w:p>
        </w:tc>
        <w:tc>
          <w:tcPr>
            <w:tcW w:w="1133" w:type="dxa"/>
            <w:tcBorders>
              <w:top w:val="nil"/>
              <w:left w:val="nil"/>
              <w:bottom w:val="single" w:sz="4" w:space="0" w:color="auto"/>
              <w:right w:val="single" w:sz="4" w:space="0" w:color="auto"/>
            </w:tcBorders>
            <w:shd w:val="clear" w:color="auto" w:fill="auto"/>
            <w:vAlign w:val="center"/>
            <w:hideMark/>
          </w:tcPr>
          <w:p w14:paraId="13537AD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49C2C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A2EC87A"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5DFC50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17.12</w:t>
            </w:r>
          </w:p>
        </w:tc>
        <w:tc>
          <w:tcPr>
            <w:tcW w:w="5514" w:type="dxa"/>
            <w:tcBorders>
              <w:top w:val="nil"/>
              <w:left w:val="nil"/>
              <w:bottom w:val="single" w:sz="4" w:space="0" w:color="auto"/>
              <w:right w:val="single" w:sz="4" w:space="0" w:color="auto"/>
            </w:tcBorders>
            <w:shd w:val="clear" w:color="auto" w:fill="auto"/>
            <w:vAlign w:val="center"/>
            <w:hideMark/>
          </w:tcPr>
          <w:p w14:paraId="4495C8F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import danych laboratoryjnych i metadanych z systemów laboratoryjnych za pomocą interfejsu HL7 (ORU R01).</w:t>
            </w:r>
          </w:p>
        </w:tc>
        <w:tc>
          <w:tcPr>
            <w:tcW w:w="1133" w:type="dxa"/>
            <w:tcBorders>
              <w:top w:val="nil"/>
              <w:left w:val="nil"/>
              <w:bottom w:val="single" w:sz="4" w:space="0" w:color="auto"/>
              <w:right w:val="single" w:sz="4" w:space="0" w:color="auto"/>
            </w:tcBorders>
            <w:shd w:val="clear" w:color="auto" w:fill="auto"/>
            <w:vAlign w:val="center"/>
            <w:hideMark/>
          </w:tcPr>
          <w:p w14:paraId="414AE95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1E6B1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7AEDB40"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FCDB0A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17.13</w:t>
            </w:r>
          </w:p>
        </w:tc>
        <w:tc>
          <w:tcPr>
            <w:tcW w:w="5514" w:type="dxa"/>
            <w:tcBorders>
              <w:top w:val="nil"/>
              <w:left w:val="nil"/>
              <w:bottom w:val="single" w:sz="4" w:space="0" w:color="auto"/>
              <w:right w:val="single" w:sz="4" w:space="0" w:color="auto"/>
            </w:tcBorders>
            <w:shd w:val="clear" w:color="auto" w:fill="auto"/>
            <w:vAlign w:val="center"/>
            <w:hideMark/>
          </w:tcPr>
          <w:p w14:paraId="0100048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wyświetla otrzymane dane laboratoryjne, w tym identyfikator laboratorium, status, wartość, czas obserwacji, komentarze, wartości dolnego i górnego zakresu.</w:t>
            </w:r>
          </w:p>
        </w:tc>
        <w:tc>
          <w:tcPr>
            <w:tcW w:w="1133" w:type="dxa"/>
            <w:tcBorders>
              <w:top w:val="nil"/>
              <w:left w:val="nil"/>
              <w:bottom w:val="single" w:sz="4" w:space="0" w:color="auto"/>
              <w:right w:val="single" w:sz="4" w:space="0" w:color="auto"/>
            </w:tcBorders>
            <w:shd w:val="clear" w:color="auto" w:fill="auto"/>
            <w:vAlign w:val="center"/>
            <w:hideMark/>
          </w:tcPr>
          <w:p w14:paraId="78BAE93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592B17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2BE10A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A1E08D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17.14</w:t>
            </w:r>
          </w:p>
        </w:tc>
        <w:tc>
          <w:tcPr>
            <w:tcW w:w="5514" w:type="dxa"/>
            <w:tcBorders>
              <w:top w:val="nil"/>
              <w:left w:val="nil"/>
              <w:bottom w:val="single" w:sz="4" w:space="0" w:color="auto"/>
              <w:right w:val="single" w:sz="4" w:space="0" w:color="auto"/>
            </w:tcBorders>
            <w:shd w:val="clear" w:color="auto" w:fill="auto"/>
            <w:vAlign w:val="center"/>
            <w:hideMark/>
          </w:tcPr>
          <w:p w14:paraId="1D4694E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powiadamia użytkownika o nadejściu nowych wyników laboratoryjnych.</w:t>
            </w:r>
          </w:p>
        </w:tc>
        <w:tc>
          <w:tcPr>
            <w:tcW w:w="1133" w:type="dxa"/>
            <w:tcBorders>
              <w:top w:val="nil"/>
              <w:left w:val="nil"/>
              <w:bottom w:val="single" w:sz="4" w:space="0" w:color="auto"/>
              <w:right w:val="single" w:sz="4" w:space="0" w:color="auto"/>
            </w:tcBorders>
            <w:shd w:val="clear" w:color="auto" w:fill="auto"/>
            <w:vAlign w:val="center"/>
            <w:hideMark/>
          </w:tcPr>
          <w:p w14:paraId="37CAFF2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1AADBC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807A9C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091825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17.15</w:t>
            </w:r>
          </w:p>
        </w:tc>
        <w:tc>
          <w:tcPr>
            <w:tcW w:w="5514" w:type="dxa"/>
            <w:tcBorders>
              <w:top w:val="nil"/>
              <w:left w:val="nil"/>
              <w:bottom w:val="single" w:sz="4" w:space="0" w:color="auto"/>
              <w:right w:val="single" w:sz="4" w:space="0" w:color="auto"/>
            </w:tcBorders>
            <w:shd w:val="clear" w:color="auto" w:fill="auto"/>
            <w:vAlign w:val="center"/>
            <w:hideMark/>
          </w:tcPr>
          <w:p w14:paraId="0942A39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użytkownikowi akceptację (przeglądanie i potwierdzanie) nowo otrzymanych wyników badań laboratoryjnych.</w:t>
            </w:r>
          </w:p>
        </w:tc>
        <w:tc>
          <w:tcPr>
            <w:tcW w:w="1133" w:type="dxa"/>
            <w:tcBorders>
              <w:top w:val="nil"/>
              <w:left w:val="nil"/>
              <w:bottom w:val="single" w:sz="4" w:space="0" w:color="auto"/>
              <w:right w:val="single" w:sz="4" w:space="0" w:color="auto"/>
            </w:tcBorders>
            <w:shd w:val="clear" w:color="auto" w:fill="auto"/>
            <w:vAlign w:val="center"/>
            <w:hideMark/>
          </w:tcPr>
          <w:p w14:paraId="5C89C89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CE13DA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DA8433B"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9091D4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17.16</w:t>
            </w:r>
          </w:p>
        </w:tc>
        <w:tc>
          <w:tcPr>
            <w:tcW w:w="5514" w:type="dxa"/>
            <w:tcBorders>
              <w:top w:val="nil"/>
              <w:left w:val="nil"/>
              <w:bottom w:val="single" w:sz="4" w:space="0" w:color="auto"/>
              <w:right w:val="single" w:sz="4" w:space="0" w:color="auto"/>
            </w:tcBorders>
            <w:shd w:val="clear" w:color="auto" w:fill="auto"/>
            <w:vAlign w:val="center"/>
            <w:hideMark/>
          </w:tcPr>
          <w:p w14:paraId="2DB4C21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posiada interfejs eksportu PDF do eksportowania nieustrukturyzowanych danych jako raportów PDF z systemu, w formacie PDF lub PDF/A, do dowolnego kompatybilnego systemu innej firmy za pomocą komunikatu HL7, przy użyciu protokołu TCP/IP lub pliku umieszczonego w predefiniowanej lokalizacji.</w:t>
            </w:r>
          </w:p>
        </w:tc>
        <w:tc>
          <w:tcPr>
            <w:tcW w:w="1133" w:type="dxa"/>
            <w:tcBorders>
              <w:top w:val="nil"/>
              <w:left w:val="nil"/>
              <w:bottom w:val="single" w:sz="4" w:space="0" w:color="auto"/>
              <w:right w:val="single" w:sz="4" w:space="0" w:color="auto"/>
            </w:tcBorders>
            <w:shd w:val="clear" w:color="auto" w:fill="auto"/>
            <w:vAlign w:val="center"/>
            <w:hideMark/>
          </w:tcPr>
          <w:p w14:paraId="0A861CD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60DE21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10E910E"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B28205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17.17</w:t>
            </w:r>
          </w:p>
        </w:tc>
        <w:tc>
          <w:tcPr>
            <w:tcW w:w="5514" w:type="dxa"/>
            <w:tcBorders>
              <w:top w:val="nil"/>
              <w:left w:val="nil"/>
              <w:bottom w:val="single" w:sz="4" w:space="0" w:color="auto"/>
              <w:right w:val="single" w:sz="4" w:space="0" w:color="auto"/>
            </w:tcBorders>
            <w:shd w:val="clear" w:color="auto" w:fill="auto"/>
            <w:vAlign w:val="center"/>
            <w:hideMark/>
          </w:tcPr>
          <w:p w14:paraId="7D6CED9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uruchamia eksport raportu w formacie PDF ręcznie, okresowo wg harmonogramu (np. codziennie) i po ustawieniu określonego statusu pacjenta.</w:t>
            </w:r>
          </w:p>
        </w:tc>
        <w:tc>
          <w:tcPr>
            <w:tcW w:w="1133" w:type="dxa"/>
            <w:tcBorders>
              <w:top w:val="nil"/>
              <w:left w:val="nil"/>
              <w:bottom w:val="single" w:sz="4" w:space="0" w:color="auto"/>
              <w:right w:val="single" w:sz="4" w:space="0" w:color="auto"/>
            </w:tcBorders>
            <w:shd w:val="clear" w:color="auto" w:fill="auto"/>
            <w:vAlign w:val="center"/>
            <w:hideMark/>
          </w:tcPr>
          <w:p w14:paraId="56E380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0D1860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5176F4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6DFA50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17.18</w:t>
            </w:r>
          </w:p>
        </w:tc>
        <w:tc>
          <w:tcPr>
            <w:tcW w:w="5514" w:type="dxa"/>
            <w:tcBorders>
              <w:top w:val="nil"/>
              <w:left w:val="nil"/>
              <w:bottom w:val="single" w:sz="4" w:space="0" w:color="auto"/>
              <w:right w:val="single" w:sz="4" w:space="0" w:color="auto"/>
            </w:tcBorders>
            <w:shd w:val="clear" w:color="auto" w:fill="auto"/>
            <w:vAlign w:val="center"/>
            <w:hideMark/>
          </w:tcPr>
          <w:p w14:paraId="1CCA8FF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obsługuje przesyłanie plików PDF osadzonych  w wiadomości HL7 (w formacie Base 64) i w formie ścieżki do pliku PDF. </w:t>
            </w:r>
          </w:p>
        </w:tc>
        <w:tc>
          <w:tcPr>
            <w:tcW w:w="1133" w:type="dxa"/>
            <w:tcBorders>
              <w:top w:val="nil"/>
              <w:left w:val="nil"/>
              <w:bottom w:val="single" w:sz="4" w:space="0" w:color="auto"/>
              <w:right w:val="single" w:sz="4" w:space="0" w:color="auto"/>
            </w:tcBorders>
            <w:shd w:val="clear" w:color="auto" w:fill="auto"/>
            <w:vAlign w:val="center"/>
            <w:hideMark/>
          </w:tcPr>
          <w:p w14:paraId="2202378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A18D10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9573BA"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F14D50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17.19</w:t>
            </w:r>
          </w:p>
        </w:tc>
        <w:tc>
          <w:tcPr>
            <w:tcW w:w="5514" w:type="dxa"/>
            <w:tcBorders>
              <w:top w:val="nil"/>
              <w:left w:val="nil"/>
              <w:bottom w:val="single" w:sz="4" w:space="0" w:color="auto"/>
              <w:right w:val="single" w:sz="4" w:space="0" w:color="auto"/>
            </w:tcBorders>
            <w:shd w:val="clear" w:color="auto" w:fill="auto"/>
            <w:vAlign w:val="center"/>
            <w:hideMark/>
          </w:tcPr>
          <w:p w14:paraId="3D3E40E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eksportu danych pacjentów w formacie XLS, obejmujące szeroki zakres rodzajów danych, w tym dane demograficzne, dane pochodzące z urządzeń medycznych, dane wprowadzone manualnie przez użytkowników.</w:t>
            </w:r>
          </w:p>
        </w:tc>
        <w:tc>
          <w:tcPr>
            <w:tcW w:w="1133" w:type="dxa"/>
            <w:tcBorders>
              <w:top w:val="nil"/>
              <w:left w:val="nil"/>
              <w:bottom w:val="single" w:sz="4" w:space="0" w:color="auto"/>
              <w:right w:val="single" w:sz="4" w:space="0" w:color="auto"/>
            </w:tcBorders>
            <w:shd w:val="clear" w:color="auto" w:fill="auto"/>
            <w:vAlign w:val="center"/>
            <w:hideMark/>
          </w:tcPr>
          <w:p w14:paraId="184C5D9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4B05AB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D4683D4"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C857E7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17.20</w:t>
            </w:r>
          </w:p>
        </w:tc>
        <w:tc>
          <w:tcPr>
            <w:tcW w:w="5514" w:type="dxa"/>
            <w:tcBorders>
              <w:top w:val="nil"/>
              <w:left w:val="nil"/>
              <w:bottom w:val="single" w:sz="4" w:space="0" w:color="auto"/>
              <w:right w:val="single" w:sz="4" w:space="0" w:color="auto"/>
            </w:tcBorders>
            <w:shd w:val="clear" w:color="auto" w:fill="auto"/>
            <w:vAlign w:val="center"/>
            <w:hideMark/>
          </w:tcPr>
          <w:p w14:paraId="3851512E" w14:textId="520313EF"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wspiera następujące protokoły i technologie:</w:t>
            </w:r>
            <w:r w:rsidRPr="00CF3752">
              <w:rPr>
                <w:rFonts w:eastAsia="Times New Roman" w:cstheme="minorHAnsi"/>
                <w:lang w:eastAsia="pl-PL"/>
              </w:rPr>
              <w:br/>
              <w:t>- HL7</w:t>
            </w:r>
            <w:r w:rsidRPr="00CF3752">
              <w:rPr>
                <w:rFonts w:eastAsia="Times New Roman" w:cstheme="minorHAnsi"/>
                <w:lang w:eastAsia="pl-PL"/>
              </w:rPr>
              <w:br/>
              <w:t>- FHIR</w:t>
            </w:r>
            <w:r w:rsidRPr="00CF3752">
              <w:rPr>
                <w:rFonts w:eastAsia="Times New Roman" w:cstheme="minorHAnsi"/>
                <w:lang w:eastAsia="pl-PL"/>
              </w:rPr>
              <w:br/>
              <w:t>- XML</w:t>
            </w:r>
            <w:r w:rsidRPr="00CF3752">
              <w:rPr>
                <w:rFonts w:eastAsia="Times New Roman" w:cstheme="minorHAnsi"/>
                <w:lang w:eastAsia="pl-PL"/>
              </w:rPr>
              <w:br/>
              <w:t>- PDF</w:t>
            </w:r>
            <w:r w:rsidRPr="00CF3752">
              <w:rPr>
                <w:rFonts w:eastAsia="Times New Roman" w:cstheme="minorHAnsi"/>
                <w:lang w:eastAsia="pl-PL"/>
              </w:rPr>
              <w:br/>
              <w:t xml:space="preserve">- MS Active </w:t>
            </w:r>
            <w:r w:rsidR="00EC05F6">
              <w:rPr>
                <w:rFonts w:eastAsia="Times New Roman" w:cstheme="minorHAnsi"/>
                <w:lang w:eastAsia="pl-PL"/>
              </w:rPr>
              <w:t>D</w:t>
            </w:r>
            <w:r w:rsidRPr="00CF3752">
              <w:rPr>
                <w:rFonts w:eastAsia="Times New Roman" w:cstheme="minorHAnsi"/>
                <w:lang w:eastAsia="pl-PL"/>
              </w:rPr>
              <w:t>irectory</w:t>
            </w:r>
          </w:p>
        </w:tc>
        <w:tc>
          <w:tcPr>
            <w:tcW w:w="1133" w:type="dxa"/>
            <w:tcBorders>
              <w:top w:val="nil"/>
              <w:left w:val="nil"/>
              <w:bottom w:val="single" w:sz="4" w:space="0" w:color="auto"/>
              <w:right w:val="single" w:sz="4" w:space="0" w:color="auto"/>
            </w:tcBorders>
            <w:shd w:val="clear" w:color="auto" w:fill="auto"/>
            <w:vAlign w:val="center"/>
            <w:hideMark/>
          </w:tcPr>
          <w:p w14:paraId="22A4232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0DE5A06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F825B53"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53C26A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17.21</w:t>
            </w:r>
          </w:p>
        </w:tc>
        <w:tc>
          <w:tcPr>
            <w:tcW w:w="5514" w:type="dxa"/>
            <w:tcBorders>
              <w:top w:val="nil"/>
              <w:left w:val="nil"/>
              <w:bottom w:val="single" w:sz="4" w:space="0" w:color="auto"/>
              <w:right w:val="single" w:sz="4" w:space="0" w:color="auto"/>
            </w:tcBorders>
            <w:shd w:val="clear" w:color="auto" w:fill="auto"/>
            <w:vAlign w:val="center"/>
            <w:hideMark/>
          </w:tcPr>
          <w:p w14:paraId="7FA35E7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być zgodny ze słownikami ICD-9 i ICD-10 oraz musi wykorzystywać nazewnictwo zgodne z katalogiem SNOMED CT i w razie potrzeby pozwalać na dostosowanie terminologii do specyficznych potrzeb klienta.</w:t>
            </w:r>
          </w:p>
        </w:tc>
        <w:tc>
          <w:tcPr>
            <w:tcW w:w="1133" w:type="dxa"/>
            <w:tcBorders>
              <w:top w:val="nil"/>
              <w:left w:val="nil"/>
              <w:bottom w:val="single" w:sz="4" w:space="0" w:color="auto"/>
              <w:right w:val="single" w:sz="4" w:space="0" w:color="auto"/>
            </w:tcBorders>
            <w:shd w:val="clear" w:color="auto" w:fill="auto"/>
            <w:vAlign w:val="center"/>
            <w:hideMark/>
          </w:tcPr>
          <w:p w14:paraId="396C8D0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46AC7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B060490"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6F66A8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17.22</w:t>
            </w:r>
          </w:p>
        </w:tc>
        <w:tc>
          <w:tcPr>
            <w:tcW w:w="5514" w:type="dxa"/>
            <w:tcBorders>
              <w:top w:val="nil"/>
              <w:left w:val="nil"/>
              <w:bottom w:val="single" w:sz="4" w:space="0" w:color="auto"/>
              <w:right w:val="single" w:sz="4" w:space="0" w:color="auto"/>
            </w:tcBorders>
            <w:shd w:val="clear" w:color="auto" w:fill="auto"/>
            <w:vAlign w:val="center"/>
            <w:hideMark/>
          </w:tcPr>
          <w:p w14:paraId="56617BA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obsługuje systemy rozliczeniowe, identyfikując prawidłowy kod rozliczeniowy, który ma być użyty dla każdego zabiegu i materiału oraz przygotowuje dane związane z rozliczeniami do przesłania lub pobrania przez system rozliczeniowy.</w:t>
            </w:r>
          </w:p>
        </w:tc>
        <w:tc>
          <w:tcPr>
            <w:tcW w:w="1133" w:type="dxa"/>
            <w:tcBorders>
              <w:top w:val="nil"/>
              <w:left w:val="nil"/>
              <w:bottom w:val="single" w:sz="4" w:space="0" w:color="auto"/>
              <w:right w:val="single" w:sz="4" w:space="0" w:color="auto"/>
            </w:tcBorders>
            <w:shd w:val="clear" w:color="auto" w:fill="auto"/>
            <w:vAlign w:val="center"/>
            <w:hideMark/>
          </w:tcPr>
          <w:p w14:paraId="74D2BCB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39EB80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21741F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0E9C80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17.23</w:t>
            </w:r>
          </w:p>
        </w:tc>
        <w:tc>
          <w:tcPr>
            <w:tcW w:w="5514" w:type="dxa"/>
            <w:tcBorders>
              <w:top w:val="nil"/>
              <w:left w:val="nil"/>
              <w:bottom w:val="single" w:sz="4" w:space="0" w:color="auto"/>
              <w:right w:val="single" w:sz="4" w:space="0" w:color="auto"/>
            </w:tcBorders>
            <w:shd w:val="clear" w:color="auto" w:fill="auto"/>
            <w:vAlign w:val="center"/>
            <w:hideMark/>
          </w:tcPr>
          <w:p w14:paraId="23AA90F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może wygenerować listę wprowadzonych zabiegów pacjenta, z odpowiednim kodem rozliczeniowym zabiegu i użytego materiału.</w:t>
            </w:r>
          </w:p>
        </w:tc>
        <w:tc>
          <w:tcPr>
            <w:tcW w:w="1133" w:type="dxa"/>
            <w:tcBorders>
              <w:top w:val="nil"/>
              <w:left w:val="nil"/>
              <w:bottom w:val="single" w:sz="4" w:space="0" w:color="auto"/>
              <w:right w:val="single" w:sz="4" w:space="0" w:color="auto"/>
            </w:tcBorders>
            <w:shd w:val="clear" w:color="auto" w:fill="auto"/>
            <w:vAlign w:val="center"/>
            <w:hideMark/>
          </w:tcPr>
          <w:p w14:paraId="61888CA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E88D31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609F65A"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149AEE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17.24</w:t>
            </w:r>
          </w:p>
        </w:tc>
        <w:tc>
          <w:tcPr>
            <w:tcW w:w="5514" w:type="dxa"/>
            <w:tcBorders>
              <w:top w:val="nil"/>
              <w:left w:val="nil"/>
              <w:bottom w:val="single" w:sz="4" w:space="0" w:color="auto"/>
              <w:right w:val="single" w:sz="4" w:space="0" w:color="auto"/>
            </w:tcBorders>
            <w:shd w:val="clear" w:color="auto" w:fill="auto"/>
            <w:vAlign w:val="center"/>
            <w:hideMark/>
          </w:tcPr>
          <w:p w14:paraId="02C8244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Dodawanie i usuwanie pozycji rozliczeniowych możliwe nawet po wypisaniu pacjenta. </w:t>
            </w:r>
          </w:p>
        </w:tc>
        <w:tc>
          <w:tcPr>
            <w:tcW w:w="1133" w:type="dxa"/>
            <w:tcBorders>
              <w:top w:val="nil"/>
              <w:left w:val="nil"/>
              <w:bottom w:val="single" w:sz="4" w:space="0" w:color="auto"/>
              <w:right w:val="single" w:sz="4" w:space="0" w:color="auto"/>
            </w:tcBorders>
            <w:shd w:val="clear" w:color="auto" w:fill="auto"/>
            <w:vAlign w:val="center"/>
            <w:hideMark/>
          </w:tcPr>
          <w:p w14:paraId="5325308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4C49EB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D193188"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173C97B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18</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0A940F3C"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 xml:space="preserve">Blok operacyjny - dodatkowe parametry </w:t>
            </w:r>
          </w:p>
        </w:tc>
      </w:tr>
      <w:tr w:rsidR="00CB3017" w:rsidRPr="00F8703A" w14:paraId="4220EE58"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A8E2C3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18.1</w:t>
            </w:r>
          </w:p>
        </w:tc>
        <w:tc>
          <w:tcPr>
            <w:tcW w:w="5514" w:type="dxa"/>
            <w:tcBorders>
              <w:top w:val="nil"/>
              <w:left w:val="nil"/>
              <w:bottom w:val="single" w:sz="4" w:space="0" w:color="auto"/>
              <w:right w:val="single" w:sz="4" w:space="0" w:color="auto"/>
            </w:tcBorders>
            <w:shd w:val="clear" w:color="auto" w:fill="auto"/>
            <w:vAlign w:val="center"/>
            <w:hideMark/>
          </w:tcPr>
          <w:p w14:paraId="3B42EC8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Organizacja i nadzór nad zabiegiem, bieżący pomiar czasu trwania znieczulenia/intubacji/zabiegu na poszczególnych salach operacyjnych, rejestracja godziny przyjęcia pacjenta na salę, rozpoczęcia i zakończenia znieczulenia, intubacji, zabiegu.</w:t>
            </w:r>
          </w:p>
        </w:tc>
        <w:tc>
          <w:tcPr>
            <w:tcW w:w="1133" w:type="dxa"/>
            <w:tcBorders>
              <w:top w:val="nil"/>
              <w:left w:val="nil"/>
              <w:bottom w:val="single" w:sz="4" w:space="0" w:color="auto"/>
              <w:right w:val="single" w:sz="4" w:space="0" w:color="auto"/>
            </w:tcBorders>
            <w:shd w:val="clear" w:color="auto" w:fill="auto"/>
            <w:vAlign w:val="center"/>
            <w:hideMark/>
          </w:tcPr>
          <w:p w14:paraId="1179F4C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EB147E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ADEBA6F"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46475F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18.2</w:t>
            </w:r>
          </w:p>
        </w:tc>
        <w:tc>
          <w:tcPr>
            <w:tcW w:w="5514" w:type="dxa"/>
            <w:tcBorders>
              <w:top w:val="nil"/>
              <w:left w:val="nil"/>
              <w:bottom w:val="single" w:sz="4" w:space="0" w:color="auto"/>
              <w:right w:val="single" w:sz="4" w:space="0" w:color="auto"/>
            </w:tcBorders>
            <w:shd w:val="clear" w:color="auto" w:fill="auto"/>
            <w:vAlign w:val="center"/>
            <w:hideMark/>
          </w:tcPr>
          <w:p w14:paraId="1D0F6AD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Wprowadzanie na oś czasu znaczników zdarzeń poprzez wybór odpowiedniego przycisku na ekranie głównym. Wprowadzenie odbywa się poprzez jedno kliknięcie, a przyciski widoczne są cały czas na ekranie głównym.</w:t>
            </w:r>
          </w:p>
        </w:tc>
        <w:tc>
          <w:tcPr>
            <w:tcW w:w="1133" w:type="dxa"/>
            <w:tcBorders>
              <w:top w:val="nil"/>
              <w:left w:val="nil"/>
              <w:bottom w:val="single" w:sz="4" w:space="0" w:color="auto"/>
              <w:right w:val="single" w:sz="4" w:space="0" w:color="auto"/>
            </w:tcBorders>
            <w:shd w:val="clear" w:color="auto" w:fill="auto"/>
            <w:vAlign w:val="center"/>
            <w:hideMark/>
          </w:tcPr>
          <w:p w14:paraId="738189B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B8D681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E254560"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DA2EEC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18.3</w:t>
            </w:r>
          </w:p>
        </w:tc>
        <w:tc>
          <w:tcPr>
            <w:tcW w:w="5514" w:type="dxa"/>
            <w:tcBorders>
              <w:top w:val="nil"/>
              <w:left w:val="nil"/>
              <w:bottom w:val="single" w:sz="4" w:space="0" w:color="auto"/>
              <w:right w:val="single" w:sz="4" w:space="0" w:color="auto"/>
            </w:tcBorders>
            <w:shd w:val="clear" w:color="auto" w:fill="auto"/>
            <w:vAlign w:val="center"/>
            <w:hideMark/>
          </w:tcPr>
          <w:p w14:paraId="0EAEC91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Raport z monitorowania znieczulenia obrazujący m.in. dane z przebiegu znieczulenia wraz z graficzną prezentacją parametrów życiowych, podanych leków, bilansu płynów (dostosowywany zgodnie z potrzebami Zamawiającego) na jednej osi czasu.</w:t>
            </w:r>
          </w:p>
        </w:tc>
        <w:tc>
          <w:tcPr>
            <w:tcW w:w="1133" w:type="dxa"/>
            <w:tcBorders>
              <w:top w:val="nil"/>
              <w:left w:val="nil"/>
              <w:bottom w:val="single" w:sz="4" w:space="0" w:color="auto"/>
              <w:right w:val="single" w:sz="4" w:space="0" w:color="auto"/>
            </w:tcBorders>
            <w:shd w:val="clear" w:color="auto" w:fill="auto"/>
            <w:vAlign w:val="center"/>
            <w:hideMark/>
          </w:tcPr>
          <w:p w14:paraId="62665DA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C240D7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BB663DB"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6E3681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18.4</w:t>
            </w:r>
          </w:p>
        </w:tc>
        <w:tc>
          <w:tcPr>
            <w:tcW w:w="5514" w:type="dxa"/>
            <w:tcBorders>
              <w:top w:val="nil"/>
              <w:left w:val="nil"/>
              <w:bottom w:val="single" w:sz="4" w:space="0" w:color="auto"/>
              <w:right w:val="single" w:sz="4" w:space="0" w:color="auto"/>
            </w:tcBorders>
            <w:shd w:val="clear" w:color="auto" w:fill="auto"/>
            <w:vAlign w:val="center"/>
            <w:hideMark/>
          </w:tcPr>
          <w:p w14:paraId="6D1D09A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Listy kontrolne min.: </w:t>
            </w:r>
            <w:r w:rsidRPr="00CF3752">
              <w:rPr>
                <w:rFonts w:eastAsia="Times New Roman" w:cstheme="minorHAnsi"/>
                <w:lang w:eastAsia="pl-PL"/>
              </w:rPr>
              <w:br/>
              <w:t>- Lista kontrolna konsultacji anestezjologicznej</w:t>
            </w:r>
            <w:r w:rsidRPr="00CF3752">
              <w:rPr>
                <w:rFonts w:eastAsia="Times New Roman" w:cstheme="minorHAnsi"/>
                <w:lang w:eastAsia="pl-PL"/>
              </w:rPr>
              <w:br/>
              <w:t>- Lista kontrolna oceny przedoperacyjnej</w:t>
            </w:r>
            <w:r w:rsidRPr="00CF3752">
              <w:rPr>
                <w:rFonts w:eastAsia="Times New Roman" w:cstheme="minorHAnsi"/>
                <w:lang w:eastAsia="pl-PL"/>
              </w:rPr>
              <w:br/>
              <w:t>- Lista kontrolna sprzętu przed rozpoczęciem znieczulenia</w:t>
            </w:r>
            <w:r w:rsidRPr="00CF3752">
              <w:rPr>
                <w:rFonts w:eastAsia="Times New Roman" w:cstheme="minorHAnsi"/>
                <w:lang w:eastAsia="pl-PL"/>
              </w:rPr>
              <w:br/>
              <w:t>- Okołooperacyjna karta kontrolna</w:t>
            </w:r>
            <w:r w:rsidRPr="00CF3752">
              <w:rPr>
                <w:rFonts w:eastAsia="Times New Roman" w:cstheme="minorHAnsi"/>
                <w:lang w:eastAsia="pl-PL"/>
              </w:rPr>
              <w:br/>
              <w:t>- Definicja własnej listy kontrolnej, specyficznej dla użytkownika</w:t>
            </w:r>
          </w:p>
        </w:tc>
        <w:tc>
          <w:tcPr>
            <w:tcW w:w="1133" w:type="dxa"/>
            <w:tcBorders>
              <w:top w:val="nil"/>
              <w:left w:val="nil"/>
              <w:bottom w:val="single" w:sz="4" w:space="0" w:color="auto"/>
              <w:right w:val="single" w:sz="4" w:space="0" w:color="auto"/>
            </w:tcBorders>
            <w:shd w:val="clear" w:color="auto" w:fill="auto"/>
            <w:vAlign w:val="center"/>
            <w:hideMark/>
          </w:tcPr>
          <w:p w14:paraId="0E07461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4817FF9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637AA50"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F21B46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18.5</w:t>
            </w:r>
          </w:p>
        </w:tc>
        <w:tc>
          <w:tcPr>
            <w:tcW w:w="5514" w:type="dxa"/>
            <w:tcBorders>
              <w:top w:val="nil"/>
              <w:left w:val="nil"/>
              <w:bottom w:val="single" w:sz="4" w:space="0" w:color="auto"/>
              <w:right w:val="single" w:sz="4" w:space="0" w:color="auto"/>
            </w:tcBorders>
            <w:shd w:val="clear" w:color="auto" w:fill="auto"/>
            <w:vAlign w:val="center"/>
            <w:hideMark/>
          </w:tcPr>
          <w:p w14:paraId="4B11D5B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zarządzania badaniami laboratoryjnymi obejmuje dokumentowanie minimum:</w:t>
            </w:r>
            <w:r w:rsidRPr="00CF3752">
              <w:rPr>
                <w:rFonts w:eastAsia="Times New Roman" w:cstheme="minorHAnsi"/>
                <w:lang w:eastAsia="pl-PL"/>
              </w:rPr>
              <w:br/>
              <w:t>- paskowego testu moczu</w:t>
            </w:r>
            <w:r w:rsidRPr="00CF3752">
              <w:rPr>
                <w:rFonts w:eastAsia="Times New Roman" w:cstheme="minorHAnsi"/>
                <w:lang w:eastAsia="pl-PL"/>
              </w:rPr>
              <w:br/>
              <w:t>- testu kapilarnego glukozy</w:t>
            </w:r>
            <w:r w:rsidRPr="00CF3752">
              <w:rPr>
                <w:rFonts w:eastAsia="Times New Roman" w:cstheme="minorHAnsi"/>
                <w:lang w:eastAsia="pl-PL"/>
              </w:rPr>
              <w:br/>
              <w:t>- testu kapilarnego hemoglobiny</w:t>
            </w:r>
            <w:r w:rsidRPr="00CF3752">
              <w:rPr>
                <w:rFonts w:eastAsia="Times New Roman" w:cstheme="minorHAnsi"/>
                <w:lang w:eastAsia="pl-PL"/>
              </w:rPr>
              <w:br/>
              <w:t>- test moczu HCG</w:t>
            </w:r>
            <w:r w:rsidRPr="00CF3752">
              <w:rPr>
                <w:rFonts w:eastAsia="Times New Roman" w:cstheme="minorHAnsi"/>
                <w:lang w:eastAsia="pl-PL"/>
              </w:rPr>
              <w:br/>
              <w:t>- mikrobiologii</w:t>
            </w:r>
          </w:p>
        </w:tc>
        <w:tc>
          <w:tcPr>
            <w:tcW w:w="1133" w:type="dxa"/>
            <w:tcBorders>
              <w:top w:val="nil"/>
              <w:left w:val="nil"/>
              <w:bottom w:val="single" w:sz="4" w:space="0" w:color="auto"/>
              <w:right w:val="single" w:sz="4" w:space="0" w:color="auto"/>
            </w:tcBorders>
            <w:shd w:val="clear" w:color="auto" w:fill="auto"/>
            <w:vAlign w:val="center"/>
            <w:hideMark/>
          </w:tcPr>
          <w:p w14:paraId="063FA2D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525807F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94EBD5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08D8F6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18.6</w:t>
            </w:r>
          </w:p>
        </w:tc>
        <w:tc>
          <w:tcPr>
            <w:tcW w:w="5514" w:type="dxa"/>
            <w:tcBorders>
              <w:top w:val="nil"/>
              <w:left w:val="nil"/>
              <w:bottom w:val="single" w:sz="4" w:space="0" w:color="auto"/>
              <w:right w:val="single" w:sz="4" w:space="0" w:color="auto"/>
            </w:tcBorders>
            <w:shd w:val="clear" w:color="auto" w:fill="auto"/>
            <w:vAlign w:val="center"/>
            <w:hideMark/>
          </w:tcPr>
          <w:p w14:paraId="01C2980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wypełnienia i wygenerowania formularza zgody na znieczulenie i zgody na zabieg chirurgiczny.</w:t>
            </w:r>
          </w:p>
        </w:tc>
        <w:tc>
          <w:tcPr>
            <w:tcW w:w="1133" w:type="dxa"/>
            <w:tcBorders>
              <w:top w:val="nil"/>
              <w:left w:val="nil"/>
              <w:bottom w:val="single" w:sz="4" w:space="0" w:color="auto"/>
              <w:right w:val="single" w:sz="4" w:space="0" w:color="auto"/>
            </w:tcBorders>
            <w:shd w:val="clear" w:color="auto" w:fill="auto"/>
            <w:vAlign w:val="center"/>
            <w:hideMark/>
          </w:tcPr>
          <w:p w14:paraId="214E9D3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FF1C63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A60A947" w14:textId="77777777" w:rsidTr="00FD23DE">
        <w:trPr>
          <w:trHeight w:val="255"/>
        </w:trPr>
        <w:tc>
          <w:tcPr>
            <w:tcW w:w="976" w:type="dxa"/>
            <w:tcBorders>
              <w:top w:val="nil"/>
              <w:left w:val="single" w:sz="4" w:space="0" w:color="auto"/>
              <w:bottom w:val="single" w:sz="4" w:space="0" w:color="auto"/>
              <w:right w:val="single" w:sz="4" w:space="0" w:color="auto"/>
            </w:tcBorders>
            <w:shd w:val="clear" w:color="F2F2F2" w:fill="E8E8E8"/>
            <w:vAlign w:val="center"/>
            <w:hideMark/>
          </w:tcPr>
          <w:p w14:paraId="3CC1BE3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w:t>
            </w:r>
          </w:p>
        </w:tc>
        <w:tc>
          <w:tcPr>
            <w:tcW w:w="8658" w:type="dxa"/>
            <w:gridSpan w:val="3"/>
            <w:tcBorders>
              <w:top w:val="single" w:sz="4" w:space="0" w:color="auto"/>
              <w:left w:val="nil"/>
              <w:bottom w:val="single" w:sz="4" w:space="0" w:color="auto"/>
              <w:right w:val="single" w:sz="4" w:space="0" w:color="auto"/>
            </w:tcBorders>
            <w:shd w:val="clear" w:color="F2F2F2" w:fill="E8E8E8"/>
            <w:vAlign w:val="center"/>
            <w:hideMark/>
          </w:tcPr>
          <w:p w14:paraId="6FAC26FD"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 xml:space="preserve">Oddział - dodatkowe parametry </w:t>
            </w:r>
          </w:p>
        </w:tc>
      </w:tr>
      <w:tr w:rsidR="00CB3017" w:rsidRPr="00F8703A" w14:paraId="785ACBBE" w14:textId="77777777" w:rsidTr="00FD23DE">
        <w:trPr>
          <w:trHeight w:val="316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94ADBE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w:t>
            </w:r>
          </w:p>
        </w:tc>
        <w:tc>
          <w:tcPr>
            <w:tcW w:w="5514" w:type="dxa"/>
            <w:tcBorders>
              <w:top w:val="nil"/>
              <w:left w:val="nil"/>
              <w:bottom w:val="single" w:sz="4" w:space="0" w:color="auto"/>
              <w:right w:val="single" w:sz="4" w:space="0" w:color="auto"/>
            </w:tcBorders>
            <w:shd w:val="clear" w:color="auto" w:fill="auto"/>
            <w:vAlign w:val="center"/>
            <w:hideMark/>
          </w:tcPr>
          <w:p w14:paraId="37E27E2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System posiada zaimplementowany zestaw </w:t>
            </w:r>
            <w:proofErr w:type="spellStart"/>
            <w:r w:rsidRPr="00CF3752">
              <w:rPr>
                <w:rFonts w:eastAsia="Times New Roman" w:cstheme="minorHAnsi"/>
                <w:lang w:eastAsia="pl-PL"/>
              </w:rPr>
              <w:t>skal</w:t>
            </w:r>
            <w:proofErr w:type="spellEnd"/>
            <w:r w:rsidRPr="00CF3752">
              <w:rPr>
                <w:rFonts w:eastAsia="Times New Roman" w:cstheme="minorHAnsi"/>
                <w:lang w:eastAsia="pl-PL"/>
              </w:rPr>
              <w:t xml:space="preserve"> ocen ryzyka dla pacjenta, w tym minimum:</w:t>
            </w:r>
            <w:r w:rsidRPr="00CF3752">
              <w:rPr>
                <w:rFonts w:eastAsia="Times New Roman" w:cstheme="minorHAnsi"/>
                <w:lang w:eastAsia="pl-PL"/>
              </w:rPr>
              <w:br/>
              <w:t xml:space="preserve">- </w:t>
            </w:r>
            <w:proofErr w:type="spellStart"/>
            <w:r w:rsidRPr="00CF3752">
              <w:rPr>
                <w:rFonts w:eastAsia="Times New Roman" w:cstheme="minorHAnsi"/>
                <w:lang w:eastAsia="pl-PL"/>
              </w:rPr>
              <w:t>Braden</w:t>
            </w:r>
            <w:proofErr w:type="spellEnd"/>
            <w:r w:rsidRPr="00CF3752">
              <w:rPr>
                <w:rFonts w:eastAsia="Times New Roman" w:cstheme="minorHAnsi"/>
                <w:lang w:eastAsia="pl-PL"/>
              </w:rPr>
              <w:br/>
              <w:t>- Bristolska skala stolca</w:t>
            </w:r>
            <w:r w:rsidRPr="00CF3752">
              <w:rPr>
                <w:rFonts w:eastAsia="Times New Roman" w:cstheme="minorHAnsi"/>
                <w:lang w:eastAsia="pl-PL"/>
              </w:rPr>
              <w:br/>
              <w:t>- Kliniczna skala słabości</w:t>
            </w:r>
            <w:r w:rsidRPr="00CF3752">
              <w:rPr>
                <w:rFonts w:eastAsia="Times New Roman" w:cstheme="minorHAnsi"/>
                <w:lang w:eastAsia="pl-PL"/>
              </w:rPr>
              <w:br/>
              <w:t>- Douglas</w:t>
            </w:r>
            <w:r w:rsidRPr="00CF3752">
              <w:rPr>
                <w:rFonts w:eastAsia="Times New Roman" w:cstheme="minorHAnsi"/>
                <w:lang w:eastAsia="pl-PL"/>
              </w:rPr>
              <w:br/>
              <w:t>- GBS</w:t>
            </w:r>
            <w:r w:rsidRPr="00CF3752">
              <w:rPr>
                <w:rFonts w:eastAsia="Times New Roman" w:cstheme="minorHAnsi"/>
                <w:lang w:eastAsia="pl-PL"/>
              </w:rPr>
              <w:br/>
              <w:t>- Kryteria ISTH dla DIC</w:t>
            </w:r>
            <w:r w:rsidRPr="00CF3752">
              <w:rPr>
                <w:rFonts w:eastAsia="Times New Roman" w:cstheme="minorHAnsi"/>
                <w:lang w:eastAsia="pl-PL"/>
              </w:rPr>
              <w:br/>
              <w:t>- Norton</w:t>
            </w:r>
            <w:r w:rsidRPr="00CF3752">
              <w:rPr>
                <w:rFonts w:eastAsia="Times New Roman" w:cstheme="minorHAnsi"/>
                <w:lang w:eastAsia="pl-PL"/>
              </w:rPr>
              <w:br/>
              <w:t xml:space="preserve">- Skala </w:t>
            </w:r>
            <w:proofErr w:type="spellStart"/>
            <w:r w:rsidRPr="00CF3752">
              <w:rPr>
                <w:rFonts w:eastAsia="Times New Roman" w:cstheme="minorHAnsi"/>
                <w:lang w:eastAsia="pl-PL"/>
              </w:rPr>
              <w:t>Rockalla</w:t>
            </w:r>
            <w:proofErr w:type="spellEnd"/>
            <w:r w:rsidRPr="00CF3752">
              <w:rPr>
                <w:rFonts w:eastAsia="Times New Roman" w:cstheme="minorHAnsi"/>
                <w:lang w:eastAsia="pl-PL"/>
              </w:rPr>
              <w:br/>
              <w:t>- SIRS, sepsa i kryteria wstrząsu septycznego</w:t>
            </w:r>
            <w:r w:rsidRPr="00CF3752">
              <w:rPr>
                <w:rFonts w:eastAsia="Times New Roman" w:cstheme="minorHAnsi"/>
                <w:lang w:eastAsia="pl-PL"/>
              </w:rPr>
              <w:br/>
              <w:t xml:space="preserve">- </w:t>
            </w:r>
            <w:proofErr w:type="spellStart"/>
            <w:r w:rsidRPr="00CF3752">
              <w:rPr>
                <w:rFonts w:eastAsia="Times New Roman" w:cstheme="minorHAnsi"/>
                <w:lang w:eastAsia="pl-PL"/>
              </w:rPr>
              <w:t>Waterlow</w:t>
            </w:r>
            <w:proofErr w:type="spellEnd"/>
          </w:p>
        </w:tc>
        <w:tc>
          <w:tcPr>
            <w:tcW w:w="1133" w:type="dxa"/>
            <w:tcBorders>
              <w:top w:val="nil"/>
              <w:left w:val="nil"/>
              <w:bottom w:val="single" w:sz="4" w:space="0" w:color="auto"/>
              <w:right w:val="single" w:sz="4" w:space="0" w:color="auto"/>
            </w:tcBorders>
            <w:shd w:val="clear" w:color="auto" w:fill="auto"/>
            <w:vAlign w:val="center"/>
            <w:hideMark/>
          </w:tcPr>
          <w:p w14:paraId="070EDDE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6064068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B6F4AFD"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E47376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19.2</w:t>
            </w:r>
          </w:p>
        </w:tc>
        <w:tc>
          <w:tcPr>
            <w:tcW w:w="5514" w:type="dxa"/>
            <w:tcBorders>
              <w:top w:val="nil"/>
              <w:left w:val="nil"/>
              <w:bottom w:val="single" w:sz="4" w:space="0" w:color="auto"/>
              <w:right w:val="single" w:sz="4" w:space="0" w:color="auto"/>
            </w:tcBorders>
            <w:shd w:val="clear" w:color="auto" w:fill="auto"/>
            <w:vAlign w:val="center"/>
            <w:hideMark/>
          </w:tcPr>
          <w:p w14:paraId="1D253C2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skale ocen stanu pacjenta, co najmniej:</w:t>
            </w:r>
            <w:r w:rsidRPr="00CF3752">
              <w:rPr>
                <w:rFonts w:eastAsia="Times New Roman" w:cstheme="minorHAnsi"/>
                <w:lang w:eastAsia="pl-PL"/>
              </w:rPr>
              <w:br/>
              <w:t>- TISS-28</w:t>
            </w:r>
            <w:r w:rsidRPr="00CF3752">
              <w:rPr>
                <w:rFonts w:eastAsia="Times New Roman" w:cstheme="minorHAnsi"/>
                <w:lang w:eastAsia="pl-PL"/>
              </w:rPr>
              <w:br/>
              <w:t>- Apache II</w:t>
            </w:r>
            <w:r w:rsidRPr="00CF3752">
              <w:rPr>
                <w:rFonts w:eastAsia="Times New Roman" w:cstheme="minorHAnsi"/>
                <w:lang w:eastAsia="pl-PL"/>
              </w:rPr>
              <w:br/>
              <w:t>- SAPS II</w:t>
            </w:r>
            <w:r w:rsidRPr="00CF3752">
              <w:rPr>
                <w:rFonts w:eastAsia="Times New Roman" w:cstheme="minorHAnsi"/>
                <w:lang w:eastAsia="pl-PL"/>
              </w:rPr>
              <w:br/>
              <w:t>- SOFA</w:t>
            </w:r>
            <w:r w:rsidRPr="00CF3752">
              <w:rPr>
                <w:rFonts w:eastAsia="Times New Roman" w:cstheme="minorHAnsi"/>
                <w:lang w:eastAsia="pl-PL"/>
              </w:rPr>
              <w:br/>
              <w:t xml:space="preserve">- </w:t>
            </w:r>
            <w:proofErr w:type="spellStart"/>
            <w:r w:rsidRPr="00CF3752">
              <w:rPr>
                <w:rFonts w:eastAsia="Times New Roman" w:cstheme="minorHAnsi"/>
                <w:lang w:eastAsia="pl-PL"/>
              </w:rPr>
              <w:t>qSOFA</w:t>
            </w:r>
            <w:proofErr w:type="spellEnd"/>
            <w:r w:rsidRPr="00CF3752">
              <w:rPr>
                <w:rFonts w:eastAsia="Times New Roman" w:cstheme="minorHAnsi"/>
                <w:lang w:eastAsia="pl-PL"/>
              </w:rPr>
              <w:br/>
              <w:t>- EWS (min. MEWS, NEWS2)</w:t>
            </w:r>
          </w:p>
        </w:tc>
        <w:tc>
          <w:tcPr>
            <w:tcW w:w="1133" w:type="dxa"/>
            <w:tcBorders>
              <w:top w:val="nil"/>
              <w:left w:val="nil"/>
              <w:bottom w:val="single" w:sz="4" w:space="0" w:color="auto"/>
              <w:right w:val="single" w:sz="4" w:space="0" w:color="auto"/>
            </w:tcBorders>
            <w:shd w:val="clear" w:color="auto" w:fill="auto"/>
            <w:vAlign w:val="center"/>
            <w:hideMark/>
          </w:tcPr>
          <w:p w14:paraId="3881F79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6D05328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7662A03" w14:textId="77777777" w:rsidTr="00FD23DE">
        <w:trPr>
          <w:trHeight w:val="211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79CBAB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19.3</w:t>
            </w:r>
          </w:p>
        </w:tc>
        <w:tc>
          <w:tcPr>
            <w:tcW w:w="5514" w:type="dxa"/>
            <w:tcBorders>
              <w:top w:val="nil"/>
              <w:left w:val="nil"/>
              <w:bottom w:val="single" w:sz="4" w:space="0" w:color="auto"/>
              <w:right w:val="single" w:sz="4" w:space="0" w:color="auto"/>
            </w:tcBorders>
            <w:shd w:val="clear" w:color="auto" w:fill="auto"/>
            <w:vAlign w:val="center"/>
            <w:hideMark/>
          </w:tcPr>
          <w:p w14:paraId="52B4644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skale ocen dróg oddechowych, co najmniej:</w:t>
            </w:r>
            <w:r w:rsidRPr="00CF3752">
              <w:rPr>
                <w:rFonts w:eastAsia="Times New Roman" w:cstheme="minorHAnsi"/>
                <w:lang w:eastAsia="pl-PL"/>
              </w:rPr>
              <w:br/>
              <w:t>- Cormack-</w:t>
            </w:r>
            <w:proofErr w:type="spellStart"/>
            <w:r w:rsidRPr="00CF3752">
              <w:rPr>
                <w:rFonts w:eastAsia="Times New Roman" w:cstheme="minorHAnsi"/>
                <w:lang w:eastAsia="pl-PL"/>
              </w:rPr>
              <w:t>Lehane</w:t>
            </w:r>
            <w:proofErr w:type="spellEnd"/>
            <w:r w:rsidRPr="00CF3752">
              <w:rPr>
                <w:rFonts w:eastAsia="Times New Roman" w:cstheme="minorHAnsi"/>
                <w:lang w:eastAsia="pl-PL"/>
              </w:rPr>
              <w:t xml:space="preserve"> (zmodyfikowana)</w:t>
            </w:r>
            <w:r w:rsidRPr="00CF3752">
              <w:rPr>
                <w:rFonts w:eastAsia="Times New Roman" w:cstheme="minorHAnsi"/>
                <w:lang w:eastAsia="pl-PL"/>
              </w:rPr>
              <w:br/>
              <w:t xml:space="preserve">- </w:t>
            </w:r>
            <w:proofErr w:type="spellStart"/>
            <w:r w:rsidRPr="00CF3752">
              <w:rPr>
                <w:rFonts w:eastAsia="Times New Roman" w:cstheme="minorHAnsi"/>
                <w:lang w:eastAsia="pl-PL"/>
              </w:rPr>
              <w:t>Mallampati</w:t>
            </w:r>
            <w:proofErr w:type="spellEnd"/>
            <w:r w:rsidRPr="00CF3752">
              <w:rPr>
                <w:rFonts w:eastAsia="Times New Roman" w:cstheme="minorHAnsi"/>
                <w:lang w:eastAsia="pl-PL"/>
              </w:rPr>
              <w:t xml:space="preserve"> (zmodyfikowana)</w:t>
            </w:r>
            <w:r w:rsidRPr="00CF3752">
              <w:rPr>
                <w:rFonts w:eastAsia="Times New Roman" w:cstheme="minorHAnsi"/>
                <w:lang w:eastAsia="pl-PL"/>
              </w:rPr>
              <w:br/>
              <w:t>- Murray</w:t>
            </w:r>
            <w:r w:rsidRPr="00CF3752">
              <w:rPr>
                <w:rFonts w:eastAsia="Times New Roman" w:cstheme="minorHAnsi"/>
                <w:lang w:eastAsia="pl-PL"/>
              </w:rPr>
              <w:br/>
              <w:t xml:space="preserve">- RESP (Respiratory ECMO </w:t>
            </w:r>
            <w:proofErr w:type="spellStart"/>
            <w:r w:rsidRPr="00CF3752">
              <w:rPr>
                <w:rFonts w:eastAsia="Times New Roman" w:cstheme="minorHAnsi"/>
                <w:lang w:eastAsia="pl-PL"/>
              </w:rPr>
              <w:t>Survival</w:t>
            </w:r>
            <w:proofErr w:type="spellEnd"/>
            <w:r w:rsidRPr="00CF3752">
              <w:rPr>
                <w:rFonts w:eastAsia="Times New Roman" w:cstheme="minorHAnsi"/>
                <w:lang w:eastAsia="pl-PL"/>
              </w:rPr>
              <w:t xml:space="preserve"> </w:t>
            </w:r>
            <w:proofErr w:type="spellStart"/>
            <w:r w:rsidRPr="00CF3752">
              <w:rPr>
                <w:rFonts w:eastAsia="Times New Roman" w:cstheme="minorHAnsi"/>
                <w:lang w:eastAsia="pl-PL"/>
              </w:rPr>
              <w:t>Prediction</w:t>
            </w:r>
            <w:proofErr w:type="spellEnd"/>
            <w:r w:rsidRPr="00CF3752">
              <w:rPr>
                <w:rFonts w:eastAsia="Times New Roman" w:cstheme="minorHAnsi"/>
                <w:lang w:eastAsia="pl-PL"/>
              </w:rPr>
              <w:t>)</w:t>
            </w:r>
            <w:r w:rsidRPr="00CF3752">
              <w:rPr>
                <w:rFonts w:eastAsia="Times New Roman" w:cstheme="minorHAnsi"/>
                <w:lang w:eastAsia="pl-PL"/>
              </w:rPr>
              <w:br/>
              <w:t xml:space="preserve">- </w:t>
            </w:r>
            <w:proofErr w:type="spellStart"/>
            <w:r w:rsidRPr="00CF3752">
              <w:rPr>
                <w:rFonts w:eastAsia="Times New Roman" w:cstheme="minorHAnsi"/>
                <w:lang w:eastAsia="pl-PL"/>
              </w:rPr>
              <w:t>mMRC</w:t>
            </w:r>
            <w:proofErr w:type="spellEnd"/>
            <w:r w:rsidRPr="00CF3752">
              <w:rPr>
                <w:rFonts w:eastAsia="Times New Roman" w:cstheme="minorHAnsi"/>
                <w:lang w:eastAsia="pl-PL"/>
              </w:rPr>
              <w:br/>
              <w:t xml:space="preserve">- skala Borga (Borg </w:t>
            </w:r>
            <w:proofErr w:type="spellStart"/>
            <w:r w:rsidRPr="00CF3752">
              <w:rPr>
                <w:rFonts w:eastAsia="Times New Roman" w:cstheme="minorHAnsi"/>
                <w:lang w:eastAsia="pl-PL"/>
              </w:rPr>
              <w:t>Breathlessness</w:t>
            </w:r>
            <w:proofErr w:type="spellEnd"/>
            <w:r w:rsidRPr="00CF3752">
              <w:rPr>
                <w:rFonts w:eastAsia="Times New Roman" w:cstheme="minorHAnsi"/>
                <w:lang w:eastAsia="pl-PL"/>
              </w:rPr>
              <w:t xml:space="preserve"> </w:t>
            </w:r>
            <w:proofErr w:type="spellStart"/>
            <w:r w:rsidRPr="00CF3752">
              <w:rPr>
                <w:rFonts w:eastAsia="Times New Roman" w:cstheme="minorHAnsi"/>
                <w:lang w:eastAsia="pl-PL"/>
              </w:rPr>
              <w:t>Scale</w:t>
            </w:r>
            <w:proofErr w:type="spellEnd"/>
            <w:r w:rsidRPr="00CF3752">
              <w:rPr>
                <w:rFonts w:eastAsia="Times New Roman" w:cstheme="minorHAnsi"/>
                <w:lang w:eastAsia="pl-PL"/>
              </w:rPr>
              <w:t>)</w:t>
            </w:r>
            <w:r w:rsidRPr="00CF3752">
              <w:rPr>
                <w:rFonts w:eastAsia="Times New Roman" w:cstheme="minorHAnsi"/>
                <w:lang w:eastAsia="pl-PL"/>
              </w:rPr>
              <w:br/>
              <w:t>- indeks ROX</w:t>
            </w:r>
          </w:p>
        </w:tc>
        <w:tc>
          <w:tcPr>
            <w:tcW w:w="1133" w:type="dxa"/>
            <w:tcBorders>
              <w:top w:val="nil"/>
              <w:left w:val="nil"/>
              <w:bottom w:val="single" w:sz="4" w:space="0" w:color="auto"/>
              <w:right w:val="single" w:sz="4" w:space="0" w:color="auto"/>
            </w:tcBorders>
            <w:shd w:val="clear" w:color="auto" w:fill="auto"/>
            <w:vAlign w:val="center"/>
            <w:hideMark/>
          </w:tcPr>
          <w:p w14:paraId="6D7821F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34BB7AE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3E60112" w14:textId="77777777" w:rsidTr="00FD23DE">
        <w:trPr>
          <w:trHeight w:val="290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5667CD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19.4</w:t>
            </w:r>
          </w:p>
        </w:tc>
        <w:tc>
          <w:tcPr>
            <w:tcW w:w="5514" w:type="dxa"/>
            <w:tcBorders>
              <w:top w:val="nil"/>
              <w:left w:val="nil"/>
              <w:bottom w:val="single" w:sz="4" w:space="0" w:color="auto"/>
              <w:right w:val="single" w:sz="4" w:space="0" w:color="auto"/>
            </w:tcBorders>
            <w:shd w:val="clear" w:color="auto" w:fill="auto"/>
            <w:vAlign w:val="center"/>
            <w:hideMark/>
          </w:tcPr>
          <w:p w14:paraId="07D1514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skale do oceny stanu układu krążenia, co najmniej:</w:t>
            </w:r>
            <w:r w:rsidRPr="00CF3752">
              <w:rPr>
                <w:rFonts w:eastAsia="Times New Roman" w:cstheme="minorHAnsi"/>
                <w:lang w:eastAsia="pl-PL"/>
              </w:rPr>
              <w:br/>
              <w:t>- ACEF II</w:t>
            </w:r>
            <w:r w:rsidRPr="00CF3752">
              <w:rPr>
                <w:rFonts w:eastAsia="Times New Roman" w:cstheme="minorHAnsi"/>
                <w:lang w:eastAsia="pl-PL"/>
              </w:rPr>
              <w:br/>
              <w:t>- ADHERE</w:t>
            </w:r>
            <w:r w:rsidRPr="00CF3752">
              <w:rPr>
                <w:rFonts w:eastAsia="Times New Roman" w:cstheme="minorHAnsi"/>
                <w:lang w:eastAsia="pl-PL"/>
              </w:rPr>
              <w:br/>
              <w:t>- CHADS2 – VAS</w:t>
            </w:r>
            <w:r w:rsidRPr="00CF3752">
              <w:rPr>
                <w:rFonts w:eastAsia="Times New Roman" w:cstheme="minorHAnsi"/>
                <w:lang w:eastAsia="pl-PL"/>
              </w:rPr>
              <w:br/>
              <w:t>- Genewska zmodyfikowana</w:t>
            </w:r>
            <w:r w:rsidRPr="00CF3752">
              <w:rPr>
                <w:rFonts w:eastAsia="Times New Roman" w:cstheme="minorHAnsi"/>
                <w:lang w:eastAsia="pl-PL"/>
              </w:rPr>
              <w:br/>
              <w:t>- NYHA</w:t>
            </w:r>
            <w:r w:rsidRPr="00CF3752">
              <w:rPr>
                <w:rFonts w:eastAsia="Times New Roman" w:cstheme="minorHAnsi"/>
                <w:lang w:eastAsia="pl-PL"/>
              </w:rPr>
              <w:br/>
              <w:t>- Potrzeba stymulatora po operacji zastawki serca</w:t>
            </w:r>
            <w:r w:rsidRPr="00CF3752">
              <w:rPr>
                <w:rFonts w:eastAsia="Times New Roman" w:cstheme="minorHAnsi"/>
                <w:lang w:eastAsia="pl-PL"/>
              </w:rPr>
              <w:br/>
              <w:t>- Padewska</w:t>
            </w:r>
            <w:r w:rsidRPr="00CF3752">
              <w:rPr>
                <w:rFonts w:eastAsia="Times New Roman" w:cstheme="minorHAnsi"/>
                <w:lang w:eastAsia="pl-PL"/>
              </w:rPr>
              <w:br/>
              <w:t>- RISKE</w:t>
            </w:r>
            <w:r w:rsidRPr="00CF3752">
              <w:rPr>
                <w:rFonts w:eastAsia="Times New Roman" w:cstheme="minorHAnsi"/>
                <w:lang w:eastAsia="pl-PL"/>
              </w:rPr>
              <w:br/>
              <w:t>- SAVE</w:t>
            </w:r>
            <w:r w:rsidRPr="00CF3752">
              <w:rPr>
                <w:rFonts w:eastAsia="Times New Roman" w:cstheme="minorHAnsi"/>
                <w:lang w:eastAsia="pl-PL"/>
              </w:rPr>
              <w:br/>
              <w:t xml:space="preserve">- </w:t>
            </w:r>
            <w:proofErr w:type="spellStart"/>
            <w:r w:rsidRPr="00CF3752">
              <w:rPr>
                <w:rFonts w:eastAsia="Times New Roman" w:cstheme="minorHAnsi"/>
                <w:lang w:eastAsia="pl-PL"/>
              </w:rPr>
              <w:t>Well’s</w:t>
            </w:r>
            <w:proofErr w:type="spellEnd"/>
          </w:p>
        </w:tc>
        <w:tc>
          <w:tcPr>
            <w:tcW w:w="1133" w:type="dxa"/>
            <w:tcBorders>
              <w:top w:val="nil"/>
              <w:left w:val="nil"/>
              <w:bottom w:val="single" w:sz="4" w:space="0" w:color="auto"/>
              <w:right w:val="single" w:sz="4" w:space="0" w:color="auto"/>
            </w:tcBorders>
            <w:shd w:val="clear" w:color="auto" w:fill="auto"/>
            <w:vAlign w:val="center"/>
            <w:hideMark/>
          </w:tcPr>
          <w:p w14:paraId="0428CC1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2C2A756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C2A4085" w14:textId="77777777" w:rsidTr="00FD23DE">
        <w:trPr>
          <w:trHeight w:val="264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9C412E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19.5</w:t>
            </w:r>
          </w:p>
        </w:tc>
        <w:tc>
          <w:tcPr>
            <w:tcW w:w="5514" w:type="dxa"/>
            <w:tcBorders>
              <w:top w:val="nil"/>
              <w:left w:val="nil"/>
              <w:bottom w:val="single" w:sz="4" w:space="0" w:color="auto"/>
              <w:right w:val="single" w:sz="4" w:space="0" w:color="auto"/>
            </w:tcBorders>
            <w:shd w:val="clear" w:color="auto" w:fill="auto"/>
            <w:vAlign w:val="center"/>
            <w:hideMark/>
          </w:tcPr>
          <w:p w14:paraId="5215785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skale do oceny stanu neurologicznego, co najmniej:</w:t>
            </w:r>
            <w:r w:rsidRPr="00CF3752">
              <w:rPr>
                <w:rFonts w:eastAsia="Times New Roman" w:cstheme="minorHAnsi"/>
                <w:lang w:eastAsia="pl-PL"/>
              </w:rPr>
              <w:br/>
              <w:t>- RASS</w:t>
            </w:r>
            <w:r w:rsidRPr="00CF3752">
              <w:rPr>
                <w:rFonts w:eastAsia="Times New Roman" w:cstheme="minorHAnsi"/>
                <w:lang w:eastAsia="pl-PL"/>
              </w:rPr>
              <w:br/>
              <w:t>- Ramsay</w:t>
            </w:r>
            <w:r w:rsidRPr="00CF3752">
              <w:rPr>
                <w:rFonts w:eastAsia="Times New Roman" w:cstheme="minorHAnsi"/>
                <w:lang w:eastAsia="pl-PL"/>
              </w:rPr>
              <w:br/>
              <w:t>- FOUR</w:t>
            </w:r>
            <w:r w:rsidRPr="00CF3752">
              <w:rPr>
                <w:rFonts w:eastAsia="Times New Roman" w:cstheme="minorHAnsi"/>
                <w:lang w:eastAsia="pl-PL"/>
              </w:rPr>
              <w:br/>
              <w:t>- SAS</w:t>
            </w:r>
            <w:r w:rsidRPr="00CF3752">
              <w:rPr>
                <w:rFonts w:eastAsia="Times New Roman" w:cstheme="minorHAnsi"/>
                <w:lang w:eastAsia="pl-PL"/>
              </w:rPr>
              <w:br/>
              <w:t>- CAM-ICU</w:t>
            </w:r>
            <w:r w:rsidRPr="00CF3752">
              <w:rPr>
                <w:rFonts w:eastAsia="Times New Roman" w:cstheme="minorHAnsi"/>
                <w:lang w:eastAsia="pl-PL"/>
              </w:rPr>
              <w:br/>
              <w:t>- COWS</w:t>
            </w:r>
            <w:r w:rsidRPr="00CF3752">
              <w:rPr>
                <w:rFonts w:eastAsia="Times New Roman" w:cstheme="minorHAnsi"/>
                <w:lang w:eastAsia="pl-PL"/>
              </w:rPr>
              <w:br/>
              <w:t>- POSS</w:t>
            </w:r>
            <w:r w:rsidRPr="00CF3752">
              <w:rPr>
                <w:rFonts w:eastAsia="Times New Roman" w:cstheme="minorHAnsi"/>
                <w:lang w:eastAsia="pl-PL"/>
              </w:rPr>
              <w:br/>
              <w:t>- GCS</w:t>
            </w:r>
            <w:r w:rsidRPr="00CF3752">
              <w:rPr>
                <w:rFonts w:eastAsia="Times New Roman" w:cstheme="minorHAnsi"/>
                <w:lang w:eastAsia="pl-PL"/>
              </w:rPr>
              <w:br/>
              <w:t>- NIHSS</w:t>
            </w:r>
          </w:p>
        </w:tc>
        <w:tc>
          <w:tcPr>
            <w:tcW w:w="1133" w:type="dxa"/>
            <w:tcBorders>
              <w:top w:val="nil"/>
              <w:left w:val="nil"/>
              <w:bottom w:val="single" w:sz="4" w:space="0" w:color="auto"/>
              <w:right w:val="single" w:sz="4" w:space="0" w:color="auto"/>
            </w:tcBorders>
            <w:shd w:val="clear" w:color="auto" w:fill="auto"/>
            <w:vAlign w:val="center"/>
            <w:hideMark/>
          </w:tcPr>
          <w:p w14:paraId="1CB66E5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DB38CB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0494637"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BF9E15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19.6</w:t>
            </w:r>
          </w:p>
        </w:tc>
        <w:tc>
          <w:tcPr>
            <w:tcW w:w="5514" w:type="dxa"/>
            <w:tcBorders>
              <w:top w:val="nil"/>
              <w:left w:val="nil"/>
              <w:bottom w:val="single" w:sz="4" w:space="0" w:color="auto"/>
              <w:right w:val="single" w:sz="4" w:space="0" w:color="auto"/>
            </w:tcBorders>
            <w:shd w:val="clear" w:color="auto" w:fill="auto"/>
            <w:vAlign w:val="center"/>
            <w:hideMark/>
          </w:tcPr>
          <w:p w14:paraId="4C46BB32" w14:textId="77777777" w:rsidR="00CB3017" w:rsidRPr="00CF3752" w:rsidRDefault="00CB3017" w:rsidP="00880B0C">
            <w:pPr>
              <w:spacing w:after="0" w:line="240" w:lineRule="auto"/>
              <w:rPr>
                <w:rFonts w:eastAsia="Times New Roman" w:cstheme="minorHAnsi"/>
                <w:lang w:val="en-US" w:eastAsia="pl-PL"/>
              </w:rPr>
            </w:pPr>
            <w:proofErr w:type="spellStart"/>
            <w:r w:rsidRPr="00CF3752">
              <w:rPr>
                <w:rFonts w:eastAsia="Times New Roman" w:cstheme="minorHAnsi"/>
                <w:lang w:val="en-US" w:eastAsia="pl-PL"/>
              </w:rPr>
              <w:t>Zaimplementowane</w:t>
            </w:r>
            <w:proofErr w:type="spellEnd"/>
            <w:r w:rsidRPr="00CF3752">
              <w:rPr>
                <w:rFonts w:eastAsia="Times New Roman" w:cstheme="minorHAnsi"/>
                <w:lang w:val="en-US" w:eastAsia="pl-PL"/>
              </w:rPr>
              <w:t xml:space="preserve"> </w:t>
            </w:r>
            <w:proofErr w:type="spellStart"/>
            <w:r w:rsidRPr="00CF3752">
              <w:rPr>
                <w:rFonts w:eastAsia="Times New Roman" w:cstheme="minorHAnsi"/>
                <w:lang w:val="en-US" w:eastAsia="pl-PL"/>
              </w:rPr>
              <w:t>skale</w:t>
            </w:r>
            <w:proofErr w:type="spellEnd"/>
            <w:r w:rsidRPr="00CF3752">
              <w:rPr>
                <w:rFonts w:eastAsia="Times New Roman" w:cstheme="minorHAnsi"/>
                <w:lang w:val="en-US" w:eastAsia="pl-PL"/>
              </w:rPr>
              <w:t xml:space="preserve"> </w:t>
            </w:r>
            <w:proofErr w:type="spellStart"/>
            <w:r w:rsidRPr="00CF3752">
              <w:rPr>
                <w:rFonts w:eastAsia="Times New Roman" w:cstheme="minorHAnsi"/>
                <w:lang w:val="en-US" w:eastAsia="pl-PL"/>
              </w:rPr>
              <w:t>oceny</w:t>
            </w:r>
            <w:proofErr w:type="spellEnd"/>
            <w:r w:rsidRPr="00CF3752">
              <w:rPr>
                <w:rFonts w:eastAsia="Times New Roman" w:cstheme="minorHAnsi"/>
                <w:lang w:val="en-US" w:eastAsia="pl-PL"/>
              </w:rPr>
              <w:t xml:space="preserve"> </w:t>
            </w:r>
            <w:proofErr w:type="spellStart"/>
            <w:r w:rsidRPr="00CF3752">
              <w:rPr>
                <w:rFonts w:eastAsia="Times New Roman" w:cstheme="minorHAnsi"/>
                <w:lang w:val="en-US" w:eastAsia="pl-PL"/>
              </w:rPr>
              <w:t>bólu</w:t>
            </w:r>
            <w:proofErr w:type="spellEnd"/>
            <w:r w:rsidRPr="00CF3752">
              <w:rPr>
                <w:rFonts w:eastAsia="Times New Roman" w:cstheme="minorHAnsi"/>
                <w:lang w:val="en-US" w:eastAsia="pl-PL"/>
              </w:rPr>
              <w:t xml:space="preserve">, co </w:t>
            </w:r>
            <w:proofErr w:type="spellStart"/>
            <w:r w:rsidRPr="00CF3752">
              <w:rPr>
                <w:rFonts w:eastAsia="Times New Roman" w:cstheme="minorHAnsi"/>
                <w:lang w:val="en-US" w:eastAsia="pl-PL"/>
              </w:rPr>
              <w:t>najmniej</w:t>
            </w:r>
            <w:proofErr w:type="spellEnd"/>
            <w:r w:rsidRPr="00CF3752">
              <w:rPr>
                <w:rFonts w:eastAsia="Times New Roman" w:cstheme="minorHAnsi"/>
                <w:lang w:val="en-US" w:eastAsia="pl-PL"/>
              </w:rPr>
              <w:t>:</w:t>
            </w:r>
            <w:r w:rsidRPr="00CF3752">
              <w:rPr>
                <w:rFonts w:eastAsia="Times New Roman" w:cstheme="minorHAnsi"/>
                <w:lang w:val="en-US" w:eastAsia="pl-PL"/>
              </w:rPr>
              <w:br/>
              <w:t>- BPS (Behavioral Pain Scale)</w:t>
            </w:r>
            <w:r w:rsidRPr="00CF3752">
              <w:rPr>
                <w:rFonts w:eastAsia="Times New Roman" w:cstheme="minorHAnsi"/>
                <w:lang w:val="en-US" w:eastAsia="pl-PL"/>
              </w:rPr>
              <w:br/>
              <w:t>- VAS (Visual Analog Scale)</w:t>
            </w:r>
            <w:r w:rsidRPr="00CF3752">
              <w:rPr>
                <w:rFonts w:eastAsia="Times New Roman" w:cstheme="minorHAnsi"/>
                <w:lang w:val="en-US" w:eastAsia="pl-PL"/>
              </w:rPr>
              <w:br/>
              <w:t>- CPOT (Critical Pain Observation Tool)</w:t>
            </w:r>
            <w:r w:rsidRPr="00CF3752">
              <w:rPr>
                <w:rFonts w:eastAsia="Times New Roman" w:cstheme="minorHAnsi"/>
                <w:lang w:val="en-US" w:eastAsia="pl-PL"/>
              </w:rPr>
              <w:br/>
              <w:t>- NPRS (Numeric Pain Rating Scale)</w:t>
            </w:r>
            <w:r w:rsidRPr="00CF3752">
              <w:rPr>
                <w:rFonts w:eastAsia="Times New Roman" w:cstheme="minorHAnsi"/>
                <w:lang w:val="en-US" w:eastAsia="pl-PL"/>
              </w:rPr>
              <w:br/>
              <w:t>- NVPS (Nonverbal Pain Scale)</w:t>
            </w:r>
          </w:p>
        </w:tc>
        <w:tc>
          <w:tcPr>
            <w:tcW w:w="1133" w:type="dxa"/>
            <w:tcBorders>
              <w:top w:val="nil"/>
              <w:left w:val="nil"/>
              <w:bottom w:val="single" w:sz="4" w:space="0" w:color="auto"/>
              <w:right w:val="single" w:sz="4" w:space="0" w:color="auto"/>
            </w:tcBorders>
            <w:shd w:val="clear" w:color="auto" w:fill="auto"/>
            <w:vAlign w:val="center"/>
            <w:hideMark/>
          </w:tcPr>
          <w:p w14:paraId="508838E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4FC5B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D0451F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617808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19.7</w:t>
            </w:r>
          </w:p>
        </w:tc>
        <w:tc>
          <w:tcPr>
            <w:tcW w:w="5514" w:type="dxa"/>
            <w:tcBorders>
              <w:top w:val="nil"/>
              <w:left w:val="nil"/>
              <w:bottom w:val="single" w:sz="4" w:space="0" w:color="auto"/>
              <w:right w:val="single" w:sz="4" w:space="0" w:color="auto"/>
            </w:tcBorders>
            <w:shd w:val="clear" w:color="auto" w:fill="auto"/>
            <w:vAlign w:val="center"/>
            <w:hideMark/>
          </w:tcPr>
          <w:p w14:paraId="4EA9842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Zaimplementowane skale oceny stanu nerek pacjenta, co najmniej: </w:t>
            </w:r>
            <w:r w:rsidRPr="00CF3752">
              <w:rPr>
                <w:rFonts w:eastAsia="Times New Roman" w:cstheme="minorHAnsi"/>
                <w:lang w:eastAsia="pl-PL"/>
              </w:rPr>
              <w:br/>
              <w:t xml:space="preserve">- RIFLE </w:t>
            </w:r>
            <w:r w:rsidRPr="00CF3752">
              <w:rPr>
                <w:rFonts w:eastAsia="Times New Roman" w:cstheme="minorHAnsi"/>
                <w:lang w:eastAsia="pl-PL"/>
              </w:rPr>
              <w:br/>
              <w:t>- AKIN</w:t>
            </w:r>
          </w:p>
        </w:tc>
        <w:tc>
          <w:tcPr>
            <w:tcW w:w="1133" w:type="dxa"/>
            <w:tcBorders>
              <w:top w:val="nil"/>
              <w:left w:val="nil"/>
              <w:bottom w:val="single" w:sz="4" w:space="0" w:color="auto"/>
              <w:right w:val="single" w:sz="4" w:space="0" w:color="auto"/>
            </w:tcBorders>
            <w:shd w:val="clear" w:color="auto" w:fill="auto"/>
            <w:vAlign w:val="center"/>
            <w:hideMark/>
          </w:tcPr>
          <w:p w14:paraId="583F4A8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0F1AAA4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92C7A3D"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9C8820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19.8</w:t>
            </w:r>
          </w:p>
        </w:tc>
        <w:tc>
          <w:tcPr>
            <w:tcW w:w="5514" w:type="dxa"/>
            <w:tcBorders>
              <w:top w:val="nil"/>
              <w:left w:val="nil"/>
              <w:bottom w:val="single" w:sz="4" w:space="0" w:color="auto"/>
              <w:right w:val="single" w:sz="4" w:space="0" w:color="auto"/>
            </w:tcBorders>
            <w:shd w:val="clear" w:color="auto" w:fill="auto"/>
            <w:vAlign w:val="center"/>
            <w:hideMark/>
          </w:tcPr>
          <w:p w14:paraId="1C326EC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skale oceny stanu odżywiania, co najmniej:</w:t>
            </w:r>
            <w:r w:rsidRPr="00CF3752">
              <w:rPr>
                <w:rFonts w:eastAsia="Times New Roman" w:cstheme="minorHAnsi"/>
                <w:lang w:eastAsia="pl-PL"/>
              </w:rPr>
              <w:br/>
              <w:t xml:space="preserve">- MUST </w:t>
            </w:r>
            <w:r w:rsidRPr="00CF3752">
              <w:rPr>
                <w:rFonts w:eastAsia="Times New Roman" w:cstheme="minorHAnsi"/>
                <w:lang w:eastAsia="pl-PL"/>
              </w:rPr>
              <w:br/>
              <w:t>- NUTRIC</w:t>
            </w:r>
            <w:r w:rsidRPr="00CF3752">
              <w:rPr>
                <w:rFonts w:eastAsia="Times New Roman" w:cstheme="minorHAnsi"/>
                <w:lang w:eastAsia="pl-PL"/>
              </w:rPr>
              <w:br/>
              <w:t>- NRS 2002</w:t>
            </w:r>
            <w:r w:rsidRPr="00CF3752">
              <w:rPr>
                <w:rFonts w:eastAsia="Times New Roman" w:cstheme="minorHAnsi"/>
                <w:lang w:eastAsia="pl-PL"/>
              </w:rPr>
              <w:br/>
              <w:t>- SGA</w:t>
            </w:r>
          </w:p>
        </w:tc>
        <w:tc>
          <w:tcPr>
            <w:tcW w:w="1133" w:type="dxa"/>
            <w:tcBorders>
              <w:top w:val="nil"/>
              <w:left w:val="nil"/>
              <w:bottom w:val="single" w:sz="4" w:space="0" w:color="auto"/>
              <w:right w:val="single" w:sz="4" w:space="0" w:color="auto"/>
            </w:tcBorders>
            <w:shd w:val="clear" w:color="auto" w:fill="auto"/>
            <w:vAlign w:val="center"/>
            <w:hideMark/>
          </w:tcPr>
          <w:p w14:paraId="55D1003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4E03219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DFE5F9E"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A5A74F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19.9</w:t>
            </w:r>
          </w:p>
        </w:tc>
        <w:tc>
          <w:tcPr>
            <w:tcW w:w="5514" w:type="dxa"/>
            <w:tcBorders>
              <w:top w:val="nil"/>
              <w:left w:val="nil"/>
              <w:bottom w:val="single" w:sz="4" w:space="0" w:color="auto"/>
              <w:right w:val="single" w:sz="4" w:space="0" w:color="auto"/>
            </w:tcBorders>
            <w:shd w:val="clear" w:color="auto" w:fill="auto"/>
            <w:vAlign w:val="center"/>
            <w:hideMark/>
          </w:tcPr>
          <w:p w14:paraId="2B4501E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Zaimplementowana skala dedykowana do oceny mobilności pacjenta, co najmniej:</w:t>
            </w:r>
            <w:r w:rsidRPr="00CF3752">
              <w:rPr>
                <w:rFonts w:eastAsia="Times New Roman" w:cstheme="minorHAnsi"/>
                <w:lang w:eastAsia="pl-PL"/>
              </w:rPr>
              <w:br/>
              <w:t>- MRC</w:t>
            </w:r>
            <w:r w:rsidRPr="00CF3752">
              <w:rPr>
                <w:rFonts w:eastAsia="Times New Roman" w:cstheme="minorHAnsi"/>
                <w:lang w:eastAsia="pl-PL"/>
              </w:rPr>
              <w:br/>
              <w:t>- Skala mobilności</w:t>
            </w:r>
          </w:p>
        </w:tc>
        <w:tc>
          <w:tcPr>
            <w:tcW w:w="1133" w:type="dxa"/>
            <w:tcBorders>
              <w:top w:val="nil"/>
              <w:left w:val="nil"/>
              <w:bottom w:val="single" w:sz="4" w:space="0" w:color="auto"/>
              <w:right w:val="single" w:sz="4" w:space="0" w:color="auto"/>
            </w:tcBorders>
            <w:shd w:val="clear" w:color="auto" w:fill="auto"/>
            <w:vAlign w:val="center"/>
            <w:hideMark/>
          </w:tcPr>
          <w:p w14:paraId="116748F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42673F9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68CFEFD" w14:textId="77777777" w:rsidTr="00FD23DE">
        <w:trPr>
          <w:trHeight w:val="184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2A6DDE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19.10</w:t>
            </w:r>
          </w:p>
        </w:tc>
        <w:tc>
          <w:tcPr>
            <w:tcW w:w="5514" w:type="dxa"/>
            <w:tcBorders>
              <w:top w:val="nil"/>
              <w:left w:val="nil"/>
              <w:bottom w:val="single" w:sz="4" w:space="0" w:color="auto"/>
              <w:right w:val="single" w:sz="4" w:space="0" w:color="auto"/>
            </w:tcBorders>
            <w:shd w:val="clear" w:color="auto" w:fill="auto"/>
            <w:vAlign w:val="center"/>
            <w:hideMark/>
          </w:tcPr>
          <w:p w14:paraId="069AE46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Zaimplementowane skale dedykowane do oceny stanu pacjentów z Covid-19, co najmniej:</w:t>
            </w:r>
            <w:r w:rsidRPr="00CF3752">
              <w:rPr>
                <w:rFonts w:eastAsia="Times New Roman" w:cstheme="minorHAnsi"/>
                <w:lang w:eastAsia="pl-PL"/>
              </w:rPr>
              <w:br/>
              <w:t>- 4C</w:t>
            </w:r>
            <w:r w:rsidRPr="00CF3752">
              <w:rPr>
                <w:rFonts w:eastAsia="Times New Roman" w:cstheme="minorHAnsi"/>
                <w:lang w:eastAsia="pl-PL"/>
              </w:rPr>
              <w:br/>
              <w:t>- BCRSS</w:t>
            </w:r>
            <w:r w:rsidRPr="00CF3752">
              <w:rPr>
                <w:rFonts w:eastAsia="Times New Roman" w:cstheme="minorHAnsi"/>
                <w:lang w:eastAsia="pl-PL"/>
              </w:rPr>
              <w:br/>
              <w:t xml:space="preserve">- </w:t>
            </w:r>
            <w:proofErr w:type="spellStart"/>
            <w:r w:rsidRPr="00CF3752">
              <w:rPr>
                <w:rFonts w:eastAsia="Times New Roman" w:cstheme="minorHAnsi"/>
                <w:lang w:eastAsia="pl-PL"/>
              </w:rPr>
              <w:t>qCSI</w:t>
            </w:r>
            <w:proofErr w:type="spellEnd"/>
            <w:r w:rsidRPr="00CF3752">
              <w:rPr>
                <w:rFonts w:eastAsia="Times New Roman" w:cstheme="minorHAnsi"/>
                <w:lang w:eastAsia="pl-PL"/>
              </w:rPr>
              <w:br/>
              <w:t>- H-</w:t>
            </w:r>
            <w:proofErr w:type="spellStart"/>
            <w:r w:rsidRPr="00CF3752">
              <w:rPr>
                <w:rFonts w:eastAsia="Times New Roman" w:cstheme="minorHAnsi"/>
                <w:lang w:eastAsia="pl-PL"/>
              </w:rPr>
              <w:t>Score</w:t>
            </w:r>
            <w:proofErr w:type="spellEnd"/>
            <w:r w:rsidRPr="00CF3752">
              <w:rPr>
                <w:rFonts w:eastAsia="Times New Roman" w:cstheme="minorHAnsi"/>
                <w:lang w:eastAsia="pl-PL"/>
              </w:rPr>
              <w:br/>
              <w:t>- Horowitz Index</w:t>
            </w:r>
          </w:p>
        </w:tc>
        <w:tc>
          <w:tcPr>
            <w:tcW w:w="1133" w:type="dxa"/>
            <w:tcBorders>
              <w:top w:val="nil"/>
              <w:left w:val="nil"/>
              <w:bottom w:val="single" w:sz="4" w:space="0" w:color="auto"/>
              <w:right w:val="single" w:sz="4" w:space="0" w:color="auto"/>
            </w:tcBorders>
            <w:shd w:val="clear" w:color="auto" w:fill="auto"/>
            <w:vAlign w:val="center"/>
            <w:hideMark/>
          </w:tcPr>
          <w:p w14:paraId="7F38C0A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3F435E7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5C492AD" w14:textId="77777777" w:rsidTr="00FD23DE">
        <w:trPr>
          <w:trHeight w:val="264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A1EE30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19.11</w:t>
            </w:r>
          </w:p>
        </w:tc>
        <w:tc>
          <w:tcPr>
            <w:tcW w:w="5514" w:type="dxa"/>
            <w:tcBorders>
              <w:top w:val="nil"/>
              <w:left w:val="nil"/>
              <w:bottom w:val="single" w:sz="4" w:space="0" w:color="auto"/>
              <w:right w:val="single" w:sz="4" w:space="0" w:color="auto"/>
            </w:tcBorders>
            <w:shd w:val="clear" w:color="auto" w:fill="auto"/>
            <w:vAlign w:val="center"/>
            <w:hideMark/>
          </w:tcPr>
          <w:p w14:paraId="4DF7BF4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zarządzania badaniami laboratoryjnymi obejmuje dokumentowanie minimum:</w:t>
            </w:r>
            <w:r w:rsidRPr="00CF3752">
              <w:rPr>
                <w:rFonts w:eastAsia="Times New Roman" w:cstheme="minorHAnsi"/>
                <w:lang w:eastAsia="pl-PL"/>
              </w:rPr>
              <w:br/>
              <w:t>- paskowego testu moczu</w:t>
            </w:r>
            <w:r w:rsidRPr="00CF3752">
              <w:rPr>
                <w:rFonts w:eastAsia="Times New Roman" w:cstheme="minorHAnsi"/>
                <w:lang w:eastAsia="pl-PL"/>
              </w:rPr>
              <w:br/>
              <w:t>- testu kapilarnego glukozy</w:t>
            </w:r>
            <w:r w:rsidRPr="00CF3752">
              <w:rPr>
                <w:rFonts w:eastAsia="Times New Roman" w:cstheme="minorHAnsi"/>
                <w:lang w:eastAsia="pl-PL"/>
              </w:rPr>
              <w:br/>
              <w:t>- testu kapilarnego hemoglobiny</w:t>
            </w:r>
            <w:r w:rsidRPr="00CF3752">
              <w:rPr>
                <w:rFonts w:eastAsia="Times New Roman" w:cstheme="minorHAnsi"/>
                <w:lang w:eastAsia="pl-PL"/>
              </w:rPr>
              <w:br/>
              <w:t>- test moczu HCG</w:t>
            </w:r>
            <w:r w:rsidRPr="00CF3752">
              <w:rPr>
                <w:rFonts w:eastAsia="Times New Roman" w:cstheme="minorHAnsi"/>
                <w:lang w:eastAsia="pl-PL"/>
              </w:rPr>
              <w:br/>
              <w:t>- mikrobiologii</w:t>
            </w:r>
            <w:r w:rsidRPr="00CF3752">
              <w:rPr>
                <w:rFonts w:eastAsia="Times New Roman" w:cstheme="minorHAnsi"/>
                <w:lang w:eastAsia="pl-PL"/>
              </w:rPr>
              <w:br/>
              <w:t>- kalkulator luki anionowej - ocena stanu kwasicy metabolicznej</w:t>
            </w:r>
            <w:r w:rsidRPr="00CF3752">
              <w:rPr>
                <w:rFonts w:eastAsia="Times New Roman" w:cstheme="minorHAnsi"/>
                <w:lang w:eastAsia="pl-PL"/>
              </w:rPr>
              <w:br/>
              <w:t>- kalkulator neutrofilowo-limfocytarny (NLR) do obliczeń stosunku neutrofili do limfocytów</w:t>
            </w:r>
          </w:p>
        </w:tc>
        <w:tc>
          <w:tcPr>
            <w:tcW w:w="1133" w:type="dxa"/>
            <w:tcBorders>
              <w:top w:val="nil"/>
              <w:left w:val="nil"/>
              <w:bottom w:val="single" w:sz="4" w:space="0" w:color="auto"/>
              <w:right w:val="single" w:sz="4" w:space="0" w:color="auto"/>
            </w:tcBorders>
            <w:shd w:val="clear" w:color="auto" w:fill="auto"/>
            <w:vAlign w:val="center"/>
            <w:hideMark/>
          </w:tcPr>
          <w:p w14:paraId="34721B2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888738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D6C25A4" w14:textId="77777777" w:rsidTr="00FD23DE">
        <w:trPr>
          <w:trHeight w:val="211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13BDD2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19.12</w:t>
            </w:r>
          </w:p>
        </w:tc>
        <w:tc>
          <w:tcPr>
            <w:tcW w:w="5514" w:type="dxa"/>
            <w:tcBorders>
              <w:top w:val="nil"/>
              <w:left w:val="nil"/>
              <w:bottom w:val="single" w:sz="4" w:space="0" w:color="auto"/>
              <w:right w:val="single" w:sz="4" w:space="0" w:color="auto"/>
            </w:tcBorders>
            <w:shd w:val="clear" w:color="auto" w:fill="auto"/>
            <w:vAlign w:val="center"/>
            <w:hideMark/>
          </w:tcPr>
          <w:p w14:paraId="109EEC2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Dokumentacja medyczna lekarska obejmuje m.in:</w:t>
            </w:r>
            <w:r w:rsidRPr="00CF3752">
              <w:rPr>
                <w:rFonts w:eastAsia="Times New Roman" w:cstheme="minorHAnsi"/>
                <w:lang w:eastAsia="pl-PL"/>
              </w:rPr>
              <w:br/>
              <w:t>- listy kontrolne zadań do wykonania</w:t>
            </w:r>
            <w:r w:rsidRPr="00CF3752">
              <w:rPr>
                <w:rFonts w:eastAsia="Times New Roman" w:cstheme="minorHAnsi"/>
                <w:lang w:eastAsia="pl-PL"/>
              </w:rPr>
              <w:br/>
              <w:t>- listy kontrolne przyjęcia lekarskiego</w:t>
            </w:r>
            <w:r w:rsidRPr="00CF3752">
              <w:rPr>
                <w:rFonts w:eastAsia="Times New Roman" w:cstheme="minorHAnsi"/>
                <w:lang w:eastAsia="pl-PL"/>
              </w:rPr>
              <w:br/>
              <w:t>- listy kontrolne wypisania lekarskiego</w:t>
            </w:r>
            <w:r w:rsidRPr="00CF3752">
              <w:rPr>
                <w:rFonts w:eastAsia="Times New Roman" w:cstheme="minorHAnsi"/>
                <w:lang w:eastAsia="pl-PL"/>
              </w:rPr>
              <w:br/>
              <w:t>- formularz oceny lekarskiej</w:t>
            </w:r>
            <w:r w:rsidRPr="00CF3752">
              <w:rPr>
                <w:rFonts w:eastAsia="Times New Roman" w:cstheme="minorHAnsi"/>
                <w:lang w:eastAsia="pl-PL"/>
              </w:rPr>
              <w:br/>
              <w:t>- formularz przyjęcia</w:t>
            </w:r>
            <w:r w:rsidRPr="00CF3752">
              <w:rPr>
                <w:rFonts w:eastAsia="Times New Roman" w:cstheme="minorHAnsi"/>
                <w:lang w:eastAsia="pl-PL"/>
              </w:rPr>
              <w:br/>
              <w:t>- formularz oceny dziennej</w:t>
            </w:r>
            <w:r w:rsidRPr="00CF3752">
              <w:rPr>
                <w:rFonts w:eastAsia="Times New Roman" w:cstheme="minorHAnsi"/>
                <w:lang w:eastAsia="pl-PL"/>
              </w:rPr>
              <w:br/>
              <w:t>- formularz wypisania</w:t>
            </w:r>
          </w:p>
        </w:tc>
        <w:tc>
          <w:tcPr>
            <w:tcW w:w="1133" w:type="dxa"/>
            <w:tcBorders>
              <w:top w:val="nil"/>
              <w:left w:val="nil"/>
              <w:bottom w:val="single" w:sz="4" w:space="0" w:color="auto"/>
              <w:right w:val="single" w:sz="4" w:space="0" w:color="auto"/>
            </w:tcBorders>
            <w:shd w:val="clear" w:color="auto" w:fill="auto"/>
            <w:vAlign w:val="center"/>
            <w:hideMark/>
          </w:tcPr>
          <w:p w14:paraId="3BD600E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1BEDD0B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8581146" w14:textId="77777777" w:rsidTr="00FD23DE">
        <w:trPr>
          <w:trHeight w:val="23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8ECCA6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19.13</w:t>
            </w:r>
          </w:p>
        </w:tc>
        <w:tc>
          <w:tcPr>
            <w:tcW w:w="5514" w:type="dxa"/>
            <w:tcBorders>
              <w:top w:val="nil"/>
              <w:left w:val="nil"/>
              <w:bottom w:val="single" w:sz="4" w:space="0" w:color="auto"/>
              <w:right w:val="single" w:sz="4" w:space="0" w:color="auto"/>
            </w:tcBorders>
            <w:shd w:val="clear" w:color="auto" w:fill="auto"/>
            <w:vAlign w:val="center"/>
            <w:hideMark/>
          </w:tcPr>
          <w:p w14:paraId="7F1E0312"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Dokumentacja medyczna pielęgniarska obejmuje m.in:</w:t>
            </w:r>
            <w:r w:rsidRPr="00CF3752">
              <w:rPr>
                <w:rFonts w:eastAsia="Times New Roman" w:cstheme="minorHAnsi"/>
                <w:lang w:eastAsia="pl-PL"/>
              </w:rPr>
              <w:br/>
              <w:t>- listy kontrolne przyjęcia pielęgniarskiego</w:t>
            </w:r>
            <w:r w:rsidRPr="00CF3752">
              <w:rPr>
                <w:rFonts w:eastAsia="Times New Roman" w:cstheme="minorHAnsi"/>
                <w:lang w:eastAsia="pl-PL"/>
              </w:rPr>
              <w:br/>
              <w:t>- listy kontrolne wypisania pielęgniarskiego</w:t>
            </w:r>
            <w:r w:rsidRPr="00CF3752">
              <w:rPr>
                <w:rFonts w:eastAsia="Times New Roman" w:cstheme="minorHAnsi"/>
                <w:lang w:eastAsia="pl-PL"/>
              </w:rPr>
              <w:br/>
              <w:t>- lista kontrolna rozpoczęcia zmiany</w:t>
            </w:r>
            <w:r w:rsidRPr="00CF3752">
              <w:rPr>
                <w:rFonts w:eastAsia="Times New Roman" w:cstheme="minorHAnsi"/>
                <w:lang w:eastAsia="pl-PL"/>
              </w:rPr>
              <w:br/>
              <w:t>- lista kontrolna przekazania zmianowego</w:t>
            </w:r>
            <w:r w:rsidRPr="00CF3752">
              <w:rPr>
                <w:rFonts w:eastAsia="Times New Roman" w:cstheme="minorHAnsi"/>
                <w:lang w:eastAsia="pl-PL"/>
              </w:rPr>
              <w:br/>
              <w:t>- formularz oceny pielęgniarskiej</w:t>
            </w:r>
            <w:r w:rsidRPr="00CF3752">
              <w:rPr>
                <w:rFonts w:eastAsia="Times New Roman" w:cstheme="minorHAnsi"/>
                <w:lang w:eastAsia="pl-PL"/>
              </w:rPr>
              <w:br/>
              <w:t>- formularz podsumowania zmiany</w:t>
            </w:r>
            <w:r w:rsidRPr="00CF3752">
              <w:rPr>
                <w:rFonts w:eastAsia="Times New Roman" w:cstheme="minorHAnsi"/>
                <w:lang w:eastAsia="pl-PL"/>
              </w:rPr>
              <w:br/>
              <w:t>- formularz oceny dziennej</w:t>
            </w:r>
            <w:r w:rsidRPr="00CF3752">
              <w:rPr>
                <w:rFonts w:eastAsia="Times New Roman" w:cstheme="minorHAnsi"/>
                <w:lang w:eastAsia="pl-PL"/>
              </w:rPr>
              <w:br/>
              <w:t>- formularz wypisania</w:t>
            </w:r>
          </w:p>
        </w:tc>
        <w:tc>
          <w:tcPr>
            <w:tcW w:w="1133" w:type="dxa"/>
            <w:tcBorders>
              <w:top w:val="nil"/>
              <w:left w:val="nil"/>
              <w:bottom w:val="single" w:sz="4" w:space="0" w:color="auto"/>
              <w:right w:val="single" w:sz="4" w:space="0" w:color="auto"/>
            </w:tcBorders>
            <w:shd w:val="clear" w:color="auto" w:fill="auto"/>
            <w:vAlign w:val="center"/>
            <w:hideMark/>
          </w:tcPr>
          <w:p w14:paraId="3D68BD1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762A85B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CDF42E7"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59B7DF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19.14</w:t>
            </w:r>
          </w:p>
        </w:tc>
        <w:tc>
          <w:tcPr>
            <w:tcW w:w="5514" w:type="dxa"/>
            <w:tcBorders>
              <w:top w:val="nil"/>
              <w:left w:val="nil"/>
              <w:bottom w:val="single" w:sz="4" w:space="0" w:color="auto"/>
              <w:right w:val="single" w:sz="4" w:space="0" w:color="auto"/>
            </w:tcBorders>
            <w:shd w:val="clear" w:color="auto" w:fill="auto"/>
            <w:vAlign w:val="center"/>
            <w:hideMark/>
          </w:tcPr>
          <w:p w14:paraId="793CA79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Funkcja wsparcia doboru dawek leków pod kątem wydolności nerek i GFR.</w:t>
            </w:r>
          </w:p>
        </w:tc>
        <w:tc>
          <w:tcPr>
            <w:tcW w:w="1133" w:type="dxa"/>
            <w:tcBorders>
              <w:top w:val="nil"/>
              <w:left w:val="nil"/>
              <w:bottom w:val="single" w:sz="4" w:space="0" w:color="auto"/>
              <w:right w:val="single" w:sz="4" w:space="0" w:color="auto"/>
            </w:tcBorders>
            <w:shd w:val="clear" w:color="auto" w:fill="auto"/>
            <w:vAlign w:val="center"/>
            <w:hideMark/>
          </w:tcPr>
          <w:p w14:paraId="26F6993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5D6167F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B8FDAC9" w14:textId="77777777" w:rsidTr="00FD23DE">
        <w:trPr>
          <w:trHeight w:val="290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C168AA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19.15</w:t>
            </w:r>
          </w:p>
        </w:tc>
        <w:tc>
          <w:tcPr>
            <w:tcW w:w="5514" w:type="dxa"/>
            <w:tcBorders>
              <w:top w:val="nil"/>
              <w:left w:val="nil"/>
              <w:bottom w:val="single" w:sz="4" w:space="0" w:color="auto"/>
              <w:right w:val="single" w:sz="4" w:space="0" w:color="auto"/>
            </w:tcBorders>
            <w:shd w:val="clear" w:color="auto" w:fill="auto"/>
            <w:vAlign w:val="center"/>
            <w:hideMark/>
          </w:tcPr>
          <w:p w14:paraId="27D1464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Zaawansowane funkcje planowania, zlecania i zarządzania zadaniami i procesami. Dostępne formularze dedykowane dla zleceń dotyczących m.in.:</w:t>
            </w:r>
            <w:r w:rsidRPr="00CF3752">
              <w:rPr>
                <w:rFonts w:eastAsia="Times New Roman" w:cstheme="minorHAnsi"/>
                <w:lang w:eastAsia="pl-PL"/>
              </w:rPr>
              <w:br/>
              <w:t xml:space="preserve">- dróg oddechowych i wentylacji (m.in intubacja, ocena gotowości do </w:t>
            </w:r>
            <w:proofErr w:type="spellStart"/>
            <w:r w:rsidRPr="00CF3752">
              <w:rPr>
                <w:rFonts w:eastAsia="Times New Roman" w:cstheme="minorHAnsi"/>
                <w:lang w:eastAsia="pl-PL"/>
              </w:rPr>
              <w:t>ekstubacji</w:t>
            </w:r>
            <w:proofErr w:type="spellEnd"/>
            <w:r w:rsidRPr="00CF3752">
              <w:rPr>
                <w:rFonts w:eastAsia="Times New Roman" w:cstheme="minorHAnsi"/>
                <w:lang w:eastAsia="pl-PL"/>
              </w:rPr>
              <w:t>, tracheostomia, USG płuc, bronchoskopia)</w:t>
            </w:r>
            <w:r w:rsidRPr="00CF3752">
              <w:rPr>
                <w:rFonts w:eastAsia="Times New Roman" w:cstheme="minorHAnsi"/>
                <w:lang w:eastAsia="pl-PL"/>
              </w:rPr>
              <w:br/>
              <w:t>- dializ</w:t>
            </w:r>
            <w:r w:rsidRPr="00CF3752">
              <w:rPr>
                <w:rFonts w:eastAsia="Times New Roman" w:cstheme="minorHAnsi"/>
                <w:lang w:eastAsia="pl-PL"/>
              </w:rPr>
              <w:br/>
              <w:t>- wkłuć i cewników</w:t>
            </w:r>
            <w:r w:rsidRPr="00CF3752">
              <w:rPr>
                <w:rFonts w:eastAsia="Times New Roman" w:cstheme="minorHAnsi"/>
                <w:lang w:eastAsia="pl-PL"/>
              </w:rPr>
              <w:br/>
              <w:t xml:space="preserve">- ran, drenów, </w:t>
            </w:r>
            <w:proofErr w:type="spellStart"/>
            <w:r w:rsidRPr="00CF3752">
              <w:rPr>
                <w:rFonts w:eastAsia="Times New Roman" w:cstheme="minorHAnsi"/>
                <w:lang w:eastAsia="pl-PL"/>
              </w:rPr>
              <w:t>stomii</w:t>
            </w:r>
            <w:proofErr w:type="spellEnd"/>
            <w:r w:rsidRPr="00CF3752">
              <w:rPr>
                <w:rFonts w:eastAsia="Times New Roman" w:cstheme="minorHAnsi"/>
                <w:lang w:eastAsia="pl-PL"/>
              </w:rPr>
              <w:br/>
              <w:t>- zabiegów pielęgnacyjnych</w:t>
            </w:r>
            <w:r w:rsidRPr="00CF3752">
              <w:rPr>
                <w:rFonts w:eastAsia="Times New Roman" w:cstheme="minorHAnsi"/>
                <w:lang w:eastAsia="pl-PL"/>
              </w:rPr>
              <w:br/>
              <w:t>- badań laboratoryjnych</w:t>
            </w:r>
            <w:r w:rsidRPr="00CF3752">
              <w:rPr>
                <w:rFonts w:eastAsia="Times New Roman" w:cstheme="minorHAnsi"/>
                <w:lang w:eastAsia="pl-PL"/>
              </w:rPr>
              <w:br/>
              <w:t>- badań radiologicznych</w:t>
            </w:r>
          </w:p>
        </w:tc>
        <w:tc>
          <w:tcPr>
            <w:tcW w:w="1133" w:type="dxa"/>
            <w:tcBorders>
              <w:top w:val="nil"/>
              <w:left w:val="nil"/>
              <w:bottom w:val="single" w:sz="4" w:space="0" w:color="auto"/>
              <w:right w:val="single" w:sz="4" w:space="0" w:color="auto"/>
            </w:tcBorders>
            <w:shd w:val="clear" w:color="auto" w:fill="auto"/>
            <w:vAlign w:val="center"/>
            <w:hideMark/>
          </w:tcPr>
          <w:p w14:paraId="22824BC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7BA1719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C2B743D"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8C959E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19.16</w:t>
            </w:r>
          </w:p>
        </w:tc>
        <w:tc>
          <w:tcPr>
            <w:tcW w:w="5514" w:type="dxa"/>
            <w:tcBorders>
              <w:top w:val="nil"/>
              <w:left w:val="nil"/>
              <w:bottom w:val="single" w:sz="4" w:space="0" w:color="auto"/>
              <w:right w:val="single" w:sz="4" w:space="0" w:color="auto"/>
            </w:tcBorders>
            <w:shd w:val="clear" w:color="auto" w:fill="auto"/>
            <w:vAlign w:val="center"/>
            <w:hideMark/>
          </w:tcPr>
          <w:p w14:paraId="3F8B3A7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dedykowany dla badania na Covid-19.</w:t>
            </w:r>
          </w:p>
        </w:tc>
        <w:tc>
          <w:tcPr>
            <w:tcW w:w="1133" w:type="dxa"/>
            <w:tcBorders>
              <w:top w:val="nil"/>
              <w:left w:val="nil"/>
              <w:bottom w:val="single" w:sz="4" w:space="0" w:color="auto"/>
              <w:right w:val="single" w:sz="4" w:space="0" w:color="auto"/>
            </w:tcBorders>
            <w:shd w:val="clear" w:color="auto" w:fill="auto"/>
            <w:vAlign w:val="center"/>
            <w:hideMark/>
          </w:tcPr>
          <w:p w14:paraId="5B4E42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4661B2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1CD6275"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A172B4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19.17</w:t>
            </w:r>
          </w:p>
        </w:tc>
        <w:tc>
          <w:tcPr>
            <w:tcW w:w="5514" w:type="dxa"/>
            <w:tcBorders>
              <w:top w:val="nil"/>
              <w:left w:val="nil"/>
              <w:bottom w:val="single" w:sz="4" w:space="0" w:color="auto"/>
              <w:right w:val="single" w:sz="4" w:space="0" w:color="auto"/>
            </w:tcBorders>
            <w:shd w:val="clear" w:color="auto" w:fill="auto"/>
            <w:vAlign w:val="center"/>
            <w:hideMark/>
          </w:tcPr>
          <w:p w14:paraId="15E49BA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Funkcja dokumentowania przebiegu infekcji zapewniająca widok charakterystycznych dla infekcji markerów (temperatura, HR, wartość średnia ciśnienia tętniczego, poziom leukocytów) skorelowany w czasie z wynikami badań laboratoryjnych, podawanymi lekami, parametrami funkcji życiowych, wynikami </w:t>
            </w:r>
            <w:proofErr w:type="spellStart"/>
            <w:r w:rsidRPr="00CF3752">
              <w:rPr>
                <w:rFonts w:eastAsia="Times New Roman" w:cstheme="minorHAnsi"/>
                <w:lang w:eastAsia="pl-PL"/>
              </w:rPr>
              <w:t>skal</w:t>
            </w:r>
            <w:proofErr w:type="spellEnd"/>
            <w:r w:rsidRPr="00CF3752">
              <w:rPr>
                <w:rFonts w:eastAsia="Times New Roman" w:cstheme="minorHAnsi"/>
                <w:lang w:eastAsia="pl-PL"/>
              </w:rPr>
              <w:t>, wykonywanymi wkłuciami itd.</w:t>
            </w:r>
          </w:p>
        </w:tc>
        <w:tc>
          <w:tcPr>
            <w:tcW w:w="1133" w:type="dxa"/>
            <w:tcBorders>
              <w:top w:val="nil"/>
              <w:left w:val="nil"/>
              <w:bottom w:val="single" w:sz="4" w:space="0" w:color="auto"/>
              <w:right w:val="single" w:sz="4" w:space="0" w:color="auto"/>
            </w:tcBorders>
            <w:shd w:val="clear" w:color="auto" w:fill="auto"/>
            <w:vAlign w:val="center"/>
            <w:hideMark/>
          </w:tcPr>
          <w:p w14:paraId="7E33895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A27BEB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A81F60F"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F46D76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19.18</w:t>
            </w:r>
          </w:p>
        </w:tc>
        <w:tc>
          <w:tcPr>
            <w:tcW w:w="5514" w:type="dxa"/>
            <w:tcBorders>
              <w:top w:val="nil"/>
              <w:left w:val="nil"/>
              <w:bottom w:val="single" w:sz="4" w:space="0" w:color="auto"/>
              <w:right w:val="single" w:sz="4" w:space="0" w:color="auto"/>
            </w:tcBorders>
            <w:shd w:val="clear" w:color="auto" w:fill="auto"/>
            <w:vAlign w:val="center"/>
            <w:hideMark/>
          </w:tcPr>
          <w:p w14:paraId="1BC26D6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planowania i zarządzania zadaniami oraz śledzenie nakładu pracy - przewidywany czasu trwania zadania i liczba zaangażowanego personelu medycznego.</w:t>
            </w:r>
          </w:p>
        </w:tc>
        <w:tc>
          <w:tcPr>
            <w:tcW w:w="1133" w:type="dxa"/>
            <w:tcBorders>
              <w:top w:val="nil"/>
              <w:left w:val="nil"/>
              <w:bottom w:val="single" w:sz="4" w:space="0" w:color="auto"/>
              <w:right w:val="single" w:sz="4" w:space="0" w:color="auto"/>
            </w:tcBorders>
            <w:shd w:val="clear" w:color="auto" w:fill="auto"/>
            <w:vAlign w:val="center"/>
            <w:hideMark/>
          </w:tcPr>
          <w:p w14:paraId="0CEBD0E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DB8EDA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F2DCEB3"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6C987D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19.19</w:t>
            </w:r>
          </w:p>
        </w:tc>
        <w:tc>
          <w:tcPr>
            <w:tcW w:w="5514" w:type="dxa"/>
            <w:tcBorders>
              <w:top w:val="nil"/>
              <w:left w:val="nil"/>
              <w:bottom w:val="single" w:sz="4" w:space="0" w:color="auto"/>
              <w:right w:val="single" w:sz="4" w:space="0" w:color="auto"/>
            </w:tcBorders>
            <w:shd w:val="clear" w:color="auto" w:fill="auto"/>
            <w:vAlign w:val="center"/>
            <w:hideMark/>
          </w:tcPr>
          <w:p w14:paraId="2C6D66F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Formularz do dokumentowania dziennych celów żywieniowych. Planowanie spożycia wody, kalorii, mikroskładników, elektrolitów, witamin.</w:t>
            </w:r>
          </w:p>
        </w:tc>
        <w:tc>
          <w:tcPr>
            <w:tcW w:w="1133" w:type="dxa"/>
            <w:tcBorders>
              <w:top w:val="nil"/>
              <w:left w:val="nil"/>
              <w:bottom w:val="single" w:sz="4" w:space="0" w:color="auto"/>
              <w:right w:val="single" w:sz="4" w:space="0" w:color="auto"/>
            </w:tcBorders>
            <w:shd w:val="clear" w:color="auto" w:fill="auto"/>
            <w:vAlign w:val="center"/>
            <w:hideMark/>
          </w:tcPr>
          <w:p w14:paraId="7C1441E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0307CB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BF55BC3" w14:textId="77777777" w:rsidTr="00FD23DE">
        <w:trPr>
          <w:trHeight w:val="255"/>
        </w:trPr>
        <w:tc>
          <w:tcPr>
            <w:tcW w:w="9634" w:type="dxa"/>
            <w:gridSpan w:val="4"/>
            <w:tcBorders>
              <w:top w:val="single" w:sz="4" w:space="0" w:color="auto"/>
              <w:left w:val="single" w:sz="4" w:space="0" w:color="auto"/>
              <w:bottom w:val="single" w:sz="4" w:space="0" w:color="auto"/>
              <w:right w:val="single" w:sz="4" w:space="0" w:color="auto"/>
            </w:tcBorders>
            <w:shd w:val="clear" w:color="auto" w:fill="E8E8E8"/>
            <w:vAlign w:val="center"/>
            <w:hideMark/>
          </w:tcPr>
          <w:p w14:paraId="2B5F8EC8" w14:textId="77777777" w:rsidR="00CB3017" w:rsidRPr="00CF3752" w:rsidRDefault="00CB3017" w:rsidP="00880B0C">
            <w:pPr>
              <w:spacing w:after="0" w:line="240" w:lineRule="auto"/>
              <w:jc w:val="center"/>
              <w:rPr>
                <w:rFonts w:eastAsia="Times New Roman" w:cstheme="minorHAnsi"/>
                <w:b/>
                <w:bCs/>
                <w:lang w:eastAsia="pl-PL"/>
              </w:rPr>
            </w:pPr>
            <w:r w:rsidRPr="00CF3752">
              <w:rPr>
                <w:rFonts w:eastAsia="Times New Roman" w:cstheme="minorHAnsi"/>
                <w:b/>
                <w:bCs/>
                <w:lang w:eastAsia="pl-PL"/>
              </w:rPr>
              <w:t>System CIS - Integracja</w:t>
            </w:r>
          </w:p>
        </w:tc>
      </w:tr>
      <w:tr w:rsidR="00CB3017" w:rsidRPr="00F8703A" w14:paraId="59B4887C"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ECDF7C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w:t>
            </w:r>
          </w:p>
        </w:tc>
        <w:tc>
          <w:tcPr>
            <w:tcW w:w="5514" w:type="dxa"/>
            <w:tcBorders>
              <w:top w:val="nil"/>
              <w:left w:val="nil"/>
              <w:bottom w:val="single" w:sz="4" w:space="0" w:color="auto"/>
              <w:right w:val="single" w:sz="4" w:space="0" w:color="auto"/>
            </w:tcBorders>
            <w:shd w:val="clear" w:color="auto" w:fill="auto"/>
            <w:vAlign w:val="center"/>
            <w:hideMark/>
          </w:tcPr>
          <w:p w14:paraId="1EA80A2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zostać zintegrowany z posiadanym przez Zamawiającego systemem HIS - Eskulap. Integracja musi zostać przeprowadzona przez Wykonawcę własnym kosztem i staraniem. Minimalny zakres integracji:</w:t>
            </w:r>
          </w:p>
        </w:tc>
        <w:tc>
          <w:tcPr>
            <w:tcW w:w="1133" w:type="dxa"/>
            <w:tcBorders>
              <w:top w:val="nil"/>
              <w:left w:val="nil"/>
              <w:bottom w:val="single" w:sz="4" w:space="0" w:color="auto"/>
              <w:right w:val="single" w:sz="4" w:space="0" w:color="auto"/>
            </w:tcBorders>
            <w:shd w:val="clear" w:color="auto" w:fill="auto"/>
            <w:vAlign w:val="center"/>
            <w:hideMark/>
          </w:tcPr>
          <w:p w14:paraId="2F9B3B9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14AB2A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F576CA9"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DE4D26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20.1.1</w:t>
            </w:r>
          </w:p>
        </w:tc>
        <w:tc>
          <w:tcPr>
            <w:tcW w:w="5514" w:type="dxa"/>
            <w:tcBorders>
              <w:top w:val="nil"/>
              <w:left w:val="nil"/>
              <w:bottom w:val="single" w:sz="4" w:space="0" w:color="auto"/>
              <w:right w:val="single" w:sz="4" w:space="0" w:color="auto"/>
            </w:tcBorders>
            <w:shd w:val="clear" w:color="auto" w:fill="auto"/>
            <w:hideMark/>
          </w:tcPr>
          <w:p w14:paraId="4E681BE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Pobieranie z systemu HIS w czasie rzeczywistym danych demograficznych pacjenta</w:t>
            </w:r>
          </w:p>
        </w:tc>
        <w:tc>
          <w:tcPr>
            <w:tcW w:w="1133" w:type="dxa"/>
            <w:tcBorders>
              <w:top w:val="nil"/>
              <w:left w:val="nil"/>
              <w:bottom w:val="single" w:sz="4" w:space="0" w:color="auto"/>
              <w:right w:val="single" w:sz="4" w:space="0" w:color="auto"/>
            </w:tcBorders>
            <w:shd w:val="clear" w:color="auto" w:fill="auto"/>
            <w:vAlign w:val="center"/>
            <w:hideMark/>
          </w:tcPr>
          <w:p w14:paraId="0B030AD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EC2B99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60E76D7"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7F08B2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20.1.2</w:t>
            </w:r>
          </w:p>
        </w:tc>
        <w:tc>
          <w:tcPr>
            <w:tcW w:w="5514" w:type="dxa"/>
            <w:tcBorders>
              <w:top w:val="nil"/>
              <w:left w:val="nil"/>
              <w:bottom w:val="single" w:sz="4" w:space="0" w:color="auto"/>
              <w:right w:val="single" w:sz="4" w:space="0" w:color="auto"/>
            </w:tcBorders>
            <w:shd w:val="clear" w:color="auto" w:fill="auto"/>
            <w:hideMark/>
          </w:tcPr>
          <w:p w14:paraId="221819E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Pobieranie z systemu HIS w czasie rzeczywistym danych o przyjęciu, przeniesieniu, wypisaniu</w:t>
            </w:r>
          </w:p>
        </w:tc>
        <w:tc>
          <w:tcPr>
            <w:tcW w:w="1133" w:type="dxa"/>
            <w:tcBorders>
              <w:top w:val="nil"/>
              <w:left w:val="nil"/>
              <w:bottom w:val="single" w:sz="4" w:space="0" w:color="auto"/>
              <w:right w:val="single" w:sz="4" w:space="0" w:color="auto"/>
            </w:tcBorders>
            <w:shd w:val="clear" w:color="auto" w:fill="auto"/>
            <w:vAlign w:val="center"/>
            <w:hideMark/>
          </w:tcPr>
          <w:p w14:paraId="11A5D97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29415A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F822A5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3F1D62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20.1.3</w:t>
            </w:r>
          </w:p>
        </w:tc>
        <w:tc>
          <w:tcPr>
            <w:tcW w:w="5514" w:type="dxa"/>
            <w:tcBorders>
              <w:top w:val="nil"/>
              <w:left w:val="nil"/>
              <w:bottom w:val="single" w:sz="4" w:space="0" w:color="auto"/>
              <w:right w:val="single" w:sz="4" w:space="0" w:color="auto"/>
            </w:tcBorders>
            <w:shd w:val="clear" w:color="auto" w:fill="auto"/>
            <w:vAlign w:val="center"/>
            <w:hideMark/>
          </w:tcPr>
          <w:p w14:paraId="3FB2151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Pobieranie z systemu HIS wyników badań min. laboratoryjnych i mikrobiologicznych z bieżącego pobytu</w:t>
            </w:r>
          </w:p>
        </w:tc>
        <w:tc>
          <w:tcPr>
            <w:tcW w:w="1133" w:type="dxa"/>
            <w:tcBorders>
              <w:top w:val="nil"/>
              <w:left w:val="nil"/>
              <w:bottom w:val="single" w:sz="4" w:space="0" w:color="auto"/>
              <w:right w:val="single" w:sz="4" w:space="0" w:color="auto"/>
            </w:tcBorders>
            <w:shd w:val="clear" w:color="auto" w:fill="auto"/>
            <w:vAlign w:val="center"/>
            <w:hideMark/>
          </w:tcPr>
          <w:p w14:paraId="2DDF517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B46359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33091F3"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F9EE84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20.1.4</w:t>
            </w:r>
          </w:p>
        </w:tc>
        <w:tc>
          <w:tcPr>
            <w:tcW w:w="5514" w:type="dxa"/>
            <w:tcBorders>
              <w:top w:val="nil"/>
              <w:left w:val="nil"/>
              <w:bottom w:val="single" w:sz="4" w:space="0" w:color="auto"/>
              <w:right w:val="single" w:sz="4" w:space="0" w:color="auto"/>
            </w:tcBorders>
            <w:shd w:val="clear" w:color="auto" w:fill="auto"/>
            <w:vAlign w:val="center"/>
            <w:hideMark/>
          </w:tcPr>
          <w:p w14:paraId="4E42C1B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Pobieranie z systemu HIS opisu badań radiologicznych z bieżącego pobytu</w:t>
            </w:r>
          </w:p>
        </w:tc>
        <w:tc>
          <w:tcPr>
            <w:tcW w:w="1133" w:type="dxa"/>
            <w:tcBorders>
              <w:top w:val="nil"/>
              <w:left w:val="nil"/>
              <w:bottom w:val="single" w:sz="4" w:space="0" w:color="auto"/>
              <w:right w:val="single" w:sz="4" w:space="0" w:color="auto"/>
            </w:tcBorders>
            <w:shd w:val="clear" w:color="auto" w:fill="auto"/>
            <w:vAlign w:val="center"/>
            <w:hideMark/>
          </w:tcPr>
          <w:p w14:paraId="720D767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986CB4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49CB21B"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95BCB2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20.1.5</w:t>
            </w:r>
          </w:p>
        </w:tc>
        <w:tc>
          <w:tcPr>
            <w:tcW w:w="5514" w:type="dxa"/>
            <w:tcBorders>
              <w:top w:val="nil"/>
              <w:left w:val="nil"/>
              <w:bottom w:val="single" w:sz="4" w:space="0" w:color="auto"/>
              <w:right w:val="single" w:sz="4" w:space="0" w:color="auto"/>
            </w:tcBorders>
            <w:shd w:val="clear" w:color="auto" w:fill="auto"/>
            <w:vAlign w:val="center"/>
            <w:hideMark/>
          </w:tcPr>
          <w:p w14:paraId="618C7F2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Pobieranie z systemu HIS z bieżącego pobytu min. badania przedmiotowego, podmiotowego, rozpoznania</w:t>
            </w:r>
          </w:p>
        </w:tc>
        <w:tc>
          <w:tcPr>
            <w:tcW w:w="1133" w:type="dxa"/>
            <w:tcBorders>
              <w:top w:val="nil"/>
              <w:left w:val="nil"/>
              <w:bottom w:val="single" w:sz="4" w:space="0" w:color="auto"/>
              <w:right w:val="single" w:sz="4" w:space="0" w:color="auto"/>
            </w:tcBorders>
            <w:shd w:val="clear" w:color="auto" w:fill="auto"/>
            <w:vAlign w:val="center"/>
            <w:hideMark/>
          </w:tcPr>
          <w:p w14:paraId="65F64CD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4EF8A6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3ABCB3C"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A69B43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20.1.6</w:t>
            </w:r>
          </w:p>
        </w:tc>
        <w:tc>
          <w:tcPr>
            <w:tcW w:w="5514" w:type="dxa"/>
            <w:tcBorders>
              <w:top w:val="nil"/>
              <w:left w:val="nil"/>
              <w:bottom w:val="single" w:sz="4" w:space="0" w:color="auto"/>
              <w:right w:val="single" w:sz="4" w:space="0" w:color="auto"/>
            </w:tcBorders>
            <w:shd w:val="clear" w:color="auto" w:fill="auto"/>
            <w:vAlign w:val="center"/>
            <w:hideMark/>
          </w:tcPr>
          <w:p w14:paraId="743365D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Pobieranie z systemu HIS z bieżącego pobytu min. zleconych leków, badań, procedur</w:t>
            </w:r>
          </w:p>
        </w:tc>
        <w:tc>
          <w:tcPr>
            <w:tcW w:w="1133" w:type="dxa"/>
            <w:tcBorders>
              <w:top w:val="nil"/>
              <w:left w:val="nil"/>
              <w:bottom w:val="single" w:sz="4" w:space="0" w:color="auto"/>
              <w:right w:val="single" w:sz="4" w:space="0" w:color="auto"/>
            </w:tcBorders>
            <w:shd w:val="clear" w:color="auto" w:fill="auto"/>
            <w:vAlign w:val="center"/>
            <w:hideMark/>
          </w:tcPr>
          <w:p w14:paraId="72D7BED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9C19CD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E0ED3CB"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0A0ADC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20.1.7</w:t>
            </w:r>
          </w:p>
        </w:tc>
        <w:tc>
          <w:tcPr>
            <w:tcW w:w="5514" w:type="dxa"/>
            <w:tcBorders>
              <w:top w:val="nil"/>
              <w:left w:val="nil"/>
              <w:bottom w:val="single" w:sz="4" w:space="0" w:color="auto"/>
              <w:right w:val="single" w:sz="4" w:space="0" w:color="auto"/>
            </w:tcBorders>
            <w:shd w:val="clear" w:color="auto" w:fill="auto"/>
            <w:vAlign w:val="center"/>
            <w:hideMark/>
          </w:tcPr>
          <w:p w14:paraId="4F37F4E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Pobieranie z systemu HIS w czasie rzeczywistym aktualnych leków wraz ze stanami z apteczki oddziałowej z ich nazwą handlową i międzynarodową oraz serią i jednostką miary</w:t>
            </w:r>
          </w:p>
        </w:tc>
        <w:tc>
          <w:tcPr>
            <w:tcW w:w="1133" w:type="dxa"/>
            <w:tcBorders>
              <w:top w:val="nil"/>
              <w:left w:val="nil"/>
              <w:bottom w:val="single" w:sz="4" w:space="0" w:color="auto"/>
              <w:right w:val="single" w:sz="4" w:space="0" w:color="auto"/>
            </w:tcBorders>
            <w:shd w:val="clear" w:color="auto" w:fill="auto"/>
            <w:vAlign w:val="center"/>
            <w:hideMark/>
          </w:tcPr>
          <w:p w14:paraId="30BBFA1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podać</w:t>
            </w:r>
          </w:p>
        </w:tc>
        <w:tc>
          <w:tcPr>
            <w:tcW w:w="2011" w:type="dxa"/>
            <w:tcBorders>
              <w:top w:val="nil"/>
              <w:left w:val="nil"/>
              <w:bottom w:val="single" w:sz="4" w:space="0" w:color="auto"/>
              <w:right w:val="single" w:sz="4" w:space="0" w:color="auto"/>
            </w:tcBorders>
            <w:shd w:val="clear" w:color="auto" w:fill="auto"/>
            <w:vAlign w:val="center"/>
            <w:hideMark/>
          </w:tcPr>
          <w:p w14:paraId="3675537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C87792A"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9DFE00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20.1.8</w:t>
            </w:r>
          </w:p>
        </w:tc>
        <w:tc>
          <w:tcPr>
            <w:tcW w:w="5514" w:type="dxa"/>
            <w:tcBorders>
              <w:top w:val="nil"/>
              <w:left w:val="nil"/>
              <w:bottom w:val="single" w:sz="4" w:space="0" w:color="auto"/>
              <w:right w:val="single" w:sz="4" w:space="0" w:color="auto"/>
            </w:tcBorders>
            <w:shd w:val="clear" w:color="auto" w:fill="auto"/>
            <w:vAlign w:val="center"/>
            <w:hideMark/>
          </w:tcPr>
          <w:p w14:paraId="0CA11DE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Wysyłanie do systemu HIS w czasie rzeczywistym informacji o min. przyjęciu, przeniesieniu, wypisaniu. Wysłanie informacji musi wywołać taki sam skutek w systemie HIS</w:t>
            </w:r>
          </w:p>
        </w:tc>
        <w:tc>
          <w:tcPr>
            <w:tcW w:w="1133" w:type="dxa"/>
            <w:tcBorders>
              <w:top w:val="nil"/>
              <w:left w:val="nil"/>
              <w:bottom w:val="single" w:sz="4" w:space="0" w:color="auto"/>
              <w:right w:val="single" w:sz="4" w:space="0" w:color="auto"/>
            </w:tcBorders>
            <w:shd w:val="clear" w:color="auto" w:fill="auto"/>
            <w:vAlign w:val="center"/>
            <w:hideMark/>
          </w:tcPr>
          <w:p w14:paraId="1C048F0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75EF6876"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w:t>
            </w:r>
          </w:p>
        </w:tc>
      </w:tr>
      <w:tr w:rsidR="00CB3017" w:rsidRPr="00F8703A" w14:paraId="05D54B84" w14:textId="77777777" w:rsidTr="00FD23DE">
        <w:trPr>
          <w:trHeight w:val="422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4403BA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20.1.9</w:t>
            </w:r>
          </w:p>
        </w:tc>
        <w:tc>
          <w:tcPr>
            <w:tcW w:w="5514" w:type="dxa"/>
            <w:tcBorders>
              <w:top w:val="nil"/>
              <w:left w:val="nil"/>
              <w:bottom w:val="single" w:sz="4" w:space="0" w:color="auto"/>
              <w:right w:val="single" w:sz="4" w:space="0" w:color="auto"/>
            </w:tcBorders>
            <w:shd w:val="clear" w:color="auto" w:fill="auto"/>
            <w:vAlign w:val="center"/>
            <w:hideMark/>
          </w:tcPr>
          <w:p w14:paraId="5F3DC8E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Wysyłanie do systemu HIS zleceń lekarskich i procedur celem udokumentowania leczenia i/lub kontynuacji leczenia na oddziale nie posiadającym systemu CIS. Wysłane informacje muszą umożliwić min. przekopiowanie zlecenia i oznaczenia jako aktualne.                      System CIS umożliwia przekazywanie do systemu HIS wpisów wprowadzanych w CIS, które mają swoje odwzorowanie w HIS, takich jak opisy zabiegów i znieczuleń oraz znaczniki czasu (m.in. początek i koniec zabiegu, godzina rozpoczęcia i zakończenia znieczulenia).</w:t>
            </w:r>
            <w:r w:rsidRPr="00CF3752">
              <w:rPr>
                <w:rFonts w:eastAsia="Times New Roman" w:cstheme="minorHAnsi"/>
                <w:lang w:eastAsia="pl-PL"/>
              </w:rPr>
              <w:br/>
            </w:r>
            <w:r w:rsidRPr="00CF3752">
              <w:rPr>
                <w:rFonts w:eastAsia="Times New Roman" w:cstheme="minorHAnsi"/>
                <w:lang w:eastAsia="pl-PL"/>
              </w:rPr>
              <w:br/>
              <w:t>System CIS monitoruje również czas utrzymywania każdego wkłucia i drenu oraz oferuje graficzną prezentację sylwetki człowieka, na której oznaczane są miejsca wkłuć, ran i odleżyn. Pielęgniarki prowadzą w systemie karty obserwacji wkłuć centralnych oraz ocenę odleżyn zgodnie z obowiązującymi skalami. Dane te są rejestrowane w CIS w sposób umożliwiający ich wykorzystanie w systemie HIS, bez konieczności dublowania czynności dokumentacyjnych.</w:t>
            </w:r>
          </w:p>
        </w:tc>
        <w:tc>
          <w:tcPr>
            <w:tcW w:w="1133" w:type="dxa"/>
            <w:tcBorders>
              <w:top w:val="nil"/>
              <w:left w:val="nil"/>
              <w:bottom w:val="single" w:sz="4" w:space="0" w:color="auto"/>
              <w:right w:val="single" w:sz="4" w:space="0" w:color="auto"/>
            </w:tcBorders>
            <w:shd w:val="clear" w:color="auto" w:fill="auto"/>
            <w:vAlign w:val="center"/>
            <w:hideMark/>
          </w:tcPr>
          <w:p w14:paraId="6050AE7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1241EAB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7CF5296"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2BEB7C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20.1.10</w:t>
            </w:r>
          </w:p>
        </w:tc>
        <w:tc>
          <w:tcPr>
            <w:tcW w:w="5514" w:type="dxa"/>
            <w:tcBorders>
              <w:top w:val="nil"/>
              <w:left w:val="nil"/>
              <w:bottom w:val="single" w:sz="4" w:space="0" w:color="auto"/>
              <w:right w:val="single" w:sz="4" w:space="0" w:color="auto"/>
            </w:tcBorders>
            <w:shd w:val="clear" w:color="auto" w:fill="auto"/>
            <w:vAlign w:val="center"/>
            <w:hideMark/>
          </w:tcPr>
          <w:p w14:paraId="499E442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Wysyłanie do systemu HIS informacji o zużyciu leków. Zużycie musi zostać rozpisane na pacjenta i pomniejszyć odpowiednio stan apteczki oddziałowej oddziału na jakim pacjent widnieje w systemie HIS</w:t>
            </w:r>
          </w:p>
        </w:tc>
        <w:tc>
          <w:tcPr>
            <w:tcW w:w="1133" w:type="dxa"/>
            <w:tcBorders>
              <w:top w:val="nil"/>
              <w:left w:val="nil"/>
              <w:bottom w:val="single" w:sz="4" w:space="0" w:color="auto"/>
              <w:right w:val="single" w:sz="4" w:space="0" w:color="auto"/>
            </w:tcBorders>
            <w:shd w:val="clear" w:color="auto" w:fill="auto"/>
            <w:vAlign w:val="center"/>
            <w:hideMark/>
          </w:tcPr>
          <w:p w14:paraId="57A9A91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2C7D8A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020979F"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7A02F1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20.1.11</w:t>
            </w:r>
          </w:p>
        </w:tc>
        <w:tc>
          <w:tcPr>
            <w:tcW w:w="5514" w:type="dxa"/>
            <w:tcBorders>
              <w:top w:val="nil"/>
              <w:left w:val="nil"/>
              <w:bottom w:val="single" w:sz="4" w:space="0" w:color="auto"/>
              <w:right w:val="single" w:sz="4" w:space="0" w:color="auto"/>
            </w:tcBorders>
            <w:shd w:val="clear" w:color="auto" w:fill="auto"/>
            <w:vAlign w:val="center"/>
            <w:hideMark/>
          </w:tcPr>
          <w:p w14:paraId="773C579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Wysyłanie do systemu HIS informacji dotyczących zabiegu operacyjnego (czas rozpoczęcia i zakończenia zabiegu, czas rozpoczęcia i zakończenia znieczulenia, typ znieczulenia, itp.). Wysłane informację muszą uzupełnić odpowiednią formatkę systemu HIS dedykowaną do obsługi zabiegów operacyjnych</w:t>
            </w:r>
          </w:p>
        </w:tc>
        <w:tc>
          <w:tcPr>
            <w:tcW w:w="1133" w:type="dxa"/>
            <w:tcBorders>
              <w:top w:val="nil"/>
              <w:left w:val="nil"/>
              <w:bottom w:val="single" w:sz="4" w:space="0" w:color="auto"/>
              <w:right w:val="single" w:sz="4" w:space="0" w:color="auto"/>
            </w:tcBorders>
            <w:shd w:val="clear" w:color="auto" w:fill="auto"/>
            <w:vAlign w:val="center"/>
            <w:hideMark/>
          </w:tcPr>
          <w:p w14:paraId="60F8C61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42D568C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F1E46D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D656AA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20.1.12</w:t>
            </w:r>
          </w:p>
        </w:tc>
        <w:tc>
          <w:tcPr>
            <w:tcW w:w="5514" w:type="dxa"/>
            <w:tcBorders>
              <w:top w:val="nil"/>
              <w:left w:val="nil"/>
              <w:bottom w:val="single" w:sz="4" w:space="0" w:color="auto"/>
              <w:right w:val="single" w:sz="4" w:space="0" w:color="auto"/>
            </w:tcBorders>
            <w:shd w:val="clear" w:color="auto" w:fill="auto"/>
            <w:vAlign w:val="center"/>
            <w:hideMark/>
          </w:tcPr>
          <w:p w14:paraId="46B88159" w14:textId="48A4DF11"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Wysyłanie do systemu HIS dokumentacji w formacie </w:t>
            </w:r>
            <w:r w:rsidR="00702141">
              <w:rPr>
                <w:rFonts w:eastAsia="Times New Roman" w:cstheme="minorHAnsi"/>
                <w:lang w:eastAsia="pl-PL"/>
              </w:rPr>
              <w:t>EDM/</w:t>
            </w:r>
            <w:r w:rsidRPr="00CF3752">
              <w:rPr>
                <w:rFonts w:eastAsia="Times New Roman" w:cstheme="minorHAnsi"/>
                <w:lang w:eastAsia="pl-PL"/>
              </w:rPr>
              <w:t>PDF celem podpisania (min. Epikryza, OKK, EKZ, Protokołu zużycia leków)</w:t>
            </w:r>
            <w:r w:rsidR="00E40433">
              <w:rPr>
                <w:rFonts w:eastAsia="Times New Roman" w:cstheme="minorHAnsi"/>
                <w:lang w:eastAsia="pl-PL"/>
              </w:rPr>
              <w:t xml:space="preserve"> – udostępnianie dokumentacji pacjentom przez szpitalny portal pacjenta „</w:t>
            </w:r>
            <w:proofErr w:type="spellStart"/>
            <w:r w:rsidR="00E40433">
              <w:rPr>
                <w:rFonts w:eastAsia="Times New Roman" w:cstheme="minorHAnsi"/>
                <w:lang w:eastAsia="pl-PL"/>
              </w:rPr>
              <w:t>eWyniki</w:t>
            </w:r>
            <w:proofErr w:type="spellEnd"/>
            <w:r w:rsidR="00E40433">
              <w:rPr>
                <w:rFonts w:eastAsia="Times New Roman" w:cstheme="minorHAnsi"/>
                <w:lang w:eastAsia="pl-PL"/>
              </w:rPr>
              <w:t>”</w:t>
            </w:r>
          </w:p>
        </w:tc>
        <w:tc>
          <w:tcPr>
            <w:tcW w:w="1133" w:type="dxa"/>
            <w:tcBorders>
              <w:top w:val="nil"/>
              <w:left w:val="nil"/>
              <w:bottom w:val="single" w:sz="4" w:space="0" w:color="auto"/>
              <w:right w:val="single" w:sz="4" w:space="0" w:color="auto"/>
            </w:tcBorders>
            <w:shd w:val="clear" w:color="auto" w:fill="auto"/>
            <w:vAlign w:val="center"/>
            <w:hideMark/>
          </w:tcPr>
          <w:p w14:paraId="2F470B8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391E58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w:t>
            </w:r>
          </w:p>
        </w:tc>
      </w:tr>
      <w:tr w:rsidR="00CB3017" w:rsidRPr="00F8703A" w14:paraId="567BF9B5"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78FF8F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20.1.13</w:t>
            </w:r>
          </w:p>
        </w:tc>
        <w:tc>
          <w:tcPr>
            <w:tcW w:w="5514" w:type="dxa"/>
            <w:tcBorders>
              <w:top w:val="nil"/>
              <w:left w:val="nil"/>
              <w:bottom w:val="single" w:sz="4" w:space="0" w:color="auto"/>
              <w:right w:val="single" w:sz="4" w:space="0" w:color="auto"/>
            </w:tcBorders>
            <w:shd w:val="clear" w:color="auto" w:fill="auto"/>
            <w:vAlign w:val="center"/>
            <w:hideMark/>
          </w:tcPr>
          <w:p w14:paraId="1950418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wywołania z systemu HIS kontekstowo pacjenta, którego przebieg leczenia dokumentowany był w systemie CIS</w:t>
            </w:r>
          </w:p>
        </w:tc>
        <w:tc>
          <w:tcPr>
            <w:tcW w:w="1133" w:type="dxa"/>
            <w:tcBorders>
              <w:top w:val="nil"/>
              <w:left w:val="nil"/>
              <w:bottom w:val="single" w:sz="4" w:space="0" w:color="auto"/>
              <w:right w:val="single" w:sz="4" w:space="0" w:color="auto"/>
            </w:tcBorders>
            <w:shd w:val="clear" w:color="auto" w:fill="auto"/>
            <w:vAlign w:val="center"/>
            <w:hideMark/>
          </w:tcPr>
          <w:p w14:paraId="36EDB6C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88A8E2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w:t>
            </w:r>
          </w:p>
        </w:tc>
      </w:tr>
      <w:tr w:rsidR="00CB3017" w:rsidRPr="00F8703A" w14:paraId="1D38F9A1"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D276D8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20.1.14</w:t>
            </w:r>
          </w:p>
        </w:tc>
        <w:tc>
          <w:tcPr>
            <w:tcW w:w="5514" w:type="dxa"/>
            <w:tcBorders>
              <w:top w:val="nil"/>
              <w:left w:val="nil"/>
              <w:bottom w:val="single" w:sz="4" w:space="0" w:color="auto"/>
              <w:right w:val="single" w:sz="4" w:space="0" w:color="auto"/>
            </w:tcBorders>
            <w:shd w:val="clear" w:color="auto" w:fill="auto"/>
            <w:vAlign w:val="center"/>
            <w:hideMark/>
          </w:tcPr>
          <w:p w14:paraId="1CA250B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Możliwość wywołania w systemie CIS kontekstowo pacjenta, którego przebieg leczenia dokumentowany był w systemie HIS.</w:t>
            </w:r>
          </w:p>
        </w:tc>
        <w:tc>
          <w:tcPr>
            <w:tcW w:w="1133" w:type="dxa"/>
            <w:tcBorders>
              <w:top w:val="nil"/>
              <w:left w:val="nil"/>
              <w:bottom w:val="single" w:sz="4" w:space="0" w:color="auto"/>
              <w:right w:val="single" w:sz="4" w:space="0" w:color="auto"/>
            </w:tcBorders>
            <w:shd w:val="clear" w:color="auto" w:fill="auto"/>
            <w:vAlign w:val="center"/>
            <w:hideMark/>
          </w:tcPr>
          <w:p w14:paraId="19FECFC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F74C1B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88C663D"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DCD4F0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20.2</w:t>
            </w:r>
          </w:p>
        </w:tc>
        <w:tc>
          <w:tcPr>
            <w:tcW w:w="5514" w:type="dxa"/>
            <w:tcBorders>
              <w:top w:val="nil"/>
              <w:left w:val="nil"/>
              <w:bottom w:val="single" w:sz="4" w:space="0" w:color="auto"/>
              <w:right w:val="single" w:sz="4" w:space="0" w:color="auto"/>
            </w:tcBorders>
            <w:shd w:val="clear" w:color="auto" w:fill="auto"/>
            <w:vAlign w:val="center"/>
            <w:hideMark/>
          </w:tcPr>
          <w:p w14:paraId="385DD2E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łączyć się urządzeniami medycznymi wymienionymi w załączniku nr … Połączenia muszą zostać przeprowadzona przez Wykonawcę własnym kosztem i staraniem.</w:t>
            </w:r>
          </w:p>
        </w:tc>
        <w:tc>
          <w:tcPr>
            <w:tcW w:w="1133" w:type="dxa"/>
            <w:tcBorders>
              <w:top w:val="nil"/>
              <w:left w:val="nil"/>
              <w:bottom w:val="single" w:sz="4" w:space="0" w:color="auto"/>
              <w:right w:val="single" w:sz="4" w:space="0" w:color="auto"/>
            </w:tcBorders>
            <w:shd w:val="clear" w:color="auto" w:fill="auto"/>
            <w:vAlign w:val="center"/>
            <w:hideMark/>
          </w:tcPr>
          <w:p w14:paraId="0271B2F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EEB00D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B91368E"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D3B281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20.3</w:t>
            </w:r>
          </w:p>
        </w:tc>
        <w:tc>
          <w:tcPr>
            <w:tcW w:w="5514" w:type="dxa"/>
            <w:tcBorders>
              <w:top w:val="nil"/>
              <w:left w:val="nil"/>
              <w:bottom w:val="single" w:sz="4" w:space="0" w:color="auto"/>
              <w:right w:val="single" w:sz="4" w:space="0" w:color="auto"/>
            </w:tcBorders>
            <w:shd w:val="clear" w:color="auto" w:fill="auto"/>
            <w:vAlign w:val="center"/>
            <w:hideMark/>
          </w:tcPr>
          <w:p w14:paraId="217E1D5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umożliwiać dynamiczne łączenie z poziomu użytkownika sprzętu z określonym pacjentem/łóżkiem</w:t>
            </w:r>
          </w:p>
        </w:tc>
        <w:tc>
          <w:tcPr>
            <w:tcW w:w="1133" w:type="dxa"/>
            <w:tcBorders>
              <w:top w:val="nil"/>
              <w:left w:val="nil"/>
              <w:bottom w:val="single" w:sz="4" w:space="0" w:color="auto"/>
              <w:right w:val="single" w:sz="4" w:space="0" w:color="auto"/>
            </w:tcBorders>
            <w:shd w:val="clear" w:color="auto" w:fill="auto"/>
            <w:vAlign w:val="center"/>
            <w:hideMark/>
          </w:tcPr>
          <w:p w14:paraId="7E37D59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F0AC76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72BC575"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CE6A18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20.4</w:t>
            </w:r>
          </w:p>
        </w:tc>
        <w:tc>
          <w:tcPr>
            <w:tcW w:w="5514" w:type="dxa"/>
            <w:tcBorders>
              <w:top w:val="nil"/>
              <w:left w:val="nil"/>
              <w:bottom w:val="single" w:sz="4" w:space="0" w:color="auto"/>
              <w:right w:val="single" w:sz="4" w:space="0" w:color="auto"/>
            </w:tcBorders>
            <w:shd w:val="clear" w:color="auto" w:fill="auto"/>
            <w:vAlign w:val="center"/>
            <w:hideMark/>
          </w:tcPr>
          <w:p w14:paraId="26CF9DD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umożliwiać zmianę przypisania sprzętu bez konieczności angażowania Wykonawcy lub pracowników niemedycznych Zamawiającego (np. Informatyków)</w:t>
            </w:r>
          </w:p>
        </w:tc>
        <w:tc>
          <w:tcPr>
            <w:tcW w:w="1133" w:type="dxa"/>
            <w:tcBorders>
              <w:top w:val="nil"/>
              <w:left w:val="nil"/>
              <w:bottom w:val="single" w:sz="4" w:space="0" w:color="auto"/>
              <w:right w:val="single" w:sz="4" w:space="0" w:color="auto"/>
            </w:tcBorders>
            <w:shd w:val="clear" w:color="auto" w:fill="auto"/>
            <w:vAlign w:val="center"/>
            <w:hideMark/>
          </w:tcPr>
          <w:p w14:paraId="05E8481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3B221FD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94DD336"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542F13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20.5</w:t>
            </w:r>
          </w:p>
        </w:tc>
        <w:tc>
          <w:tcPr>
            <w:tcW w:w="5514" w:type="dxa"/>
            <w:tcBorders>
              <w:top w:val="nil"/>
              <w:left w:val="nil"/>
              <w:bottom w:val="single" w:sz="4" w:space="0" w:color="auto"/>
              <w:right w:val="single" w:sz="4" w:space="0" w:color="auto"/>
            </w:tcBorders>
            <w:shd w:val="clear" w:color="auto" w:fill="auto"/>
            <w:vAlign w:val="center"/>
            <w:hideMark/>
          </w:tcPr>
          <w:p w14:paraId="042DCC44"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umożliwiać dopisywanie/wymianę sprzętu bez konieczności angażowania Wykonawcy w przypadku np. kasacji urządzenia i wprowadzenia na jego miejsce takiego samego modelu sprzętu. Taka zmiana nie może generować dla Zamawiającego jakichkolwiek kosztów</w:t>
            </w:r>
          </w:p>
        </w:tc>
        <w:tc>
          <w:tcPr>
            <w:tcW w:w="1133" w:type="dxa"/>
            <w:tcBorders>
              <w:top w:val="nil"/>
              <w:left w:val="nil"/>
              <w:bottom w:val="single" w:sz="4" w:space="0" w:color="auto"/>
              <w:right w:val="single" w:sz="4" w:space="0" w:color="auto"/>
            </w:tcBorders>
            <w:shd w:val="clear" w:color="auto" w:fill="auto"/>
            <w:vAlign w:val="center"/>
            <w:hideMark/>
          </w:tcPr>
          <w:p w14:paraId="6C02000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3C7F6A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3090956"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9AC8C1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20.6</w:t>
            </w:r>
          </w:p>
        </w:tc>
        <w:tc>
          <w:tcPr>
            <w:tcW w:w="5514" w:type="dxa"/>
            <w:tcBorders>
              <w:top w:val="nil"/>
              <w:left w:val="nil"/>
              <w:bottom w:val="single" w:sz="4" w:space="0" w:color="auto"/>
              <w:right w:val="single" w:sz="4" w:space="0" w:color="auto"/>
            </w:tcBorders>
            <w:shd w:val="clear" w:color="auto" w:fill="auto"/>
            <w:vAlign w:val="center"/>
            <w:hideMark/>
          </w:tcPr>
          <w:p w14:paraId="7B87478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musi zapewniać przechwytywanie danych przesyłanych strumieniowo na żywo z przyłóżkowych urządzeń medycznych oraz przetwarzanie ich do standardowego formatu, obsługiwanego przez dostępne na rynku systemy informatyczne.</w:t>
            </w:r>
          </w:p>
        </w:tc>
        <w:tc>
          <w:tcPr>
            <w:tcW w:w="1133" w:type="dxa"/>
            <w:tcBorders>
              <w:top w:val="nil"/>
              <w:left w:val="nil"/>
              <w:bottom w:val="single" w:sz="4" w:space="0" w:color="auto"/>
              <w:right w:val="single" w:sz="4" w:space="0" w:color="auto"/>
            </w:tcBorders>
            <w:shd w:val="clear" w:color="auto" w:fill="auto"/>
            <w:vAlign w:val="center"/>
            <w:hideMark/>
          </w:tcPr>
          <w:p w14:paraId="0FCF61C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21E6EC6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706735C"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CB7E5C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20.7</w:t>
            </w:r>
          </w:p>
        </w:tc>
        <w:tc>
          <w:tcPr>
            <w:tcW w:w="5514" w:type="dxa"/>
            <w:tcBorders>
              <w:top w:val="nil"/>
              <w:left w:val="nil"/>
              <w:bottom w:val="single" w:sz="4" w:space="0" w:color="auto"/>
              <w:right w:val="single" w:sz="4" w:space="0" w:color="auto"/>
            </w:tcBorders>
            <w:shd w:val="clear" w:color="auto" w:fill="auto"/>
            <w:vAlign w:val="center"/>
            <w:hideMark/>
          </w:tcPr>
          <w:p w14:paraId="35F6223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 System musi obejmować szeroką gamę urządzeń, producentów, modeli i wersji oprogramowania, m.in. kardiomonitory, respiratory, aparaty do znieczulenia, pompy infuzyjne i </w:t>
            </w:r>
            <w:proofErr w:type="spellStart"/>
            <w:r w:rsidRPr="00CF3752">
              <w:rPr>
                <w:rFonts w:eastAsia="Times New Roman" w:cstheme="minorHAnsi"/>
                <w:lang w:eastAsia="pl-PL"/>
              </w:rPr>
              <w:t>strzykawkowe</w:t>
            </w:r>
            <w:proofErr w:type="spellEnd"/>
            <w:r w:rsidRPr="00CF3752">
              <w:rPr>
                <w:rFonts w:eastAsia="Times New Roman" w:cstheme="minorHAnsi"/>
                <w:lang w:eastAsia="pl-PL"/>
              </w:rPr>
              <w:t xml:space="preserve">, aparaty do terapii nerkozastępcze, sztuczne płuco -serce, monitory hemodynamiczne, inkubatory, pompy do </w:t>
            </w:r>
            <w:proofErr w:type="spellStart"/>
            <w:r w:rsidRPr="00CF3752">
              <w:rPr>
                <w:rFonts w:eastAsia="Times New Roman" w:cstheme="minorHAnsi"/>
                <w:lang w:eastAsia="pl-PL"/>
              </w:rPr>
              <w:t>kontrapulsacji</w:t>
            </w:r>
            <w:proofErr w:type="spellEnd"/>
            <w:r w:rsidRPr="00CF3752">
              <w:rPr>
                <w:rFonts w:eastAsia="Times New Roman" w:cstheme="minorHAnsi"/>
                <w:lang w:eastAsia="pl-PL"/>
              </w:rPr>
              <w:t xml:space="preserve"> wewnątrzaortalnej</w:t>
            </w:r>
          </w:p>
        </w:tc>
        <w:tc>
          <w:tcPr>
            <w:tcW w:w="1133" w:type="dxa"/>
            <w:tcBorders>
              <w:top w:val="nil"/>
              <w:left w:val="nil"/>
              <w:bottom w:val="single" w:sz="4" w:space="0" w:color="auto"/>
              <w:right w:val="single" w:sz="4" w:space="0" w:color="auto"/>
            </w:tcBorders>
            <w:shd w:val="clear" w:color="auto" w:fill="auto"/>
            <w:vAlign w:val="center"/>
            <w:hideMark/>
          </w:tcPr>
          <w:p w14:paraId="3E8A55B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5C06415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654A50B"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D8483D0"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20.8</w:t>
            </w:r>
          </w:p>
        </w:tc>
        <w:tc>
          <w:tcPr>
            <w:tcW w:w="5514" w:type="dxa"/>
            <w:tcBorders>
              <w:top w:val="nil"/>
              <w:left w:val="nil"/>
              <w:bottom w:val="single" w:sz="4" w:space="0" w:color="auto"/>
              <w:right w:val="single" w:sz="4" w:space="0" w:color="auto"/>
            </w:tcBorders>
            <w:shd w:val="clear" w:color="auto" w:fill="auto"/>
            <w:vAlign w:val="center"/>
            <w:hideMark/>
          </w:tcPr>
          <w:p w14:paraId="6FC191E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System umożliwia integrację i standaryzację danych generowanych przez urządzenia medyczne różnych producentów i zbiera wszystkie dane do jednego miejsca, żeby można było je łatwo porównywać i analizować.</w:t>
            </w:r>
          </w:p>
        </w:tc>
        <w:tc>
          <w:tcPr>
            <w:tcW w:w="1133" w:type="dxa"/>
            <w:tcBorders>
              <w:top w:val="nil"/>
              <w:left w:val="nil"/>
              <w:bottom w:val="single" w:sz="4" w:space="0" w:color="auto"/>
              <w:right w:val="single" w:sz="4" w:space="0" w:color="auto"/>
            </w:tcBorders>
            <w:shd w:val="clear" w:color="auto" w:fill="auto"/>
            <w:vAlign w:val="center"/>
            <w:hideMark/>
          </w:tcPr>
          <w:p w14:paraId="70077F3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AA77C3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75620CB"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84C5BC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20.9</w:t>
            </w:r>
          </w:p>
        </w:tc>
        <w:tc>
          <w:tcPr>
            <w:tcW w:w="5514" w:type="dxa"/>
            <w:tcBorders>
              <w:top w:val="nil"/>
              <w:left w:val="nil"/>
              <w:bottom w:val="single" w:sz="4" w:space="0" w:color="auto"/>
              <w:right w:val="single" w:sz="4" w:space="0" w:color="auto"/>
            </w:tcBorders>
            <w:shd w:val="clear" w:color="auto" w:fill="auto"/>
            <w:vAlign w:val="center"/>
            <w:hideMark/>
          </w:tcPr>
          <w:p w14:paraId="5469D7C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Zamawiający dopuszcza celem integracji wykorzystywanie innych urządzeń pośredniczących w przechwytywaniu informacji, pod warunkiem iż:</w:t>
            </w:r>
          </w:p>
        </w:tc>
        <w:tc>
          <w:tcPr>
            <w:tcW w:w="1133" w:type="dxa"/>
            <w:tcBorders>
              <w:top w:val="nil"/>
              <w:left w:val="nil"/>
              <w:bottom w:val="single" w:sz="4" w:space="0" w:color="auto"/>
              <w:right w:val="single" w:sz="4" w:space="0" w:color="auto"/>
            </w:tcBorders>
            <w:shd w:val="clear" w:color="auto" w:fill="auto"/>
            <w:vAlign w:val="center"/>
            <w:hideMark/>
          </w:tcPr>
          <w:p w14:paraId="7B86E79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017096C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2E41D62"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E35024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20.9.1</w:t>
            </w:r>
          </w:p>
        </w:tc>
        <w:tc>
          <w:tcPr>
            <w:tcW w:w="5514" w:type="dxa"/>
            <w:tcBorders>
              <w:top w:val="nil"/>
              <w:left w:val="nil"/>
              <w:bottom w:val="single" w:sz="4" w:space="0" w:color="auto"/>
              <w:right w:val="single" w:sz="4" w:space="0" w:color="auto"/>
            </w:tcBorders>
            <w:shd w:val="clear" w:color="auto" w:fill="auto"/>
            <w:vAlign w:val="center"/>
            <w:hideMark/>
          </w:tcPr>
          <w:p w14:paraId="72A57718" w14:textId="45B9E91E"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Urządzenie pośredniczące jest produktem klasy medycznej zgodne z normą IEC 60601-1</w:t>
            </w:r>
            <w:r w:rsidR="000D651D">
              <w:rPr>
                <w:rFonts w:eastAsia="Times New Roman" w:cstheme="minorHAnsi"/>
                <w:lang w:eastAsia="pl-PL"/>
              </w:rPr>
              <w:t xml:space="preserve"> lub normą równoważną</w:t>
            </w:r>
            <w:r w:rsidRPr="00CF3752">
              <w:rPr>
                <w:rFonts w:eastAsia="Times New Roman" w:cstheme="minorHAnsi"/>
                <w:lang w:eastAsia="pl-PL"/>
              </w:rPr>
              <w:t>, posiada pasywne chłodzenie (</w:t>
            </w:r>
            <w:proofErr w:type="spellStart"/>
            <w:r w:rsidRPr="00CF3752">
              <w:rPr>
                <w:rFonts w:eastAsia="Times New Roman" w:cstheme="minorHAnsi"/>
                <w:lang w:eastAsia="pl-PL"/>
              </w:rPr>
              <w:t>fanless</w:t>
            </w:r>
            <w:proofErr w:type="spellEnd"/>
            <w:r w:rsidRPr="00CF3752">
              <w:rPr>
                <w:rFonts w:eastAsia="Times New Roman" w:cstheme="minorHAnsi"/>
                <w:lang w:eastAsia="pl-PL"/>
              </w:rPr>
              <w:t>) oraz jest przeznaczone do pracy ciągłej.</w:t>
            </w:r>
          </w:p>
        </w:tc>
        <w:tc>
          <w:tcPr>
            <w:tcW w:w="1133" w:type="dxa"/>
            <w:tcBorders>
              <w:top w:val="nil"/>
              <w:left w:val="nil"/>
              <w:bottom w:val="single" w:sz="4" w:space="0" w:color="auto"/>
              <w:right w:val="single" w:sz="4" w:space="0" w:color="auto"/>
            </w:tcBorders>
            <w:shd w:val="clear" w:color="auto" w:fill="auto"/>
            <w:vAlign w:val="center"/>
            <w:hideMark/>
          </w:tcPr>
          <w:p w14:paraId="50D6C5F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5A762E8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B4D9B78"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447E36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20.9.2</w:t>
            </w:r>
          </w:p>
        </w:tc>
        <w:tc>
          <w:tcPr>
            <w:tcW w:w="5514" w:type="dxa"/>
            <w:tcBorders>
              <w:top w:val="nil"/>
              <w:left w:val="nil"/>
              <w:bottom w:val="single" w:sz="4" w:space="0" w:color="auto"/>
              <w:right w:val="single" w:sz="4" w:space="0" w:color="auto"/>
            </w:tcBorders>
            <w:shd w:val="clear" w:color="auto" w:fill="auto"/>
            <w:vAlign w:val="center"/>
            <w:hideMark/>
          </w:tcPr>
          <w:p w14:paraId="54EB1BF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Urządzenie pośredniczące  nie narusza danych pochodzących z urządzeń medycznych ani nie wpływa na działanie urządzeń medycznych, które są do niego podłączone.</w:t>
            </w:r>
          </w:p>
        </w:tc>
        <w:tc>
          <w:tcPr>
            <w:tcW w:w="1133" w:type="dxa"/>
            <w:tcBorders>
              <w:top w:val="nil"/>
              <w:left w:val="nil"/>
              <w:bottom w:val="single" w:sz="4" w:space="0" w:color="auto"/>
              <w:right w:val="single" w:sz="4" w:space="0" w:color="auto"/>
            </w:tcBorders>
            <w:shd w:val="clear" w:color="auto" w:fill="auto"/>
            <w:vAlign w:val="center"/>
            <w:hideMark/>
          </w:tcPr>
          <w:p w14:paraId="5A9BC84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255E3CC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7DF154E1"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B521EE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20.9.3</w:t>
            </w:r>
          </w:p>
        </w:tc>
        <w:tc>
          <w:tcPr>
            <w:tcW w:w="5514" w:type="dxa"/>
            <w:tcBorders>
              <w:top w:val="nil"/>
              <w:left w:val="nil"/>
              <w:bottom w:val="single" w:sz="4" w:space="0" w:color="auto"/>
              <w:right w:val="single" w:sz="4" w:space="0" w:color="auto"/>
            </w:tcBorders>
            <w:shd w:val="clear" w:color="auto" w:fill="auto"/>
            <w:vAlign w:val="center"/>
            <w:hideMark/>
          </w:tcPr>
          <w:p w14:paraId="7877D190"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Urządzenie pośredniczące potrafi buforować dane z urządzeń medycznych przez min. 48 godzin i w przypadku utraty łączności z platformą potrafi automatycznie wysłać dane po wznowieniu połączenia</w:t>
            </w:r>
          </w:p>
        </w:tc>
        <w:tc>
          <w:tcPr>
            <w:tcW w:w="1133" w:type="dxa"/>
            <w:tcBorders>
              <w:top w:val="nil"/>
              <w:left w:val="nil"/>
              <w:bottom w:val="single" w:sz="4" w:space="0" w:color="auto"/>
              <w:right w:val="single" w:sz="4" w:space="0" w:color="auto"/>
            </w:tcBorders>
            <w:shd w:val="clear" w:color="auto" w:fill="auto"/>
            <w:vAlign w:val="center"/>
            <w:hideMark/>
          </w:tcPr>
          <w:p w14:paraId="27AF7F1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12AC7AD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6B8FC0D"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E52469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20.9.4</w:t>
            </w:r>
          </w:p>
        </w:tc>
        <w:tc>
          <w:tcPr>
            <w:tcW w:w="5514" w:type="dxa"/>
            <w:tcBorders>
              <w:top w:val="nil"/>
              <w:left w:val="nil"/>
              <w:bottom w:val="single" w:sz="4" w:space="0" w:color="auto"/>
              <w:right w:val="single" w:sz="4" w:space="0" w:color="auto"/>
            </w:tcBorders>
            <w:shd w:val="clear" w:color="auto" w:fill="auto"/>
            <w:vAlign w:val="center"/>
            <w:hideMark/>
          </w:tcPr>
          <w:p w14:paraId="256A8BEF"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Urządzenie pośredniczące wyposażone jest w moduł identyfikacji urządzeń medycznych, realizujący funkcjonalność plug-and-</w:t>
            </w:r>
            <w:proofErr w:type="spellStart"/>
            <w:r w:rsidRPr="00CF3752">
              <w:rPr>
                <w:rFonts w:eastAsia="Times New Roman" w:cstheme="minorHAnsi"/>
                <w:lang w:eastAsia="pl-PL"/>
              </w:rPr>
              <w:t>play</w:t>
            </w:r>
            <w:proofErr w:type="spellEnd"/>
            <w:r w:rsidRPr="00CF3752">
              <w:rPr>
                <w:rFonts w:eastAsia="Times New Roman" w:cstheme="minorHAnsi"/>
                <w:lang w:eastAsia="pl-PL"/>
              </w:rPr>
              <w:t xml:space="preserve"> dla szeregowych połączeń urządzeń medycznych (wykrywanie, kiedy urządzenie medyczne jest odłączane i ponownie podłączane, automatyczna identyfikacja podłączonego urządzenia medycznego, inicjalizacja odpowiedniego interfejsu sterownika urządzenia)</w:t>
            </w:r>
          </w:p>
        </w:tc>
        <w:tc>
          <w:tcPr>
            <w:tcW w:w="1133" w:type="dxa"/>
            <w:tcBorders>
              <w:top w:val="nil"/>
              <w:left w:val="nil"/>
              <w:bottom w:val="single" w:sz="4" w:space="0" w:color="auto"/>
              <w:right w:val="single" w:sz="4" w:space="0" w:color="auto"/>
            </w:tcBorders>
            <w:shd w:val="clear" w:color="auto" w:fill="auto"/>
            <w:vAlign w:val="center"/>
            <w:hideMark/>
          </w:tcPr>
          <w:p w14:paraId="0387267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72DA95F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A81B165"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1AA635A"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20.9.5</w:t>
            </w:r>
          </w:p>
        </w:tc>
        <w:tc>
          <w:tcPr>
            <w:tcW w:w="5514" w:type="dxa"/>
            <w:tcBorders>
              <w:top w:val="nil"/>
              <w:left w:val="nil"/>
              <w:bottom w:val="single" w:sz="4" w:space="0" w:color="auto"/>
              <w:right w:val="single" w:sz="4" w:space="0" w:color="auto"/>
            </w:tcBorders>
            <w:shd w:val="clear" w:color="auto" w:fill="auto"/>
            <w:vAlign w:val="center"/>
            <w:hideMark/>
          </w:tcPr>
          <w:p w14:paraId="40B24B5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Urządzenie pośredniczące posiada wymiary nie przekraczające 25cm głębokości, 15 cm szerokości, 5 cm wysokości i wagi 1 kg</w:t>
            </w:r>
          </w:p>
        </w:tc>
        <w:tc>
          <w:tcPr>
            <w:tcW w:w="1133" w:type="dxa"/>
            <w:tcBorders>
              <w:top w:val="nil"/>
              <w:left w:val="nil"/>
              <w:bottom w:val="single" w:sz="4" w:space="0" w:color="auto"/>
              <w:right w:val="single" w:sz="4" w:space="0" w:color="auto"/>
            </w:tcBorders>
            <w:shd w:val="clear" w:color="auto" w:fill="auto"/>
            <w:vAlign w:val="center"/>
            <w:hideMark/>
          </w:tcPr>
          <w:p w14:paraId="1301F63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4D4E939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8B41772"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C7F54D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w:t>
            </w:r>
          </w:p>
        </w:tc>
        <w:tc>
          <w:tcPr>
            <w:tcW w:w="5514" w:type="dxa"/>
            <w:tcBorders>
              <w:top w:val="nil"/>
              <w:left w:val="nil"/>
              <w:bottom w:val="single" w:sz="4" w:space="0" w:color="auto"/>
              <w:right w:val="single" w:sz="4" w:space="0" w:color="auto"/>
            </w:tcBorders>
            <w:shd w:val="clear" w:color="auto" w:fill="auto"/>
            <w:vAlign w:val="center"/>
            <w:hideMark/>
          </w:tcPr>
          <w:p w14:paraId="7BE6C48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 przypadku wykorzystania urządzeń pośredniczących do przechwytywania informacji należy dostarczyć także platformę, która:</w:t>
            </w:r>
          </w:p>
        </w:tc>
        <w:tc>
          <w:tcPr>
            <w:tcW w:w="1133" w:type="dxa"/>
            <w:tcBorders>
              <w:top w:val="nil"/>
              <w:left w:val="nil"/>
              <w:bottom w:val="single" w:sz="4" w:space="0" w:color="auto"/>
              <w:right w:val="single" w:sz="4" w:space="0" w:color="auto"/>
            </w:tcBorders>
            <w:shd w:val="clear" w:color="auto" w:fill="auto"/>
            <w:vAlign w:val="center"/>
            <w:hideMark/>
          </w:tcPr>
          <w:p w14:paraId="5F0F262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633739D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096B97DF"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FF45EC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20.10.1</w:t>
            </w:r>
          </w:p>
        </w:tc>
        <w:tc>
          <w:tcPr>
            <w:tcW w:w="5514" w:type="dxa"/>
            <w:tcBorders>
              <w:top w:val="nil"/>
              <w:left w:val="nil"/>
              <w:bottom w:val="single" w:sz="4" w:space="0" w:color="auto"/>
              <w:right w:val="single" w:sz="4" w:space="0" w:color="auto"/>
            </w:tcBorders>
            <w:shd w:val="clear" w:color="auto" w:fill="auto"/>
            <w:vAlign w:val="center"/>
            <w:hideMark/>
          </w:tcPr>
          <w:p w14:paraId="2CE50DD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Zabezpieczona jest systemem autoryzacji współpracującym z posiadaną przez Zamawiającego usługą Active Directory</w:t>
            </w:r>
          </w:p>
        </w:tc>
        <w:tc>
          <w:tcPr>
            <w:tcW w:w="1133" w:type="dxa"/>
            <w:tcBorders>
              <w:top w:val="nil"/>
              <w:left w:val="nil"/>
              <w:bottom w:val="single" w:sz="4" w:space="0" w:color="auto"/>
              <w:right w:val="single" w:sz="4" w:space="0" w:color="auto"/>
            </w:tcBorders>
            <w:shd w:val="clear" w:color="auto" w:fill="auto"/>
            <w:vAlign w:val="center"/>
            <w:hideMark/>
          </w:tcPr>
          <w:p w14:paraId="6A512CF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47364E6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E8F72B8"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FAE0B8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20.10.2</w:t>
            </w:r>
          </w:p>
        </w:tc>
        <w:tc>
          <w:tcPr>
            <w:tcW w:w="5514" w:type="dxa"/>
            <w:tcBorders>
              <w:top w:val="nil"/>
              <w:left w:val="nil"/>
              <w:bottom w:val="single" w:sz="4" w:space="0" w:color="auto"/>
              <w:right w:val="single" w:sz="4" w:space="0" w:color="auto"/>
            </w:tcBorders>
            <w:shd w:val="clear" w:color="auto" w:fill="auto"/>
            <w:vAlign w:val="center"/>
            <w:hideMark/>
          </w:tcPr>
          <w:p w14:paraId="52FDC2E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Umożliwia kompleksowe zarzadzanie urządzeniami pośredniczącymi, połączeniami i konfiguracjami aplikacji za pośrednictwem aplikacji</w:t>
            </w:r>
          </w:p>
        </w:tc>
        <w:tc>
          <w:tcPr>
            <w:tcW w:w="1133" w:type="dxa"/>
            <w:tcBorders>
              <w:top w:val="nil"/>
              <w:left w:val="nil"/>
              <w:bottom w:val="single" w:sz="4" w:space="0" w:color="auto"/>
              <w:right w:val="single" w:sz="4" w:space="0" w:color="auto"/>
            </w:tcBorders>
            <w:shd w:val="clear" w:color="auto" w:fill="auto"/>
            <w:vAlign w:val="center"/>
            <w:hideMark/>
          </w:tcPr>
          <w:p w14:paraId="6C2B68B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585E23C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B1A1006"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030C61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20.10.3</w:t>
            </w:r>
          </w:p>
        </w:tc>
        <w:tc>
          <w:tcPr>
            <w:tcW w:w="5514" w:type="dxa"/>
            <w:tcBorders>
              <w:top w:val="nil"/>
              <w:left w:val="nil"/>
              <w:bottom w:val="single" w:sz="4" w:space="0" w:color="auto"/>
              <w:right w:val="single" w:sz="4" w:space="0" w:color="auto"/>
            </w:tcBorders>
            <w:shd w:val="clear" w:color="auto" w:fill="auto"/>
            <w:vAlign w:val="center"/>
            <w:hideMark/>
          </w:tcPr>
          <w:p w14:paraId="7A2D85D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Sterowanie i zdalny podgląd na żywo zintegrowanych urządzeń pośredniczących – wyszukiwanie, filtrowanie, dostęp do szczegółów i statusu urządzeń</w:t>
            </w:r>
          </w:p>
        </w:tc>
        <w:tc>
          <w:tcPr>
            <w:tcW w:w="1133" w:type="dxa"/>
            <w:tcBorders>
              <w:top w:val="nil"/>
              <w:left w:val="nil"/>
              <w:bottom w:val="single" w:sz="4" w:space="0" w:color="auto"/>
              <w:right w:val="single" w:sz="4" w:space="0" w:color="auto"/>
            </w:tcBorders>
            <w:shd w:val="clear" w:color="auto" w:fill="auto"/>
            <w:vAlign w:val="center"/>
            <w:hideMark/>
          </w:tcPr>
          <w:p w14:paraId="3F73E57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5C35E83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4776AEF" w14:textId="77777777" w:rsidTr="00FD23DE">
        <w:trPr>
          <w:trHeight w:val="1584"/>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1E576B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20.10.4</w:t>
            </w:r>
          </w:p>
        </w:tc>
        <w:tc>
          <w:tcPr>
            <w:tcW w:w="5514" w:type="dxa"/>
            <w:tcBorders>
              <w:top w:val="nil"/>
              <w:left w:val="nil"/>
              <w:bottom w:val="single" w:sz="4" w:space="0" w:color="auto"/>
              <w:right w:val="single" w:sz="4" w:space="0" w:color="auto"/>
            </w:tcBorders>
            <w:shd w:val="clear" w:color="auto" w:fill="auto"/>
            <w:vAlign w:val="center"/>
            <w:hideMark/>
          </w:tcPr>
          <w:p w14:paraId="6B074D33"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W ramach platformy różne ekrany konfiguracyjne m. in. obrazujące w sposób graficzny status podłączonych urządzeń pośredniczących (podłączony, nie podłączony, nieosiągalny), status podłączonych urządzeń medycznych (zbieranie danych, zatrzymane, brak </w:t>
            </w:r>
            <w:proofErr w:type="spellStart"/>
            <w:r w:rsidRPr="00CF3752">
              <w:rPr>
                <w:rFonts w:eastAsia="Times New Roman" w:cstheme="minorHAnsi"/>
                <w:lang w:eastAsia="pl-PL"/>
              </w:rPr>
              <w:t>przesyłu</w:t>
            </w:r>
            <w:proofErr w:type="spellEnd"/>
            <w:r w:rsidRPr="00CF3752">
              <w:rPr>
                <w:rFonts w:eastAsia="Times New Roman" w:cstheme="minorHAnsi"/>
                <w:lang w:eastAsia="pl-PL"/>
              </w:rPr>
              <w:t xml:space="preserve"> danych, błąd, nie wykryte) oraz status skonfigurowanych konektorów z systemami zewnętrznymi.</w:t>
            </w:r>
          </w:p>
        </w:tc>
        <w:tc>
          <w:tcPr>
            <w:tcW w:w="1133" w:type="dxa"/>
            <w:tcBorders>
              <w:top w:val="nil"/>
              <w:left w:val="nil"/>
              <w:bottom w:val="single" w:sz="4" w:space="0" w:color="auto"/>
              <w:right w:val="single" w:sz="4" w:space="0" w:color="auto"/>
            </w:tcBorders>
            <w:shd w:val="clear" w:color="auto" w:fill="auto"/>
            <w:vAlign w:val="center"/>
            <w:hideMark/>
          </w:tcPr>
          <w:p w14:paraId="122982C2"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5D8A0F3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C907215" w14:textId="77777777" w:rsidTr="00FD23DE">
        <w:trPr>
          <w:trHeight w:val="105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44E092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20.10.5</w:t>
            </w:r>
          </w:p>
        </w:tc>
        <w:tc>
          <w:tcPr>
            <w:tcW w:w="5514" w:type="dxa"/>
            <w:tcBorders>
              <w:top w:val="nil"/>
              <w:left w:val="nil"/>
              <w:bottom w:val="single" w:sz="4" w:space="0" w:color="auto"/>
              <w:right w:val="single" w:sz="4" w:space="0" w:color="auto"/>
            </w:tcBorders>
            <w:shd w:val="clear" w:color="auto" w:fill="auto"/>
            <w:vAlign w:val="center"/>
            <w:hideMark/>
          </w:tcPr>
          <w:p w14:paraId="00C1C4BC"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Dodatkowy ekran z listą wszystkich podłączonych urządzeń pośredniczących oraz automatyczną wyszukiwarką z możliwością filtrowania m.in. po statusie, typie połączenia, modelu, ewentualnych błędach.</w:t>
            </w:r>
          </w:p>
        </w:tc>
        <w:tc>
          <w:tcPr>
            <w:tcW w:w="1133" w:type="dxa"/>
            <w:tcBorders>
              <w:top w:val="nil"/>
              <w:left w:val="nil"/>
              <w:bottom w:val="single" w:sz="4" w:space="0" w:color="auto"/>
              <w:right w:val="single" w:sz="4" w:space="0" w:color="auto"/>
            </w:tcBorders>
            <w:shd w:val="clear" w:color="auto" w:fill="auto"/>
            <w:vAlign w:val="center"/>
            <w:hideMark/>
          </w:tcPr>
          <w:p w14:paraId="24A5102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6B6A6AC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77995A0" w14:textId="77777777" w:rsidTr="00FD23DE">
        <w:trPr>
          <w:trHeight w:val="79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7C7580F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20.10.6</w:t>
            </w:r>
          </w:p>
        </w:tc>
        <w:tc>
          <w:tcPr>
            <w:tcW w:w="5514" w:type="dxa"/>
            <w:tcBorders>
              <w:top w:val="nil"/>
              <w:left w:val="nil"/>
              <w:bottom w:val="single" w:sz="4" w:space="0" w:color="auto"/>
              <w:right w:val="single" w:sz="4" w:space="0" w:color="auto"/>
            </w:tcBorders>
            <w:shd w:val="clear" w:color="auto" w:fill="auto"/>
            <w:vAlign w:val="center"/>
            <w:hideMark/>
          </w:tcPr>
          <w:p w14:paraId="42E289BB"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Dodatkowy ekran z listą wszystkich podłączonych urządzeń medycznych oraz automatyczną wyszukiwarką z możliwością filtrowania m.in. po producencie, modelu, lokalizacji, typie połączenia, statusie.</w:t>
            </w:r>
          </w:p>
        </w:tc>
        <w:tc>
          <w:tcPr>
            <w:tcW w:w="1133" w:type="dxa"/>
            <w:tcBorders>
              <w:top w:val="nil"/>
              <w:left w:val="nil"/>
              <w:bottom w:val="single" w:sz="4" w:space="0" w:color="auto"/>
              <w:right w:val="single" w:sz="4" w:space="0" w:color="auto"/>
            </w:tcBorders>
            <w:shd w:val="clear" w:color="auto" w:fill="auto"/>
            <w:vAlign w:val="center"/>
            <w:hideMark/>
          </w:tcPr>
          <w:p w14:paraId="07CAB5B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06A9B461"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33F7444"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E6DF14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20.10.7</w:t>
            </w:r>
          </w:p>
        </w:tc>
        <w:tc>
          <w:tcPr>
            <w:tcW w:w="5514" w:type="dxa"/>
            <w:tcBorders>
              <w:top w:val="nil"/>
              <w:left w:val="nil"/>
              <w:bottom w:val="single" w:sz="4" w:space="0" w:color="auto"/>
              <w:right w:val="single" w:sz="4" w:space="0" w:color="auto"/>
            </w:tcBorders>
            <w:shd w:val="clear" w:color="auto" w:fill="auto"/>
            <w:vAlign w:val="center"/>
            <w:hideMark/>
          </w:tcPr>
          <w:p w14:paraId="6ACE9FBD" w14:textId="4FEF1CE3"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Możliwość skonfigurowania </w:t>
            </w:r>
            <w:proofErr w:type="spellStart"/>
            <w:r w:rsidR="00880B0C">
              <w:rPr>
                <w:rFonts w:eastAsia="Times New Roman" w:cstheme="minorHAnsi"/>
                <w:lang w:eastAsia="pl-PL"/>
              </w:rPr>
              <w:t>cz</w:t>
            </w:r>
            <w:proofErr w:type="spellEnd"/>
            <w:r w:rsidRPr="00CF3752">
              <w:rPr>
                <w:rFonts w:eastAsia="Times New Roman" w:cstheme="minorHAnsi"/>
                <w:lang w:eastAsia="pl-PL"/>
              </w:rPr>
              <w:t xml:space="preserve"> konektorów przesyłających dane do kilku, różnych systemów zewnętrznych (HIS, CIS, inne) jednocześnie. </w:t>
            </w:r>
          </w:p>
        </w:tc>
        <w:tc>
          <w:tcPr>
            <w:tcW w:w="1133" w:type="dxa"/>
            <w:tcBorders>
              <w:top w:val="nil"/>
              <w:left w:val="nil"/>
              <w:bottom w:val="single" w:sz="4" w:space="0" w:color="auto"/>
              <w:right w:val="single" w:sz="4" w:space="0" w:color="auto"/>
            </w:tcBorders>
            <w:shd w:val="clear" w:color="auto" w:fill="auto"/>
            <w:vAlign w:val="center"/>
            <w:hideMark/>
          </w:tcPr>
          <w:p w14:paraId="13D2F92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1FADA27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50C75FD"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45C534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20.10.8</w:t>
            </w:r>
          </w:p>
        </w:tc>
        <w:tc>
          <w:tcPr>
            <w:tcW w:w="5514" w:type="dxa"/>
            <w:tcBorders>
              <w:top w:val="nil"/>
              <w:left w:val="nil"/>
              <w:bottom w:val="single" w:sz="4" w:space="0" w:color="auto"/>
              <w:right w:val="single" w:sz="4" w:space="0" w:color="auto"/>
            </w:tcBorders>
            <w:shd w:val="clear" w:color="auto" w:fill="auto"/>
            <w:vAlign w:val="center"/>
            <w:hideMark/>
          </w:tcPr>
          <w:p w14:paraId="34F2DCC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Możliwość skonfigurowania oddzielnie każdego konektora pozwalające na dopasowanie przesyłanych danych do systemu odbierającego. </w:t>
            </w:r>
          </w:p>
        </w:tc>
        <w:tc>
          <w:tcPr>
            <w:tcW w:w="1133" w:type="dxa"/>
            <w:tcBorders>
              <w:top w:val="nil"/>
              <w:left w:val="nil"/>
              <w:bottom w:val="single" w:sz="4" w:space="0" w:color="auto"/>
              <w:right w:val="single" w:sz="4" w:space="0" w:color="auto"/>
            </w:tcBorders>
            <w:shd w:val="clear" w:color="auto" w:fill="auto"/>
            <w:vAlign w:val="center"/>
            <w:hideMark/>
          </w:tcPr>
          <w:p w14:paraId="640D656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70F93FA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F52CEDE"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6A172FE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20.10.9</w:t>
            </w:r>
          </w:p>
        </w:tc>
        <w:tc>
          <w:tcPr>
            <w:tcW w:w="5514" w:type="dxa"/>
            <w:tcBorders>
              <w:top w:val="nil"/>
              <w:left w:val="nil"/>
              <w:bottom w:val="single" w:sz="4" w:space="0" w:color="auto"/>
              <w:right w:val="single" w:sz="4" w:space="0" w:color="auto"/>
            </w:tcBorders>
            <w:shd w:val="clear" w:color="auto" w:fill="auto"/>
            <w:vAlign w:val="center"/>
            <w:hideMark/>
          </w:tcPr>
          <w:p w14:paraId="16962F61"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Możliwość zaawansowanego filtrowania i przetwarzania danych przychodzących z urządzeń medycznych m. in. </w:t>
            </w:r>
          </w:p>
        </w:tc>
        <w:tc>
          <w:tcPr>
            <w:tcW w:w="1133" w:type="dxa"/>
            <w:tcBorders>
              <w:top w:val="nil"/>
              <w:left w:val="nil"/>
              <w:bottom w:val="single" w:sz="4" w:space="0" w:color="auto"/>
              <w:right w:val="single" w:sz="4" w:space="0" w:color="auto"/>
            </w:tcBorders>
            <w:shd w:val="clear" w:color="auto" w:fill="auto"/>
            <w:vAlign w:val="center"/>
            <w:hideMark/>
          </w:tcPr>
          <w:p w14:paraId="1AA44A0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2BB87AFC"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1FE29A01"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06D6F2C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20.10.9.1</w:t>
            </w:r>
          </w:p>
        </w:tc>
        <w:tc>
          <w:tcPr>
            <w:tcW w:w="5514" w:type="dxa"/>
            <w:tcBorders>
              <w:top w:val="nil"/>
              <w:left w:val="nil"/>
              <w:bottom w:val="single" w:sz="4" w:space="0" w:color="auto"/>
              <w:right w:val="single" w:sz="4" w:space="0" w:color="auto"/>
            </w:tcBorders>
            <w:shd w:val="clear" w:color="auto" w:fill="auto"/>
            <w:vAlign w:val="center"/>
            <w:hideMark/>
          </w:tcPr>
          <w:p w14:paraId="7F2C140E"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interwał zbierania danych,</w:t>
            </w:r>
          </w:p>
        </w:tc>
        <w:tc>
          <w:tcPr>
            <w:tcW w:w="1133" w:type="dxa"/>
            <w:tcBorders>
              <w:top w:val="nil"/>
              <w:left w:val="nil"/>
              <w:bottom w:val="single" w:sz="4" w:space="0" w:color="auto"/>
              <w:right w:val="single" w:sz="4" w:space="0" w:color="auto"/>
            </w:tcBorders>
            <w:shd w:val="clear" w:color="auto" w:fill="auto"/>
            <w:vAlign w:val="center"/>
            <w:hideMark/>
          </w:tcPr>
          <w:p w14:paraId="590A488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7A8D758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508BDD3"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33AE9C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20.10.9.2</w:t>
            </w:r>
          </w:p>
        </w:tc>
        <w:tc>
          <w:tcPr>
            <w:tcW w:w="5514" w:type="dxa"/>
            <w:tcBorders>
              <w:top w:val="nil"/>
              <w:left w:val="nil"/>
              <w:bottom w:val="single" w:sz="4" w:space="0" w:color="auto"/>
              <w:right w:val="single" w:sz="4" w:space="0" w:color="auto"/>
            </w:tcBorders>
            <w:shd w:val="clear" w:color="auto" w:fill="auto"/>
            <w:vAlign w:val="center"/>
            <w:hideMark/>
          </w:tcPr>
          <w:p w14:paraId="1628950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łączenie danych z dwóch różnych parametrów w jeden,</w:t>
            </w:r>
          </w:p>
        </w:tc>
        <w:tc>
          <w:tcPr>
            <w:tcW w:w="1133" w:type="dxa"/>
            <w:tcBorders>
              <w:top w:val="nil"/>
              <w:left w:val="nil"/>
              <w:bottom w:val="single" w:sz="4" w:space="0" w:color="auto"/>
              <w:right w:val="single" w:sz="4" w:space="0" w:color="auto"/>
            </w:tcBorders>
            <w:shd w:val="clear" w:color="auto" w:fill="auto"/>
            <w:vAlign w:val="center"/>
            <w:hideMark/>
          </w:tcPr>
          <w:p w14:paraId="2DEAC7F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23057FE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44C802E5"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5B67199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20.10.9.3</w:t>
            </w:r>
          </w:p>
        </w:tc>
        <w:tc>
          <w:tcPr>
            <w:tcW w:w="5514" w:type="dxa"/>
            <w:tcBorders>
              <w:top w:val="nil"/>
              <w:left w:val="nil"/>
              <w:bottom w:val="single" w:sz="4" w:space="0" w:color="auto"/>
              <w:right w:val="single" w:sz="4" w:space="0" w:color="auto"/>
            </w:tcBorders>
            <w:shd w:val="clear" w:color="auto" w:fill="auto"/>
            <w:vAlign w:val="center"/>
            <w:hideMark/>
          </w:tcPr>
          <w:p w14:paraId="1D4EDE07"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wybór parametrów które mają być zbierane z urządzeń,</w:t>
            </w:r>
          </w:p>
        </w:tc>
        <w:tc>
          <w:tcPr>
            <w:tcW w:w="1133" w:type="dxa"/>
            <w:tcBorders>
              <w:top w:val="nil"/>
              <w:left w:val="nil"/>
              <w:bottom w:val="single" w:sz="4" w:space="0" w:color="auto"/>
              <w:right w:val="single" w:sz="4" w:space="0" w:color="auto"/>
            </w:tcBorders>
            <w:shd w:val="clear" w:color="auto" w:fill="auto"/>
            <w:vAlign w:val="center"/>
            <w:hideMark/>
          </w:tcPr>
          <w:p w14:paraId="75A87048"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59E86DC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3B85E430"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4823ED59"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20.10.9.4</w:t>
            </w:r>
          </w:p>
        </w:tc>
        <w:tc>
          <w:tcPr>
            <w:tcW w:w="5514" w:type="dxa"/>
            <w:tcBorders>
              <w:top w:val="nil"/>
              <w:left w:val="nil"/>
              <w:bottom w:val="single" w:sz="4" w:space="0" w:color="auto"/>
              <w:right w:val="single" w:sz="4" w:space="0" w:color="auto"/>
            </w:tcBorders>
            <w:shd w:val="clear" w:color="auto" w:fill="auto"/>
            <w:vAlign w:val="center"/>
            <w:hideMark/>
          </w:tcPr>
          <w:p w14:paraId="2555473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zmiana etykiety parametru na inny,</w:t>
            </w:r>
          </w:p>
        </w:tc>
        <w:tc>
          <w:tcPr>
            <w:tcW w:w="1133" w:type="dxa"/>
            <w:tcBorders>
              <w:top w:val="nil"/>
              <w:left w:val="nil"/>
              <w:bottom w:val="single" w:sz="4" w:space="0" w:color="auto"/>
              <w:right w:val="single" w:sz="4" w:space="0" w:color="auto"/>
            </w:tcBorders>
            <w:shd w:val="clear" w:color="auto" w:fill="auto"/>
            <w:vAlign w:val="center"/>
            <w:hideMark/>
          </w:tcPr>
          <w:p w14:paraId="539A320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5D7DBB4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2947925B"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A8FE00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20.10.9.5</w:t>
            </w:r>
          </w:p>
        </w:tc>
        <w:tc>
          <w:tcPr>
            <w:tcW w:w="5514" w:type="dxa"/>
            <w:tcBorders>
              <w:top w:val="nil"/>
              <w:left w:val="nil"/>
              <w:bottom w:val="single" w:sz="4" w:space="0" w:color="auto"/>
              <w:right w:val="single" w:sz="4" w:space="0" w:color="auto"/>
            </w:tcBorders>
            <w:shd w:val="clear" w:color="auto" w:fill="auto"/>
            <w:vAlign w:val="center"/>
            <w:hideMark/>
          </w:tcPr>
          <w:p w14:paraId="1C92372D"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filtrowanie parametrów spełniających określony, zdefiniowany warunek.</w:t>
            </w:r>
          </w:p>
        </w:tc>
        <w:tc>
          <w:tcPr>
            <w:tcW w:w="1133" w:type="dxa"/>
            <w:tcBorders>
              <w:top w:val="nil"/>
              <w:left w:val="nil"/>
              <w:bottom w:val="single" w:sz="4" w:space="0" w:color="auto"/>
              <w:right w:val="single" w:sz="4" w:space="0" w:color="auto"/>
            </w:tcBorders>
            <w:shd w:val="clear" w:color="auto" w:fill="auto"/>
            <w:vAlign w:val="center"/>
            <w:hideMark/>
          </w:tcPr>
          <w:p w14:paraId="305B698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3DEC3204"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5D37F19" w14:textId="77777777" w:rsidTr="00FD23DE">
        <w:trPr>
          <w:trHeight w:val="528"/>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9C66ACD"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20.10.9.6</w:t>
            </w:r>
          </w:p>
        </w:tc>
        <w:tc>
          <w:tcPr>
            <w:tcW w:w="5514" w:type="dxa"/>
            <w:tcBorders>
              <w:top w:val="nil"/>
              <w:left w:val="nil"/>
              <w:bottom w:val="single" w:sz="4" w:space="0" w:color="auto"/>
              <w:right w:val="single" w:sz="4" w:space="0" w:color="auto"/>
            </w:tcBorders>
            <w:shd w:val="clear" w:color="auto" w:fill="auto"/>
            <w:vAlign w:val="center"/>
            <w:hideMark/>
          </w:tcPr>
          <w:p w14:paraId="0BFC07BA"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Platforma zapewnia szyfrowanie danych z urządzeń medycznych przesyłanych między platformą a zewnętrznymi systemami odbierającymi.</w:t>
            </w:r>
          </w:p>
        </w:tc>
        <w:tc>
          <w:tcPr>
            <w:tcW w:w="1133" w:type="dxa"/>
            <w:tcBorders>
              <w:top w:val="nil"/>
              <w:left w:val="nil"/>
              <w:bottom w:val="single" w:sz="4" w:space="0" w:color="auto"/>
              <w:right w:val="single" w:sz="4" w:space="0" w:color="auto"/>
            </w:tcBorders>
            <w:shd w:val="clear" w:color="auto" w:fill="auto"/>
            <w:vAlign w:val="center"/>
            <w:hideMark/>
          </w:tcPr>
          <w:p w14:paraId="5EC12876"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TAK / NIE DOTYCZY</w:t>
            </w:r>
          </w:p>
        </w:tc>
        <w:tc>
          <w:tcPr>
            <w:tcW w:w="2011" w:type="dxa"/>
            <w:tcBorders>
              <w:top w:val="nil"/>
              <w:left w:val="nil"/>
              <w:bottom w:val="single" w:sz="4" w:space="0" w:color="auto"/>
              <w:right w:val="single" w:sz="4" w:space="0" w:color="auto"/>
            </w:tcBorders>
            <w:shd w:val="clear" w:color="auto" w:fill="auto"/>
            <w:vAlign w:val="center"/>
            <w:hideMark/>
          </w:tcPr>
          <w:p w14:paraId="333A120E"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6B903CB3" w14:textId="77777777" w:rsidTr="00FD23DE">
        <w:trPr>
          <w:trHeight w:val="1320"/>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2DBFBE05"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20.11</w:t>
            </w:r>
          </w:p>
        </w:tc>
        <w:tc>
          <w:tcPr>
            <w:tcW w:w="5514" w:type="dxa"/>
            <w:tcBorders>
              <w:top w:val="nil"/>
              <w:left w:val="nil"/>
              <w:bottom w:val="single" w:sz="4" w:space="0" w:color="auto"/>
              <w:right w:val="single" w:sz="4" w:space="0" w:color="auto"/>
            </w:tcBorders>
            <w:shd w:val="clear" w:color="auto" w:fill="auto"/>
            <w:vAlign w:val="center"/>
            <w:hideMark/>
          </w:tcPr>
          <w:p w14:paraId="2FE99AC9"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Wykonawca we własnym zakresie udostępni producentowi integrowanego systemu/oprogramowania, dokumentację użytkową oraz specyfikację protokołu komunikacji w wersji elektronicznej. Zamawiający nie będzie pośrednikiem w ustaleniach między Wykonawcą a producentem systemu/oprogramowania integrującego</w:t>
            </w:r>
          </w:p>
        </w:tc>
        <w:tc>
          <w:tcPr>
            <w:tcW w:w="1133" w:type="dxa"/>
            <w:tcBorders>
              <w:top w:val="nil"/>
              <w:left w:val="nil"/>
              <w:bottom w:val="single" w:sz="4" w:space="0" w:color="auto"/>
              <w:right w:val="single" w:sz="4" w:space="0" w:color="auto"/>
            </w:tcBorders>
            <w:shd w:val="clear" w:color="auto" w:fill="auto"/>
            <w:vAlign w:val="center"/>
            <w:hideMark/>
          </w:tcPr>
          <w:p w14:paraId="2FE3EA1C" w14:textId="3EA712FF" w:rsidR="00CB3017" w:rsidRPr="00CF3752" w:rsidRDefault="00C97E91" w:rsidP="00880B0C">
            <w:pPr>
              <w:spacing w:after="0" w:line="240" w:lineRule="auto"/>
              <w:jc w:val="center"/>
              <w:rPr>
                <w:rFonts w:eastAsia="Times New Roman" w:cstheme="minorHAnsi"/>
                <w:lang w:eastAsia="pl-PL"/>
              </w:rPr>
            </w:pPr>
            <w:r>
              <w:rPr>
                <w:rFonts w:eastAsia="Times New Roman" w:cstheme="minorHAnsi"/>
                <w:lang w:eastAsia="pl-PL"/>
              </w:rPr>
              <w:t>TAK</w:t>
            </w:r>
            <w:r w:rsidR="00CB3017" w:rsidRPr="00CF3752">
              <w:rPr>
                <w:rFonts w:eastAsia="Times New Roman" w:cstheme="minorHAnsi"/>
                <w:lang w:eastAsia="pl-PL"/>
              </w:rPr>
              <w:t> </w:t>
            </w:r>
          </w:p>
        </w:tc>
        <w:tc>
          <w:tcPr>
            <w:tcW w:w="2011" w:type="dxa"/>
            <w:tcBorders>
              <w:top w:val="nil"/>
              <w:left w:val="nil"/>
              <w:bottom w:val="single" w:sz="4" w:space="0" w:color="auto"/>
              <w:right w:val="single" w:sz="4" w:space="0" w:color="auto"/>
            </w:tcBorders>
            <w:shd w:val="clear" w:color="auto" w:fill="auto"/>
            <w:vAlign w:val="center"/>
            <w:hideMark/>
          </w:tcPr>
          <w:p w14:paraId="55990CE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F1834A0" w14:textId="77777777" w:rsidTr="00FD23DE">
        <w:trPr>
          <w:trHeight w:val="276"/>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17758FDF"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20.12</w:t>
            </w:r>
          </w:p>
        </w:tc>
        <w:tc>
          <w:tcPr>
            <w:tcW w:w="5514" w:type="dxa"/>
            <w:tcBorders>
              <w:top w:val="nil"/>
              <w:left w:val="nil"/>
              <w:bottom w:val="single" w:sz="4" w:space="0" w:color="auto"/>
              <w:right w:val="single" w:sz="4" w:space="0" w:color="auto"/>
            </w:tcBorders>
            <w:shd w:val="clear" w:color="auto" w:fill="auto"/>
            <w:vAlign w:val="center"/>
            <w:hideMark/>
          </w:tcPr>
          <w:p w14:paraId="141D26C5"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 xml:space="preserve">Wykonawca dostarczy opis techniczny zrealizowanej integracji </w:t>
            </w:r>
          </w:p>
        </w:tc>
        <w:tc>
          <w:tcPr>
            <w:tcW w:w="1133" w:type="dxa"/>
            <w:tcBorders>
              <w:top w:val="nil"/>
              <w:left w:val="nil"/>
              <w:bottom w:val="single" w:sz="4" w:space="0" w:color="auto"/>
              <w:right w:val="single" w:sz="4" w:space="0" w:color="auto"/>
            </w:tcBorders>
            <w:shd w:val="clear" w:color="auto" w:fill="auto"/>
            <w:vAlign w:val="center"/>
            <w:hideMark/>
          </w:tcPr>
          <w:p w14:paraId="3D65155B" w14:textId="224B8D64" w:rsidR="00CB3017" w:rsidRPr="00CF3752" w:rsidRDefault="006B2195" w:rsidP="006B2195">
            <w:pPr>
              <w:spacing w:after="0" w:line="240" w:lineRule="auto"/>
              <w:jc w:val="center"/>
              <w:rPr>
                <w:rFonts w:eastAsia="Times New Roman" w:cstheme="minorHAnsi"/>
                <w:lang w:eastAsia="pl-PL"/>
              </w:rPr>
            </w:pPr>
            <w:r>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69F109F7"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CB3017" w:rsidRPr="00F8703A" w14:paraId="59982A9F" w14:textId="77777777" w:rsidTr="00FD23DE">
        <w:trPr>
          <w:trHeight w:val="762"/>
        </w:trPr>
        <w:tc>
          <w:tcPr>
            <w:tcW w:w="976" w:type="dxa"/>
            <w:tcBorders>
              <w:top w:val="nil"/>
              <w:left w:val="single" w:sz="4" w:space="0" w:color="auto"/>
              <w:bottom w:val="single" w:sz="4" w:space="0" w:color="auto"/>
              <w:right w:val="single" w:sz="4" w:space="0" w:color="auto"/>
            </w:tcBorders>
            <w:shd w:val="clear" w:color="auto" w:fill="auto"/>
            <w:vAlign w:val="center"/>
            <w:hideMark/>
          </w:tcPr>
          <w:p w14:paraId="3EA7CD8B"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20.13</w:t>
            </w:r>
          </w:p>
        </w:tc>
        <w:tc>
          <w:tcPr>
            <w:tcW w:w="5514" w:type="dxa"/>
            <w:tcBorders>
              <w:top w:val="nil"/>
              <w:left w:val="nil"/>
              <w:bottom w:val="single" w:sz="4" w:space="0" w:color="auto"/>
              <w:right w:val="single" w:sz="4" w:space="0" w:color="auto"/>
            </w:tcBorders>
            <w:shd w:val="clear" w:color="auto" w:fill="auto"/>
            <w:vAlign w:val="center"/>
            <w:hideMark/>
          </w:tcPr>
          <w:p w14:paraId="46852B28" w14:textId="77777777" w:rsidR="00CB3017" w:rsidRPr="00CF3752" w:rsidRDefault="00CB3017" w:rsidP="00880B0C">
            <w:pPr>
              <w:spacing w:after="0" w:line="240" w:lineRule="auto"/>
              <w:rPr>
                <w:rFonts w:eastAsia="Times New Roman" w:cstheme="minorHAnsi"/>
                <w:lang w:eastAsia="pl-PL"/>
              </w:rPr>
            </w:pPr>
            <w:r w:rsidRPr="00CF3752">
              <w:rPr>
                <w:rFonts w:eastAsia="Times New Roman" w:cstheme="minorHAnsi"/>
                <w:lang w:eastAsia="pl-PL"/>
              </w:rPr>
              <w:t>Dla formy integracji niewymienionych powyżej należy uzyskać akceptację Zamawiającego na etapie Analizy Przedwdrożeniowej</w:t>
            </w:r>
          </w:p>
        </w:tc>
        <w:tc>
          <w:tcPr>
            <w:tcW w:w="1133" w:type="dxa"/>
            <w:tcBorders>
              <w:top w:val="nil"/>
              <w:left w:val="nil"/>
              <w:bottom w:val="single" w:sz="4" w:space="0" w:color="auto"/>
              <w:right w:val="single" w:sz="4" w:space="0" w:color="auto"/>
            </w:tcBorders>
            <w:shd w:val="clear" w:color="auto" w:fill="auto"/>
            <w:vAlign w:val="center"/>
            <w:hideMark/>
          </w:tcPr>
          <w:p w14:paraId="7DD57951" w14:textId="4E86BE9E" w:rsidR="00CB3017" w:rsidRPr="00CF3752" w:rsidRDefault="006B2195" w:rsidP="006B2195">
            <w:pPr>
              <w:spacing w:after="0" w:line="240" w:lineRule="auto"/>
              <w:jc w:val="center"/>
              <w:rPr>
                <w:rFonts w:eastAsia="Times New Roman" w:cstheme="minorHAnsi"/>
                <w:lang w:eastAsia="pl-PL"/>
              </w:rPr>
            </w:pPr>
            <w:r>
              <w:rPr>
                <w:rFonts w:eastAsia="Times New Roman" w:cstheme="minorHAnsi"/>
                <w:lang w:eastAsia="pl-PL"/>
              </w:rPr>
              <w:t>TAK</w:t>
            </w:r>
          </w:p>
        </w:tc>
        <w:tc>
          <w:tcPr>
            <w:tcW w:w="2011" w:type="dxa"/>
            <w:tcBorders>
              <w:top w:val="nil"/>
              <w:left w:val="nil"/>
              <w:bottom w:val="single" w:sz="4" w:space="0" w:color="auto"/>
              <w:right w:val="single" w:sz="4" w:space="0" w:color="auto"/>
            </w:tcBorders>
            <w:shd w:val="clear" w:color="auto" w:fill="auto"/>
            <w:vAlign w:val="center"/>
            <w:hideMark/>
          </w:tcPr>
          <w:p w14:paraId="019C05D3" w14:textId="77777777" w:rsidR="00CB3017" w:rsidRPr="00CF3752" w:rsidRDefault="00CB3017" w:rsidP="00880B0C">
            <w:pPr>
              <w:spacing w:after="0" w:line="240" w:lineRule="auto"/>
              <w:jc w:val="center"/>
              <w:rPr>
                <w:rFonts w:eastAsia="Times New Roman" w:cstheme="minorHAnsi"/>
                <w:lang w:eastAsia="pl-PL"/>
              </w:rPr>
            </w:pPr>
            <w:r w:rsidRPr="00CF3752">
              <w:rPr>
                <w:rFonts w:eastAsia="Times New Roman" w:cstheme="minorHAnsi"/>
                <w:lang w:eastAsia="pl-PL"/>
              </w:rPr>
              <w:t> </w:t>
            </w:r>
          </w:p>
        </w:tc>
      </w:tr>
      <w:tr w:rsidR="002538F5" w:rsidRPr="00F8703A" w14:paraId="351C3572" w14:textId="77777777" w:rsidTr="00FD23DE">
        <w:tc>
          <w:tcPr>
            <w:tcW w:w="9634" w:type="dxa"/>
            <w:gridSpan w:val="4"/>
            <w:tcBorders>
              <w:top w:val="single" w:sz="4" w:space="0" w:color="auto"/>
              <w:left w:val="single" w:sz="4" w:space="0" w:color="auto"/>
              <w:bottom w:val="single" w:sz="4" w:space="0" w:color="auto"/>
              <w:right w:val="single" w:sz="4" w:space="0" w:color="auto"/>
            </w:tcBorders>
            <w:shd w:val="clear" w:color="auto" w:fill="E8E8E8"/>
            <w:vAlign w:val="center"/>
          </w:tcPr>
          <w:p w14:paraId="1B700FD6" w14:textId="5ADACA46" w:rsidR="002538F5" w:rsidRPr="00CF3752" w:rsidRDefault="002538F5" w:rsidP="002538F5">
            <w:pPr>
              <w:spacing w:after="0" w:line="240" w:lineRule="auto"/>
              <w:jc w:val="center"/>
              <w:rPr>
                <w:rFonts w:eastAsia="Times New Roman" w:cstheme="minorHAnsi"/>
                <w:lang w:eastAsia="pl-PL"/>
              </w:rPr>
            </w:pPr>
            <w:r>
              <w:rPr>
                <w:rFonts w:eastAsia="Times New Roman" w:cstheme="minorHAnsi"/>
                <w:b/>
                <w:bCs/>
                <w:lang w:eastAsia="pl-PL"/>
              </w:rPr>
              <w:t>Wymagane doświadczenie</w:t>
            </w:r>
          </w:p>
        </w:tc>
      </w:tr>
      <w:tr w:rsidR="002538F5" w:rsidRPr="00F8703A" w14:paraId="0450BD57" w14:textId="77777777" w:rsidTr="00FD23DE">
        <w:trPr>
          <w:trHeight w:val="762"/>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910552E" w14:textId="16D2025E" w:rsidR="002538F5" w:rsidRPr="00CF3752" w:rsidRDefault="002538F5" w:rsidP="002538F5">
            <w:pPr>
              <w:spacing w:after="0" w:line="240" w:lineRule="auto"/>
              <w:jc w:val="center"/>
              <w:rPr>
                <w:rFonts w:eastAsia="Times New Roman" w:cstheme="minorHAnsi"/>
                <w:lang w:eastAsia="pl-PL"/>
              </w:rPr>
            </w:pPr>
            <w:r>
              <w:rPr>
                <w:rFonts w:eastAsia="Times New Roman" w:cstheme="minorHAnsi"/>
                <w:lang w:eastAsia="pl-PL"/>
              </w:rPr>
              <w:t>21.1</w:t>
            </w:r>
          </w:p>
        </w:tc>
        <w:tc>
          <w:tcPr>
            <w:tcW w:w="5514" w:type="dxa"/>
            <w:tcBorders>
              <w:top w:val="single" w:sz="4" w:space="0" w:color="auto"/>
              <w:left w:val="nil"/>
              <w:bottom w:val="single" w:sz="4" w:space="0" w:color="auto"/>
              <w:right w:val="single" w:sz="4" w:space="0" w:color="auto"/>
            </w:tcBorders>
            <w:shd w:val="clear" w:color="auto" w:fill="auto"/>
            <w:vAlign w:val="center"/>
          </w:tcPr>
          <w:p w14:paraId="42A0A9E4" w14:textId="0068FD8C" w:rsidR="002538F5" w:rsidRPr="00CF3752" w:rsidRDefault="002538F5" w:rsidP="002538F5">
            <w:pPr>
              <w:spacing w:after="0" w:line="240" w:lineRule="auto"/>
              <w:rPr>
                <w:rFonts w:eastAsia="Times New Roman" w:cstheme="minorHAnsi"/>
                <w:lang w:eastAsia="pl-PL"/>
              </w:rPr>
            </w:pPr>
            <w:r w:rsidRPr="002538F5">
              <w:rPr>
                <w:rFonts w:eastAsia="Times New Roman" w:cstheme="minorHAnsi"/>
                <w:lang w:eastAsia="pl-PL"/>
              </w:rPr>
              <w:t>Wykonawca musi posiadać doświadczenie we wdrażaniu systemów typu CIS</w:t>
            </w:r>
            <w:r w:rsidR="00FC3659">
              <w:rPr>
                <w:rFonts w:eastAsia="Times New Roman" w:cstheme="minorHAnsi"/>
                <w:lang w:eastAsia="pl-PL"/>
              </w:rPr>
              <w:t xml:space="preserve"> (systemów/usług o 5 stopniu dojrzałości)</w:t>
            </w:r>
            <w:r w:rsidRPr="002538F5">
              <w:rPr>
                <w:rFonts w:eastAsia="Times New Roman" w:cstheme="minorHAnsi"/>
                <w:lang w:eastAsia="pl-PL"/>
              </w:rPr>
              <w:t xml:space="preserve"> w jednostkach medycznych podparte referencjami/protokołami odbioru </w:t>
            </w:r>
            <w:r w:rsidR="008E334D">
              <w:rPr>
                <w:rFonts w:eastAsia="Times New Roman" w:cstheme="minorHAnsi"/>
                <w:lang w:eastAsia="pl-PL"/>
              </w:rPr>
              <w:t xml:space="preserve">(bez zastrzeżeń) </w:t>
            </w:r>
            <w:r w:rsidRPr="002538F5">
              <w:rPr>
                <w:rFonts w:eastAsia="Times New Roman" w:cstheme="minorHAnsi"/>
                <w:lang w:eastAsia="pl-PL"/>
              </w:rPr>
              <w:t>z min. 3 jednostek medycznych na min. 10 stanowisk pracy</w:t>
            </w:r>
            <w:r w:rsidR="008E334D">
              <w:rPr>
                <w:rFonts w:eastAsia="Times New Roman" w:cstheme="minorHAnsi"/>
                <w:lang w:eastAsia="pl-PL"/>
              </w:rPr>
              <w:t xml:space="preserve"> w każdym z podmiotów</w:t>
            </w:r>
          </w:p>
        </w:tc>
        <w:tc>
          <w:tcPr>
            <w:tcW w:w="1133" w:type="dxa"/>
            <w:tcBorders>
              <w:top w:val="single" w:sz="4" w:space="0" w:color="auto"/>
              <w:left w:val="nil"/>
              <w:bottom w:val="single" w:sz="4" w:space="0" w:color="auto"/>
              <w:right w:val="single" w:sz="4" w:space="0" w:color="auto"/>
            </w:tcBorders>
            <w:shd w:val="clear" w:color="auto" w:fill="auto"/>
            <w:vAlign w:val="center"/>
          </w:tcPr>
          <w:p w14:paraId="28A2640D" w14:textId="55DBAD0F" w:rsidR="002538F5" w:rsidRDefault="002538F5" w:rsidP="002538F5">
            <w:pPr>
              <w:spacing w:after="0" w:line="240" w:lineRule="auto"/>
              <w:jc w:val="center"/>
              <w:rPr>
                <w:rFonts w:eastAsia="Times New Roman" w:cstheme="minorHAnsi"/>
                <w:lang w:eastAsia="pl-PL"/>
              </w:rPr>
            </w:pPr>
            <w:r>
              <w:rPr>
                <w:rFonts w:eastAsia="Times New Roman" w:cstheme="minorHAnsi"/>
                <w:lang w:eastAsia="pl-PL"/>
              </w:rPr>
              <w:t>TAK</w:t>
            </w:r>
          </w:p>
        </w:tc>
        <w:tc>
          <w:tcPr>
            <w:tcW w:w="2011" w:type="dxa"/>
            <w:tcBorders>
              <w:top w:val="single" w:sz="4" w:space="0" w:color="auto"/>
              <w:left w:val="nil"/>
              <w:bottom w:val="single" w:sz="4" w:space="0" w:color="auto"/>
              <w:right w:val="single" w:sz="4" w:space="0" w:color="auto"/>
            </w:tcBorders>
            <w:shd w:val="clear" w:color="auto" w:fill="auto"/>
            <w:vAlign w:val="center"/>
          </w:tcPr>
          <w:p w14:paraId="78E5007D" w14:textId="77777777" w:rsidR="002538F5" w:rsidRPr="00CF3752" w:rsidRDefault="002538F5" w:rsidP="002538F5">
            <w:pPr>
              <w:spacing w:after="0" w:line="240" w:lineRule="auto"/>
              <w:jc w:val="center"/>
              <w:rPr>
                <w:rFonts w:eastAsia="Times New Roman" w:cstheme="minorHAnsi"/>
                <w:lang w:eastAsia="pl-PL"/>
              </w:rPr>
            </w:pPr>
          </w:p>
        </w:tc>
      </w:tr>
    </w:tbl>
    <w:p w14:paraId="219ADD5C" w14:textId="1AADFA97" w:rsidR="00C1416C" w:rsidRPr="00E70796" w:rsidRDefault="000A254A" w:rsidP="006C1522">
      <w:pPr>
        <w:pStyle w:val="Nagwek1"/>
        <w:numPr>
          <w:ilvl w:val="0"/>
          <w:numId w:val="1"/>
        </w:numPr>
        <w:jc w:val="both"/>
        <w:rPr>
          <w:rFonts w:asciiTheme="majorHAnsi" w:hAnsiTheme="majorHAnsi" w:cstheme="majorHAnsi"/>
        </w:rPr>
      </w:pPr>
      <w:r w:rsidRPr="00E70796">
        <w:rPr>
          <w:rFonts w:asciiTheme="majorHAnsi" w:hAnsiTheme="majorHAnsi" w:cstheme="majorHAnsi"/>
        </w:rPr>
        <w:t>Zasady świadczenia usług serwisowych i gwarancyjnych</w:t>
      </w:r>
    </w:p>
    <w:p w14:paraId="6F30C3A9" w14:textId="0D74AEA7" w:rsidR="00DE7FFE" w:rsidRPr="00E70796" w:rsidRDefault="00DE7FFE" w:rsidP="00CB3017">
      <w:pPr>
        <w:pStyle w:val="Akapitzlist"/>
        <w:numPr>
          <w:ilvl w:val="0"/>
          <w:numId w:val="23"/>
        </w:numPr>
        <w:jc w:val="both"/>
        <w:rPr>
          <w:rFonts w:asciiTheme="majorHAnsi" w:hAnsiTheme="majorHAnsi" w:cstheme="majorHAnsi"/>
        </w:rPr>
      </w:pPr>
      <w:r w:rsidRPr="00E70796">
        <w:rPr>
          <w:rFonts w:asciiTheme="majorHAnsi" w:hAnsiTheme="majorHAnsi" w:cstheme="majorHAnsi"/>
        </w:rPr>
        <w:t>Przyjęcie zgłoszenia Wady przez Wykonawcę, odbywać się będzie poprzez dostępny on-line System Zgłaszania i przyjmowania uwag oraz Wad (dalej zwany SZ) przy czym:</w:t>
      </w:r>
      <w:r w:rsidRPr="00E70796">
        <w:rPr>
          <w:rFonts w:asciiTheme="majorHAnsi" w:hAnsiTheme="majorHAnsi" w:cstheme="majorHAnsi"/>
        </w:rPr>
        <w:br/>
        <w:t>System Zgłoszeń dostarczy Wykonawca (będzie on utrzymywany i administrowany przez Wykonawcę), wpis zgłoszenia do SZ będzie dokonywał Zamawiający,</w:t>
      </w:r>
    </w:p>
    <w:p w14:paraId="3CCF250D" w14:textId="77777777" w:rsidR="00DE7FFE" w:rsidRPr="00E70796" w:rsidRDefault="00DE7FFE" w:rsidP="00CB3017">
      <w:pPr>
        <w:pStyle w:val="Akapitzlist"/>
        <w:numPr>
          <w:ilvl w:val="1"/>
          <w:numId w:val="23"/>
        </w:numPr>
        <w:jc w:val="both"/>
        <w:rPr>
          <w:rFonts w:asciiTheme="majorHAnsi" w:hAnsiTheme="majorHAnsi" w:cstheme="majorHAnsi"/>
        </w:rPr>
      </w:pPr>
      <w:r w:rsidRPr="00E70796">
        <w:rPr>
          <w:rFonts w:asciiTheme="majorHAnsi" w:hAnsiTheme="majorHAnsi" w:cstheme="majorHAnsi"/>
        </w:rPr>
        <w:t>Wszystkie zgłoszenia wprowadzone przez pracowników Zamawiającego musza być dostępne dla Administratora systemu będącego pracownikiem działu IT Zamawiającego</w:t>
      </w:r>
    </w:p>
    <w:p w14:paraId="71CD4AE5" w14:textId="77777777" w:rsidR="00DE7FFE" w:rsidRPr="00E70796" w:rsidRDefault="00DE7FFE" w:rsidP="00CB3017">
      <w:pPr>
        <w:pStyle w:val="Akapitzlist"/>
        <w:numPr>
          <w:ilvl w:val="1"/>
          <w:numId w:val="23"/>
        </w:numPr>
        <w:jc w:val="both"/>
        <w:rPr>
          <w:rFonts w:asciiTheme="majorHAnsi" w:hAnsiTheme="majorHAnsi" w:cstheme="majorHAnsi"/>
        </w:rPr>
      </w:pPr>
      <w:bookmarkStart w:id="8" w:name="_ubx4pxv3aj5" w:colFirst="0" w:colLast="0"/>
      <w:bookmarkEnd w:id="8"/>
      <w:r w:rsidRPr="00E70796">
        <w:rPr>
          <w:rFonts w:asciiTheme="majorHAnsi" w:hAnsiTheme="majorHAnsi" w:cstheme="majorHAnsi"/>
        </w:rPr>
        <w:t>za skuteczne wprowadzenie zgłoszenia uważać się będzie wprowadzenie przez Zamawiającego wpisu do SZ zawierającego opis zgłoszenia i termin zgłoszenia; w razie trudności z dostępem on-line do SZ, zgłoszenia Wady mogą odbywać się także telefonicznie pod ustalonym numerem telefonu lub pisemnie na formularzu przesyłanym na ustalony adres e-mail, , których numery i adresy zostaną podane przez Wykonawcę w terminie 15 dni roboczych od dnia podpisania Umowy.</w:t>
      </w:r>
    </w:p>
    <w:p w14:paraId="6BBF37F6" w14:textId="77777777" w:rsidR="00DE7FFE" w:rsidRPr="00E70796" w:rsidRDefault="00DE7FFE" w:rsidP="00CB3017">
      <w:pPr>
        <w:pStyle w:val="Akapitzlist"/>
        <w:numPr>
          <w:ilvl w:val="1"/>
          <w:numId w:val="23"/>
        </w:numPr>
        <w:jc w:val="both"/>
        <w:rPr>
          <w:rFonts w:asciiTheme="majorHAnsi" w:hAnsiTheme="majorHAnsi" w:cstheme="majorHAnsi"/>
        </w:rPr>
      </w:pPr>
      <w:r w:rsidRPr="00E70796">
        <w:rPr>
          <w:rFonts w:asciiTheme="majorHAnsi" w:hAnsiTheme="majorHAnsi" w:cstheme="majorHAnsi"/>
        </w:rPr>
        <w:t>w przypadku zgłoszeń telefonicznych lub mailowych (za pomocą formularza zgłoszeniowego) za czas wprowadzenia zgłoszenia uznaje się czas zakończenia rozmowy z konsultantem Wykonawcy lub wysyłki maila potwierdzony od strony logów serwerowych Zamawiającego - zgłoszenia przekazane ta drogą zostają zaewidencjonowane przez wykonawcę w SZ.</w:t>
      </w:r>
    </w:p>
    <w:p w14:paraId="1F733A6A" w14:textId="0BF9125E" w:rsidR="00DE7FFE" w:rsidRPr="00E70796" w:rsidRDefault="00DE7FFE" w:rsidP="00CB3017">
      <w:pPr>
        <w:pStyle w:val="Akapitzlist"/>
        <w:numPr>
          <w:ilvl w:val="1"/>
          <w:numId w:val="23"/>
        </w:numPr>
        <w:jc w:val="both"/>
        <w:rPr>
          <w:rFonts w:asciiTheme="majorHAnsi" w:hAnsiTheme="majorHAnsi" w:cstheme="majorHAnsi"/>
        </w:rPr>
      </w:pPr>
      <w:r w:rsidRPr="00E70796">
        <w:rPr>
          <w:rFonts w:asciiTheme="majorHAnsi" w:hAnsiTheme="majorHAnsi" w:cstheme="majorHAnsi"/>
        </w:rPr>
        <w:t>w przypadku zgłoszeń mailowych (na formularzu) – Wykonawca ma obowiązek potwierdzenia otrzymania zgłoszenia - zgłoszenia przekazane ta drogą zostają zaewidencjonowane przez wykonawcę w SZ</w:t>
      </w:r>
    </w:p>
    <w:p w14:paraId="0E55E769" w14:textId="68363AA7" w:rsidR="00DE7FFE" w:rsidRPr="00E70796" w:rsidRDefault="00DE7FFE" w:rsidP="00CB3017">
      <w:pPr>
        <w:pStyle w:val="Akapitzlist"/>
        <w:numPr>
          <w:ilvl w:val="1"/>
          <w:numId w:val="23"/>
        </w:numPr>
        <w:jc w:val="both"/>
        <w:rPr>
          <w:rFonts w:asciiTheme="majorHAnsi" w:hAnsiTheme="majorHAnsi" w:cstheme="majorHAnsi"/>
        </w:rPr>
      </w:pPr>
      <w:r w:rsidRPr="00E70796">
        <w:rPr>
          <w:rFonts w:asciiTheme="majorHAnsi" w:hAnsiTheme="majorHAnsi" w:cstheme="majorHAnsi"/>
        </w:rPr>
        <w:t>W przypadku, w którym wykonanie Przedmiotu Zamówienia związane będzie z modernizacją istniejącego oprogramowania, gwarancja obejmuje całość oprogramowania modernizowanego lub rozbudowywanego.</w:t>
      </w:r>
    </w:p>
    <w:p w14:paraId="109B6783" w14:textId="70A1FAE9" w:rsidR="00DE7FFE" w:rsidRPr="00E70796" w:rsidRDefault="00DE7FFE" w:rsidP="00CB3017">
      <w:pPr>
        <w:pStyle w:val="Akapitzlist"/>
        <w:numPr>
          <w:ilvl w:val="0"/>
          <w:numId w:val="23"/>
        </w:numPr>
        <w:jc w:val="both"/>
        <w:rPr>
          <w:rFonts w:asciiTheme="majorHAnsi" w:hAnsiTheme="majorHAnsi" w:cstheme="majorHAnsi"/>
        </w:rPr>
      </w:pPr>
      <w:r w:rsidRPr="00E70796">
        <w:rPr>
          <w:rFonts w:asciiTheme="majorHAnsi" w:hAnsiTheme="majorHAnsi" w:cstheme="majorHAnsi"/>
        </w:rPr>
        <w:t>W przypadku zgłoszeń o modernizacji funkcjonalność dotyczących zakresów realizowanych przez podwykonawców – Zamawiający informuje Wykonawcę o takim zgłoszeniu, lecz rozmowy dotyczące analizy i realizacji przeprowadza bezpośrednio z dostawcą rozwiązania</w:t>
      </w:r>
    </w:p>
    <w:p w14:paraId="34DEC131" w14:textId="09ED9A5F" w:rsidR="00DE7FFE" w:rsidRPr="00E70796" w:rsidRDefault="00DE7FFE" w:rsidP="00CB3017">
      <w:pPr>
        <w:pStyle w:val="Akapitzlist"/>
        <w:numPr>
          <w:ilvl w:val="0"/>
          <w:numId w:val="23"/>
        </w:numPr>
        <w:jc w:val="both"/>
        <w:rPr>
          <w:rFonts w:asciiTheme="majorHAnsi" w:hAnsiTheme="majorHAnsi" w:cstheme="majorHAnsi"/>
        </w:rPr>
      </w:pPr>
      <w:r w:rsidRPr="00E70796">
        <w:rPr>
          <w:rFonts w:asciiTheme="majorHAnsi" w:hAnsiTheme="majorHAnsi" w:cstheme="majorHAnsi"/>
        </w:rPr>
        <w:t>W przypadku zgłoszeń dotyczących nieprawidłowości działania z zakresów realizowanych przez podwykonawców – Zamawiający zgłoszenie kieruje bezpośrednio do dostawcy rozwiązania.</w:t>
      </w:r>
    </w:p>
    <w:p w14:paraId="60A63BE8" w14:textId="21F02A7C" w:rsidR="00DE7FFE" w:rsidRPr="00E70796" w:rsidRDefault="00DE7FFE" w:rsidP="00CB3017">
      <w:pPr>
        <w:pStyle w:val="Akapitzlist"/>
        <w:numPr>
          <w:ilvl w:val="0"/>
          <w:numId w:val="23"/>
        </w:numPr>
        <w:jc w:val="both"/>
        <w:rPr>
          <w:rFonts w:asciiTheme="majorHAnsi" w:hAnsiTheme="majorHAnsi" w:cstheme="majorHAnsi"/>
        </w:rPr>
      </w:pPr>
      <w:r w:rsidRPr="00E70796">
        <w:rPr>
          <w:rFonts w:asciiTheme="majorHAnsi" w:hAnsiTheme="majorHAnsi" w:cstheme="majorHAnsi"/>
        </w:rPr>
        <w:t>W ramach gwarancji Wykonawca będzie świadczył usługi z zachowaniem czasów podanych w umowie stanowiącej załącznik do SWZ:</w:t>
      </w:r>
    </w:p>
    <w:p w14:paraId="64551B94" w14:textId="482F7402" w:rsidR="00DE7FFE" w:rsidRPr="00E70796" w:rsidRDefault="00DE7FFE" w:rsidP="00CB3017">
      <w:pPr>
        <w:pStyle w:val="Akapitzlist"/>
        <w:numPr>
          <w:ilvl w:val="1"/>
          <w:numId w:val="23"/>
        </w:numPr>
        <w:jc w:val="both"/>
        <w:rPr>
          <w:rFonts w:asciiTheme="majorHAnsi" w:hAnsiTheme="majorHAnsi" w:cstheme="majorHAnsi"/>
        </w:rPr>
      </w:pPr>
      <w:r w:rsidRPr="00E70796">
        <w:rPr>
          <w:rFonts w:asciiTheme="majorHAnsi" w:hAnsiTheme="majorHAnsi" w:cstheme="majorHAnsi"/>
        </w:rPr>
        <w:t>dopuszcza się zmianę kwalifikacji zgłoszenia, po uprzedniej zgodzie Zamawiającego. Do czasu potwierdzenia zmiany kwalifikacji, uznaje się za obowiązującą kwalifikację pierwotną,</w:t>
      </w:r>
    </w:p>
    <w:p w14:paraId="300FF6FA" w14:textId="324FAE94" w:rsidR="00DE7FFE" w:rsidRPr="00E70796" w:rsidRDefault="00DE7FFE" w:rsidP="00CB3017">
      <w:pPr>
        <w:pStyle w:val="Akapitzlist"/>
        <w:numPr>
          <w:ilvl w:val="1"/>
          <w:numId w:val="23"/>
        </w:numPr>
        <w:jc w:val="both"/>
        <w:rPr>
          <w:rFonts w:asciiTheme="majorHAnsi" w:hAnsiTheme="majorHAnsi" w:cstheme="majorHAnsi"/>
        </w:rPr>
      </w:pPr>
      <w:r w:rsidRPr="00E70796">
        <w:rPr>
          <w:rFonts w:asciiTheme="majorHAnsi" w:hAnsiTheme="majorHAnsi" w:cstheme="majorHAnsi"/>
        </w:rPr>
        <w:t>czasy naprawy mogą być inne niż wskazane w powyższych tabelach, jeżeli Zamawiający zaakceptuje zmianę kwalifikacji zgłoszenia, o której mowa w punkcie 1),</w:t>
      </w:r>
    </w:p>
    <w:p w14:paraId="7B8E774C" w14:textId="77777777" w:rsidR="00DE7FFE" w:rsidRPr="00E70796"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hAnsiTheme="majorHAnsi" w:cstheme="majorHAnsi"/>
        </w:rPr>
        <w:t>w przypadku braku możliwości usunięcia problemu lub przedstawienia rozwiązania zastępczego zdalnie, Wykonawca zobowiązany jest do świadczenia gwarancji bezpośrednio w lokalizacji Zamawiającego,</w:t>
      </w:r>
    </w:p>
    <w:p w14:paraId="635C6B98" w14:textId="7851F770" w:rsidR="00DE7FFE" w:rsidRPr="00E70796" w:rsidRDefault="00DE7FFE" w:rsidP="00CB3017">
      <w:pPr>
        <w:pStyle w:val="Akapitzlist"/>
        <w:numPr>
          <w:ilvl w:val="0"/>
          <w:numId w:val="2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W ramach gwarancji dla Oprogramowania  Wykonawca zobowiązuje się do:</w:t>
      </w:r>
    </w:p>
    <w:p w14:paraId="6B98800E" w14:textId="77777777" w:rsidR="00DE7FFE" w:rsidRPr="00E70796" w:rsidRDefault="00DE7FFE" w:rsidP="00CB3017">
      <w:pPr>
        <w:pStyle w:val="Akapitzlist"/>
        <w:numPr>
          <w:ilvl w:val="1"/>
          <w:numId w:val="23"/>
        </w:numPr>
        <w:pBdr>
          <w:top w:val="nil"/>
          <w:left w:val="nil"/>
          <w:bottom w:val="nil"/>
          <w:right w:val="nil"/>
          <w:between w:val="nil"/>
        </w:pBdr>
        <w:tabs>
          <w:tab w:val="left" w:pos="710"/>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wykonywania modyfikacji bez wezwania lub na pisemne zgłoszenie Zamawiającego w celu dostosowania wszystkich elementów Oprogramowania do obowiązujących przepisów prawnych,</w:t>
      </w:r>
    </w:p>
    <w:p w14:paraId="5475911F" w14:textId="77777777" w:rsidR="00DE7FFE" w:rsidRPr="00E70796" w:rsidRDefault="00DE7FFE" w:rsidP="00CB3017">
      <w:pPr>
        <w:pStyle w:val="Akapitzlist"/>
        <w:numPr>
          <w:ilvl w:val="1"/>
          <w:numId w:val="23"/>
        </w:numPr>
        <w:pBdr>
          <w:top w:val="nil"/>
          <w:left w:val="nil"/>
          <w:bottom w:val="nil"/>
          <w:right w:val="nil"/>
          <w:between w:val="nil"/>
        </w:pBdr>
        <w:tabs>
          <w:tab w:val="left" w:pos="710"/>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przekazania Zamawiającemu informacji o nowych wersjach oprogramowania drogą elektroniczną na wskazany adres e-mail Zamawiającego,</w:t>
      </w:r>
    </w:p>
    <w:p w14:paraId="3D4D2BCD" w14:textId="77777777" w:rsidR="00DE7FFE" w:rsidRPr="00E70796" w:rsidRDefault="00DE7FFE" w:rsidP="00CB3017">
      <w:pPr>
        <w:pStyle w:val="Akapitzlist"/>
        <w:numPr>
          <w:ilvl w:val="1"/>
          <w:numId w:val="23"/>
        </w:numPr>
        <w:pBdr>
          <w:top w:val="nil"/>
          <w:left w:val="nil"/>
          <w:bottom w:val="nil"/>
          <w:right w:val="nil"/>
          <w:between w:val="nil"/>
        </w:pBdr>
        <w:tabs>
          <w:tab w:val="left" w:pos="710"/>
        </w:tabs>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udostępniania informacji o nowych wersji oprogramowania poprzez ustaloną witrynę internetową, w szczególności związanych z wejściem w życie nowych przepisów prawa lub zawierających nowe funkcjonalności, w szczególności związane z rozliczeniami z NFZ; w przypadku w którym udostępnianie następować będzie w związku ze zmianą przepisów prawa, Wykonawca zobowiązany będzie do udostępnienia nowej wersji oprogramowania na nie mniej niż 14 dni przed dniem wejścia w życie tych przepisów, a w przypadku, gdy przepisy te będą wchodziły w życie w terminie krótszym niż 14 dni od daty ich publikacji, w terminie nie później jak 14 dni od ich publikacji.</w:t>
      </w:r>
    </w:p>
    <w:p w14:paraId="549633A2" w14:textId="27E4D3CE" w:rsidR="00DE7FFE" w:rsidRPr="00E70796" w:rsidRDefault="00DE7FFE" w:rsidP="00CB3017">
      <w:pPr>
        <w:pStyle w:val="Akapitzlist"/>
        <w:numPr>
          <w:ilvl w:val="0"/>
          <w:numId w:val="2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Świadczenia usług gwarancyjnych, przy czym:</w:t>
      </w:r>
    </w:p>
    <w:p w14:paraId="2147B7BA" w14:textId="223A3607" w:rsidR="00DE7FFE" w:rsidRPr="00E70796"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usługi będą świadczone 24 godziny na dobę przez 7 dni w tygodniu, jako prace świadczone zdalnie lub w przypadku braku możliwości zdalnego świadczenia usługi</w:t>
      </w:r>
      <w:r w:rsidRPr="00E70796">
        <w:rPr>
          <w:rFonts w:asciiTheme="majorHAnsi" w:eastAsia="Calibri" w:hAnsiTheme="majorHAnsi" w:cstheme="majorHAnsi"/>
          <w:color w:val="000000"/>
        </w:rPr>
        <w:br/>
        <w:t>z (np. brak możliwości spełnienia wymogów bezpieczeństwa informatycznego) w siedzibie Zamawiającego lub za uzgodnieniem Stron,</w:t>
      </w:r>
    </w:p>
    <w:p w14:paraId="5760274C" w14:textId="20940FA8" w:rsidR="00DE7FFE" w:rsidRPr="00E70796"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tryb zgłaszania: telefonicznie, e-mail, faxem lub poprzez Elektroniczny System Zgłoszeń Wykonawcy, który zapewnia funkcjonalność obejmującą m.in. dostęp do dokumentacji, aktualizację, komunikaty, zlecone zgłoszenia, możliwość tworzenia raportów wykorzystywanych godzin serwisowych,</w:t>
      </w:r>
    </w:p>
    <w:p w14:paraId="1ED06873" w14:textId="30A57827" w:rsidR="00DE7FFE" w:rsidRPr="00E70796"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konsultacje i porady będą udzielane na bieżąco podczas rozmowy telefonicznej w trybie 8 godzin przez 5 dni w tygodniu w dni robocze.</w:t>
      </w:r>
    </w:p>
    <w:p w14:paraId="67E397BF" w14:textId="676F3B89" w:rsidR="00DE7FFE" w:rsidRPr="003933FE" w:rsidRDefault="00DE7FFE" w:rsidP="00CB3017">
      <w:pPr>
        <w:pStyle w:val="Akapitzlist"/>
        <w:numPr>
          <w:ilvl w:val="1"/>
          <w:numId w:val="23"/>
        </w:numPr>
        <w:pBdr>
          <w:top w:val="nil"/>
          <w:left w:val="nil"/>
          <w:bottom w:val="nil"/>
          <w:right w:val="nil"/>
          <w:between w:val="nil"/>
        </w:pBdr>
        <w:spacing w:after="0" w:line="240" w:lineRule="auto"/>
        <w:jc w:val="both"/>
        <w:rPr>
          <w:rFonts w:asciiTheme="majorHAnsi" w:hAnsiTheme="majorHAnsi" w:cstheme="majorHAnsi"/>
          <w:color w:val="000000"/>
        </w:rPr>
      </w:pPr>
      <w:r w:rsidRPr="00E70796">
        <w:rPr>
          <w:rFonts w:asciiTheme="majorHAnsi" w:eastAsia="Calibri" w:hAnsiTheme="majorHAnsi" w:cstheme="majorHAnsi"/>
          <w:color w:val="000000"/>
        </w:rPr>
        <w:t>osobami upoważnionymi do obsługi zgłoszeń w ramach gwarancji są: Administratorzy systemu oraz liderzy obszarów (osoby wyznaczone przez Zamawiającego</w:t>
      </w:r>
      <w:r w:rsidRPr="00E70796">
        <w:rPr>
          <w:rFonts w:asciiTheme="majorHAnsi" w:eastAsia="Calibri" w:hAnsiTheme="majorHAnsi" w:cstheme="majorHAnsi"/>
          <w:color w:val="000000"/>
        </w:rPr>
        <w:br/>
        <w:t>z poszczególnych komórek organizacyjnych).</w:t>
      </w:r>
    </w:p>
    <w:p w14:paraId="4D04B74E" w14:textId="77777777" w:rsidR="003933FE" w:rsidRPr="003933FE" w:rsidRDefault="003933FE" w:rsidP="003933FE">
      <w:pPr>
        <w:pBdr>
          <w:top w:val="nil"/>
          <w:left w:val="nil"/>
          <w:bottom w:val="nil"/>
          <w:right w:val="nil"/>
          <w:between w:val="nil"/>
        </w:pBdr>
        <w:spacing w:after="0" w:line="240" w:lineRule="auto"/>
        <w:jc w:val="both"/>
        <w:rPr>
          <w:rFonts w:asciiTheme="majorHAnsi" w:hAnsiTheme="majorHAnsi" w:cstheme="majorHAnsi"/>
          <w:color w:val="000000"/>
        </w:rPr>
      </w:pPr>
    </w:p>
    <w:tbl>
      <w:tblPr>
        <w:tblW w:w="0" w:type="auto"/>
        <w:jc w:val="center"/>
        <w:tblCellMar>
          <w:left w:w="70" w:type="dxa"/>
          <w:right w:w="70" w:type="dxa"/>
        </w:tblCellMar>
        <w:tblLook w:val="04A0" w:firstRow="1" w:lastRow="0" w:firstColumn="1" w:lastColumn="0" w:noHBand="0" w:noVBand="1"/>
      </w:tblPr>
      <w:tblGrid>
        <w:gridCol w:w="7083"/>
        <w:gridCol w:w="2653"/>
      </w:tblGrid>
      <w:tr w:rsidR="00AA3085" w14:paraId="2DB64E89" w14:textId="77777777" w:rsidTr="0001152D">
        <w:trPr>
          <w:trHeight w:val="315"/>
          <w:jc w:val="center"/>
        </w:trPr>
        <w:tc>
          <w:tcPr>
            <w:tcW w:w="70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A79E3" w14:textId="77777777" w:rsidR="00AA3085" w:rsidRDefault="00AA3085">
            <w:pPr>
              <w:ind w:left="209"/>
              <w:jc w:val="center"/>
              <w:rPr>
                <w:rFonts w:cstheme="minorHAnsi"/>
                <w:b/>
                <w:bCs/>
              </w:rPr>
            </w:pPr>
            <w:r>
              <w:rPr>
                <w:rFonts w:cstheme="minorHAnsi"/>
                <w:b/>
                <w:bCs/>
              </w:rPr>
              <w:t xml:space="preserve">OPIS CZYNNOŚCI </w:t>
            </w:r>
          </w:p>
          <w:p w14:paraId="5082E9A2" w14:textId="77777777" w:rsidR="00AA3085" w:rsidRDefault="00AA3085">
            <w:pPr>
              <w:ind w:left="209"/>
              <w:jc w:val="center"/>
              <w:rPr>
                <w:rFonts w:cstheme="minorHAnsi"/>
                <w:b/>
                <w:bCs/>
              </w:rPr>
            </w:pPr>
            <w:r>
              <w:rPr>
                <w:rFonts w:cstheme="minorHAnsi"/>
                <w:b/>
                <w:bCs/>
              </w:rPr>
              <w:t>USŁUG GWARANCYJNYCH</w:t>
            </w:r>
          </w:p>
        </w:tc>
        <w:tc>
          <w:tcPr>
            <w:tcW w:w="2977"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49C278" w14:textId="77777777" w:rsidR="00AA3085" w:rsidRDefault="00AA3085">
            <w:pPr>
              <w:jc w:val="center"/>
              <w:rPr>
                <w:rFonts w:cstheme="minorHAnsi"/>
                <w:b/>
                <w:bCs/>
              </w:rPr>
            </w:pPr>
            <w:r>
              <w:rPr>
                <w:rFonts w:cstheme="minorHAnsi"/>
                <w:b/>
                <w:bCs/>
              </w:rPr>
              <w:t>Uwagi</w:t>
            </w:r>
          </w:p>
        </w:tc>
      </w:tr>
      <w:tr w:rsidR="00AA3085" w14:paraId="2DB4BE56" w14:textId="77777777" w:rsidTr="0001152D">
        <w:trPr>
          <w:trHeight w:val="255"/>
          <w:jc w:val="center"/>
        </w:trPr>
        <w:tc>
          <w:tcPr>
            <w:tcW w:w="70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EFA88C" w14:textId="77777777" w:rsidR="00AA3085" w:rsidRDefault="00AA3085">
            <w:pPr>
              <w:ind w:left="209"/>
              <w:rPr>
                <w:rFonts w:cstheme="minorHAnsi"/>
              </w:rPr>
            </w:pPr>
            <w:r>
              <w:rPr>
                <w:rFonts w:cstheme="minorHAnsi"/>
              </w:rPr>
              <w:t>Aktualizacja Systemu:</w:t>
            </w:r>
          </w:p>
        </w:tc>
        <w:tc>
          <w:tcPr>
            <w:tcW w:w="2977" w:type="dxa"/>
            <w:tcBorders>
              <w:top w:val="single" w:sz="4" w:space="0" w:color="auto"/>
              <w:left w:val="nil"/>
              <w:bottom w:val="single" w:sz="4" w:space="0" w:color="auto"/>
              <w:right w:val="single" w:sz="4" w:space="0" w:color="auto"/>
            </w:tcBorders>
            <w:vAlign w:val="center"/>
            <w:hideMark/>
          </w:tcPr>
          <w:p w14:paraId="1621E757" w14:textId="77777777" w:rsidR="00AA3085" w:rsidRDefault="00AA3085">
            <w:pPr>
              <w:jc w:val="center"/>
              <w:rPr>
                <w:rFonts w:cstheme="minorHAnsi"/>
              </w:rPr>
            </w:pPr>
            <w:r>
              <w:rPr>
                <w:rFonts w:cstheme="minorHAnsi"/>
              </w:rPr>
              <w:t> </w:t>
            </w:r>
          </w:p>
        </w:tc>
      </w:tr>
      <w:tr w:rsidR="00AA3085" w14:paraId="562BD76F" w14:textId="77777777" w:rsidTr="0001152D">
        <w:trPr>
          <w:trHeight w:val="76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09F6B8E5" w14:textId="1FB447A0" w:rsidR="00AA3085" w:rsidRDefault="00AA3085">
            <w:pPr>
              <w:ind w:left="209"/>
              <w:rPr>
                <w:rFonts w:cstheme="minorHAnsi"/>
              </w:rPr>
            </w:pPr>
            <w:r>
              <w:rPr>
                <w:rFonts w:cstheme="minorHAnsi"/>
              </w:rPr>
              <w:t xml:space="preserve">Aktualizacje Systemu wykonywane w dni robocze, w godzinach z wyłączeniem </w:t>
            </w:r>
            <w:r w:rsidR="006B2195">
              <w:rPr>
                <w:rFonts w:cstheme="minorHAnsi"/>
              </w:rPr>
              <w:t>7</w:t>
            </w:r>
            <w:r>
              <w:rPr>
                <w:rFonts w:cstheme="minorHAnsi"/>
              </w:rPr>
              <w:t xml:space="preserve">:00-21:00 po uprzednim poinformowaniu i </w:t>
            </w:r>
            <w:r>
              <w:rPr>
                <w:rFonts w:cstheme="minorHAnsi"/>
                <w:b/>
                <w:bCs/>
                <w:u w:val="single"/>
              </w:rPr>
              <w:t>wspólnym ustaleniu terminu przeprowadzenia aktualizacji</w:t>
            </w:r>
            <w:r>
              <w:rPr>
                <w:rFonts w:cstheme="minorHAnsi"/>
              </w:rPr>
              <w:t xml:space="preserve"> (termin powinien być ustalany z tygodniowym wyprzedzeniem)</w:t>
            </w:r>
          </w:p>
        </w:tc>
        <w:tc>
          <w:tcPr>
            <w:tcW w:w="2977" w:type="dxa"/>
            <w:tcBorders>
              <w:top w:val="nil"/>
              <w:left w:val="nil"/>
              <w:bottom w:val="single" w:sz="4" w:space="0" w:color="auto"/>
              <w:right w:val="single" w:sz="4" w:space="0" w:color="auto"/>
            </w:tcBorders>
            <w:vAlign w:val="center"/>
            <w:hideMark/>
          </w:tcPr>
          <w:p w14:paraId="591FDFE3" w14:textId="77777777" w:rsidR="00AA3085" w:rsidRDefault="00AA3085">
            <w:pPr>
              <w:jc w:val="center"/>
              <w:rPr>
                <w:rFonts w:cstheme="minorHAnsi"/>
              </w:rPr>
            </w:pPr>
            <w:r>
              <w:rPr>
                <w:rFonts w:cstheme="minorHAnsi"/>
              </w:rPr>
              <w:t>Aktualizacje realizowane przez producenta i/lub</w:t>
            </w:r>
          </w:p>
          <w:p w14:paraId="36DCF83C" w14:textId="77777777" w:rsidR="00AA3085" w:rsidRDefault="00AA3085">
            <w:pPr>
              <w:jc w:val="center"/>
              <w:rPr>
                <w:rFonts w:cstheme="minorHAnsi"/>
              </w:rPr>
            </w:pPr>
            <w:r>
              <w:rPr>
                <w:rFonts w:cstheme="minorHAnsi"/>
              </w:rPr>
              <w:t>Administratorzy systemu przy wsparciu przedstawicieli producenta (po ustaleniu)</w:t>
            </w:r>
          </w:p>
        </w:tc>
      </w:tr>
      <w:tr w:rsidR="00AA3085" w14:paraId="58938B54" w14:textId="77777777" w:rsidTr="0001152D">
        <w:trPr>
          <w:trHeight w:val="178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6AF49BA8" w14:textId="77777777" w:rsidR="00AA3085" w:rsidRDefault="00AA3085">
            <w:pPr>
              <w:ind w:left="209"/>
              <w:rPr>
                <w:rFonts w:cstheme="minorHAnsi"/>
              </w:rPr>
            </w:pPr>
            <w:r>
              <w:rPr>
                <w:rFonts w:cstheme="minorHAnsi"/>
              </w:rPr>
              <w:t>Aktualizacje Systemu obejmują:</w:t>
            </w:r>
            <w:r>
              <w:rPr>
                <w:rFonts w:cstheme="minorHAnsi"/>
              </w:rPr>
              <w:br/>
              <w:t xml:space="preserve">- zakres niezbędny do naprawy błędów i usterek, </w:t>
            </w:r>
            <w:r>
              <w:rPr>
                <w:rFonts w:cstheme="minorHAnsi"/>
              </w:rPr>
              <w:br/>
              <w:t>- modyfikacje Systemu uwzględniające zmieniające się przepisy prawa powszechnie obowiązującego, zarządzeń wydawanych przez Prezesa Narodowego Funduszu Zdrowia, szczegółowych wytycznych wydawanych przez Ministerstwo Zdrowia i inne jednostki w tym: Urzędy Marszałkowskie Województwa w zakresie modułów Systemu posiadanych przez Zamawiającego,</w:t>
            </w:r>
            <w:r>
              <w:rPr>
                <w:rFonts w:cstheme="minorHAnsi"/>
              </w:rPr>
              <w:br/>
              <w:t>- aktualizacja Systemu do nowych wersji oferujących nowe funkcjonalności,</w:t>
            </w:r>
          </w:p>
          <w:p w14:paraId="4504702C" w14:textId="77777777" w:rsidR="00AA3085" w:rsidRDefault="00AA3085">
            <w:pPr>
              <w:ind w:left="209"/>
              <w:rPr>
                <w:rFonts w:cstheme="minorHAnsi"/>
              </w:rPr>
            </w:pPr>
            <w:r>
              <w:rPr>
                <w:rFonts w:cstheme="minorHAnsi"/>
              </w:rPr>
              <w:t>- aktualizacje związane z naprawą błędów lub usterek.</w:t>
            </w:r>
          </w:p>
        </w:tc>
        <w:tc>
          <w:tcPr>
            <w:tcW w:w="2977" w:type="dxa"/>
            <w:tcBorders>
              <w:top w:val="nil"/>
              <w:left w:val="nil"/>
              <w:bottom w:val="single" w:sz="4" w:space="0" w:color="auto"/>
              <w:right w:val="single" w:sz="4" w:space="0" w:color="auto"/>
            </w:tcBorders>
            <w:vAlign w:val="center"/>
            <w:hideMark/>
          </w:tcPr>
          <w:p w14:paraId="56501070" w14:textId="77777777" w:rsidR="00AA3085" w:rsidRDefault="00AA3085">
            <w:pPr>
              <w:jc w:val="center"/>
              <w:rPr>
                <w:rFonts w:cstheme="minorHAnsi"/>
              </w:rPr>
            </w:pPr>
            <w:r>
              <w:rPr>
                <w:rFonts w:cstheme="minorHAnsi"/>
              </w:rPr>
              <w:t> </w:t>
            </w:r>
          </w:p>
        </w:tc>
      </w:tr>
      <w:tr w:rsidR="00AA3085" w14:paraId="3F78A35A" w14:textId="77777777" w:rsidTr="0001152D">
        <w:trPr>
          <w:trHeight w:val="510"/>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F54EBE9" w14:textId="77777777" w:rsidR="00AA3085" w:rsidRDefault="00AA3085">
            <w:pPr>
              <w:ind w:left="209"/>
              <w:rPr>
                <w:rFonts w:cstheme="minorHAnsi"/>
              </w:rPr>
            </w:pPr>
            <w:r>
              <w:rPr>
                <w:rFonts w:cstheme="minorHAnsi"/>
              </w:rPr>
              <w:t>Udział w spotkaniach grup rozwojowych złożonych z przedstawicieli różnych podmiotów leczniczych wykorzystujący system nadających kierunek rozwoju produktu</w:t>
            </w:r>
          </w:p>
        </w:tc>
        <w:tc>
          <w:tcPr>
            <w:tcW w:w="2977" w:type="dxa"/>
            <w:tcBorders>
              <w:top w:val="nil"/>
              <w:left w:val="nil"/>
              <w:bottom w:val="single" w:sz="4" w:space="0" w:color="auto"/>
              <w:right w:val="single" w:sz="4" w:space="0" w:color="auto"/>
            </w:tcBorders>
            <w:vAlign w:val="center"/>
            <w:hideMark/>
          </w:tcPr>
          <w:p w14:paraId="67EB0DAD" w14:textId="77777777" w:rsidR="00AA3085" w:rsidRDefault="00AA3085">
            <w:pPr>
              <w:jc w:val="center"/>
              <w:rPr>
                <w:rFonts w:cstheme="minorHAnsi"/>
              </w:rPr>
            </w:pPr>
            <w:r>
              <w:rPr>
                <w:rFonts w:cstheme="minorHAnsi"/>
              </w:rPr>
              <w:t> </w:t>
            </w:r>
          </w:p>
        </w:tc>
      </w:tr>
      <w:tr w:rsidR="00AA3085" w14:paraId="573E5A8E"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121F970E" w14:textId="77777777" w:rsidR="00AA3085" w:rsidRDefault="00AA3085">
            <w:pPr>
              <w:ind w:left="209"/>
              <w:rPr>
                <w:rFonts w:cstheme="minorHAnsi"/>
              </w:rPr>
            </w:pPr>
            <w:r>
              <w:rPr>
                <w:rFonts w:cstheme="minorHAnsi"/>
              </w:rPr>
              <w:t>Stały monitoring pracy Oprogramowania przez Wykonawcę oraz jego Podwykonawców</w:t>
            </w:r>
          </w:p>
        </w:tc>
        <w:tc>
          <w:tcPr>
            <w:tcW w:w="2977" w:type="dxa"/>
            <w:tcBorders>
              <w:top w:val="nil"/>
              <w:left w:val="nil"/>
              <w:bottom w:val="single" w:sz="4" w:space="0" w:color="auto"/>
              <w:right w:val="single" w:sz="4" w:space="0" w:color="auto"/>
            </w:tcBorders>
            <w:vAlign w:val="center"/>
            <w:hideMark/>
          </w:tcPr>
          <w:p w14:paraId="60F2A204" w14:textId="77777777" w:rsidR="00AA3085" w:rsidRDefault="00AA3085">
            <w:pPr>
              <w:jc w:val="center"/>
              <w:rPr>
                <w:rFonts w:cstheme="minorHAnsi"/>
              </w:rPr>
            </w:pPr>
            <w:r>
              <w:rPr>
                <w:rFonts w:cstheme="minorHAnsi"/>
              </w:rPr>
              <w:t> </w:t>
            </w:r>
          </w:p>
        </w:tc>
      </w:tr>
      <w:tr w:rsidR="00AA3085" w14:paraId="375BC9F5"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0E24D108" w14:textId="77777777" w:rsidR="00AA3085" w:rsidRDefault="00AA3085">
            <w:pPr>
              <w:ind w:left="209"/>
              <w:rPr>
                <w:rFonts w:cstheme="minorHAnsi"/>
              </w:rPr>
            </w:pPr>
            <w:r>
              <w:rPr>
                <w:rFonts w:cstheme="minorHAnsi"/>
              </w:rPr>
              <w:t>Możliwość udziału w cyklicznych webinariach szkoleniowych organizowanych przez Wykonawcę</w:t>
            </w:r>
          </w:p>
        </w:tc>
        <w:tc>
          <w:tcPr>
            <w:tcW w:w="2977" w:type="dxa"/>
            <w:tcBorders>
              <w:top w:val="nil"/>
              <w:left w:val="nil"/>
              <w:bottom w:val="single" w:sz="4" w:space="0" w:color="auto"/>
              <w:right w:val="single" w:sz="4" w:space="0" w:color="auto"/>
            </w:tcBorders>
            <w:vAlign w:val="center"/>
            <w:hideMark/>
          </w:tcPr>
          <w:p w14:paraId="3573D269" w14:textId="77777777" w:rsidR="00AA3085" w:rsidRDefault="00AA3085">
            <w:pPr>
              <w:jc w:val="center"/>
              <w:rPr>
                <w:rFonts w:cstheme="minorHAnsi"/>
              </w:rPr>
            </w:pPr>
            <w:r>
              <w:rPr>
                <w:rFonts w:cstheme="minorHAnsi"/>
              </w:rPr>
              <w:t> </w:t>
            </w:r>
          </w:p>
        </w:tc>
      </w:tr>
      <w:tr w:rsidR="00AA3085" w14:paraId="55055FE8"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EDEDED"/>
            <w:vAlign w:val="center"/>
            <w:hideMark/>
          </w:tcPr>
          <w:p w14:paraId="575F7E3D" w14:textId="77777777" w:rsidR="00AA3085" w:rsidRDefault="00AA3085">
            <w:pPr>
              <w:ind w:left="209"/>
              <w:rPr>
                <w:rFonts w:cstheme="minorHAnsi"/>
              </w:rPr>
            </w:pPr>
            <w:r>
              <w:rPr>
                <w:rFonts w:cstheme="minorHAnsi"/>
              </w:rPr>
              <w:t>Szczegółowy zakres czynności realizowany w ramach usług gwarancyjnych:</w:t>
            </w:r>
          </w:p>
        </w:tc>
        <w:tc>
          <w:tcPr>
            <w:tcW w:w="2977" w:type="dxa"/>
            <w:tcBorders>
              <w:top w:val="nil"/>
              <w:left w:val="nil"/>
              <w:bottom w:val="single" w:sz="4" w:space="0" w:color="auto"/>
              <w:right w:val="single" w:sz="4" w:space="0" w:color="auto"/>
            </w:tcBorders>
            <w:shd w:val="clear" w:color="auto" w:fill="EDEDED"/>
            <w:vAlign w:val="center"/>
            <w:hideMark/>
          </w:tcPr>
          <w:p w14:paraId="057AD9E2" w14:textId="77777777" w:rsidR="00AA3085" w:rsidRDefault="00AA3085">
            <w:pPr>
              <w:jc w:val="center"/>
              <w:rPr>
                <w:rFonts w:cstheme="minorHAnsi"/>
              </w:rPr>
            </w:pPr>
            <w:r>
              <w:rPr>
                <w:rFonts w:cstheme="minorHAnsi"/>
              </w:rPr>
              <w:t> </w:t>
            </w:r>
          </w:p>
        </w:tc>
      </w:tr>
      <w:tr w:rsidR="00AA3085" w14:paraId="0DDFFA73" w14:textId="77777777" w:rsidTr="0001152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4A3D38F2" w14:textId="77777777" w:rsidR="00AA3085" w:rsidRDefault="00AA3085">
            <w:pPr>
              <w:ind w:left="209"/>
              <w:rPr>
                <w:rFonts w:cstheme="minorHAnsi"/>
                <w:color w:val="000000"/>
              </w:rPr>
            </w:pPr>
            <w:r>
              <w:rPr>
                <w:rFonts w:cstheme="minorHAnsi"/>
                <w:color w:val="000000"/>
              </w:rPr>
              <w:t>realizacja usług konserwacyjno-serwisowych koniecznych do prawidłowego działania systemu,</w:t>
            </w:r>
          </w:p>
        </w:tc>
        <w:tc>
          <w:tcPr>
            <w:tcW w:w="2977" w:type="dxa"/>
            <w:tcBorders>
              <w:top w:val="nil"/>
              <w:left w:val="nil"/>
              <w:bottom w:val="single" w:sz="4" w:space="0" w:color="auto"/>
              <w:right w:val="single" w:sz="4" w:space="0" w:color="auto"/>
            </w:tcBorders>
            <w:vAlign w:val="bottom"/>
            <w:hideMark/>
          </w:tcPr>
          <w:p w14:paraId="29BE8ACF" w14:textId="77777777" w:rsidR="00AA3085" w:rsidRDefault="00AA3085">
            <w:pPr>
              <w:rPr>
                <w:rFonts w:cstheme="minorHAnsi"/>
                <w:color w:val="000000"/>
              </w:rPr>
            </w:pPr>
            <w:r>
              <w:rPr>
                <w:rFonts w:cstheme="minorHAnsi"/>
                <w:color w:val="000000"/>
              </w:rPr>
              <w:t> </w:t>
            </w:r>
          </w:p>
        </w:tc>
      </w:tr>
      <w:tr w:rsidR="00AA3085" w14:paraId="4D5F7EF4" w14:textId="77777777" w:rsidTr="0001152D">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6497B9AF" w14:textId="77777777" w:rsidR="00AA3085" w:rsidRDefault="00AA3085">
            <w:pPr>
              <w:ind w:left="209"/>
              <w:rPr>
                <w:rFonts w:cstheme="minorHAnsi"/>
                <w:color w:val="000000"/>
              </w:rPr>
            </w:pPr>
            <w:r>
              <w:rPr>
                <w:rFonts w:cstheme="minorHAnsi"/>
                <w:color w:val="000000"/>
              </w:rPr>
              <w:t xml:space="preserve">udzielanie informacji i pomoc w zakresie istniejącej funkcjonalności systemu, </w:t>
            </w:r>
          </w:p>
        </w:tc>
        <w:tc>
          <w:tcPr>
            <w:tcW w:w="2977" w:type="dxa"/>
            <w:tcBorders>
              <w:top w:val="nil"/>
              <w:left w:val="nil"/>
              <w:bottom w:val="single" w:sz="4" w:space="0" w:color="auto"/>
              <w:right w:val="single" w:sz="4" w:space="0" w:color="auto"/>
            </w:tcBorders>
            <w:vAlign w:val="bottom"/>
            <w:hideMark/>
          </w:tcPr>
          <w:p w14:paraId="2BBB5959" w14:textId="77777777" w:rsidR="00AA3085" w:rsidRDefault="00AA3085">
            <w:pPr>
              <w:rPr>
                <w:rFonts w:cstheme="minorHAnsi"/>
                <w:color w:val="000000"/>
              </w:rPr>
            </w:pPr>
            <w:r>
              <w:rPr>
                <w:rFonts w:cstheme="minorHAnsi"/>
                <w:color w:val="000000"/>
              </w:rPr>
              <w:t> </w:t>
            </w:r>
          </w:p>
        </w:tc>
      </w:tr>
      <w:tr w:rsidR="00AA3085" w14:paraId="3A9B34A1" w14:textId="77777777" w:rsidTr="0001152D">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63962563" w14:textId="77777777" w:rsidR="00AA3085" w:rsidRDefault="00AA3085">
            <w:pPr>
              <w:ind w:left="209"/>
              <w:rPr>
                <w:rFonts w:cstheme="minorHAnsi"/>
                <w:color w:val="000000"/>
              </w:rPr>
            </w:pPr>
            <w:r>
              <w:rPr>
                <w:rFonts w:cstheme="minorHAnsi"/>
                <w:color w:val="000000"/>
              </w:rPr>
              <w:t xml:space="preserve">konsultacje skutków zmian parametrów konfiguracyjnych i raportów definiowalnych i wsparcie w ramach administracji, instalacji oprogramowania oraz parametryzacji Oprogramowania </w:t>
            </w:r>
            <w:r>
              <w:rPr>
                <w:rFonts w:cstheme="minorHAnsi"/>
              </w:rPr>
              <w:t>w zakresie posiadanych funkcjonalności</w:t>
            </w:r>
            <w:r>
              <w:rPr>
                <w:rFonts w:cstheme="minorHAnsi"/>
                <w:color w:val="000000"/>
              </w:rPr>
              <w:t xml:space="preserve">, </w:t>
            </w:r>
          </w:p>
        </w:tc>
        <w:tc>
          <w:tcPr>
            <w:tcW w:w="2977" w:type="dxa"/>
            <w:tcBorders>
              <w:top w:val="nil"/>
              <w:left w:val="nil"/>
              <w:bottom w:val="single" w:sz="4" w:space="0" w:color="auto"/>
              <w:right w:val="single" w:sz="4" w:space="0" w:color="auto"/>
            </w:tcBorders>
            <w:vAlign w:val="bottom"/>
            <w:hideMark/>
          </w:tcPr>
          <w:p w14:paraId="12254380" w14:textId="77777777" w:rsidR="00AA3085" w:rsidRDefault="00AA3085">
            <w:pPr>
              <w:rPr>
                <w:rFonts w:cstheme="minorHAnsi"/>
                <w:color w:val="000000"/>
              </w:rPr>
            </w:pPr>
            <w:r>
              <w:rPr>
                <w:rFonts w:cstheme="minorHAnsi"/>
                <w:color w:val="000000"/>
              </w:rPr>
              <w:t> </w:t>
            </w:r>
          </w:p>
        </w:tc>
      </w:tr>
      <w:tr w:rsidR="00AA3085" w14:paraId="2E7C7CCC" w14:textId="77777777" w:rsidTr="0001152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6F3EE7FE" w14:textId="77777777" w:rsidR="00AA3085" w:rsidRDefault="00AA3085">
            <w:pPr>
              <w:ind w:left="209"/>
              <w:rPr>
                <w:rFonts w:cstheme="minorHAnsi"/>
                <w:color w:val="000000"/>
              </w:rPr>
            </w:pPr>
            <w:r>
              <w:rPr>
                <w:rFonts w:cstheme="minorHAnsi"/>
                <w:color w:val="000000"/>
              </w:rPr>
              <w:t xml:space="preserve">rekonfiguracja Oprogramowania zgodnie z ustalonym zakresem, </w:t>
            </w:r>
          </w:p>
        </w:tc>
        <w:tc>
          <w:tcPr>
            <w:tcW w:w="2977" w:type="dxa"/>
            <w:tcBorders>
              <w:top w:val="nil"/>
              <w:left w:val="nil"/>
              <w:bottom w:val="single" w:sz="4" w:space="0" w:color="auto"/>
              <w:right w:val="single" w:sz="4" w:space="0" w:color="auto"/>
            </w:tcBorders>
            <w:vAlign w:val="bottom"/>
            <w:hideMark/>
          </w:tcPr>
          <w:p w14:paraId="5B56DD81" w14:textId="77777777" w:rsidR="00AA3085" w:rsidRDefault="00AA3085">
            <w:pPr>
              <w:rPr>
                <w:rFonts w:cstheme="minorHAnsi"/>
                <w:color w:val="000000"/>
              </w:rPr>
            </w:pPr>
            <w:r>
              <w:rPr>
                <w:rFonts w:cstheme="minorHAnsi"/>
                <w:color w:val="000000"/>
              </w:rPr>
              <w:t> </w:t>
            </w:r>
          </w:p>
        </w:tc>
      </w:tr>
      <w:tr w:rsidR="00AA3085" w14:paraId="75C17FFA" w14:textId="77777777" w:rsidTr="0001152D">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78CC7D44" w14:textId="77777777" w:rsidR="00AA3085" w:rsidRDefault="00AA3085">
            <w:pPr>
              <w:ind w:left="209"/>
              <w:rPr>
                <w:rFonts w:cstheme="minorHAnsi"/>
                <w:color w:val="000000"/>
              </w:rPr>
            </w:pPr>
            <w:r>
              <w:rPr>
                <w:rFonts w:cstheme="minorHAnsi"/>
                <w:color w:val="000000"/>
              </w:rPr>
              <w:t xml:space="preserve">instalacja i/lub wsparcie podczas instalacji uaktualnień, rozwinięć posiadanych licencji </w:t>
            </w:r>
          </w:p>
        </w:tc>
        <w:tc>
          <w:tcPr>
            <w:tcW w:w="2977" w:type="dxa"/>
            <w:tcBorders>
              <w:top w:val="nil"/>
              <w:left w:val="nil"/>
              <w:bottom w:val="single" w:sz="4" w:space="0" w:color="auto"/>
              <w:right w:val="single" w:sz="4" w:space="0" w:color="auto"/>
            </w:tcBorders>
            <w:vAlign w:val="bottom"/>
            <w:hideMark/>
          </w:tcPr>
          <w:p w14:paraId="57EE8DC4" w14:textId="77777777" w:rsidR="00AA3085" w:rsidRDefault="00AA3085">
            <w:pPr>
              <w:rPr>
                <w:rFonts w:cstheme="minorHAnsi"/>
                <w:color w:val="000000"/>
              </w:rPr>
            </w:pPr>
            <w:r>
              <w:rPr>
                <w:rFonts w:cstheme="minorHAnsi"/>
                <w:color w:val="000000"/>
              </w:rPr>
              <w:t> </w:t>
            </w:r>
          </w:p>
        </w:tc>
      </w:tr>
      <w:tr w:rsidR="00AA3085" w14:paraId="2C905388" w14:textId="77777777" w:rsidTr="0001152D">
        <w:trPr>
          <w:trHeight w:val="765"/>
          <w:jc w:val="center"/>
        </w:trPr>
        <w:tc>
          <w:tcPr>
            <w:tcW w:w="7083" w:type="dxa"/>
            <w:tcBorders>
              <w:top w:val="nil"/>
              <w:left w:val="single" w:sz="4" w:space="0" w:color="auto"/>
              <w:bottom w:val="single" w:sz="4" w:space="0" w:color="auto"/>
              <w:right w:val="single" w:sz="4" w:space="0" w:color="auto"/>
            </w:tcBorders>
            <w:vAlign w:val="center"/>
            <w:hideMark/>
          </w:tcPr>
          <w:p w14:paraId="1B57899E" w14:textId="77777777" w:rsidR="00AA3085" w:rsidRDefault="00AA3085">
            <w:pPr>
              <w:ind w:left="209"/>
              <w:rPr>
                <w:rFonts w:cstheme="minorHAnsi"/>
                <w:color w:val="000000"/>
              </w:rPr>
            </w:pPr>
            <w:r>
              <w:rPr>
                <w:rFonts w:cstheme="minorHAnsi"/>
                <w:color w:val="000000"/>
              </w:rPr>
              <w:t xml:space="preserve">konfiguracja systemu na potrzeby wskazanej jednostki organizacyjnej, prowadzenie konsultacji z bezpośrednim użytkownikiem przy współudziale administratora systemu, </w:t>
            </w:r>
          </w:p>
        </w:tc>
        <w:tc>
          <w:tcPr>
            <w:tcW w:w="2977" w:type="dxa"/>
            <w:tcBorders>
              <w:top w:val="nil"/>
              <w:left w:val="nil"/>
              <w:bottom w:val="single" w:sz="4" w:space="0" w:color="auto"/>
              <w:right w:val="single" w:sz="4" w:space="0" w:color="auto"/>
            </w:tcBorders>
            <w:vAlign w:val="bottom"/>
            <w:hideMark/>
          </w:tcPr>
          <w:p w14:paraId="0847262D" w14:textId="77777777" w:rsidR="00AA3085" w:rsidRDefault="00AA3085">
            <w:pPr>
              <w:rPr>
                <w:rFonts w:cstheme="minorHAnsi"/>
                <w:color w:val="000000"/>
              </w:rPr>
            </w:pPr>
            <w:r>
              <w:rPr>
                <w:rFonts w:cstheme="minorHAnsi"/>
                <w:color w:val="000000"/>
              </w:rPr>
              <w:t> </w:t>
            </w:r>
          </w:p>
        </w:tc>
      </w:tr>
      <w:tr w:rsidR="00AA3085" w14:paraId="492AB80C" w14:textId="77777777" w:rsidTr="0001152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37E15150" w14:textId="77777777" w:rsidR="00AA3085" w:rsidRDefault="00AA3085">
            <w:pPr>
              <w:ind w:left="209"/>
              <w:rPr>
                <w:rFonts w:cstheme="minorHAnsi"/>
                <w:color w:val="000000"/>
              </w:rPr>
            </w:pPr>
            <w:r>
              <w:rPr>
                <w:rFonts w:cstheme="minorHAnsi"/>
                <w:color w:val="000000"/>
              </w:rPr>
              <w:t>konsultacje związane z zapewnieniem bezpieczeństwa funkcjonowania systemu i poprawności danych,</w:t>
            </w:r>
          </w:p>
        </w:tc>
        <w:tc>
          <w:tcPr>
            <w:tcW w:w="2977" w:type="dxa"/>
            <w:tcBorders>
              <w:top w:val="nil"/>
              <w:left w:val="nil"/>
              <w:bottom w:val="single" w:sz="4" w:space="0" w:color="auto"/>
              <w:right w:val="single" w:sz="4" w:space="0" w:color="auto"/>
            </w:tcBorders>
            <w:vAlign w:val="bottom"/>
            <w:hideMark/>
          </w:tcPr>
          <w:p w14:paraId="59F939C9" w14:textId="77777777" w:rsidR="00AA3085" w:rsidRDefault="00AA3085">
            <w:pPr>
              <w:rPr>
                <w:rFonts w:cstheme="minorHAnsi"/>
                <w:color w:val="000000"/>
              </w:rPr>
            </w:pPr>
            <w:r>
              <w:rPr>
                <w:rFonts w:cstheme="minorHAnsi"/>
                <w:color w:val="000000"/>
              </w:rPr>
              <w:t> </w:t>
            </w:r>
          </w:p>
        </w:tc>
      </w:tr>
      <w:tr w:rsidR="00AA3085" w14:paraId="78B51C78" w14:textId="77777777" w:rsidTr="0001152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06E39102" w14:textId="77777777" w:rsidR="00AA3085" w:rsidRDefault="00AA3085">
            <w:pPr>
              <w:ind w:left="209"/>
              <w:rPr>
                <w:rFonts w:cstheme="minorHAnsi"/>
                <w:color w:val="000000"/>
              </w:rPr>
            </w:pPr>
            <w:r>
              <w:rPr>
                <w:rFonts w:cstheme="minorHAnsi"/>
                <w:color w:val="000000"/>
              </w:rPr>
              <w:t>konsultacje związanych z funkcjonowaniem systemu zarządzania bazą danych,</w:t>
            </w:r>
          </w:p>
        </w:tc>
        <w:tc>
          <w:tcPr>
            <w:tcW w:w="2977" w:type="dxa"/>
            <w:tcBorders>
              <w:top w:val="nil"/>
              <w:left w:val="nil"/>
              <w:bottom w:val="single" w:sz="4" w:space="0" w:color="auto"/>
              <w:right w:val="single" w:sz="4" w:space="0" w:color="auto"/>
            </w:tcBorders>
            <w:vAlign w:val="bottom"/>
            <w:hideMark/>
          </w:tcPr>
          <w:p w14:paraId="633EBBBD" w14:textId="77777777" w:rsidR="00AA3085" w:rsidRDefault="00AA3085">
            <w:pPr>
              <w:rPr>
                <w:rFonts w:cstheme="minorHAnsi"/>
                <w:color w:val="000000"/>
              </w:rPr>
            </w:pPr>
            <w:r>
              <w:rPr>
                <w:rFonts w:cstheme="minorHAnsi"/>
                <w:color w:val="000000"/>
              </w:rPr>
              <w:t> </w:t>
            </w:r>
          </w:p>
        </w:tc>
      </w:tr>
      <w:tr w:rsidR="00AA3085" w14:paraId="0495B79C" w14:textId="77777777" w:rsidTr="0001152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57122D7D" w14:textId="77777777" w:rsidR="00AA3085" w:rsidRDefault="00AA3085">
            <w:pPr>
              <w:ind w:left="209"/>
              <w:rPr>
                <w:rFonts w:cstheme="minorHAnsi"/>
                <w:color w:val="000000"/>
              </w:rPr>
            </w:pPr>
            <w:r>
              <w:rPr>
                <w:rFonts w:cstheme="minorHAnsi"/>
                <w:color w:val="000000"/>
              </w:rPr>
              <w:t>konsultacje i wsparcie w zakresie zarządzania i konfiguracji bazą danych,</w:t>
            </w:r>
          </w:p>
        </w:tc>
        <w:tc>
          <w:tcPr>
            <w:tcW w:w="2977" w:type="dxa"/>
            <w:tcBorders>
              <w:top w:val="nil"/>
              <w:left w:val="nil"/>
              <w:bottom w:val="single" w:sz="4" w:space="0" w:color="auto"/>
              <w:right w:val="single" w:sz="4" w:space="0" w:color="auto"/>
            </w:tcBorders>
            <w:vAlign w:val="bottom"/>
            <w:hideMark/>
          </w:tcPr>
          <w:p w14:paraId="6F680506" w14:textId="77777777" w:rsidR="00AA3085" w:rsidRDefault="00AA3085">
            <w:pPr>
              <w:rPr>
                <w:rFonts w:cstheme="minorHAnsi"/>
                <w:color w:val="000000"/>
              </w:rPr>
            </w:pPr>
            <w:r>
              <w:rPr>
                <w:rFonts w:cstheme="minorHAnsi"/>
                <w:color w:val="000000"/>
              </w:rPr>
              <w:t> </w:t>
            </w:r>
          </w:p>
        </w:tc>
      </w:tr>
      <w:tr w:rsidR="00AA3085" w14:paraId="0896250F" w14:textId="77777777" w:rsidTr="0001152D">
        <w:trPr>
          <w:trHeight w:val="765"/>
          <w:jc w:val="center"/>
        </w:trPr>
        <w:tc>
          <w:tcPr>
            <w:tcW w:w="7083" w:type="dxa"/>
            <w:tcBorders>
              <w:top w:val="nil"/>
              <w:left w:val="single" w:sz="4" w:space="0" w:color="auto"/>
              <w:bottom w:val="single" w:sz="4" w:space="0" w:color="auto"/>
              <w:right w:val="single" w:sz="4" w:space="0" w:color="auto"/>
            </w:tcBorders>
            <w:vAlign w:val="center"/>
            <w:hideMark/>
          </w:tcPr>
          <w:p w14:paraId="7EB19C08" w14:textId="77777777" w:rsidR="00AA3085" w:rsidRDefault="00AA3085">
            <w:pPr>
              <w:ind w:left="209"/>
              <w:rPr>
                <w:rFonts w:cstheme="minorHAnsi"/>
                <w:color w:val="000000"/>
              </w:rPr>
            </w:pPr>
            <w:r>
              <w:rPr>
                <w:rFonts w:cstheme="minorHAnsi"/>
                <w:color w:val="000000"/>
              </w:rPr>
              <w:t>przeprowadzanie okresowych (raz na pół roku) audytów pracy i ustawień serwera bazodanowych i aplikacyjnych, których efektem będzie raport z przeprowadzonego audytu oraz, jeśli zaistnieje taka potrzeba przeprowadzenie optymalizacji, modyfikacji ustawień, rekonfiguracji.</w:t>
            </w:r>
          </w:p>
        </w:tc>
        <w:tc>
          <w:tcPr>
            <w:tcW w:w="2977" w:type="dxa"/>
            <w:tcBorders>
              <w:top w:val="nil"/>
              <w:left w:val="nil"/>
              <w:bottom w:val="single" w:sz="4" w:space="0" w:color="auto"/>
              <w:right w:val="single" w:sz="4" w:space="0" w:color="auto"/>
            </w:tcBorders>
            <w:vAlign w:val="bottom"/>
            <w:hideMark/>
          </w:tcPr>
          <w:p w14:paraId="7EBBE03B" w14:textId="77777777" w:rsidR="00AA3085" w:rsidRDefault="00AA3085">
            <w:pPr>
              <w:rPr>
                <w:rFonts w:cstheme="minorHAnsi"/>
                <w:color w:val="000000"/>
              </w:rPr>
            </w:pPr>
            <w:r>
              <w:rPr>
                <w:rFonts w:cstheme="minorHAnsi"/>
                <w:color w:val="000000"/>
              </w:rPr>
              <w:t> </w:t>
            </w:r>
          </w:p>
        </w:tc>
      </w:tr>
      <w:tr w:rsidR="00AA3085" w14:paraId="18456165" w14:textId="77777777" w:rsidTr="0001152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03185A0A" w14:textId="77777777" w:rsidR="00AA3085" w:rsidRDefault="00AA3085">
            <w:pPr>
              <w:ind w:left="209"/>
              <w:rPr>
                <w:rFonts w:cstheme="minorHAnsi"/>
                <w:color w:val="000000"/>
              </w:rPr>
            </w:pPr>
            <w:r>
              <w:rPr>
                <w:rFonts w:cstheme="minorHAnsi"/>
                <w:color w:val="000000"/>
              </w:rPr>
              <w:t>konsultacje z zakresu administracji i użytkowania Oprogramowania, w tym konsultacje telefoniczne dla administratorów oraz pracowników działu rozliczeń</w:t>
            </w:r>
          </w:p>
        </w:tc>
        <w:tc>
          <w:tcPr>
            <w:tcW w:w="2977" w:type="dxa"/>
            <w:tcBorders>
              <w:top w:val="nil"/>
              <w:left w:val="nil"/>
              <w:bottom w:val="single" w:sz="4" w:space="0" w:color="auto"/>
              <w:right w:val="single" w:sz="4" w:space="0" w:color="auto"/>
            </w:tcBorders>
            <w:vAlign w:val="bottom"/>
            <w:hideMark/>
          </w:tcPr>
          <w:p w14:paraId="5842DDD7" w14:textId="77777777" w:rsidR="00AA3085" w:rsidRDefault="00AA3085">
            <w:pPr>
              <w:rPr>
                <w:rFonts w:cstheme="minorHAnsi"/>
                <w:color w:val="000000"/>
              </w:rPr>
            </w:pPr>
            <w:r>
              <w:rPr>
                <w:rFonts w:cstheme="minorHAnsi"/>
                <w:color w:val="000000"/>
              </w:rPr>
              <w:t> </w:t>
            </w:r>
          </w:p>
        </w:tc>
      </w:tr>
      <w:tr w:rsidR="00AA3085" w14:paraId="261F0033" w14:textId="77777777" w:rsidTr="0001152D">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38B61378" w14:textId="77777777" w:rsidR="00AA3085" w:rsidRDefault="00AA3085">
            <w:pPr>
              <w:ind w:left="209"/>
              <w:rPr>
                <w:rFonts w:cstheme="minorHAnsi"/>
                <w:color w:val="000000"/>
              </w:rPr>
            </w:pPr>
            <w:r>
              <w:rPr>
                <w:rFonts w:cstheme="minorHAnsi"/>
                <w:color w:val="000000"/>
              </w:rPr>
              <w:t>rekonfiguracja i parametryzacja Oprogramowania, w celu zoptymalizowania i podniesienia sprawności ich działania,</w:t>
            </w:r>
          </w:p>
        </w:tc>
        <w:tc>
          <w:tcPr>
            <w:tcW w:w="2977" w:type="dxa"/>
            <w:tcBorders>
              <w:top w:val="nil"/>
              <w:left w:val="nil"/>
              <w:bottom w:val="single" w:sz="4" w:space="0" w:color="auto"/>
              <w:right w:val="single" w:sz="4" w:space="0" w:color="auto"/>
            </w:tcBorders>
            <w:vAlign w:val="bottom"/>
            <w:hideMark/>
          </w:tcPr>
          <w:p w14:paraId="3C15A9C7" w14:textId="77777777" w:rsidR="00AA3085" w:rsidRDefault="00AA3085">
            <w:pPr>
              <w:rPr>
                <w:rFonts w:cstheme="minorHAnsi"/>
                <w:color w:val="000000"/>
              </w:rPr>
            </w:pPr>
            <w:r>
              <w:rPr>
                <w:rFonts w:cstheme="minorHAnsi"/>
                <w:color w:val="000000"/>
              </w:rPr>
              <w:t> </w:t>
            </w:r>
          </w:p>
        </w:tc>
      </w:tr>
      <w:tr w:rsidR="00AA3085" w14:paraId="27D25371" w14:textId="77777777" w:rsidTr="0001152D">
        <w:trPr>
          <w:trHeight w:val="510"/>
          <w:jc w:val="center"/>
        </w:trPr>
        <w:tc>
          <w:tcPr>
            <w:tcW w:w="7083" w:type="dxa"/>
            <w:tcBorders>
              <w:top w:val="nil"/>
              <w:left w:val="single" w:sz="4" w:space="0" w:color="auto"/>
              <w:bottom w:val="single" w:sz="4" w:space="0" w:color="auto"/>
              <w:right w:val="single" w:sz="4" w:space="0" w:color="auto"/>
            </w:tcBorders>
            <w:vAlign w:val="center"/>
            <w:hideMark/>
          </w:tcPr>
          <w:p w14:paraId="0E577441" w14:textId="77777777" w:rsidR="00AA3085" w:rsidRDefault="00AA3085">
            <w:pPr>
              <w:ind w:left="209"/>
              <w:rPr>
                <w:rFonts w:cstheme="minorHAnsi"/>
                <w:color w:val="000000"/>
              </w:rPr>
            </w:pPr>
            <w:r>
              <w:rPr>
                <w:rFonts w:cstheme="minorHAnsi"/>
                <w:color w:val="000000"/>
              </w:rPr>
              <w:t>pomoc w awaryjnym odtwarzaniu stanu Oprogramowania i zgromadzonych danych archiwalnych na poprawnie zabezpieczonych na nośnikach danych,</w:t>
            </w:r>
          </w:p>
        </w:tc>
        <w:tc>
          <w:tcPr>
            <w:tcW w:w="2977" w:type="dxa"/>
            <w:tcBorders>
              <w:top w:val="nil"/>
              <w:left w:val="nil"/>
              <w:bottom w:val="single" w:sz="4" w:space="0" w:color="auto"/>
              <w:right w:val="single" w:sz="4" w:space="0" w:color="auto"/>
            </w:tcBorders>
            <w:vAlign w:val="bottom"/>
            <w:hideMark/>
          </w:tcPr>
          <w:p w14:paraId="4C139F47" w14:textId="77777777" w:rsidR="00AA3085" w:rsidRDefault="00AA3085">
            <w:pPr>
              <w:rPr>
                <w:rFonts w:cstheme="minorHAnsi"/>
                <w:color w:val="000000"/>
              </w:rPr>
            </w:pPr>
            <w:r>
              <w:rPr>
                <w:rFonts w:cstheme="minorHAnsi"/>
                <w:color w:val="000000"/>
              </w:rPr>
              <w:t> </w:t>
            </w:r>
          </w:p>
        </w:tc>
      </w:tr>
      <w:tr w:rsidR="00AA3085" w14:paraId="791FB1A8" w14:textId="77777777" w:rsidTr="0001152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4AD7D810" w14:textId="77777777" w:rsidR="00AA3085" w:rsidRDefault="00AA3085">
            <w:pPr>
              <w:ind w:left="209"/>
              <w:rPr>
                <w:rFonts w:cstheme="minorHAnsi"/>
                <w:color w:val="000000"/>
              </w:rPr>
            </w:pPr>
            <w:r>
              <w:rPr>
                <w:rFonts w:cstheme="minorHAnsi"/>
                <w:color w:val="000000"/>
              </w:rPr>
              <w:t>doradztwo w zakresie rozbudowy środowiska informatycznego Zamawiającego.</w:t>
            </w:r>
          </w:p>
        </w:tc>
        <w:tc>
          <w:tcPr>
            <w:tcW w:w="2977" w:type="dxa"/>
            <w:tcBorders>
              <w:top w:val="nil"/>
              <w:left w:val="nil"/>
              <w:bottom w:val="single" w:sz="4" w:space="0" w:color="auto"/>
              <w:right w:val="single" w:sz="4" w:space="0" w:color="auto"/>
            </w:tcBorders>
            <w:vAlign w:val="bottom"/>
            <w:hideMark/>
          </w:tcPr>
          <w:p w14:paraId="5588B8A0" w14:textId="77777777" w:rsidR="00AA3085" w:rsidRDefault="00AA3085">
            <w:pPr>
              <w:rPr>
                <w:rFonts w:cstheme="minorHAnsi"/>
                <w:color w:val="000000"/>
              </w:rPr>
            </w:pPr>
            <w:r>
              <w:rPr>
                <w:rFonts w:cstheme="minorHAnsi"/>
                <w:color w:val="000000"/>
              </w:rPr>
              <w:t> </w:t>
            </w:r>
          </w:p>
        </w:tc>
      </w:tr>
      <w:tr w:rsidR="00AA3085" w14:paraId="7E613DD7" w14:textId="77777777" w:rsidTr="0001152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4FEF6A93" w14:textId="77777777" w:rsidR="00AA3085" w:rsidRDefault="00AA3085">
            <w:pPr>
              <w:ind w:left="209"/>
              <w:rPr>
                <w:rFonts w:cstheme="minorHAnsi"/>
              </w:rPr>
            </w:pPr>
            <w:r>
              <w:rPr>
                <w:rFonts w:cstheme="minorHAnsi"/>
              </w:rPr>
              <w:t xml:space="preserve">   usługi związane z zakresem rozliczeń, raportowania i sprawozdawczości świadczeń zdrowotnych</w:t>
            </w:r>
            <w:r>
              <w:rPr>
                <w:rFonts w:cstheme="minorHAnsi"/>
              </w:rPr>
              <w:br/>
              <w:t xml:space="preserve">   w ramach zawieranych przez Zamawiającego umów w tym: </w:t>
            </w:r>
          </w:p>
          <w:p w14:paraId="2ED85CA6" w14:textId="77777777" w:rsidR="00AA3085" w:rsidRDefault="00AA3085">
            <w:pPr>
              <w:ind w:left="209"/>
              <w:rPr>
                <w:rFonts w:cstheme="minorHAnsi"/>
              </w:rPr>
            </w:pPr>
            <w:r>
              <w:rPr>
                <w:rFonts w:cstheme="minorHAnsi"/>
              </w:rPr>
              <w:t>- konsultacje w zakresie rozliczeń i sprawozdawczości w sytuacji zmian wprowadzonych przez płatnika;</w:t>
            </w:r>
          </w:p>
          <w:p w14:paraId="3D671E94" w14:textId="77777777" w:rsidR="00AA3085" w:rsidRDefault="00AA3085">
            <w:pPr>
              <w:ind w:left="209"/>
              <w:rPr>
                <w:rFonts w:cstheme="minorHAnsi"/>
              </w:rPr>
            </w:pPr>
            <w:r>
              <w:rPr>
                <w:rFonts w:cstheme="minorHAnsi"/>
              </w:rPr>
              <w:t>- przygotowanie dedykowanych raportów i wydruków,</w:t>
            </w:r>
          </w:p>
          <w:p w14:paraId="380CD82D" w14:textId="77777777" w:rsidR="00AA3085" w:rsidRDefault="00AA3085">
            <w:pPr>
              <w:ind w:left="209"/>
              <w:rPr>
                <w:rFonts w:cstheme="minorHAnsi"/>
              </w:rPr>
            </w:pPr>
            <w:r>
              <w:rPr>
                <w:rFonts w:cstheme="minorHAnsi"/>
              </w:rPr>
              <w:t xml:space="preserve">- przygotowywanie dodatkowych importów danych na potrzeby jednostek współpracujących, w tym m.in. Narodowego Funduszu Zdrowia, organów administracji rządowej i samorządowej oraz instytucji finansowych. </w:t>
            </w:r>
          </w:p>
        </w:tc>
        <w:tc>
          <w:tcPr>
            <w:tcW w:w="2977" w:type="dxa"/>
            <w:tcBorders>
              <w:top w:val="nil"/>
              <w:left w:val="nil"/>
              <w:bottom w:val="single" w:sz="4" w:space="0" w:color="auto"/>
              <w:right w:val="single" w:sz="4" w:space="0" w:color="auto"/>
            </w:tcBorders>
            <w:vAlign w:val="center"/>
            <w:hideMark/>
          </w:tcPr>
          <w:p w14:paraId="5FCE09F7" w14:textId="77777777" w:rsidR="00AA3085" w:rsidRDefault="00AA3085">
            <w:pPr>
              <w:jc w:val="center"/>
              <w:rPr>
                <w:rFonts w:cstheme="minorHAnsi"/>
              </w:rPr>
            </w:pPr>
            <w:r>
              <w:rPr>
                <w:rFonts w:cstheme="minorHAnsi"/>
              </w:rPr>
              <w:t> </w:t>
            </w:r>
          </w:p>
        </w:tc>
      </w:tr>
      <w:tr w:rsidR="00AA3085" w14:paraId="37F2C213"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EDEDED"/>
            <w:vAlign w:val="center"/>
            <w:hideMark/>
          </w:tcPr>
          <w:p w14:paraId="738E5DA2" w14:textId="77777777" w:rsidR="00AA3085" w:rsidRDefault="00AA3085">
            <w:pPr>
              <w:ind w:left="209"/>
              <w:rPr>
                <w:rFonts w:cstheme="minorHAnsi"/>
              </w:rPr>
            </w:pPr>
            <w:r>
              <w:rPr>
                <w:rFonts w:cstheme="minorHAnsi"/>
              </w:rPr>
              <w:t>Zakres czynności świadczonych w ramach usług gwarancyjnych związane z infrastrukturą IT:</w:t>
            </w:r>
          </w:p>
        </w:tc>
        <w:tc>
          <w:tcPr>
            <w:tcW w:w="2977" w:type="dxa"/>
            <w:tcBorders>
              <w:top w:val="nil"/>
              <w:left w:val="nil"/>
              <w:bottom w:val="single" w:sz="4" w:space="0" w:color="auto"/>
              <w:right w:val="single" w:sz="4" w:space="0" w:color="auto"/>
            </w:tcBorders>
            <w:shd w:val="clear" w:color="auto" w:fill="EDEDED"/>
            <w:vAlign w:val="center"/>
            <w:hideMark/>
          </w:tcPr>
          <w:p w14:paraId="37AB0BDC" w14:textId="77777777" w:rsidR="00AA3085" w:rsidRDefault="00AA3085">
            <w:pPr>
              <w:jc w:val="center"/>
              <w:rPr>
                <w:rFonts w:cstheme="minorHAnsi"/>
              </w:rPr>
            </w:pPr>
            <w:r>
              <w:rPr>
                <w:rFonts w:cstheme="minorHAnsi"/>
              </w:rPr>
              <w:t> </w:t>
            </w:r>
          </w:p>
        </w:tc>
      </w:tr>
      <w:tr w:rsidR="00AA3085" w14:paraId="4F4F3FBE"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770C33DB" w14:textId="77777777" w:rsidR="00AA3085" w:rsidRDefault="00AA3085">
            <w:pPr>
              <w:ind w:left="209"/>
              <w:rPr>
                <w:rFonts w:cstheme="minorHAnsi"/>
              </w:rPr>
            </w:pPr>
            <w:r>
              <w:rPr>
                <w:rFonts w:cstheme="minorHAnsi"/>
              </w:rPr>
              <w:t>Aktualizacja silnika bazy danych</w:t>
            </w:r>
          </w:p>
        </w:tc>
        <w:tc>
          <w:tcPr>
            <w:tcW w:w="2977" w:type="dxa"/>
            <w:tcBorders>
              <w:top w:val="nil"/>
              <w:left w:val="nil"/>
              <w:bottom w:val="single" w:sz="4" w:space="0" w:color="auto"/>
              <w:right w:val="single" w:sz="4" w:space="0" w:color="auto"/>
            </w:tcBorders>
            <w:vAlign w:val="center"/>
            <w:hideMark/>
          </w:tcPr>
          <w:p w14:paraId="2A2E5A69" w14:textId="77777777" w:rsidR="00AA3085" w:rsidRDefault="00AA3085">
            <w:pPr>
              <w:jc w:val="center"/>
              <w:rPr>
                <w:rFonts w:cstheme="minorHAnsi"/>
              </w:rPr>
            </w:pPr>
            <w:r>
              <w:rPr>
                <w:rFonts w:cstheme="minorHAnsi"/>
              </w:rPr>
              <w:t> </w:t>
            </w:r>
          </w:p>
        </w:tc>
      </w:tr>
      <w:tr w:rsidR="00AA3085" w14:paraId="0CE00D39"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E4D2E72" w14:textId="77777777" w:rsidR="00AA3085" w:rsidRDefault="00AA3085">
            <w:pPr>
              <w:ind w:left="209"/>
              <w:rPr>
                <w:rFonts w:cstheme="minorHAnsi"/>
              </w:rPr>
            </w:pPr>
            <w:r>
              <w:rPr>
                <w:rFonts w:cstheme="minorHAnsi"/>
              </w:rPr>
              <w:t xml:space="preserve">Aktualizacja systemów operacyjnych i </w:t>
            </w:r>
            <w:proofErr w:type="spellStart"/>
            <w:r>
              <w:rPr>
                <w:rFonts w:cstheme="minorHAnsi"/>
              </w:rPr>
              <w:t>wirtualizacyjnych</w:t>
            </w:r>
            <w:proofErr w:type="spellEnd"/>
            <w:r>
              <w:rPr>
                <w:rFonts w:cstheme="minorHAnsi"/>
              </w:rPr>
              <w:t xml:space="preserve"> </w:t>
            </w:r>
          </w:p>
        </w:tc>
        <w:tc>
          <w:tcPr>
            <w:tcW w:w="2977" w:type="dxa"/>
            <w:tcBorders>
              <w:top w:val="nil"/>
              <w:left w:val="nil"/>
              <w:bottom w:val="single" w:sz="4" w:space="0" w:color="auto"/>
              <w:right w:val="single" w:sz="4" w:space="0" w:color="auto"/>
            </w:tcBorders>
            <w:vAlign w:val="center"/>
            <w:hideMark/>
          </w:tcPr>
          <w:p w14:paraId="61FB9DC2" w14:textId="77777777" w:rsidR="00AA3085" w:rsidRDefault="00AA3085">
            <w:pPr>
              <w:jc w:val="center"/>
              <w:rPr>
                <w:rFonts w:cstheme="minorHAnsi"/>
              </w:rPr>
            </w:pPr>
            <w:r>
              <w:rPr>
                <w:rFonts w:cstheme="minorHAnsi"/>
              </w:rPr>
              <w:t> </w:t>
            </w:r>
          </w:p>
        </w:tc>
      </w:tr>
      <w:tr w:rsidR="00AA3085" w14:paraId="280F3EDE" w14:textId="77777777" w:rsidTr="0001152D">
        <w:trPr>
          <w:trHeight w:val="510"/>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0A67ECD9" w14:textId="77777777" w:rsidR="00AA3085" w:rsidRDefault="00AA3085">
            <w:pPr>
              <w:ind w:left="209"/>
              <w:rPr>
                <w:rFonts w:cstheme="minorHAnsi"/>
              </w:rPr>
            </w:pPr>
            <w:r>
              <w:rPr>
                <w:rFonts w:cstheme="minorHAnsi"/>
              </w:rPr>
              <w:t>Aktualizacja dostarczonych narzędzi administratora (np. narzędzie do monitoringu, wykonywania kopii zapasowych)</w:t>
            </w:r>
          </w:p>
        </w:tc>
        <w:tc>
          <w:tcPr>
            <w:tcW w:w="2977" w:type="dxa"/>
            <w:tcBorders>
              <w:top w:val="nil"/>
              <w:left w:val="nil"/>
              <w:bottom w:val="single" w:sz="4" w:space="0" w:color="auto"/>
              <w:right w:val="single" w:sz="4" w:space="0" w:color="auto"/>
            </w:tcBorders>
            <w:vAlign w:val="center"/>
            <w:hideMark/>
          </w:tcPr>
          <w:p w14:paraId="4FF5E998" w14:textId="77777777" w:rsidR="00AA3085" w:rsidRDefault="00AA3085">
            <w:pPr>
              <w:jc w:val="center"/>
              <w:rPr>
                <w:rFonts w:cstheme="minorHAnsi"/>
              </w:rPr>
            </w:pPr>
            <w:r>
              <w:rPr>
                <w:rFonts w:cstheme="minorHAnsi"/>
              </w:rPr>
              <w:t> </w:t>
            </w:r>
          </w:p>
        </w:tc>
      </w:tr>
      <w:tr w:rsidR="00AA3085" w14:paraId="42F43E81" w14:textId="77777777" w:rsidTr="0001152D">
        <w:trPr>
          <w:trHeight w:val="510"/>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6BEB8B89" w14:textId="77777777" w:rsidR="00AA3085" w:rsidRDefault="00AA3085">
            <w:pPr>
              <w:ind w:left="209"/>
              <w:rPr>
                <w:rFonts w:cstheme="minorHAnsi"/>
              </w:rPr>
            </w:pPr>
            <w:r>
              <w:rPr>
                <w:rFonts w:cstheme="minorHAnsi"/>
              </w:rPr>
              <w:t>Konsultacje z zakresu mechanizmów bezpieczeństwa (kopie bezpieczeństwa, odzyskiwanie danych z kopii zapasowych)</w:t>
            </w:r>
          </w:p>
        </w:tc>
        <w:tc>
          <w:tcPr>
            <w:tcW w:w="2977" w:type="dxa"/>
            <w:tcBorders>
              <w:top w:val="nil"/>
              <w:left w:val="nil"/>
              <w:bottom w:val="single" w:sz="4" w:space="0" w:color="auto"/>
              <w:right w:val="single" w:sz="4" w:space="0" w:color="auto"/>
            </w:tcBorders>
            <w:vAlign w:val="center"/>
            <w:hideMark/>
          </w:tcPr>
          <w:p w14:paraId="4654EC26" w14:textId="77777777" w:rsidR="00AA3085" w:rsidRDefault="00AA3085">
            <w:pPr>
              <w:jc w:val="center"/>
              <w:rPr>
                <w:rFonts w:cstheme="minorHAnsi"/>
              </w:rPr>
            </w:pPr>
            <w:r>
              <w:rPr>
                <w:rFonts w:cstheme="minorHAnsi"/>
              </w:rPr>
              <w:t> </w:t>
            </w:r>
          </w:p>
        </w:tc>
      </w:tr>
      <w:tr w:rsidR="00AA3085" w14:paraId="338C5116"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F0EA664" w14:textId="77777777" w:rsidR="00AA3085" w:rsidRDefault="00AA3085">
            <w:pPr>
              <w:ind w:left="209"/>
              <w:rPr>
                <w:rFonts w:cstheme="minorHAnsi"/>
              </w:rPr>
            </w:pPr>
            <w:r>
              <w:rPr>
                <w:rFonts w:cstheme="minorHAnsi"/>
              </w:rPr>
              <w:t>Konsultacje w zakresie administrowania systemem operacyjnym i rozszerzeniami sprzętowymi</w:t>
            </w:r>
          </w:p>
        </w:tc>
        <w:tc>
          <w:tcPr>
            <w:tcW w:w="2977" w:type="dxa"/>
            <w:tcBorders>
              <w:top w:val="nil"/>
              <w:left w:val="nil"/>
              <w:bottom w:val="single" w:sz="4" w:space="0" w:color="auto"/>
              <w:right w:val="single" w:sz="4" w:space="0" w:color="auto"/>
            </w:tcBorders>
            <w:vAlign w:val="center"/>
            <w:hideMark/>
          </w:tcPr>
          <w:p w14:paraId="601227C3" w14:textId="77777777" w:rsidR="00AA3085" w:rsidRDefault="00AA3085">
            <w:pPr>
              <w:jc w:val="center"/>
              <w:rPr>
                <w:rFonts w:cstheme="minorHAnsi"/>
              </w:rPr>
            </w:pPr>
            <w:r>
              <w:rPr>
                <w:rFonts w:cstheme="minorHAnsi"/>
              </w:rPr>
              <w:t> </w:t>
            </w:r>
          </w:p>
        </w:tc>
      </w:tr>
      <w:tr w:rsidR="00AA3085" w14:paraId="3CB98484" w14:textId="77777777" w:rsidTr="0001152D">
        <w:trPr>
          <w:trHeight w:val="3570"/>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90F8C64" w14:textId="4AF6EB95" w:rsidR="00AA3085" w:rsidRDefault="00AA3085">
            <w:pPr>
              <w:ind w:left="209"/>
              <w:rPr>
                <w:rFonts w:cstheme="minorHAnsi"/>
              </w:rPr>
            </w:pPr>
            <w:r>
              <w:rPr>
                <w:rFonts w:cstheme="minorHAnsi"/>
              </w:rPr>
              <w:t xml:space="preserve">Konsultacje w zakresie administrowania silnikiem bazy danych, </w:t>
            </w:r>
            <w:proofErr w:type="spellStart"/>
            <w:r>
              <w:rPr>
                <w:rFonts w:cstheme="minorHAnsi"/>
              </w:rPr>
              <w:t>reinstalacja</w:t>
            </w:r>
            <w:proofErr w:type="spellEnd"/>
            <w:r>
              <w:rPr>
                <w:rFonts w:cstheme="minorHAnsi"/>
              </w:rPr>
              <w:t xml:space="preserve"> MBD lub oprogramowania systemowego, instalacja uaktualnień MBD lub oprogramowania systemowego, instalacja dodatkowych opcji MBD lub oprogramowania systemowego, świadczenia zdalnego wsparcia Motoru Bazy Danych w tym m.in:</w:t>
            </w:r>
            <w:r>
              <w:rPr>
                <w:rFonts w:cstheme="minorHAnsi"/>
              </w:rPr>
              <w:br/>
              <w:t xml:space="preserve">- zatrzymanie i uruchomienie bazy danych, </w:t>
            </w:r>
            <w:r>
              <w:rPr>
                <w:rFonts w:cstheme="minorHAnsi"/>
              </w:rPr>
              <w:br/>
              <w:t xml:space="preserve">- zatrzymanie i uruchomienie </w:t>
            </w:r>
            <w:proofErr w:type="spellStart"/>
            <w:r>
              <w:rPr>
                <w:rFonts w:cstheme="minorHAnsi"/>
              </w:rPr>
              <w:t>listenera</w:t>
            </w:r>
            <w:proofErr w:type="spellEnd"/>
            <w:r>
              <w:rPr>
                <w:rFonts w:cstheme="minorHAnsi"/>
              </w:rPr>
              <w:t xml:space="preserve">, </w:t>
            </w:r>
            <w:r>
              <w:rPr>
                <w:rFonts w:cstheme="minorHAnsi"/>
              </w:rPr>
              <w:br/>
              <w:t>- odblokowywanie kont użytkowników,</w:t>
            </w:r>
            <w:r>
              <w:rPr>
                <w:rFonts w:cstheme="minorHAnsi"/>
              </w:rPr>
              <w:br/>
              <w:t>- kompilacja obiektów bazy danych,</w:t>
            </w:r>
            <w:r>
              <w:rPr>
                <w:rFonts w:cstheme="minorHAnsi"/>
              </w:rPr>
              <w:br/>
              <w:t xml:space="preserve">- przeliczanie statystyk bazy danych, </w:t>
            </w:r>
            <w:r>
              <w:rPr>
                <w:rFonts w:cstheme="minorHAnsi"/>
              </w:rPr>
              <w:br/>
              <w:t>- dodawania i modyfikacja przestrzeni tabel,</w:t>
            </w:r>
            <w:r>
              <w:rPr>
                <w:rFonts w:cstheme="minorHAnsi"/>
              </w:rPr>
              <w:br/>
              <w:t>- rekonfiguracja parametrów bazy danych,</w:t>
            </w:r>
            <w:r>
              <w:rPr>
                <w:rFonts w:cstheme="minorHAnsi"/>
              </w:rPr>
              <w:br/>
              <w:t>- identyfikacja innych czynności koniecznych do naprawy Awarii, których wykonanie wykracza poza zakres usługi.</w:t>
            </w:r>
          </w:p>
        </w:tc>
        <w:tc>
          <w:tcPr>
            <w:tcW w:w="2977" w:type="dxa"/>
            <w:tcBorders>
              <w:top w:val="nil"/>
              <w:left w:val="nil"/>
              <w:bottom w:val="single" w:sz="4" w:space="0" w:color="auto"/>
              <w:right w:val="single" w:sz="4" w:space="0" w:color="auto"/>
            </w:tcBorders>
            <w:vAlign w:val="center"/>
            <w:hideMark/>
          </w:tcPr>
          <w:p w14:paraId="5489922C" w14:textId="77777777" w:rsidR="00AA3085" w:rsidRDefault="00AA3085">
            <w:pPr>
              <w:jc w:val="center"/>
              <w:rPr>
                <w:rFonts w:cstheme="minorHAnsi"/>
              </w:rPr>
            </w:pPr>
            <w:r>
              <w:rPr>
                <w:rFonts w:cstheme="minorHAnsi"/>
              </w:rPr>
              <w:t> </w:t>
            </w:r>
          </w:p>
        </w:tc>
      </w:tr>
      <w:tr w:rsidR="00AA3085" w14:paraId="6006D63E" w14:textId="77777777" w:rsidTr="0001152D">
        <w:trPr>
          <w:trHeight w:val="372"/>
          <w:jc w:val="center"/>
        </w:trPr>
        <w:tc>
          <w:tcPr>
            <w:tcW w:w="708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41D9053" w14:textId="77777777" w:rsidR="00AA3085" w:rsidRDefault="00AA3085">
            <w:pPr>
              <w:ind w:left="209"/>
              <w:rPr>
                <w:rFonts w:cstheme="minorHAnsi"/>
              </w:rPr>
            </w:pPr>
            <w:r>
              <w:rPr>
                <w:rFonts w:cstheme="minorHAnsi"/>
              </w:rPr>
              <w:t>Ponadto w ramach czynności usług gwarancyjnych Wykonawca świadczył będzie:</w:t>
            </w:r>
          </w:p>
        </w:tc>
        <w:tc>
          <w:tcPr>
            <w:tcW w:w="2977" w:type="dxa"/>
            <w:tcBorders>
              <w:top w:val="nil"/>
              <w:left w:val="nil"/>
              <w:bottom w:val="single" w:sz="4" w:space="0" w:color="auto"/>
              <w:right w:val="single" w:sz="4" w:space="0" w:color="auto"/>
            </w:tcBorders>
            <w:shd w:val="clear" w:color="auto" w:fill="D9D9D9" w:themeFill="background1" w:themeFillShade="D9"/>
            <w:vAlign w:val="center"/>
          </w:tcPr>
          <w:p w14:paraId="6D3687DB" w14:textId="77777777" w:rsidR="00AA3085" w:rsidRDefault="00AA3085">
            <w:pPr>
              <w:jc w:val="center"/>
              <w:rPr>
                <w:rFonts w:cstheme="minorHAnsi"/>
              </w:rPr>
            </w:pPr>
          </w:p>
        </w:tc>
      </w:tr>
      <w:tr w:rsidR="00AA3085" w14:paraId="0C91A1C6" w14:textId="77777777" w:rsidTr="0001152D">
        <w:trPr>
          <w:trHeight w:val="419"/>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0155E1C4" w14:textId="77777777" w:rsidR="00AA3085" w:rsidRDefault="00AA3085">
            <w:pPr>
              <w:ind w:left="209"/>
              <w:rPr>
                <w:rFonts w:cstheme="minorHAnsi"/>
              </w:rPr>
            </w:pPr>
            <w:r>
              <w:rPr>
                <w:rFonts w:cstheme="minorHAnsi"/>
              </w:rPr>
              <w:t>Wsparcie w usuwaniu awarii Systemu powstałej z winy Klienta lub wskutek wypadków losowych</w:t>
            </w:r>
          </w:p>
        </w:tc>
        <w:tc>
          <w:tcPr>
            <w:tcW w:w="2977" w:type="dxa"/>
            <w:tcBorders>
              <w:top w:val="nil"/>
              <w:left w:val="nil"/>
              <w:bottom w:val="single" w:sz="4" w:space="0" w:color="auto"/>
              <w:right w:val="single" w:sz="4" w:space="0" w:color="auto"/>
            </w:tcBorders>
            <w:shd w:val="clear" w:color="auto" w:fill="FFFFFF"/>
            <w:vAlign w:val="center"/>
            <w:hideMark/>
          </w:tcPr>
          <w:p w14:paraId="56C2DC7E" w14:textId="77777777" w:rsidR="00AA3085" w:rsidRDefault="00AA3085">
            <w:pPr>
              <w:jc w:val="center"/>
              <w:rPr>
                <w:rFonts w:cstheme="minorHAnsi"/>
              </w:rPr>
            </w:pPr>
            <w:r>
              <w:rPr>
                <w:rFonts w:cstheme="minorHAnsi"/>
              </w:rPr>
              <w:t> </w:t>
            </w:r>
          </w:p>
        </w:tc>
      </w:tr>
      <w:tr w:rsidR="00AA3085" w14:paraId="4934031F" w14:textId="77777777" w:rsidTr="0001152D">
        <w:trPr>
          <w:trHeight w:val="579"/>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49F7D942" w14:textId="77777777" w:rsidR="00AA3085" w:rsidRDefault="00AA3085">
            <w:pPr>
              <w:ind w:left="209"/>
              <w:rPr>
                <w:rFonts w:cstheme="minorHAnsi"/>
              </w:rPr>
            </w:pPr>
            <w:r>
              <w:rPr>
                <w:rFonts w:cstheme="minorHAnsi"/>
              </w:rPr>
              <w:t>Pomoc w awaryjnym odtwarzaniu lub przenoszeniu danych na żądanie w zakresie czasowym wymaganym do jak najszybszego działania w systemie przez użytkowników</w:t>
            </w:r>
          </w:p>
        </w:tc>
        <w:tc>
          <w:tcPr>
            <w:tcW w:w="2977" w:type="dxa"/>
            <w:tcBorders>
              <w:top w:val="nil"/>
              <w:left w:val="nil"/>
              <w:bottom w:val="single" w:sz="4" w:space="0" w:color="auto"/>
              <w:right w:val="single" w:sz="4" w:space="0" w:color="auto"/>
            </w:tcBorders>
            <w:shd w:val="clear" w:color="auto" w:fill="FFFFFF"/>
            <w:vAlign w:val="center"/>
            <w:hideMark/>
          </w:tcPr>
          <w:p w14:paraId="445698E3" w14:textId="77777777" w:rsidR="00AA3085" w:rsidRDefault="00AA3085">
            <w:pPr>
              <w:jc w:val="center"/>
              <w:rPr>
                <w:rFonts w:cstheme="minorHAnsi"/>
              </w:rPr>
            </w:pPr>
            <w:r>
              <w:rPr>
                <w:rFonts w:cstheme="minorHAnsi"/>
              </w:rPr>
              <w:t> </w:t>
            </w:r>
          </w:p>
        </w:tc>
      </w:tr>
      <w:tr w:rsidR="00AA3085" w14:paraId="3398674B" w14:textId="77777777" w:rsidTr="0001152D">
        <w:trPr>
          <w:trHeight w:val="417"/>
          <w:jc w:val="center"/>
        </w:trPr>
        <w:tc>
          <w:tcPr>
            <w:tcW w:w="708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B68A11D" w14:textId="77777777" w:rsidR="00AA3085" w:rsidRDefault="00AA3085">
            <w:pPr>
              <w:ind w:left="209"/>
              <w:rPr>
                <w:rFonts w:cstheme="minorHAnsi"/>
              </w:rPr>
            </w:pPr>
            <w:r>
              <w:rPr>
                <w:rFonts w:cstheme="minorHAnsi"/>
              </w:rPr>
              <w:t>Ponadto Wykonawca zapewni:</w:t>
            </w:r>
          </w:p>
        </w:tc>
        <w:tc>
          <w:tcPr>
            <w:tcW w:w="2977" w:type="dxa"/>
            <w:tcBorders>
              <w:top w:val="nil"/>
              <w:left w:val="nil"/>
              <w:bottom w:val="single" w:sz="4" w:space="0" w:color="auto"/>
              <w:right w:val="single" w:sz="4" w:space="0" w:color="auto"/>
            </w:tcBorders>
            <w:shd w:val="clear" w:color="auto" w:fill="D9D9D9" w:themeFill="background1" w:themeFillShade="D9"/>
            <w:vAlign w:val="center"/>
          </w:tcPr>
          <w:p w14:paraId="27F9C21C" w14:textId="77777777" w:rsidR="00AA3085" w:rsidRDefault="00AA3085">
            <w:pPr>
              <w:jc w:val="center"/>
              <w:rPr>
                <w:rFonts w:cstheme="minorHAnsi"/>
              </w:rPr>
            </w:pPr>
          </w:p>
        </w:tc>
      </w:tr>
      <w:tr w:rsidR="00AA3085" w14:paraId="0A0EDEBC" w14:textId="77777777" w:rsidTr="0001152D">
        <w:trPr>
          <w:trHeight w:val="127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78BF67C8" w14:textId="77777777" w:rsidR="00AA3085" w:rsidRDefault="00AA3085">
            <w:pPr>
              <w:ind w:left="209"/>
              <w:rPr>
                <w:rFonts w:cstheme="minorHAnsi"/>
              </w:rPr>
            </w:pPr>
            <w:r>
              <w:rPr>
                <w:rFonts w:cstheme="minorHAnsi"/>
              </w:rPr>
              <w:t xml:space="preserve">- możliwość zgłaszania błędów i usterek telefonicznie z ich rejestracją w Elektronicznym Systemie </w:t>
            </w:r>
          </w:p>
          <w:p w14:paraId="61FD650E" w14:textId="56D3A545" w:rsidR="00AA3085" w:rsidRDefault="00AA3085">
            <w:pPr>
              <w:ind w:left="209"/>
              <w:rPr>
                <w:rFonts w:cstheme="minorHAnsi"/>
              </w:rPr>
            </w:pPr>
            <w:r>
              <w:rPr>
                <w:rFonts w:cstheme="minorHAnsi"/>
              </w:rPr>
              <w:t xml:space="preserve">Obsługi Zgłoszeń przez pracownika Zamawiającego w godzinach </w:t>
            </w:r>
            <w:r w:rsidR="0037608A">
              <w:rPr>
                <w:rFonts w:cstheme="minorHAnsi"/>
              </w:rPr>
              <w:t>8</w:t>
            </w:r>
            <w:r>
              <w:rPr>
                <w:rFonts w:cstheme="minorHAnsi"/>
              </w:rPr>
              <w:t>-1</w:t>
            </w:r>
            <w:r w:rsidR="00C97E91">
              <w:rPr>
                <w:rFonts w:cstheme="minorHAnsi"/>
              </w:rPr>
              <w:t>6</w:t>
            </w:r>
            <w:r>
              <w:rPr>
                <w:rFonts w:cstheme="minorHAnsi"/>
              </w:rPr>
              <w:t xml:space="preserve"> w dni robocze; </w:t>
            </w:r>
            <w:r>
              <w:rPr>
                <w:rFonts w:cstheme="minorHAnsi"/>
              </w:rPr>
              <w:br/>
              <w:t xml:space="preserve">- dostęp do Elektronicznego Systemu Obsługi Zgłoszeń w trybie 24 godzin na dobę, 7 dni w tygodniu, </w:t>
            </w:r>
            <w:r>
              <w:rPr>
                <w:rFonts w:cstheme="minorHAnsi"/>
              </w:rPr>
              <w:br/>
              <w:t>- możliwość zgłaszania błędów blokujących telefonicznie w trybie 24 godzin na dobę przez 7 dni w tygodniu</w:t>
            </w:r>
          </w:p>
        </w:tc>
        <w:tc>
          <w:tcPr>
            <w:tcW w:w="2977" w:type="dxa"/>
            <w:tcBorders>
              <w:top w:val="nil"/>
              <w:left w:val="nil"/>
              <w:bottom w:val="single" w:sz="4" w:space="0" w:color="auto"/>
              <w:right w:val="single" w:sz="4" w:space="0" w:color="auto"/>
            </w:tcBorders>
            <w:vAlign w:val="center"/>
            <w:hideMark/>
          </w:tcPr>
          <w:p w14:paraId="511ABE99" w14:textId="77777777" w:rsidR="00AA3085" w:rsidRDefault="00AA3085">
            <w:pPr>
              <w:jc w:val="center"/>
              <w:rPr>
                <w:rFonts w:cstheme="minorHAnsi"/>
              </w:rPr>
            </w:pPr>
            <w:r>
              <w:rPr>
                <w:rFonts w:cstheme="minorHAnsi"/>
              </w:rPr>
              <w:t> </w:t>
            </w:r>
          </w:p>
        </w:tc>
      </w:tr>
      <w:tr w:rsidR="00AA3085" w14:paraId="72D3FD8C"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77837C07" w14:textId="107837DD" w:rsidR="00AA3085" w:rsidRDefault="00AA3085" w:rsidP="00C97E91">
            <w:pPr>
              <w:ind w:left="209"/>
              <w:rPr>
                <w:rFonts w:cstheme="minorHAnsi"/>
              </w:rPr>
            </w:pPr>
            <w:r>
              <w:rPr>
                <w:rFonts w:cstheme="minorHAnsi"/>
              </w:rPr>
              <w:t xml:space="preserve">Dedykowany opiekun klienta na potrzeby Zamawiającego dostępny w dni robocze: pon.-pt. </w:t>
            </w:r>
            <w:r w:rsidR="00C97E91" w:rsidRPr="00FC7FC0">
              <w:rPr>
                <w:rFonts w:cstheme="minorHAnsi"/>
              </w:rPr>
              <w:t>8</w:t>
            </w:r>
            <w:r w:rsidRPr="00FC7FC0">
              <w:rPr>
                <w:rFonts w:cstheme="minorHAnsi"/>
              </w:rPr>
              <w:t>:00-1</w:t>
            </w:r>
            <w:r w:rsidR="00EC59C9" w:rsidRPr="00FC7FC0">
              <w:rPr>
                <w:rFonts w:cstheme="minorHAnsi"/>
              </w:rPr>
              <w:t>6</w:t>
            </w:r>
            <w:r w:rsidRPr="00FC7FC0">
              <w:rPr>
                <w:rFonts w:cstheme="minorHAnsi"/>
              </w:rPr>
              <w:t>:00</w:t>
            </w:r>
          </w:p>
        </w:tc>
        <w:tc>
          <w:tcPr>
            <w:tcW w:w="2977" w:type="dxa"/>
            <w:tcBorders>
              <w:top w:val="nil"/>
              <w:left w:val="nil"/>
              <w:bottom w:val="single" w:sz="4" w:space="0" w:color="auto"/>
              <w:right w:val="single" w:sz="4" w:space="0" w:color="auto"/>
            </w:tcBorders>
            <w:vAlign w:val="center"/>
            <w:hideMark/>
          </w:tcPr>
          <w:p w14:paraId="0A3A1F6B" w14:textId="77777777" w:rsidR="00AA3085" w:rsidRDefault="00AA3085">
            <w:pPr>
              <w:jc w:val="center"/>
              <w:rPr>
                <w:rFonts w:cstheme="minorHAnsi"/>
              </w:rPr>
            </w:pPr>
            <w:r>
              <w:rPr>
                <w:rFonts w:cstheme="minorHAnsi"/>
              </w:rPr>
              <w:t> </w:t>
            </w:r>
          </w:p>
        </w:tc>
      </w:tr>
      <w:tr w:rsidR="00AA3085" w14:paraId="0707FB38"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49B2CE1C" w14:textId="77777777" w:rsidR="00AA3085" w:rsidRDefault="00AA3085">
            <w:pPr>
              <w:ind w:left="209"/>
              <w:rPr>
                <w:rFonts w:cstheme="minorHAnsi"/>
              </w:rPr>
            </w:pPr>
            <w:r>
              <w:rPr>
                <w:rFonts w:cstheme="minorHAnsi"/>
              </w:rPr>
              <w:t xml:space="preserve">Możliwość realizacji </w:t>
            </w:r>
            <w:proofErr w:type="spellStart"/>
            <w:r>
              <w:rPr>
                <w:rFonts w:cstheme="minorHAnsi"/>
              </w:rPr>
              <w:t>tele</w:t>
            </w:r>
            <w:proofErr w:type="spellEnd"/>
            <w:r>
              <w:rPr>
                <w:rFonts w:cstheme="minorHAnsi"/>
              </w:rPr>
              <w:t xml:space="preserve">- lub </w:t>
            </w:r>
            <w:proofErr w:type="spellStart"/>
            <w:r>
              <w:rPr>
                <w:rFonts w:cstheme="minorHAnsi"/>
              </w:rPr>
              <w:t>wideokonsultacji</w:t>
            </w:r>
            <w:proofErr w:type="spellEnd"/>
            <w:r>
              <w:rPr>
                <w:rFonts w:cstheme="minorHAnsi"/>
              </w:rPr>
              <w:t xml:space="preserve"> serwisowych przez Wykonawcę na potrzeby Zamawiającego</w:t>
            </w:r>
          </w:p>
        </w:tc>
        <w:tc>
          <w:tcPr>
            <w:tcW w:w="2977" w:type="dxa"/>
            <w:tcBorders>
              <w:top w:val="nil"/>
              <w:left w:val="nil"/>
              <w:bottom w:val="single" w:sz="4" w:space="0" w:color="auto"/>
              <w:right w:val="single" w:sz="4" w:space="0" w:color="auto"/>
            </w:tcBorders>
            <w:vAlign w:val="center"/>
            <w:hideMark/>
          </w:tcPr>
          <w:p w14:paraId="6B99D186" w14:textId="77777777" w:rsidR="00AA3085" w:rsidRDefault="00AA3085">
            <w:pPr>
              <w:jc w:val="center"/>
              <w:rPr>
                <w:rFonts w:cstheme="minorHAnsi"/>
              </w:rPr>
            </w:pPr>
            <w:r>
              <w:rPr>
                <w:rFonts w:cstheme="minorHAnsi"/>
              </w:rPr>
              <w:t> </w:t>
            </w:r>
          </w:p>
        </w:tc>
      </w:tr>
      <w:tr w:rsidR="00AA3085" w14:paraId="1718C6C1"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583D386F" w14:textId="02068D2B" w:rsidR="00AA3085" w:rsidRDefault="00AA3085">
            <w:pPr>
              <w:ind w:left="209"/>
              <w:rPr>
                <w:rFonts w:cstheme="minorHAnsi"/>
              </w:rPr>
            </w:pPr>
            <w:r>
              <w:rPr>
                <w:rFonts w:cstheme="minorHAnsi"/>
              </w:rPr>
              <w:t xml:space="preserve">Dostęp do konsultacji z Wykonawcą na potrzeby Zamawiającego w godzinach od </w:t>
            </w:r>
            <w:r w:rsidR="00EC59C9" w:rsidRPr="00FC7FC0">
              <w:rPr>
                <w:rFonts w:cstheme="minorHAnsi"/>
              </w:rPr>
              <w:t>8</w:t>
            </w:r>
            <w:r w:rsidRPr="00FC7FC0">
              <w:rPr>
                <w:rFonts w:cstheme="minorHAnsi"/>
              </w:rPr>
              <w:t>:00 do</w:t>
            </w:r>
            <w:r w:rsidR="00F371FF" w:rsidRPr="00FC7FC0">
              <w:rPr>
                <w:rFonts w:cstheme="minorHAnsi"/>
              </w:rPr>
              <w:t xml:space="preserve"> </w:t>
            </w:r>
            <w:r w:rsidRPr="00FC7FC0">
              <w:rPr>
                <w:rFonts w:cstheme="minorHAnsi"/>
              </w:rPr>
              <w:t>1</w:t>
            </w:r>
            <w:r w:rsidR="00EC59C9" w:rsidRPr="00FC7FC0">
              <w:rPr>
                <w:rFonts w:cstheme="minorHAnsi"/>
              </w:rPr>
              <w:t>6</w:t>
            </w:r>
            <w:r w:rsidRPr="00FC7FC0">
              <w:rPr>
                <w:rFonts w:cstheme="minorHAnsi"/>
              </w:rPr>
              <w:t xml:space="preserve">:00 </w:t>
            </w:r>
            <w:r>
              <w:rPr>
                <w:rFonts w:cstheme="minorHAnsi"/>
              </w:rPr>
              <w:t>w dni robocze</w:t>
            </w:r>
          </w:p>
        </w:tc>
        <w:tc>
          <w:tcPr>
            <w:tcW w:w="2977" w:type="dxa"/>
            <w:tcBorders>
              <w:top w:val="nil"/>
              <w:left w:val="nil"/>
              <w:bottom w:val="single" w:sz="4" w:space="0" w:color="auto"/>
              <w:right w:val="single" w:sz="4" w:space="0" w:color="auto"/>
            </w:tcBorders>
            <w:vAlign w:val="center"/>
            <w:hideMark/>
          </w:tcPr>
          <w:p w14:paraId="3FAAD0CB" w14:textId="77777777" w:rsidR="00AA3085" w:rsidRDefault="00AA3085">
            <w:pPr>
              <w:jc w:val="center"/>
              <w:rPr>
                <w:rFonts w:cstheme="minorHAnsi"/>
              </w:rPr>
            </w:pPr>
            <w:r>
              <w:rPr>
                <w:rFonts w:cstheme="minorHAnsi"/>
              </w:rPr>
              <w:t>W przypadku niedostępności konsultanta  kontakt w nast. dniu roboczym.</w:t>
            </w:r>
          </w:p>
        </w:tc>
      </w:tr>
      <w:tr w:rsidR="00AA3085" w14:paraId="36228F62" w14:textId="77777777" w:rsidTr="0001152D">
        <w:trPr>
          <w:trHeight w:val="255"/>
          <w:jc w:val="center"/>
        </w:trPr>
        <w:tc>
          <w:tcPr>
            <w:tcW w:w="7083" w:type="dxa"/>
            <w:tcBorders>
              <w:top w:val="nil"/>
              <w:left w:val="single" w:sz="4" w:space="0" w:color="auto"/>
              <w:bottom w:val="single" w:sz="4" w:space="0" w:color="auto"/>
              <w:right w:val="single" w:sz="4" w:space="0" w:color="auto"/>
            </w:tcBorders>
            <w:shd w:val="clear" w:color="auto" w:fill="FFFFFF"/>
            <w:vAlign w:val="center"/>
            <w:hideMark/>
          </w:tcPr>
          <w:p w14:paraId="2C8D86C6" w14:textId="77777777" w:rsidR="00AA3085" w:rsidRDefault="00AA3085">
            <w:pPr>
              <w:ind w:left="209"/>
              <w:rPr>
                <w:rFonts w:cstheme="minorHAnsi"/>
              </w:rPr>
            </w:pPr>
            <w:r>
              <w:rPr>
                <w:rFonts w:cstheme="minorHAnsi"/>
              </w:rPr>
              <w:t>Raportowanie na potrzeby Zamawiającego stanu realizacji Umowy zawartej z Wykonawcą</w:t>
            </w:r>
          </w:p>
        </w:tc>
        <w:tc>
          <w:tcPr>
            <w:tcW w:w="2977" w:type="dxa"/>
            <w:tcBorders>
              <w:top w:val="nil"/>
              <w:left w:val="nil"/>
              <w:bottom w:val="single" w:sz="4" w:space="0" w:color="auto"/>
              <w:right w:val="single" w:sz="4" w:space="0" w:color="auto"/>
            </w:tcBorders>
            <w:vAlign w:val="center"/>
            <w:hideMark/>
          </w:tcPr>
          <w:p w14:paraId="4C78174C" w14:textId="77777777" w:rsidR="00AA3085" w:rsidRDefault="00AA3085">
            <w:pPr>
              <w:jc w:val="center"/>
              <w:rPr>
                <w:rFonts w:cstheme="minorHAnsi"/>
              </w:rPr>
            </w:pPr>
            <w:r>
              <w:rPr>
                <w:rFonts w:cstheme="minorHAnsi"/>
              </w:rPr>
              <w:t> </w:t>
            </w:r>
          </w:p>
        </w:tc>
      </w:tr>
    </w:tbl>
    <w:p w14:paraId="5DDDFD68" w14:textId="77777777" w:rsidR="00061757" w:rsidRPr="00E70796" w:rsidRDefault="00061757" w:rsidP="001763C8">
      <w:pPr>
        <w:pBdr>
          <w:top w:val="nil"/>
          <w:left w:val="nil"/>
          <w:bottom w:val="nil"/>
          <w:right w:val="nil"/>
          <w:between w:val="nil"/>
        </w:pBdr>
        <w:spacing w:after="0" w:line="240" w:lineRule="auto"/>
        <w:jc w:val="both"/>
        <w:rPr>
          <w:rFonts w:asciiTheme="majorHAnsi" w:hAnsiTheme="majorHAnsi" w:cstheme="majorHAnsi"/>
          <w:color w:val="000000"/>
        </w:rPr>
      </w:pPr>
    </w:p>
    <w:p w14:paraId="19935310" w14:textId="56C60387" w:rsidR="00CC7138" w:rsidRPr="00AA3085" w:rsidRDefault="00CC7138" w:rsidP="00AA3085">
      <w:pPr>
        <w:pStyle w:val="Nagwek2"/>
      </w:pPr>
      <w:r w:rsidRPr="00AA3085">
        <w:t>D</w:t>
      </w:r>
      <w:r w:rsidR="00D958DF">
        <w:t>efinicje</w:t>
      </w:r>
    </w:p>
    <w:p w14:paraId="75CF6AF0" w14:textId="05095919" w:rsidR="00CC7138" w:rsidRPr="003933FE" w:rsidRDefault="00CC7138" w:rsidP="00CC7138">
      <w:pPr>
        <w:jc w:val="both"/>
        <w:rPr>
          <w:rFonts w:asciiTheme="majorHAnsi" w:hAnsiTheme="majorHAnsi" w:cstheme="majorHAnsi"/>
        </w:rPr>
      </w:pPr>
      <w:r w:rsidRPr="003933FE">
        <w:rPr>
          <w:rFonts w:asciiTheme="majorHAnsi" w:hAnsiTheme="majorHAnsi" w:cstheme="majorHAnsi"/>
        </w:rPr>
        <w:t>Na potrzeby Umowy Strony ustalają następujące definicje pojęć:</w:t>
      </w:r>
    </w:p>
    <w:p w14:paraId="314661F0"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Umowa</w:t>
      </w:r>
      <w:r w:rsidRPr="003933FE">
        <w:rPr>
          <w:rFonts w:asciiTheme="majorHAnsi" w:eastAsia="Calibri" w:hAnsiTheme="majorHAnsi" w:cstheme="majorHAnsi"/>
          <w:color w:val="000000"/>
        </w:rPr>
        <w:t xml:space="preserve"> – ilekroć w tekście niniejszego dokumentu zostanie przywołany wyraz “Umowa” bez wyraźnego wskazania jej numeru lub daty zawarcia, należy go interpretować jako odwołanie bezwzględne do tegoż dokumentu oraz załączników stanowiących jej integralną część.</w:t>
      </w:r>
    </w:p>
    <w:p w14:paraId="74280BA0"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Projekt </w:t>
      </w:r>
      <w:r w:rsidRPr="003933FE">
        <w:rPr>
          <w:rFonts w:asciiTheme="majorHAnsi" w:eastAsia="Calibri" w:hAnsiTheme="majorHAnsi" w:cstheme="majorHAnsi"/>
          <w:color w:val="000000"/>
        </w:rPr>
        <w:t>– projekt pod nazwą ……………………………………………………………………….., na który składa się ogół zobowiązań Stron.</w:t>
      </w:r>
    </w:p>
    <w:p w14:paraId="3F52F85B"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Strony </w:t>
      </w:r>
      <w:r w:rsidRPr="003933FE">
        <w:rPr>
          <w:rFonts w:asciiTheme="majorHAnsi" w:eastAsia="Calibri" w:hAnsiTheme="majorHAnsi" w:cstheme="majorHAnsi"/>
          <w:color w:val="000000"/>
        </w:rPr>
        <w:t xml:space="preserve">– oznacza Zamawiającego i Wykonawcę. </w:t>
      </w:r>
    </w:p>
    <w:p w14:paraId="6D0E7F04"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Ustawa </w:t>
      </w:r>
      <w:r w:rsidRPr="003933FE">
        <w:rPr>
          <w:rFonts w:asciiTheme="majorHAnsi" w:eastAsia="Calibri" w:hAnsiTheme="majorHAnsi" w:cstheme="majorHAnsi"/>
          <w:color w:val="000000"/>
        </w:rPr>
        <w:t>– ilekroć w tekście niniejszego dokumentu zostanie przywołany wyraz “ustawa” bez wyraźnego wskazania jej daty publikacji lub dziennika ustaw, w którym się ukazała, należy go rozumieć jako Ustawę z dnia 11 września 2019 r. – Prawo Zamówień Publicznych (tekst jedn. Dz. U. z 2024 r. poz. 1320, z 2025 r. poz. 620.)</w:t>
      </w:r>
    </w:p>
    <w:p w14:paraId="602BB2FD"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Siła Wyższa</w:t>
      </w:r>
      <w:r w:rsidRPr="003933FE">
        <w:rPr>
          <w:rFonts w:asciiTheme="majorHAnsi" w:eastAsia="Calibri" w:hAnsiTheme="majorHAnsi" w:cstheme="majorHAnsi"/>
          <w:color w:val="000000"/>
        </w:rPr>
        <w:t xml:space="preserve"> –  zdarzenia i okoliczności nadzwyczajne, pochodzące z zewnątrz, niezależne od woli i intencji którejkolwiek ze Stron, których następstw nie można było przewidzieć i im zapobiec mimo dochowania należytej staranności, w szczególności takie jak: wojna, zamieszki, rewolucja, strajk, trzęsienie ziemi, warunki atmosferyczne, pożary lub inne klęski żywiołowe, epidemia, pandemia, awaria prądu, zasilania, wybuchy lub wypadki transportowe.</w:t>
      </w:r>
    </w:p>
    <w:p w14:paraId="077E7B8A"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Producent</w:t>
      </w:r>
      <w:r w:rsidRPr="003933FE">
        <w:rPr>
          <w:rFonts w:asciiTheme="majorHAnsi" w:eastAsia="Calibri" w:hAnsiTheme="majorHAnsi" w:cstheme="majorHAnsi"/>
          <w:color w:val="000000"/>
        </w:rPr>
        <w:t xml:space="preserve"> – Twórca (w znaczeniu podmiotu, któremu przysługują autorskie prawa majątkowe odpowiednio do Modułu / Oprogramowania Aplikacyjnego).</w:t>
      </w:r>
    </w:p>
    <w:p w14:paraId="1A5618A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Oprogramowanie Aplikacyjne</w:t>
      </w:r>
      <w:r w:rsidRPr="003933FE">
        <w:rPr>
          <w:rFonts w:asciiTheme="majorHAnsi" w:eastAsia="Calibri" w:hAnsiTheme="majorHAnsi" w:cstheme="majorHAnsi"/>
          <w:color w:val="000000"/>
        </w:rPr>
        <w:t xml:space="preserve"> – wszelkie objęte świadczeniami wynikającymi z niniejszej Umowy utwory</w:t>
      </w:r>
      <w:r w:rsidRPr="003933FE">
        <w:rPr>
          <w:rFonts w:asciiTheme="majorHAnsi" w:eastAsia="Arial" w:hAnsiTheme="majorHAnsi" w:cstheme="majorHAnsi"/>
          <w:color w:val="000000"/>
        </w:rPr>
        <w:t xml:space="preserve"> </w:t>
      </w:r>
      <w:r w:rsidRPr="003933FE">
        <w:rPr>
          <w:rFonts w:asciiTheme="majorHAnsi" w:eastAsia="Calibri" w:hAnsiTheme="majorHAnsi" w:cstheme="majorHAnsi"/>
          <w:color w:val="000000"/>
        </w:rPr>
        <w:t>w rozumieniu przepisów ustawy z dnia 4 lutego 1994 r. o prawie autorskim i prawach pokrewnych, w tym Moduły, ich Rozwinięcia i Uaktualnienia oraz Dokumentacja (o ile stanowi element programu komputerowego – Modułu), jak również towarzyszące programy komputerowe, do których wykorzystania w Oprogramowaniu Aplikacyjnym Producent uzyskał prawo.</w:t>
      </w:r>
    </w:p>
    <w:p w14:paraId="73FB948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Aplikacja (Moduł) </w:t>
      </w:r>
      <w:r w:rsidRPr="003933FE">
        <w:rPr>
          <w:rFonts w:asciiTheme="majorHAnsi" w:eastAsia="Calibri" w:hAnsiTheme="majorHAnsi" w:cstheme="majorHAnsi"/>
          <w:color w:val="000000"/>
        </w:rPr>
        <w:t>– wyodrębnione technicznie i funkcjonalnie programy opisane kodem źródłowym charakteryzujące się spójnym zakresem funkcjonalnym i zdefiniowaną strukturą danych, oraz technologią umożliwiającą pracę z wykorzystaniem przeglądarki internetowej, jako interfejsu użytkownika (o ile występuje), realizujące swoje funkcje w interakcji z innymi Modułami w oparciu o wspólny(e) serwer(y) Oprogramowania.</w:t>
      </w:r>
    </w:p>
    <w:p w14:paraId="157D05A9"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Motor bazy danych (MBD)</w:t>
      </w:r>
      <w:r w:rsidRPr="003933FE">
        <w:rPr>
          <w:rFonts w:asciiTheme="majorHAnsi" w:eastAsia="Calibri" w:hAnsiTheme="majorHAnsi" w:cstheme="majorHAnsi"/>
          <w:color w:val="000000"/>
        </w:rPr>
        <w:t xml:space="preserve"> – program komputerowy dedykowany do zarządzania bazami danych wykorzystywanymi przez Oprogramowanie Aplikacyjne;</w:t>
      </w:r>
    </w:p>
    <w:p w14:paraId="784EF457"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Baza danych</w:t>
      </w:r>
      <w:r w:rsidRPr="003933FE">
        <w:rPr>
          <w:rFonts w:asciiTheme="majorHAnsi" w:eastAsia="Calibri" w:hAnsiTheme="majorHAnsi" w:cstheme="majorHAnsi"/>
          <w:color w:val="000000"/>
        </w:rPr>
        <w:t xml:space="preserve"> – utworzone w wyniku eksploatacji Oprogramowania Aplikacyjnego dane Zamawiającego, przetwarzane w Motorze bazy danych.</w:t>
      </w:r>
    </w:p>
    <w:p w14:paraId="0800A68B"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Infrastruktura</w:t>
      </w:r>
      <w:r w:rsidRPr="003933FE">
        <w:rPr>
          <w:rFonts w:asciiTheme="majorHAnsi" w:eastAsia="Calibri" w:hAnsiTheme="majorHAnsi" w:cstheme="majorHAnsi"/>
          <w:color w:val="000000"/>
        </w:rPr>
        <w:t xml:space="preserve"> – elementy systemu teleinformatycznego, z których korzysta Zamawiający takie jak m.in.: serwer, stacje robocze, sieć komputerowa, oprogramowanie systemowe (obejmujące także oprogramowanie </w:t>
      </w:r>
      <w:proofErr w:type="spellStart"/>
      <w:r w:rsidRPr="003933FE">
        <w:rPr>
          <w:rFonts w:asciiTheme="majorHAnsi" w:eastAsia="Calibri" w:hAnsiTheme="majorHAnsi" w:cstheme="majorHAnsi"/>
          <w:color w:val="000000"/>
        </w:rPr>
        <w:t>wirtualizacyjne</w:t>
      </w:r>
      <w:proofErr w:type="spellEnd"/>
      <w:r w:rsidRPr="003933FE">
        <w:rPr>
          <w:rFonts w:asciiTheme="majorHAnsi" w:eastAsia="Calibri" w:hAnsiTheme="majorHAnsi" w:cstheme="majorHAnsi"/>
          <w:color w:val="000000"/>
        </w:rPr>
        <w:t xml:space="preserve"> i programy towarzyszące).</w:t>
      </w:r>
    </w:p>
    <w:p w14:paraId="1C01DC9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Szpitalny System Informatyczny (SSI)</w:t>
      </w:r>
      <w:r w:rsidRPr="003933FE">
        <w:rPr>
          <w:rFonts w:asciiTheme="majorHAnsi" w:eastAsia="Calibri" w:hAnsiTheme="majorHAnsi" w:cstheme="majorHAnsi"/>
          <w:color w:val="000000"/>
        </w:rPr>
        <w:t xml:space="preserve"> – eksploatowane przez Zamawiającego: Oprogramowanie Aplikacyjne, MBD, Baza danych, oprogramowanie systemowe oraz narzędziowe, Infrastruktura.</w:t>
      </w:r>
    </w:p>
    <w:p w14:paraId="0E7777C0" w14:textId="2907A8FC" w:rsidR="00CC7138" w:rsidRPr="0001152D"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Użytkownik</w:t>
      </w:r>
      <w:r w:rsidRPr="003933FE">
        <w:rPr>
          <w:rFonts w:asciiTheme="majorHAnsi" w:eastAsia="Calibri" w:hAnsiTheme="majorHAnsi" w:cstheme="majorHAnsi"/>
          <w:color w:val="000000"/>
        </w:rPr>
        <w:t xml:space="preserve"> –</w:t>
      </w:r>
      <w:r w:rsidRPr="003933FE">
        <w:rPr>
          <w:rFonts w:asciiTheme="majorHAnsi" w:eastAsia="Calibri" w:hAnsiTheme="majorHAnsi" w:cstheme="majorHAnsi"/>
          <w:b/>
          <w:bCs/>
          <w:color w:val="000000"/>
        </w:rPr>
        <w:t xml:space="preserve"> </w:t>
      </w:r>
      <w:r w:rsidRPr="003933FE">
        <w:rPr>
          <w:rFonts w:asciiTheme="majorHAnsi" w:eastAsia="Calibri" w:hAnsiTheme="majorHAnsi" w:cstheme="majorHAnsi"/>
          <w:color w:val="000000"/>
        </w:rPr>
        <w:t>Osoba fizyczna posiadająca przyznane przez Zamawiającego dane identyfikacyjne umożliwiające uwierzytelnianie w Oprogramowani</w:t>
      </w:r>
      <w:r w:rsidR="0067437D">
        <w:rPr>
          <w:rFonts w:asciiTheme="majorHAnsi" w:eastAsia="Calibri" w:hAnsiTheme="majorHAnsi" w:cstheme="majorHAnsi"/>
          <w:color w:val="000000"/>
        </w:rPr>
        <w:t>u</w:t>
      </w:r>
      <w:r w:rsidRPr="003933FE">
        <w:rPr>
          <w:rFonts w:asciiTheme="majorHAnsi" w:eastAsia="Calibri" w:hAnsiTheme="majorHAnsi" w:cstheme="majorHAnsi"/>
          <w:color w:val="000000"/>
        </w:rPr>
        <w:t>/</w:t>
      </w:r>
      <w:proofErr w:type="spellStart"/>
      <w:r w:rsidR="0067437D">
        <w:rPr>
          <w:rFonts w:asciiTheme="majorHAnsi" w:eastAsia="Calibri" w:hAnsiTheme="majorHAnsi" w:cstheme="majorHAnsi"/>
          <w:color w:val="000000"/>
        </w:rPr>
        <w:t>i</w:t>
      </w:r>
      <w:r w:rsidRPr="003933FE">
        <w:rPr>
          <w:rFonts w:asciiTheme="majorHAnsi" w:eastAsia="Calibri" w:hAnsiTheme="majorHAnsi" w:cstheme="majorHAnsi"/>
          <w:color w:val="000000"/>
        </w:rPr>
        <w:t>ach</w:t>
      </w:r>
      <w:proofErr w:type="spellEnd"/>
      <w:r w:rsidRPr="003933FE">
        <w:rPr>
          <w:rFonts w:asciiTheme="majorHAnsi" w:eastAsia="Calibri" w:hAnsiTheme="majorHAnsi" w:cstheme="majorHAnsi"/>
          <w:color w:val="000000"/>
        </w:rPr>
        <w:t>.</w:t>
      </w:r>
    </w:p>
    <w:p w14:paraId="25EA8911" w14:textId="0E3FFC74" w:rsidR="007A78A3" w:rsidRPr="003933FE" w:rsidRDefault="007A78A3" w:rsidP="00B33271">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bookmarkStart w:id="9" w:name="_Hlk223526231"/>
      <w:r w:rsidRPr="0001152D">
        <w:rPr>
          <w:rFonts w:asciiTheme="majorHAnsi" w:hAnsiTheme="majorHAnsi" w:cstheme="majorHAnsi"/>
          <w:b/>
          <w:bCs/>
          <w:color w:val="000000"/>
        </w:rPr>
        <w:t>Spowolnienie systemu</w:t>
      </w:r>
      <w:r w:rsidRPr="007A78A3">
        <w:rPr>
          <w:rFonts w:asciiTheme="majorHAnsi" w:hAnsiTheme="majorHAnsi" w:cstheme="majorHAnsi"/>
          <w:color w:val="000000"/>
        </w:rPr>
        <w:t xml:space="preserve"> - stan, w którym wydajność</w:t>
      </w:r>
      <w:r>
        <w:rPr>
          <w:rFonts w:asciiTheme="majorHAnsi" w:hAnsiTheme="majorHAnsi" w:cstheme="majorHAnsi"/>
          <w:color w:val="000000"/>
        </w:rPr>
        <w:t xml:space="preserve"> systemu</w:t>
      </w:r>
      <w:r w:rsidRPr="007A78A3">
        <w:rPr>
          <w:rFonts w:asciiTheme="majorHAnsi" w:hAnsiTheme="majorHAnsi" w:cstheme="majorHAnsi"/>
          <w:color w:val="000000"/>
        </w:rPr>
        <w:t xml:space="preserve"> spada poniżej oczekiwanego poziomu, co objawia się wydłużonym czasem reakcji na polecenia użytkownika, wolniejszym ładowaniem kolejnych formularzy oraz zmniejszoną płynnością działania systemu. O spowolnieniu sytemu mówimy gdy średni czas odpowiedzi systemu na zapytanie użytkownika (np. otwarcie formularza, odświeżenie strony) przekracza 15 s na sprzęcie spełniającym minimalne wymagania systemu.</w:t>
      </w:r>
      <w:r w:rsidR="00B33271">
        <w:rPr>
          <w:rFonts w:asciiTheme="majorHAnsi" w:hAnsiTheme="majorHAnsi" w:cstheme="majorHAnsi"/>
          <w:color w:val="000000"/>
        </w:rPr>
        <w:t xml:space="preserve"> </w:t>
      </w:r>
      <w:r w:rsidR="00B33271" w:rsidRPr="0001152D">
        <w:rPr>
          <w:rFonts w:asciiTheme="majorHAnsi" w:hAnsiTheme="majorHAnsi" w:cstheme="majorHAnsi"/>
          <w:color w:val="000000"/>
          <w:sz w:val="20"/>
          <w:szCs w:val="20"/>
          <w:shd w:val="clear" w:color="auto" w:fill="FFFFFF"/>
        </w:rPr>
        <w:t>Spowolnienie systemu, którego czas jest odczuwalny dla użytkowników powyżej 15 min jest traktowany jako Błąd Blokujący</w:t>
      </w:r>
    </w:p>
    <w:p w14:paraId="1839C8C2"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bookmarkStart w:id="10" w:name="_2zvd0jy281o0" w:colFirst="0" w:colLast="0"/>
      <w:bookmarkEnd w:id="9"/>
      <w:bookmarkEnd w:id="10"/>
      <w:r w:rsidRPr="003933FE">
        <w:rPr>
          <w:rFonts w:asciiTheme="majorHAnsi" w:eastAsia="Calibri" w:hAnsiTheme="majorHAnsi" w:cstheme="majorHAnsi"/>
          <w:b/>
          <w:bCs/>
          <w:color w:val="000000"/>
        </w:rPr>
        <w:t>Błąd Oprogramowania</w:t>
      </w:r>
      <w:r w:rsidRPr="003933FE">
        <w:rPr>
          <w:rFonts w:asciiTheme="majorHAnsi" w:eastAsia="Calibri" w:hAnsiTheme="majorHAnsi" w:cstheme="majorHAnsi"/>
          <w:color w:val="000000"/>
        </w:rPr>
        <w:t xml:space="preserve"> – powtarzalne działanie / zaniechanie, pojawiające się za każdym razem w tym samym miejscu w Module na różnych stacjach roboczych (terminalach) i prowadzące w każdym przypadku do otrzymywania nieprawidłowych wyników. Z definicji wyłącza się nieprawidłowe działanie lub brak działania Modułu powodowane przez następujące okoliczności: </w:t>
      </w:r>
    </w:p>
    <w:p w14:paraId="7BD7834E" w14:textId="77777777" w:rsidR="00CC7138" w:rsidRPr="003933FE" w:rsidRDefault="00CC7138" w:rsidP="00CB3017">
      <w:pPr>
        <w:keepLines/>
        <w:numPr>
          <w:ilvl w:val="1"/>
          <w:numId w:val="24"/>
        </w:numPr>
        <w:spacing w:before="100" w:beforeAutospacing="1" w:after="100" w:afterAutospacing="1" w:line="240" w:lineRule="auto"/>
        <w:jc w:val="both"/>
        <w:rPr>
          <w:rFonts w:asciiTheme="majorHAnsi" w:hAnsiTheme="majorHAnsi" w:cstheme="majorHAnsi"/>
        </w:rPr>
      </w:pPr>
      <w:r w:rsidRPr="003933FE">
        <w:rPr>
          <w:rFonts w:asciiTheme="majorHAnsi" w:hAnsiTheme="majorHAnsi" w:cstheme="majorHAnsi"/>
        </w:rPr>
        <w:t>zastosowanie / użycie Modułu w sposób niezgodny z przeznaczeniem,</w:t>
      </w:r>
    </w:p>
    <w:p w14:paraId="15D53675"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zastosowanie / użycie Modułu w sposób niezgodny z Dokumentacją,</w:t>
      </w:r>
    </w:p>
    <w:p w14:paraId="2F96E85E"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wprowadzenie przez Użytkownika nieprawidłowych danych,</w:t>
      </w:r>
    </w:p>
    <w:p w14:paraId="4B5D2B06"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użytkowanie Modułu na Infrastrukturze niespełniającej ogólnie przyjętych w branży norm technicznych oraz bezpieczeństwa,</w:t>
      </w:r>
    </w:p>
    <w:p w14:paraId="50486CF4"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użytkowanie Modułu, MBD lub oprogramowania systemowego na Infrastrukturze niespełniającej Minimalnych parametrów wydajnościowych bądź zaleceń Producenta Modułu, określonych dla serwerów lub wskazanej ilości stanowisk roboczych,</w:t>
      </w:r>
    </w:p>
    <w:p w14:paraId="0588BC70"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użytkowanie Motoru Bazy Danych lub oprogramowania systemowego na Infrastrukturze niespełniającej minimalnych parametrów bądź zaleceń producentów Motoru Bazy Danych lub oprogramowania systemowego, publikowanych dla wersji bazy danych lub oprogramowania systemowego, z którymi w danym momencie eksploatowany jest Moduł,</w:t>
      </w:r>
    </w:p>
    <w:p w14:paraId="69B1C876"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współpraca Modułu z Motorem Bazy Danych lub oprogramowaniem systemowym w wersjach niewspieranych przez ich producentów,</w:t>
      </w:r>
    </w:p>
    <w:p w14:paraId="64644469"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współpraca Modułu z Motorem Bazy Danych obciążonej innymi programami niż Oprogramowanie Aplikacyjne w szczególności dodatkowymi instancjami bazodanowymi lub funkcjami w bazach danych, </w:t>
      </w:r>
    </w:p>
    <w:p w14:paraId="75A15F69"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użytkowanie Motoru Bazy Danych lub oprogramowania systemowego na Infrastrukturze znajdującej się w pomieszczeniach z niesprawną lub niewydolną klimatyzacją lub urządzeniami utrzymującymi odpowiednią wilgotność powietrza, </w:t>
      </w:r>
    </w:p>
    <w:p w14:paraId="4AD6353B"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użytkowanie Motoru Bazy Danych lub oprogramowania systemowego na Infrastrukturze znajdującej się w pomieszczeniach z niesprawną lub niewydolną instalacją elektryczną i zasilaniem elektrycznym,</w:t>
      </w:r>
    </w:p>
    <w:p w14:paraId="16C4FC77"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uszkodzenia nośników danych, </w:t>
      </w:r>
    </w:p>
    <w:p w14:paraId="1E162784"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działanie wirusa komputerowego,</w:t>
      </w:r>
    </w:p>
    <w:p w14:paraId="52F6B4F7"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wdrożenie Modułu wykonane w sposób wadliwy, z wyłączeniem sytuacji, w której wdrożenie było wykonywane przez Wykonawcę, </w:t>
      </w:r>
    </w:p>
    <w:p w14:paraId="5D89428B"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niewłaściwa parametryzacja Modułu lub oprogramowania systemowego i Motoru Bazy Danych, z którymi Moduł współpracuje, jak również brak należytego nadzoru eksploatacyjnego nad ww. programami, </w:t>
      </w:r>
    </w:p>
    <w:p w14:paraId="75CAAE07"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 xml:space="preserve">wszelkie działania Zamawiającego lub osób trzecich polegające na modyfikacji Oprogramowania Aplikacyjnego, ingerencji w to oprogramowanie, naruszające Licencję lub zgodne z udzieloną Licencją, lecz przeprowadzone z wykorzystaniem narządzi nieudostępnionych przez Wykonawcę albo zapisanie danych w instancji bazy danych z którą współpracuje Oprogramowanie Aplikacyjne przez inne programy lub narzędzia,  </w:t>
      </w:r>
    </w:p>
    <w:p w14:paraId="7B833315"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wszelkie działania Zamawiającego lub osób trzecich ingerujące w programy, z którymi Oprogramowanie Aplikacyjne zostało zintegrowane w zakresie wywołującym skutki dla tej integracji (sterowniki laboratoryjne, interfejsy HL7, interfejsy DICOM, web service, inne),</w:t>
      </w:r>
    </w:p>
    <w:p w14:paraId="734BA63C"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niezainstalowanie przez Zamawiającego opublikowanych w serwisie Helpdesk Uaktualnień, bądź obowiązkowych Rozwinięć Modułu,</w:t>
      </w:r>
    </w:p>
    <w:p w14:paraId="38354482"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brak zgłoszenia niepomyślnego wykonania aktualizacji Modułu i jego dalsza eksploatacja mimo pojawiania się informacji o błędach (dotyczy także logów),</w:t>
      </w:r>
    </w:p>
    <w:p w14:paraId="6E91FAAD"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niezastosowanie się Zamawiającego do zaleceń w zakresie eksploatacji Modułu lub jego Uaktualnień bądź Rozwinięć opublikowanych przez Producenta Modułu,</w:t>
      </w:r>
    </w:p>
    <w:p w14:paraId="714ABBAD"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użytkowanie Modułu z naruszeniem warunków licencyjnych nałożonych na Zamawiającego postanowieniami OWU,</w:t>
      </w:r>
    </w:p>
    <w:p w14:paraId="5B0ECD5D"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blokowanie funkcji Modułu przez inne oprogramowanie, np. programy antywirusowe,</w:t>
      </w:r>
    </w:p>
    <w:p w14:paraId="61E949D1" w14:textId="77777777" w:rsidR="00CC7138" w:rsidRPr="003933FE" w:rsidRDefault="00CC7138" w:rsidP="00CB3017">
      <w:pPr>
        <w:keepLines/>
        <w:numPr>
          <w:ilvl w:val="1"/>
          <w:numId w:val="24"/>
        </w:numPr>
        <w:spacing w:before="100" w:beforeAutospacing="1" w:after="100" w:afterAutospacing="1" w:line="240" w:lineRule="auto"/>
        <w:ind w:left="357" w:firstLine="0"/>
        <w:jc w:val="both"/>
        <w:rPr>
          <w:rFonts w:asciiTheme="majorHAnsi" w:hAnsiTheme="majorHAnsi" w:cstheme="majorHAnsi"/>
        </w:rPr>
      </w:pPr>
      <w:r w:rsidRPr="003933FE">
        <w:rPr>
          <w:rFonts w:asciiTheme="majorHAnsi" w:hAnsiTheme="majorHAnsi" w:cstheme="majorHAnsi"/>
        </w:rPr>
        <w:t>działanie Siły Wyższej,</w:t>
      </w:r>
    </w:p>
    <w:p w14:paraId="4DC1B962" w14:textId="77777777" w:rsidR="00CC7138" w:rsidRPr="003933FE" w:rsidRDefault="00CC7138" w:rsidP="003933FE">
      <w:pPr>
        <w:pBdr>
          <w:top w:val="nil"/>
          <w:left w:val="nil"/>
          <w:bottom w:val="nil"/>
          <w:right w:val="nil"/>
          <w:between w:val="nil"/>
        </w:pBdr>
        <w:spacing w:before="100" w:beforeAutospacing="1" w:after="100" w:afterAutospacing="1" w:line="240" w:lineRule="auto"/>
        <w:jc w:val="both"/>
        <w:rPr>
          <w:rFonts w:asciiTheme="majorHAnsi" w:hAnsiTheme="majorHAnsi" w:cstheme="majorHAnsi"/>
          <w:b/>
          <w:bCs/>
          <w:color w:val="000000"/>
        </w:rPr>
      </w:pPr>
      <w:r w:rsidRPr="003933FE">
        <w:rPr>
          <w:rFonts w:asciiTheme="majorHAnsi" w:eastAsia="Calibri" w:hAnsiTheme="majorHAnsi" w:cstheme="majorHAnsi"/>
          <w:b/>
          <w:bCs/>
          <w:color w:val="000000"/>
        </w:rPr>
        <w:t>Szczególnymi rodzajami Błędów Oprogramowania są Awarie oraz Usterki Programistyczne.</w:t>
      </w:r>
    </w:p>
    <w:p w14:paraId="1BF1B20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Awaria (błąd krytyczny) – </w:t>
      </w:r>
      <w:r w:rsidRPr="003933FE">
        <w:rPr>
          <w:rFonts w:asciiTheme="majorHAnsi" w:eastAsia="Calibri" w:hAnsiTheme="majorHAnsi" w:cstheme="majorHAnsi"/>
          <w:color w:val="000000"/>
        </w:rPr>
        <w:t xml:space="preserve"> krytyczny Błąd Oprogramowania powodujący, że nie jest możliwa eksploatacja jej istotnego obszaru z powodu uszkodzenia lub utraty: kodu programu, struktur danych, zawartości bazy danych, integralności danych oraz inne Błędy, jeżeli podejmowane w konsekwencji ich wystąpienia decyzje medyczne mogą mieć negatywny wpływ na stan zdrowia pacjenta.</w:t>
      </w:r>
    </w:p>
    <w:p w14:paraId="22469C31"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Usterka Programistyczna – </w:t>
      </w:r>
      <w:r w:rsidRPr="003933FE">
        <w:rPr>
          <w:rFonts w:asciiTheme="majorHAnsi" w:eastAsia="Calibri" w:hAnsiTheme="majorHAnsi" w:cstheme="majorHAnsi"/>
          <w:color w:val="000000"/>
        </w:rPr>
        <w:t>Błąd Oprogramowania, mimo identyfikacji którego Aplikacja nadal funkcjonuje, lecz jej eksploatacja jest uciążliwa, skomplikowana lub spowolniona.</w:t>
      </w:r>
    </w:p>
    <w:p w14:paraId="09E2D6C0"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Konsultacja – </w:t>
      </w:r>
      <w:r w:rsidRPr="003933FE">
        <w:rPr>
          <w:rFonts w:asciiTheme="majorHAnsi" w:eastAsia="Calibri" w:hAnsiTheme="majorHAnsi" w:cstheme="majorHAnsi"/>
          <w:color w:val="000000"/>
        </w:rPr>
        <w:t xml:space="preserve">usługa świadczona przez Wykonawcę polegająca na udzielaniu Zamawiającemu wyjaśnień w kwestiach dotyczących Oprogramowania Aplikacyjnego. </w:t>
      </w:r>
    </w:p>
    <w:p w14:paraId="5E553A25"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Help </w:t>
      </w:r>
      <w:proofErr w:type="spellStart"/>
      <w:r w:rsidRPr="003933FE">
        <w:rPr>
          <w:rFonts w:asciiTheme="majorHAnsi" w:eastAsia="Calibri" w:hAnsiTheme="majorHAnsi" w:cstheme="majorHAnsi"/>
          <w:b/>
          <w:bCs/>
          <w:color w:val="000000"/>
        </w:rPr>
        <w:t>Desk</w:t>
      </w:r>
      <w:proofErr w:type="spellEnd"/>
      <w:r w:rsidRPr="003933FE">
        <w:rPr>
          <w:rFonts w:asciiTheme="majorHAnsi" w:eastAsia="Calibri" w:hAnsiTheme="majorHAnsi" w:cstheme="majorHAnsi"/>
          <w:b/>
          <w:bCs/>
          <w:color w:val="000000"/>
        </w:rPr>
        <w:t xml:space="preserve"> (HD)</w:t>
      </w:r>
      <w:r w:rsidRPr="003933FE">
        <w:rPr>
          <w:rFonts w:asciiTheme="majorHAnsi" w:eastAsia="Calibri" w:hAnsiTheme="majorHAnsi" w:cstheme="majorHAnsi"/>
          <w:color w:val="000000"/>
        </w:rPr>
        <w:t xml:space="preserve"> = System zgłoszeniowy (SZ) - serwis internetowy udostępniony przez Wykonawcę pod adresem </w:t>
      </w:r>
      <w:hyperlink r:id="rId8">
        <w:r w:rsidRPr="003933FE">
          <w:rPr>
            <w:rFonts w:asciiTheme="majorHAnsi" w:eastAsia="Calibri" w:hAnsiTheme="majorHAnsi" w:cstheme="majorHAnsi"/>
            <w:color w:val="000000"/>
            <w:u w:val="single"/>
          </w:rPr>
          <w:t>…………………………</w:t>
        </w:r>
      </w:hyperlink>
      <w:r w:rsidRPr="003933FE">
        <w:rPr>
          <w:rFonts w:asciiTheme="majorHAnsi" w:eastAsia="Calibri" w:hAnsiTheme="majorHAnsi" w:cstheme="majorHAnsi"/>
          <w:color w:val="000000"/>
        </w:rPr>
        <w:t xml:space="preserve">  dedykowany do ewidencji i obsługi Zgłoszeń Serwisowych, udostępniania Uaktualnień Oprogramowania, publikowania wymogów, informacji i procedur dotyczących Oprogramowania Aplikacyjnego, Infrastruktury oraz MBD.</w:t>
      </w:r>
    </w:p>
    <w:p w14:paraId="06A498B4"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Zgłoszenie Serwisowe</w:t>
      </w:r>
      <w:r w:rsidRPr="003933FE">
        <w:rPr>
          <w:rFonts w:asciiTheme="majorHAnsi" w:eastAsia="Calibri" w:hAnsiTheme="majorHAnsi" w:cstheme="majorHAnsi"/>
          <w:color w:val="000000"/>
        </w:rPr>
        <w:t xml:space="preserve"> (Zgłoszenie) – zaewidencjonowane w SZ zdarzenie dotyczące Oprogramowania Aplikacyjnego lub MBD, implikujące wykonanie na rzecz Zamawiającego usługi informatycznej przez Wykonawcę na zasadach określonych w Umowie.</w:t>
      </w:r>
    </w:p>
    <w:p w14:paraId="7382DD25"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Użytkownik SZ</w:t>
      </w:r>
      <w:r w:rsidRPr="003933FE">
        <w:rPr>
          <w:rFonts w:asciiTheme="majorHAnsi" w:eastAsia="Calibri" w:hAnsiTheme="majorHAnsi" w:cstheme="majorHAnsi"/>
          <w:color w:val="000000"/>
        </w:rPr>
        <w:t xml:space="preserve"> – zadeklarowana w Help </w:t>
      </w:r>
      <w:proofErr w:type="spellStart"/>
      <w:r w:rsidRPr="003933FE">
        <w:rPr>
          <w:rFonts w:asciiTheme="majorHAnsi" w:eastAsia="Calibri" w:hAnsiTheme="majorHAnsi" w:cstheme="majorHAnsi"/>
          <w:color w:val="000000"/>
        </w:rPr>
        <w:t>Desk</w:t>
      </w:r>
      <w:proofErr w:type="spellEnd"/>
      <w:r w:rsidRPr="003933FE">
        <w:rPr>
          <w:rFonts w:asciiTheme="majorHAnsi" w:eastAsia="Calibri" w:hAnsiTheme="majorHAnsi" w:cstheme="majorHAnsi"/>
          <w:color w:val="000000"/>
        </w:rPr>
        <w:t xml:space="preserve"> osoba fizyczna desygnowana przez Zamawiającego do bezpośredniej współpracy z Wykonawcą, w tym do ewidencji i edycji lub podglądu Zgłoszeń Serwisowych.</w:t>
      </w:r>
    </w:p>
    <w:p w14:paraId="7E6AD7A3"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Uaktualnienie (update) </w:t>
      </w:r>
      <w:r w:rsidRPr="003933FE">
        <w:rPr>
          <w:rFonts w:asciiTheme="majorHAnsi" w:eastAsia="Calibri" w:hAnsiTheme="majorHAnsi" w:cstheme="majorHAnsi"/>
          <w:color w:val="000000"/>
        </w:rPr>
        <w:t>–</w:t>
      </w:r>
      <w:r w:rsidRPr="003933FE">
        <w:rPr>
          <w:rFonts w:asciiTheme="majorHAnsi" w:eastAsia="Calibri" w:hAnsiTheme="majorHAnsi" w:cstheme="majorHAnsi"/>
          <w:b/>
          <w:bCs/>
          <w:color w:val="000000"/>
        </w:rPr>
        <w:t xml:space="preserve"> </w:t>
      </w:r>
      <w:r w:rsidRPr="003933FE">
        <w:rPr>
          <w:rFonts w:asciiTheme="majorHAnsi" w:eastAsia="Calibri" w:hAnsiTheme="majorHAnsi" w:cstheme="majorHAnsi"/>
          <w:color w:val="000000"/>
        </w:rPr>
        <w:t>udostępniane przez Producenta modyfikacje Oprogramowania powodujące usunięcie wykrytych w nim Błędów Oprogramowania.</w:t>
      </w:r>
    </w:p>
    <w:p w14:paraId="63DF8A83"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Rozwinięcie (</w:t>
      </w:r>
      <w:proofErr w:type="spellStart"/>
      <w:r w:rsidRPr="003933FE">
        <w:rPr>
          <w:rFonts w:asciiTheme="majorHAnsi" w:eastAsia="Calibri" w:hAnsiTheme="majorHAnsi" w:cstheme="majorHAnsi"/>
          <w:b/>
          <w:bCs/>
          <w:color w:val="000000"/>
        </w:rPr>
        <w:t>upgrade</w:t>
      </w:r>
      <w:proofErr w:type="spellEnd"/>
      <w:r w:rsidRPr="003933FE">
        <w:rPr>
          <w:rFonts w:asciiTheme="majorHAnsi" w:eastAsia="Calibri" w:hAnsiTheme="majorHAnsi" w:cstheme="majorHAnsi"/>
          <w:b/>
          <w:bCs/>
          <w:color w:val="000000"/>
        </w:rPr>
        <w:t>)</w:t>
      </w:r>
      <w:r w:rsidRPr="003933FE">
        <w:rPr>
          <w:rFonts w:asciiTheme="majorHAnsi" w:eastAsia="Calibri" w:hAnsiTheme="majorHAnsi" w:cstheme="majorHAnsi"/>
          <w:color w:val="000000"/>
        </w:rPr>
        <w:t xml:space="preserve"> – udostępniane przez Producenta nowe wersje lub inne niż Uaktualnienie (update) modyfikacje Modułu, zmieniające dotychczasową funkcjonalność Oprogramowania.</w:t>
      </w:r>
    </w:p>
    <w:p w14:paraId="11D1BF00"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Obejście – </w:t>
      </w:r>
      <w:r w:rsidRPr="003933FE">
        <w:rPr>
          <w:rFonts w:asciiTheme="majorHAnsi" w:eastAsia="Calibri" w:hAnsiTheme="majorHAnsi" w:cstheme="majorHAnsi"/>
          <w:color w:val="000000"/>
        </w:rPr>
        <w:t>udostępnione Zamawiającemu doraźne rozwiązanie mające na celu zminimalizowanie skutków Błędu Oprogramowania, zanim zostanie całkowicie usunięty. Zastosowanie obejścia jest zależne od woli Wykonawcy, a w wypadku jego wdrożenia przewidziane w Załączniku nr 2 warunki brzegowe realizacji usług</w:t>
      </w:r>
      <w:r w:rsidRPr="003933FE">
        <w:rPr>
          <w:rFonts w:asciiTheme="majorHAnsi" w:eastAsia="Calibri" w:hAnsiTheme="majorHAnsi" w:cstheme="majorHAnsi"/>
          <w:b/>
          <w:bCs/>
          <w:color w:val="000000"/>
        </w:rPr>
        <w:t xml:space="preserve"> </w:t>
      </w:r>
      <w:r w:rsidRPr="003933FE">
        <w:rPr>
          <w:rFonts w:asciiTheme="majorHAnsi" w:eastAsia="Calibri" w:hAnsiTheme="majorHAnsi" w:cstheme="majorHAnsi"/>
          <w:color w:val="000000"/>
        </w:rPr>
        <w:t>dla usunięcia</w:t>
      </w:r>
      <w:r w:rsidRPr="003933FE">
        <w:rPr>
          <w:rFonts w:asciiTheme="majorHAnsi" w:eastAsia="Calibri" w:hAnsiTheme="majorHAnsi" w:cstheme="majorHAnsi"/>
          <w:color w:val="FF0000"/>
        </w:rPr>
        <w:t xml:space="preserve"> </w:t>
      </w:r>
      <w:r w:rsidRPr="003933FE">
        <w:rPr>
          <w:rFonts w:asciiTheme="majorHAnsi" w:eastAsia="Calibri" w:hAnsiTheme="majorHAnsi" w:cstheme="majorHAnsi"/>
          <w:color w:val="000000"/>
        </w:rPr>
        <w:t>poszczególnych Błędów Oprogramowania zostają wydłużone o 50 %.</w:t>
      </w:r>
    </w:p>
    <w:p w14:paraId="36991CB2"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Czas Reakcji </w:t>
      </w:r>
      <w:r w:rsidRPr="003933FE">
        <w:rPr>
          <w:rFonts w:asciiTheme="majorHAnsi" w:eastAsia="Calibri" w:hAnsiTheme="majorHAnsi" w:cstheme="majorHAnsi"/>
          <w:color w:val="000000"/>
        </w:rPr>
        <w:t>–</w:t>
      </w:r>
      <w:r w:rsidRPr="003933FE">
        <w:rPr>
          <w:rFonts w:asciiTheme="majorHAnsi" w:eastAsia="Calibri" w:hAnsiTheme="majorHAnsi" w:cstheme="majorHAnsi"/>
          <w:b/>
          <w:bCs/>
          <w:color w:val="000000"/>
        </w:rPr>
        <w:t xml:space="preserve"> </w:t>
      </w:r>
      <w:r w:rsidRPr="003933FE">
        <w:rPr>
          <w:rFonts w:asciiTheme="majorHAnsi" w:eastAsia="Calibri" w:hAnsiTheme="majorHAnsi" w:cstheme="majorHAnsi"/>
          <w:color w:val="000000"/>
        </w:rPr>
        <w:t xml:space="preserve">okres liczony od zaewidencjonowania Zgłoszenia Serwisowego do zmiany jego statusu na zarejestrowane. </w:t>
      </w:r>
    </w:p>
    <w:p w14:paraId="2AEEAD42" w14:textId="2A15FF9D" w:rsidR="00CC7138" w:rsidRPr="003933FE" w:rsidRDefault="00CC7138" w:rsidP="00CB3017">
      <w:pPr>
        <w:keepLines/>
        <w:numPr>
          <w:ilvl w:val="0"/>
          <w:numId w:val="24"/>
        </w:numPr>
        <w:spacing w:before="60" w:after="0" w:line="240" w:lineRule="auto"/>
        <w:jc w:val="both"/>
        <w:rPr>
          <w:rFonts w:asciiTheme="majorHAnsi" w:hAnsiTheme="majorHAnsi" w:cstheme="majorHAnsi"/>
        </w:rPr>
      </w:pPr>
      <w:bookmarkStart w:id="11" w:name="_5qmfrss6m0xk" w:colFirst="0" w:colLast="0"/>
      <w:bookmarkEnd w:id="11"/>
      <w:r w:rsidRPr="003933FE">
        <w:rPr>
          <w:rFonts w:asciiTheme="majorHAnsi" w:hAnsiTheme="majorHAnsi" w:cstheme="majorHAnsi"/>
          <w:b/>
          <w:bCs/>
        </w:rPr>
        <w:t xml:space="preserve">Dokumentacja </w:t>
      </w:r>
      <w:r w:rsidRPr="003933FE">
        <w:rPr>
          <w:rFonts w:asciiTheme="majorHAnsi" w:hAnsiTheme="majorHAnsi" w:cstheme="majorHAnsi"/>
        </w:rPr>
        <w:t xml:space="preserve">–  opisujące Moduł lub - odpowiednio jego Uaktualnienia bądź Rozwinięcia, materiały w postaci elektronicznej, zawierające opis funkcji oraz sposobu działania Modułu, w tym opis cech i parametrów funkcjonalnych oraz </w:t>
      </w:r>
      <w:r w:rsidR="00747870" w:rsidRPr="003933FE">
        <w:rPr>
          <w:rFonts w:asciiTheme="majorHAnsi" w:hAnsiTheme="majorHAnsi" w:cstheme="majorHAnsi"/>
        </w:rPr>
        <w:t>poza funkcjonalnych</w:t>
      </w:r>
      <w:r w:rsidRPr="003933FE">
        <w:rPr>
          <w:rFonts w:asciiTheme="majorHAnsi" w:hAnsiTheme="majorHAnsi" w:cstheme="majorHAnsi"/>
        </w:rPr>
        <w:t>;</w:t>
      </w:r>
    </w:p>
    <w:p w14:paraId="21799997" w14:textId="77777777" w:rsidR="00CC7138" w:rsidRPr="003933FE" w:rsidRDefault="00CC7138" w:rsidP="00CB3017">
      <w:pPr>
        <w:keepLines/>
        <w:numPr>
          <w:ilvl w:val="0"/>
          <w:numId w:val="24"/>
        </w:numPr>
        <w:spacing w:before="60" w:after="0" w:line="240" w:lineRule="auto"/>
        <w:jc w:val="both"/>
        <w:rPr>
          <w:rFonts w:asciiTheme="majorHAnsi" w:hAnsiTheme="majorHAnsi" w:cstheme="majorHAnsi"/>
        </w:rPr>
      </w:pPr>
      <w:r w:rsidRPr="003933FE">
        <w:rPr>
          <w:rFonts w:asciiTheme="majorHAnsi" w:hAnsiTheme="majorHAnsi" w:cstheme="majorHAnsi"/>
          <w:b/>
          <w:bCs/>
        </w:rPr>
        <w:t xml:space="preserve">Dokumentacja Projektowa </w:t>
      </w:r>
      <w:r w:rsidRPr="003933FE">
        <w:rPr>
          <w:rFonts w:asciiTheme="majorHAnsi" w:hAnsiTheme="majorHAnsi" w:cstheme="majorHAnsi"/>
        </w:rPr>
        <w:t>– dokumentacja przedmiotu zamówienia, na którą składają się: Dokumentacja Analizy Przedwdrożeniowej (DAP), Harmonogram Wdrożenia, Dokumentacja Powykonawcza.</w:t>
      </w:r>
    </w:p>
    <w:p w14:paraId="5105FCD0" w14:textId="64C6F7D9" w:rsidR="00CC7138" w:rsidRPr="00DF5D42"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Serwis </w:t>
      </w:r>
      <w:r w:rsidRPr="003933FE">
        <w:rPr>
          <w:rFonts w:asciiTheme="majorHAnsi" w:eastAsia="Calibri" w:hAnsiTheme="majorHAnsi" w:cstheme="majorHAnsi"/>
          <w:color w:val="000000"/>
        </w:rPr>
        <w:t xml:space="preserve">– Dział Wykonawcy dedykowany do świadczenia usług serwisowych. Aktualne Dane kontaktowe Serwisu dostępne są w systemie Help </w:t>
      </w:r>
      <w:proofErr w:type="spellStart"/>
      <w:r w:rsidRPr="003933FE">
        <w:rPr>
          <w:rFonts w:asciiTheme="majorHAnsi" w:eastAsia="Calibri" w:hAnsiTheme="majorHAnsi" w:cstheme="majorHAnsi"/>
          <w:color w:val="000000"/>
        </w:rPr>
        <w:t>Desk</w:t>
      </w:r>
      <w:proofErr w:type="spellEnd"/>
      <w:r w:rsidRPr="003933FE">
        <w:rPr>
          <w:rFonts w:asciiTheme="majorHAnsi" w:eastAsia="Calibri" w:hAnsiTheme="majorHAnsi" w:cstheme="majorHAnsi"/>
          <w:color w:val="000000"/>
        </w:rPr>
        <w:t>.</w:t>
      </w:r>
    </w:p>
    <w:p w14:paraId="401F3B77" w14:textId="582226AF" w:rsidR="00DF5D42" w:rsidRPr="003933FE" w:rsidRDefault="00DF5D42"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Pr>
          <w:rFonts w:asciiTheme="majorHAnsi" w:eastAsia="Calibri" w:hAnsiTheme="majorHAnsi" w:cstheme="majorHAnsi"/>
          <w:b/>
          <w:bCs/>
          <w:color w:val="000000"/>
        </w:rPr>
        <w:t xml:space="preserve">Gwarancja </w:t>
      </w:r>
      <w:r w:rsidRPr="00DF5D42">
        <w:rPr>
          <w:rFonts w:asciiTheme="majorHAnsi" w:hAnsiTheme="majorHAnsi" w:cstheme="majorHAnsi"/>
          <w:color w:val="000000"/>
        </w:rPr>
        <w:t>-</w:t>
      </w:r>
      <w:r>
        <w:rPr>
          <w:rFonts w:asciiTheme="majorHAnsi" w:hAnsiTheme="majorHAnsi" w:cstheme="majorHAnsi"/>
          <w:color w:val="000000"/>
        </w:rPr>
        <w:t xml:space="preserve"> </w:t>
      </w:r>
      <w:r w:rsidRPr="00DF5D42">
        <w:rPr>
          <w:rFonts w:asciiTheme="majorHAnsi" w:hAnsiTheme="majorHAnsi" w:cstheme="majorHAnsi"/>
          <w:color w:val="000000"/>
        </w:rPr>
        <w:t>zobowiązanie Wykonawcy do zapewnienia prawidłowego i zgodnego z umową funkcjonowania przedmiotu zamówienia w okresie gwarancyjnym, obejmujące podejmowanie wszelkich niezbędnych działań w celu utrzymania jego sprawności oraz usuwania stwierdzonych nieprawidłowości.</w:t>
      </w:r>
    </w:p>
    <w:p w14:paraId="6DC091EC" w14:textId="77777777" w:rsidR="00CC7138" w:rsidRPr="003933FE" w:rsidRDefault="00CC7138" w:rsidP="00CB3017">
      <w:pPr>
        <w:numPr>
          <w:ilvl w:val="0"/>
          <w:numId w:val="24"/>
        </w:numPr>
        <w:pBdr>
          <w:top w:val="nil"/>
          <w:left w:val="nil"/>
          <w:bottom w:val="nil"/>
          <w:right w:val="nil"/>
          <w:between w:val="nil"/>
        </w:pBdr>
        <w:spacing w:before="60" w:after="60" w:line="240" w:lineRule="auto"/>
        <w:jc w:val="both"/>
        <w:rPr>
          <w:rFonts w:asciiTheme="majorHAnsi" w:hAnsiTheme="majorHAnsi" w:cstheme="majorHAnsi"/>
          <w:color w:val="000000"/>
        </w:rPr>
      </w:pPr>
      <w:r w:rsidRPr="003933FE">
        <w:rPr>
          <w:rFonts w:asciiTheme="majorHAnsi" w:eastAsia="Calibri" w:hAnsiTheme="majorHAnsi" w:cstheme="majorHAnsi"/>
          <w:b/>
          <w:bCs/>
          <w:color w:val="000000"/>
        </w:rPr>
        <w:t xml:space="preserve">Dni robocze  (Dni) </w:t>
      </w:r>
      <w:r w:rsidRPr="003933FE">
        <w:rPr>
          <w:rFonts w:asciiTheme="majorHAnsi" w:eastAsia="Calibri" w:hAnsiTheme="majorHAnsi" w:cstheme="majorHAnsi"/>
          <w:color w:val="000000"/>
        </w:rPr>
        <w:t>– dni tygodnia od poniedziałku do piątku, z wyłączeniem dni ustawowo wolnych od pracy.</w:t>
      </w:r>
    </w:p>
    <w:p w14:paraId="0FAB0D30" w14:textId="77777777" w:rsidR="00CC7138" w:rsidRPr="003933FE" w:rsidRDefault="00CC7138" w:rsidP="00CC7138">
      <w:pPr>
        <w:rPr>
          <w:rFonts w:asciiTheme="majorHAnsi" w:hAnsiTheme="majorHAnsi" w:cstheme="majorHAnsi"/>
        </w:rPr>
      </w:pPr>
    </w:p>
    <w:p w14:paraId="3025A70E" w14:textId="7FAB4071" w:rsidR="00CC7138" w:rsidRPr="003933FE" w:rsidRDefault="00CC7138" w:rsidP="00AA3085">
      <w:pPr>
        <w:pStyle w:val="Nagwek2"/>
      </w:pPr>
      <w:r w:rsidRPr="003933FE">
        <w:t>Z</w:t>
      </w:r>
      <w:r w:rsidR="00D958DF">
        <w:t>asady ogólne</w:t>
      </w:r>
    </w:p>
    <w:p w14:paraId="2F869BE7" w14:textId="109E94A3" w:rsidR="00CC7138" w:rsidRPr="003933FE" w:rsidRDefault="00CC7138" w:rsidP="00CB3017">
      <w:pPr>
        <w:numPr>
          <w:ilvl w:val="0"/>
          <w:numId w:val="25"/>
        </w:numPr>
        <w:spacing w:after="60" w:line="240" w:lineRule="auto"/>
        <w:jc w:val="both"/>
        <w:rPr>
          <w:rFonts w:asciiTheme="majorHAnsi" w:hAnsiTheme="majorHAnsi" w:cstheme="majorHAnsi"/>
          <w:color w:val="000000"/>
        </w:rPr>
      </w:pPr>
      <w:r w:rsidRPr="003933FE">
        <w:rPr>
          <w:rFonts w:asciiTheme="majorHAnsi" w:hAnsiTheme="majorHAnsi" w:cstheme="majorHAnsi"/>
          <w:color w:val="000000"/>
        </w:rPr>
        <w:t xml:space="preserve">Usługi serwisowe są świadczone w odniesieniu do </w:t>
      </w:r>
      <w:r w:rsidR="00F371FF">
        <w:rPr>
          <w:rFonts w:asciiTheme="majorHAnsi" w:hAnsiTheme="majorHAnsi" w:cstheme="majorHAnsi"/>
          <w:color w:val="000000"/>
        </w:rPr>
        <w:t xml:space="preserve">wszystkich </w:t>
      </w:r>
      <w:r w:rsidRPr="003933FE">
        <w:rPr>
          <w:rFonts w:asciiTheme="majorHAnsi" w:hAnsiTheme="majorHAnsi" w:cstheme="majorHAnsi"/>
          <w:color w:val="000000"/>
        </w:rPr>
        <w:t>Modułów</w:t>
      </w:r>
      <w:r w:rsidR="00F371FF">
        <w:rPr>
          <w:rFonts w:asciiTheme="majorHAnsi" w:hAnsiTheme="majorHAnsi" w:cstheme="majorHAnsi"/>
          <w:color w:val="000000"/>
        </w:rPr>
        <w:t xml:space="preserve"> objętych zamówieniem.</w:t>
      </w:r>
    </w:p>
    <w:p w14:paraId="5A17C243" w14:textId="77777777" w:rsidR="00CC7138" w:rsidRPr="003933FE" w:rsidRDefault="00CC7138" w:rsidP="00CB3017">
      <w:pPr>
        <w:numPr>
          <w:ilvl w:val="0"/>
          <w:numId w:val="25"/>
        </w:numPr>
        <w:spacing w:after="60" w:line="240" w:lineRule="auto"/>
        <w:jc w:val="both"/>
        <w:rPr>
          <w:rFonts w:asciiTheme="majorHAnsi" w:hAnsiTheme="majorHAnsi" w:cstheme="majorHAnsi"/>
          <w:color w:val="000000"/>
        </w:rPr>
      </w:pPr>
      <w:r w:rsidRPr="003933FE">
        <w:rPr>
          <w:rFonts w:asciiTheme="majorHAnsi" w:hAnsiTheme="majorHAnsi" w:cstheme="majorHAnsi"/>
          <w:color w:val="000000"/>
        </w:rPr>
        <w:t>Przedmiot Umowy stanowią usługi: Serwis Oprogramowania [SA], Konserwacja [KS], Ewaluacja [EW], Konsultacje [KA].</w:t>
      </w:r>
    </w:p>
    <w:p w14:paraId="5C8459E8"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color w:val="000000"/>
        </w:rPr>
        <w:t xml:space="preserve">Wraz z </w:t>
      </w:r>
      <w:r w:rsidRPr="003933FE">
        <w:rPr>
          <w:rFonts w:asciiTheme="majorHAnsi" w:hAnsiTheme="majorHAnsi" w:cstheme="majorHAnsi"/>
        </w:rPr>
        <w:t>podpisaniem Umowy Zamawiający otrzymuje dane identyfikacyjne (login, hasło) umożliwiające Użytkownikom SZ Zamawiającego uwierzytelnienie w systemie „</w:t>
      </w:r>
      <w:proofErr w:type="spellStart"/>
      <w:r w:rsidRPr="003933FE">
        <w:rPr>
          <w:rFonts w:asciiTheme="majorHAnsi" w:hAnsiTheme="majorHAnsi" w:cstheme="majorHAnsi"/>
        </w:rPr>
        <w:t>HelpDesk</w:t>
      </w:r>
      <w:proofErr w:type="spellEnd"/>
      <w:r w:rsidRPr="003933FE">
        <w:rPr>
          <w:rFonts w:asciiTheme="majorHAnsi" w:hAnsiTheme="majorHAnsi" w:cstheme="majorHAnsi"/>
        </w:rPr>
        <w:t xml:space="preserve">”  udostępnionym przez Wykonawcę </w:t>
      </w:r>
    </w:p>
    <w:p w14:paraId="5C7A03C1"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W zależności od woli Zamawiającego poszczególnym Użytkownikom SZ zostaną przyznane prawa do ewidencji lub/i edycji Zgłoszeń Serwisowych.</w:t>
      </w:r>
    </w:p>
    <w:p w14:paraId="4FEEE139"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Użytkownicy SZ są zobligowani do ochrony danych identyfikacyjnych przed dostępem osób trzecich. Użytkownicy SZ przyjmują także do wiadomości, że wszystkie operacje wykonywane w serwisie SZ są rejestrowane.</w:t>
      </w:r>
    </w:p>
    <w:p w14:paraId="1A4326F2"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 xml:space="preserve">Użytkownicy systemu SZ posiadają możliwość dokonywania zmian swoich danych kontaktowych oraz podstawowych danych podmiotowych Zamawiającego – tzw. Panel Klienta. System SZ będzie komunikował się z Użytkownikami SZ wyłącznie w oparciu o informacje zamieszczone w Panelu Klienta (Moje Konto w SZ).  </w:t>
      </w:r>
    </w:p>
    <w:p w14:paraId="1D39C039"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 xml:space="preserve">Powinnością Użytkowników SZ jest zapoznanie się z postanowieniami Umowy, jak również przeszkolenie z jej zakresu oraz treści pozostałych Użytkowników SZ. </w:t>
      </w:r>
    </w:p>
    <w:p w14:paraId="4B9007EC"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 xml:space="preserve">Powinnością Użytkowników SZ jest bieżące śledzenie informacji pojawiających się w systemie SZ. </w:t>
      </w:r>
    </w:p>
    <w:p w14:paraId="6F8CD1EE"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 xml:space="preserve">Użytkownicy SZ dołożą wszelkich starań żeby dane osobowe nie były zamieszczane w Zgłoszeniach Serwisowych. Jeżeli jest to niezbędne do obsłużenia Zgłoszenia Serwisowego Użytkownicy SZ zamieszczą informacje oraz dane wyłącznie w postaci zanonimizowanej lub zaszyfrowanej, jak również oznaczą Zgłoszenia Serwisowego zawierające takie dane w sposób określony w SZ. </w:t>
      </w:r>
    </w:p>
    <w:p w14:paraId="085E9891" w14:textId="77777777" w:rsidR="00CC7138" w:rsidRPr="003933FE" w:rsidRDefault="00CC7138" w:rsidP="00CC7138">
      <w:pPr>
        <w:spacing w:after="60"/>
        <w:ind w:left="360"/>
        <w:jc w:val="both"/>
        <w:rPr>
          <w:rFonts w:asciiTheme="majorHAnsi" w:hAnsiTheme="majorHAnsi" w:cstheme="majorHAnsi"/>
        </w:rPr>
      </w:pPr>
    </w:p>
    <w:p w14:paraId="300FA4F4" w14:textId="1DAECB02" w:rsidR="00CC7138" w:rsidRPr="003933FE" w:rsidRDefault="00CC7138" w:rsidP="00AA3085">
      <w:pPr>
        <w:pStyle w:val="Nagwek2"/>
      </w:pPr>
      <w:r w:rsidRPr="003933FE">
        <w:t>E</w:t>
      </w:r>
      <w:r w:rsidR="00D958DF">
        <w:t>widencja i obsługa zdarzeń</w:t>
      </w:r>
    </w:p>
    <w:p w14:paraId="6337F9E8"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Ewidencja i uzupełnianie Zgłoszenia Serwisowego przez Zamawiającego jest realizowane wyłącznie w systemie SZ. Obsługa przez Serwis Zgłoszenia Serwisowego w zależności od usługi jest realizowana w systemie SZ lub z wykorzystaniem innych mediów bądź wizyt osobistych, przy czym każdorazowo w SZ ewidencjonowany jest status zgłoszenia.</w:t>
      </w:r>
    </w:p>
    <w:p w14:paraId="757B2E3E"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W zależności od uprawnień Użytkownika SZ może on zaewidencjonować w systemie SZ różne typy Zgłoszeń Serwisowych.</w:t>
      </w:r>
    </w:p>
    <w:p w14:paraId="11A9EF1F" w14:textId="77777777" w:rsidR="00CC7138" w:rsidRPr="003933FE" w:rsidRDefault="00CC7138" w:rsidP="00CB3017">
      <w:pPr>
        <w:numPr>
          <w:ilvl w:val="0"/>
          <w:numId w:val="25"/>
        </w:numPr>
        <w:spacing w:after="60" w:line="240" w:lineRule="auto"/>
        <w:jc w:val="both"/>
        <w:rPr>
          <w:rFonts w:asciiTheme="majorHAnsi" w:hAnsiTheme="majorHAnsi" w:cstheme="majorHAnsi"/>
        </w:rPr>
      </w:pPr>
      <w:bookmarkStart w:id="12" w:name="_o3ceij44pvnq" w:colFirst="0" w:colLast="0"/>
      <w:bookmarkEnd w:id="12"/>
      <w:r w:rsidRPr="003933FE">
        <w:rPr>
          <w:rFonts w:asciiTheme="majorHAnsi" w:hAnsiTheme="majorHAnsi" w:cstheme="majorHAnsi"/>
        </w:rPr>
        <w:t>Ewidencja Zgłoszenia Serwisowego odbywa się poprzez wprowadzenie przez Użytkownika SZ do systemu SZ wszystkich niezbędnych dla danego Zgłoszenia Serwisowego informacji, w szczególności określenia obszaru/Modułu, którego Zgłoszenie Serwisowe dotyczy. Po zaewidencjonowaniu przez Użytkownika SZ Zgłoszenia Serwisowego system SZ nadaje mu status „oczekujące” oraz unikalny numer.</w:t>
      </w:r>
    </w:p>
    <w:p w14:paraId="3F472FA2"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 xml:space="preserve">Każde Zgłoszenie Serwisowe obejmować może wyłącznie jedno zagadnienie. W przypadku gdy Zgłoszenie Serwisowe obejmuje kilka zagadnień, Wykonawca może takie Zgłoszenie Serwisowe odrzucić lub wydzielić zagadnienia do odrębnych Zgłoszeń Serwisowych. </w:t>
      </w:r>
    </w:p>
    <w:p w14:paraId="28FB3C9C"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 xml:space="preserve">Jeżeli do Zgłoszenia Serwisowego pozostającego w toku Użytkownik SZ wprowadzi nowe zagadnienie, Wykonawca może je przenieść do odrębnego Zgłoszenia Serwisowego lub odrzucić realizację. Jeżeli nowe zagadnienie zostaje przeniesione do wyodrębnionego Zgłoszenia Serwisowego </w:t>
      </w:r>
      <w:r w:rsidRPr="003933FE">
        <w:rPr>
          <w:rFonts w:asciiTheme="majorHAnsi" w:hAnsiTheme="majorHAnsi" w:cstheme="majorHAnsi"/>
          <w:b/>
          <w:bCs/>
        </w:rPr>
        <w:t>Termin realizacji usług</w:t>
      </w:r>
      <w:r w:rsidRPr="003933FE">
        <w:rPr>
          <w:rFonts w:asciiTheme="majorHAnsi" w:hAnsiTheme="majorHAnsi" w:cstheme="majorHAnsi"/>
        </w:rPr>
        <w:t xml:space="preserve"> określony w </w:t>
      </w:r>
      <w:r w:rsidRPr="003933FE">
        <w:rPr>
          <w:rFonts w:asciiTheme="majorHAnsi" w:hAnsiTheme="majorHAnsi" w:cstheme="majorHAnsi"/>
          <w:b/>
          <w:bCs/>
        </w:rPr>
        <w:t>Warunkach brzegowych realizacji usług</w:t>
      </w:r>
      <w:r w:rsidRPr="003933FE">
        <w:rPr>
          <w:rFonts w:asciiTheme="majorHAnsi" w:hAnsiTheme="majorHAnsi" w:cstheme="majorHAnsi"/>
        </w:rPr>
        <w:t xml:space="preserve"> wszczyna swój bieg od początku.</w:t>
      </w:r>
    </w:p>
    <w:p w14:paraId="4950EF95"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 xml:space="preserve">Po wstępnej weryfikacji kompletności oraz formy Zgłoszenia Serwisowego, nie później niż w </w:t>
      </w:r>
      <w:r w:rsidRPr="003933FE">
        <w:rPr>
          <w:rFonts w:asciiTheme="majorHAnsi" w:hAnsiTheme="majorHAnsi" w:cstheme="majorHAnsi"/>
          <w:b/>
          <w:bCs/>
        </w:rPr>
        <w:t>Czasie reakcji</w:t>
      </w:r>
      <w:r w:rsidRPr="003933FE">
        <w:rPr>
          <w:rFonts w:asciiTheme="majorHAnsi" w:hAnsiTheme="majorHAnsi" w:cstheme="majorHAnsi"/>
        </w:rPr>
        <w:t xml:space="preserve"> określonym w </w:t>
      </w:r>
      <w:r w:rsidRPr="003933FE">
        <w:rPr>
          <w:rFonts w:asciiTheme="majorHAnsi" w:hAnsiTheme="majorHAnsi" w:cstheme="majorHAnsi"/>
          <w:b/>
          <w:bCs/>
        </w:rPr>
        <w:t>Warunkach brzegowych realizacji usług</w:t>
      </w:r>
      <w:r w:rsidRPr="003933FE">
        <w:rPr>
          <w:rFonts w:asciiTheme="majorHAnsi" w:hAnsiTheme="majorHAnsi" w:cstheme="majorHAnsi"/>
        </w:rPr>
        <w:t xml:space="preserve"> w systemie SZ zostaje Zgłoszeniu Serwisowemu nadany status „zarejestrowane”. Alternatywnie, jeżeli weryfikacja wykaże, że Zgłoszenie Serwisowe nie spełnia wymogów Umowy lub dotyczy wątku stanowiącego przedmiot innego Zgłoszenia Serwisowego, zostaje mu nadany odpowiednio status „odrzucone” lub „duplikat”. </w:t>
      </w:r>
    </w:p>
    <w:p w14:paraId="410408D6" w14:textId="77777777" w:rsidR="00CC7138" w:rsidRPr="003933FE" w:rsidRDefault="00CC7138" w:rsidP="00CB3017">
      <w:pPr>
        <w:numPr>
          <w:ilvl w:val="0"/>
          <w:numId w:val="25"/>
        </w:numPr>
        <w:spacing w:after="60" w:line="240" w:lineRule="auto"/>
        <w:jc w:val="both"/>
        <w:rPr>
          <w:rFonts w:asciiTheme="majorHAnsi" w:hAnsiTheme="majorHAnsi" w:cstheme="majorHAnsi"/>
        </w:rPr>
      </w:pPr>
      <w:r w:rsidRPr="003933FE">
        <w:rPr>
          <w:rFonts w:asciiTheme="majorHAnsi" w:hAnsiTheme="majorHAnsi" w:cstheme="majorHAnsi"/>
        </w:rPr>
        <w:t xml:space="preserve">Dalsza obsługa Zgłoszenia Serwisowego przebiega na zasadach określonych w procedurach realizacji przewidzianych dla poszczególnych usług. W zależności od typu Zgłoszenia Serwisowego, fazy obsługi Zgłoszenia Serwisowego oraz jego zawartości, Zgłoszenie Serwisowe przyjmie jeden z następujących statusów: </w:t>
      </w:r>
    </w:p>
    <w:p w14:paraId="52D3CE30" w14:textId="77777777" w:rsidR="00CC7138" w:rsidRPr="003933FE" w:rsidRDefault="00CC7138" w:rsidP="00CB3017">
      <w:pPr>
        <w:numPr>
          <w:ilvl w:val="1"/>
          <w:numId w:val="25"/>
        </w:numPr>
        <w:spacing w:after="60" w:line="240" w:lineRule="auto"/>
        <w:rPr>
          <w:rFonts w:asciiTheme="majorHAnsi" w:hAnsiTheme="majorHAnsi" w:cstheme="majorHAnsi"/>
        </w:rPr>
      </w:pPr>
      <w:r w:rsidRPr="003933FE">
        <w:rPr>
          <w:rFonts w:asciiTheme="majorHAnsi" w:hAnsiTheme="majorHAnsi" w:cstheme="majorHAnsi"/>
        </w:rPr>
        <w:t>przyjęte,</w:t>
      </w:r>
    </w:p>
    <w:p w14:paraId="2299D61D" w14:textId="77777777" w:rsidR="00CC7138" w:rsidRPr="003933FE" w:rsidRDefault="00CC7138" w:rsidP="00CB3017">
      <w:pPr>
        <w:numPr>
          <w:ilvl w:val="1"/>
          <w:numId w:val="25"/>
        </w:numPr>
        <w:spacing w:after="60" w:line="240" w:lineRule="auto"/>
        <w:rPr>
          <w:rFonts w:asciiTheme="majorHAnsi" w:hAnsiTheme="majorHAnsi" w:cstheme="majorHAnsi"/>
        </w:rPr>
      </w:pPr>
      <w:r w:rsidRPr="003933FE">
        <w:rPr>
          <w:rFonts w:asciiTheme="majorHAnsi" w:hAnsiTheme="majorHAnsi" w:cstheme="majorHAnsi"/>
        </w:rPr>
        <w:t>anulowane,</w:t>
      </w:r>
    </w:p>
    <w:p w14:paraId="02B7E5BD" w14:textId="77777777" w:rsidR="00CC7138" w:rsidRPr="003933FE" w:rsidRDefault="00CC7138" w:rsidP="00CB3017">
      <w:pPr>
        <w:numPr>
          <w:ilvl w:val="1"/>
          <w:numId w:val="25"/>
        </w:numPr>
        <w:spacing w:after="60" w:line="240" w:lineRule="auto"/>
        <w:rPr>
          <w:rFonts w:asciiTheme="majorHAnsi" w:hAnsiTheme="majorHAnsi" w:cstheme="majorHAnsi"/>
        </w:rPr>
      </w:pPr>
      <w:r w:rsidRPr="003933FE">
        <w:rPr>
          <w:rFonts w:asciiTheme="majorHAnsi" w:hAnsiTheme="majorHAnsi" w:cstheme="majorHAnsi"/>
        </w:rPr>
        <w:t>odrzucone,</w:t>
      </w:r>
    </w:p>
    <w:p w14:paraId="63F536E9" w14:textId="77777777" w:rsidR="00CC7138" w:rsidRPr="003933FE" w:rsidRDefault="00CC7138" w:rsidP="00CB3017">
      <w:pPr>
        <w:numPr>
          <w:ilvl w:val="1"/>
          <w:numId w:val="25"/>
        </w:numPr>
        <w:spacing w:after="60" w:line="240" w:lineRule="auto"/>
        <w:rPr>
          <w:rFonts w:asciiTheme="majorHAnsi" w:hAnsiTheme="majorHAnsi" w:cstheme="majorHAnsi"/>
        </w:rPr>
      </w:pPr>
      <w:r w:rsidRPr="003933FE">
        <w:rPr>
          <w:rFonts w:asciiTheme="majorHAnsi" w:hAnsiTheme="majorHAnsi" w:cstheme="majorHAnsi"/>
        </w:rPr>
        <w:t>duplikat,</w:t>
      </w:r>
    </w:p>
    <w:p w14:paraId="51486BC7" w14:textId="77777777" w:rsidR="00CC7138" w:rsidRPr="003933FE" w:rsidRDefault="00CC7138" w:rsidP="00CB3017">
      <w:pPr>
        <w:numPr>
          <w:ilvl w:val="1"/>
          <w:numId w:val="25"/>
        </w:numPr>
        <w:spacing w:after="60" w:line="240" w:lineRule="auto"/>
        <w:rPr>
          <w:rFonts w:asciiTheme="majorHAnsi" w:hAnsiTheme="majorHAnsi" w:cstheme="majorHAnsi"/>
        </w:rPr>
      </w:pPr>
      <w:r w:rsidRPr="003933FE">
        <w:rPr>
          <w:rFonts w:asciiTheme="majorHAnsi" w:hAnsiTheme="majorHAnsi" w:cstheme="majorHAnsi"/>
        </w:rPr>
        <w:t>do uzupełnienia,</w:t>
      </w:r>
    </w:p>
    <w:p w14:paraId="625B87AF" w14:textId="77777777" w:rsidR="00CC7138" w:rsidRPr="003933FE" w:rsidRDefault="00CC7138" w:rsidP="00CB3017">
      <w:pPr>
        <w:numPr>
          <w:ilvl w:val="1"/>
          <w:numId w:val="25"/>
        </w:numPr>
        <w:spacing w:after="60" w:line="240" w:lineRule="auto"/>
        <w:rPr>
          <w:rFonts w:asciiTheme="majorHAnsi" w:hAnsiTheme="majorHAnsi" w:cstheme="majorHAnsi"/>
        </w:rPr>
      </w:pPr>
      <w:r w:rsidRPr="003933FE">
        <w:rPr>
          <w:rFonts w:asciiTheme="majorHAnsi" w:hAnsiTheme="majorHAnsi" w:cstheme="majorHAnsi"/>
        </w:rPr>
        <w:t>odroczone,</w:t>
      </w:r>
    </w:p>
    <w:p w14:paraId="6C712EF8" w14:textId="0C40DBA7" w:rsidR="00CC7138" w:rsidRPr="003933FE" w:rsidRDefault="00CC7138" w:rsidP="00CB3017">
      <w:pPr>
        <w:numPr>
          <w:ilvl w:val="1"/>
          <w:numId w:val="25"/>
        </w:numPr>
        <w:spacing w:after="60" w:line="240" w:lineRule="auto"/>
        <w:rPr>
          <w:rFonts w:asciiTheme="majorHAnsi" w:hAnsiTheme="majorHAnsi" w:cstheme="majorHAnsi"/>
        </w:rPr>
      </w:pPr>
      <w:r w:rsidRPr="003933FE">
        <w:rPr>
          <w:rFonts w:asciiTheme="majorHAnsi" w:hAnsiTheme="majorHAnsi" w:cstheme="majorHAnsi"/>
        </w:rPr>
        <w:t>rozwiązane,</w:t>
      </w:r>
    </w:p>
    <w:p w14:paraId="2F374EFD" w14:textId="77DE1806" w:rsidR="00F97CBC" w:rsidRPr="003933FE" w:rsidRDefault="00F97CBC" w:rsidP="00F97CBC">
      <w:pPr>
        <w:spacing w:after="60" w:line="240" w:lineRule="auto"/>
        <w:rPr>
          <w:rFonts w:asciiTheme="majorHAnsi" w:hAnsiTheme="majorHAnsi" w:cstheme="majorHAnsi"/>
        </w:rPr>
      </w:pPr>
    </w:p>
    <w:p w14:paraId="1E4C8F66" w14:textId="450C7443" w:rsidR="00F97CBC" w:rsidRPr="00265C19" w:rsidRDefault="00F97CBC" w:rsidP="00F97CBC">
      <w:pPr>
        <w:pStyle w:val="Nagwek2"/>
        <w:rPr>
          <w:rFonts w:cstheme="majorHAnsi"/>
          <w:b/>
        </w:rPr>
      </w:pPr>
      <w:r w:rsidRPr="00265C19">
        <w:rPr>
          <w:rFonts w:cstheme="majorHAnsi"/>
          <w:b/>
        </w:rPr>
        <w:t>K</w:t>
      </w:r>
      <w:r w:rsidR="00D958DF" w:rsidRPr="00265C19">
        <w:rPr>
          <w:rFonts w:cstheme="majorHAnsi"/>
          <w:b/>
        </w:rPr>
        <w:t xml:space="preserve">ryteria </w:t>
      </w:r>
      <w:r w:rsidR="00265C19" w:rsidRPr="00265C19">
        <w:rPr>
          <w:rFonts w:cstheme="majorHAnsi"/>
          <w:b/>
        </w:rPr>
        <w:t>oceny jakościowej:</w:t>
      </w:r>
    </w:p>
    <w:tbl>
      <w:tblPr>
        <w:tblStyle w:val="Tabela-Siatka"/>
        <w:tblW w:w="0" w:type="auto"/>
        <w:tblInd w:w="137" w:type="dxa"/>
        <w:tblLayout w:type="fixed"/>
        <w:tblLook w:val="04A0" w:firstRow="1" w:lastRow="0" w:firstColumn="1" w:lastColumn="0" w:noHBand="0" w:noVBand="1"/>
      </w:tblPr>
      <w:tblGrid>
        <w:gridCol w:w="851"/>
        <w:gridCol w:w="2747"/>
        <w:gridCol w:w="3008"/>
        <w:gridCol w:w="2891"/>
      </w:tblGrid>
      <w:tr w:rsidR="00AA3085" w14:paraId="20C11860" w14:textId="77777777" w:rsidTr="00265C19">
        <w:trPr>
          <w:trHeight w:val="942"/>
        </w:trPr>
        <w:tc>
          <w:tcPr>
            <w:tcW w:w="851" w:type="dxa"/>
            <w:tcBorders>
              <w:top w:val="single" w:sz="4" w:space="0" w:color="auto"/>
              <w:left w:val="single" w:sz="4" w:space="0" w:color="auto"/>
              <w:bottom w:val="single" w:sz="4" w:space="0" w:color="auto"/>
              <w:right w:val="single" w:sz="4" w:space="0" w:color="auto"/>
            </w:tcBorders>
            <w:hideMark/>
          </w:tcPr>
          <w:p w14:paraId="20FB711A" w14:textId="77777777" w:rsidR="00AA3085" w:rsidRDefault="00AA3085">
            <w:pPr>
              <w:spacing w:line="276" w:lineRule="auto"/>
              <w:rPr>
                <w:rFonts w:ascii="Verdana" w:hAnsi="Verdana"/>
                <w:sz w:val="18"/>
              </w:rPr>
            </w:pPr>
            <w:r>
              <w:rPr>
                <w:rFonts w:ascii="Verdana" w:hAnsi="Verdana"/>
                <w:sz w:val="18"/>
              </w:rPr>
              <w:t>Lp.</w:t>
            </w:r>
          </w:p>
        </w:tc>
        <w:tc>
          <w:tcPr>
            <w:tcW w:w="5755" w:type="dxa"/>
            <w:gridSpan w:val="2"/>
            <w:tcBorders>
              <w:top w:val="single" w:sz="4" w:space="0" w:color="auto"/>
              <w:left w:val="single" w:sz="4" w:space="0" w:color="auto"/>
              <w:bottom w:val="single" w:sz="4" w:space="0" w:color="auto"/>
              <w:right w:val="single" w:sz="4" w:space="0" w:color="auto"/>
            </w:tcBorders>
            <w:hideMark/>
          </w:tcPr>
          <w:p w14:paraId="692EC5FD" w14:textId="77777777" w:rsidR="00AA3085" w:rsidRPr="00265C19" w:rsidRDefault="00AA3085">
            <w:pPr>
              <w:spacing w:line="276" w:lineRule="auto"/>
              <w:rPr>
                <w:rFonts w:ascii="Verdana" w:hAnsi="Verdana"/>
                <w:b/>
                <w:sz w:val="18"/>
              </w:rPr>
            </w:pPr>
            <w:r w:rsidRPr="00265C19">
              <w:rPr>
                <w:rFonts w:ascii="Verdana" w:hAnsi="Verdana"/>
                <w:b/>
                <w:sz w:val="18"/>
              </w:rPr>
              <w:t>KRYTERIA POZACENOWE</w:t>
            </w:r>
          </w:p>
        </w:tc>
        <w:tc>
          <w:tcPr>
            <w:tcW w:w="2891" w:type="dxa"/>
            <w:tcBorders>
              <w:top w:val="single" w:sz="4" w:space="0" w:color="auto"/>
              <w:left w:val="single" w:sz="4" w:space="0" w:color="auto"/>
              <w:bottom w:val="single" w:sz="4" w:space="0" w:color="auto"/>
              <w:right w:val="single" w:sz="4" w:space="0" w:color="auto"/>
            </w:tcBorders>
            <w:shd w:val="clear" w:color="auto" w:fill="FFFF00"/>
            <w:hideMark/>
          </w:tcPr>
          <w:p w14:paraId="426E690E" w14:textId="77777777" w:rsidR="00AA3085" w:rsidRPr="00265C19" w:rsidRDefault="00AA3085" w:rsidP="00265C19">
            <w:pPr>
              <w:spacing w:line="276" w:lineRule="auto"/>
              <w:jc w:val="center"/>
              <w:rPr>
                <w:rFonts w:ascii="Verdana" w:hAnsi="Verdana"/>
                <w:b/>
                <w:sz w:val="18"/>
              </w:rPr>
            </w:pPr>
            <w:r w:rsidRPr="00265C19">
              <w:rPr>
                <w:rFonts w:ascii="Verdana" w:hAnsi="Verdana"/>
                <w:b/>
                <w:sz w:val="18"/>
              </w:rPr>
              <w:t>OFEROWANE PARAMETRY TECHNICZNE – podaje wykonawca</w:t>
            </w:r>
          </w:p>
        </w:tc>
      </w:tr>
      <w:tr w:rsidR="00AA3085" w14:paraId="202CB8DB" w14:textId="77777777" w:rsidTr="00265C19">
        <w:trPr>
          <w:trHeight w:val="269"/>
        </w:trPr>
        <w:tc>
          <w:tcPr>
            <w:tcW w:w="851" w:type="dxa"/>
            <w:tcBorders>
              <w:top w:val="single" w:sz="4" w:space="0" w:color="auto"/>
              <w:left w:val="single" w:sz="4" w:space="0" w:color="auto"/>
              <w:bottom w:val="single" w:sz="4" w:space="0" w:color="auto"/>
              <w:right w:val="single" w:sz="4" w:space="0" w:color="auto"/>
            </w:tcBorders>
            <w:hideMark/>
          </w:tcPr>
          <w:p w14:paraId="2AD0EFFF" w14:textId="77777777" w:rsidR="00AA3085" w:rsidRDefault="00AA3085">
            <w:pPr>
              <w:spacing w:line="276" w:lineRule="auto"/>
              <w:rPr>
                <w:rFonts w:ascii="Verdana" w:hAnsi="Verdana"/>
                <w:sz w:val="18"/>
              </w:rPr>
            </w:pPr>
            <w:r>
              <w:rPr>
                <w:rFonts w:ascii="Verdana" w:hAnsi="Verdana"/>
                <w:sz w:val="18"/>
              </w:rPr>
              <w:t>1</w:t>
            </w:r>
          </w:p>
        </w:tc>
        <w:tc>
          <w:tcPr>
            <w:tcW w:w="2747" w:type="dxa"/>
            <w:tcBorders>
              <w:top w:val="single" w:sz="4" w:space="0" w:color="auto"/>
              <w:left w:val="single" w:sz="4" w:space="0" w:color="auto"/>
              <w:bottom w:val="single" w:sz="4" w:space="0" w:color="auto"/>
              <w:right w:val="single" w:sz="4" w:space="0" w:color="auto"/>
            </w:tcBorders>
            <w:hideMark/>
          </w:tcPr>
          <w:p w14:paraId="2C93CA4D" w14:textId="77777777" w:rsidR="00AA3085" w:rsidRDefault="00AA3085">
            <w:pPr>
              <w:spacing w:line="276" w:lineRule="auto"/>
              <w:rPr>
                <w:rFonts w:ascii="Verdana" w:hAnsi="Verdana"/>
                <w:sz w:val="18"/>
              </w:rPr>
            </w:pPr>
            <w:r>
              <w:rPr>
                <w:rFonts w:ascii="Verdana" w:hAnsi="Verdana"/>
                <w:sz w:val="18"/>
              </w:rPr>
              <w:t>Godziny pracy konsultantów</w:t>
            </w:r>
          </w:p>
        </w:tc>
        <w:tc>
          <w:tcPr>
            <w:tcW w:w="3008" w:type="dxa"/>
            <w:tcBorders>
              <w:top w:val="single" w:sz="4" w:space="0" w:color="auto"/>
              <w:left w:val="single" w:sz="4" w:space="0" w:color="auto"/>
              <w:bottom w:val="single" w:sz="4" w:space="0" w:color="auto"/>
              <w:right w:val="single" w:sz="4" w:space="0" w:color="auto"/>
            </w:tcBorders>
            <w:hideMark/>
          </w:tcPr>
          <w:p w14:paraId="3CC4BC72" w14:textId="6834C223" w:rsidR="00AA3085" w:rsidRDefault="00AA3085">
            <w:pPr>
              <w:spacing w:line="276" w:lineRule="auto"/>
              <w:rPr>
                <w:rFonts w:ascii="Verdana" w:hAnsi="Verdana"/>
                <w:sz w:val="18"/>
              </w:rPr>
            </w:pPr>
            <w:r>
              <w:rPr>
                <w:rFonts w:ascii="Verdana" w:hAnsi="Verdana"/>
                <w:sz w:val="18"/>
              </w:rPr>
              <w:t xml:space="preserve">6-22 – </w:t>
            </w:r>
            <w:r w:rsidR="00A7085D" w:rsidRPr="0001152D">
              <w:rPr>
                <w:rFonts w:ascii="Verdana" w:hAnsi="Verdana"/>
                <w:b/>
                <w:bCs/>
                <w:sz w:val="18"/>
              </w:rPr>
              <w:t>5</w:t>
            </w:r>
            <w:r w:rsidR="00265C19">
              <w:rPr>
                <w:rFonts w:ascii="Verdana" w:hAnsi="Verdana"/>
                <w:b/>
                <w:bCs/>
                <w:sz w:val="18"/>
              </w:rPr>
              <w:t xml:space="preserve"> pkt</w:t>
            </w:r>
            <w:r>
              <w:rPr>
                <w:rFonts w:ascii="Verdana" w:hAnsi="Verdana"/>
                <w:sz w:val="18"/>
              </w:rPr>
              <w:br/>
              <w:t xml:space="preserve">8-16 – </w:t>
            </w:r>
            <w:r w:rsidR="00A7085D" w:rsidRPr="0001152D">
              <w:rPr>
                <w:rFonts w:ascii="Verdana" w:hAnsi="Verdana"/>
                <w:b/>
                <w:bCs/>
                <w:sz w:val="18"/>
              </w:rPr>
              <w:t>0</w:t>
            </w:r>
            <w:r w:rsidR="00265C19">
              <w:rPr>
                <w:rFonts w:ascii="Verdana" w:hAnsi="Verdana"/>
                <w:b/>
                <w:bCs/>
                <w:sz w:val="18"/>
              </w:rPr>
              <w:t xml:space="preserve"> pkt</w:t>
            </w:r>
          </w:p>
        </w:tc>
        <w:tc>
          <w:tcPr>
            <w:tcW w:w="2891" w:type="dxa"/>
            <w:tcBorders>
              <w:top w:val="single" w:sz="4" w:space="0" w:color="auto"/>
              <w:left w:val="single" w:sz="4" w:space="0" w:color="auto"/>
              <w:bottom w:val="single" w:sz="4" w:space="0" w:color="auto"/>
              <w:right w:val="single" w:sz="4" w:space="0" w:color="auto"/>
            </w:tcBorders>
            <w:hideMark/>
          </w:tcPr>
          <w:p w14:paraId="627E3E66" w14:textId="77777777" w:rsidR="00AA3085" w:rsidRDefault="00AA3085">
            <w:pPr>
              <w:spacing w:line="276" w:lineRule="auto"/>
              <w:rPr>
                <w:rFonts w:ascii="Verdana" w:hAnsi="Verdana"/>
                <w:sz w:val="18"/>
              </w:rPr>
            </w:pPr>
            <w:r>
              <w:rPr>
                <w:rFonts w:ascii="Verdana" w:hAnsi="Verdana"/>
                <w:sz w:val="18"/>
              </w:rPr>
              <w:t>TAK - podać</w:t>
            </w:r>
          </w:p>
        </w:tc>
      </w:tr>
      <w:tr w:rsidR="00AA3085" w14:paraId="7D04FBDC" w14:textId="77777777" w:rsidTr="00265C19">
        <w:trPr>
          <w:trHeight w:val="269"/>
        </w:trPr>
        <w:tc>
          <w:tcPr>
            <w:tcW w:w="851" w:type="dxa"/>
            <w:tcBorders>
              <w:top w:val="single" w:sz="4" w:space="0" w:color="auto"/>
              <w:left w:val="single" w:sz="4" w:space="0" w:color="auto"/>
              <w:bottom w:val="single" w:sz="4" w:space="0" w:color="auto"/>
              <w:right w:val="single" w:sz="4" w:space="0" w:color="auto"/>
            </w:tcBorders>
            <w:hideMark/>
          </w:tcPr>
          <w:p w14:paraId="6EBC6F50" w14:textId="77777777" w:rsidR="00AA3085" w:rsidRDefault="00AA3085">
            <w:pPr>
              <w:spacing w:line="276" w:lineRule="auto"/>
              <w:rPr>
                <w:rFonts w:ascii="Verdana" w:hAnsi="Verdana"/>
                <w:sz w:val="18"/>
              </w:rPr>
            </w:pPr>
            <w:r>
              <w:rPr>
                <w:rFonts w:ascii="Verdana" w:hAnsi="Verdana"/>
                <w:sz w:val="18"/>
              </w:rPr>
              <w:t>2</w:t>
            </w:r>
          </w:p>
        </w:tc>
        <w:tc>
          <w:tcPr>
            <w:tcW w:w="2747" w:type="dxa"/>
            <w:tcBorders>
              <w:top w:val="single" w:sz="4" w:space="0" w:color="auto"/>
              <w:left w:val="single" w:sz="4" w:space="0" w:color="auto"/>
              <w:bottom w:val="single" w:sz="4" w:space="0" w:color="auto"/>
              <w:right w:val="single" w:sz="4" w:space="0" w:color="auto"/>
            </w:tcBorders>
            <w:hideMark/>
          </w:tcPr>
          <w:p w14:paraId="4E075463" w14:textId="77777777" w:rsidR="00AA3085" w:rsidRDefault="00AA3085">
            <w:pPr>
              <w:spacing w:line="276" w:lineRule="auto"/>
              <w:rPr>
                <w:rFonts w:ascii="Verdana" w:hAnsi="Verdana"/>
                <w:sz w:val="18"/>
              </w:rPr>
            </w:pPr>
            <w:r>
              <w:rPr>
                <w:rFonts w:ascii="Verdana" w:hAnsi="Verdana"/>
                <w:sz w:val="18"/>
              </w:rPr>
              <w:t>Czas reakcji serwisu</w:t>
            </w:r>
          </w:p>
        </w:tc>
        <w:tc>
          <w:tcPr>
            <w:tcW w:w="3008" w:type="dxa"/>
            <w:tcBorders>
              <w:top w:val="single" w:sz="4" w:space="0" w:color="auto"/>
              <w:left w:val="single" w:sz="4" w:space="0" w:color="auto"/>
              <w:bottom w:val="single" w:sz="4" w:space="0" w:color="auto"/>
              <w:right w:val="single" w:sz="4" w:space="0" w:color="auto"/>
            </w:tcBorders>
            <w:hideMark/>
          </w:tcPr>
          <w:p w14:paraId="0A3D2B6A" w14:textId="451CB966" w:rsidR="00AA3085" w:rsidRDefault="00AA3085">
            <w:pPr>
              <w:spacing w:line="276" w:lineRule="auto"/>
              <w:rPr>
                <w:rFonts w:ascii="Verdana" w:hAnsi="Verdana"/>
                <w:sz w:val="18"/>
              </w:rPr>
            </w:pPr>
            <w:r>
              <w:rPr>
                <w:rFonts w:ascii="Verdana" w:hAnsi="Verdana"/>
                <w:sz w:val="18"/>
              </w:rPr>
              <w:t xml:space="preserve">W ciągu 30 minut od zgłoszenia – </w:t>
            </w:r>
            <w:r w:rsidR="00265C19">
              <w:rPr>
                <w:rFonts w:ascii="Verdana" w:hAnsi="Verdana"/>
                <w:b/>
                <w:bCs/>
                <w:sz w:val="18"/>
              </w:rPr>
              <w:t>5 pkt</w:t>
            </w:r>
            <w:r>
              <w:rPr>
                <w:rFonts w:ascii="Verdana" w:hAnsi="Verdana"/>
                <w:sz w:val="18"/>
              </w:rPr>
              <w:br/>
              <w:t xml:space="preserve">W ciągu 1 godziny od zgłoszenia – </w:t>
            </w:r>
            <w:r w:rsidR="00265C19">
              <w:rPr>
                <w:rFonts w:ascii="Verdana" w:hAnsi="Verdana"/>
                <w:b/>
                <w:bCs/>
                <w:sz w:val="18"/>
              </w:rPr>
              <w:t>0 pkt</w:t>
            </w:r>
          </w:p>
        </w:tc>
        <w:tc>
          <w:tcPr>
            <w:tcW w:w="2891" w:type="dxa"/>
            <w:tcBorders>
              <w:top w:val="single" w:sz="4" w:space="0" w:color="auto"/>
              <w:left w:val="single" w:sz="4" w:space="0" w:color="auto"/>
              <w:bottom w:val="single" w:sz="4" w:space="0" w:color="auto"/>
              <w:right w:val="single" w:sz="4" w:space="0" w:color="auto"/>
            </w:tcBorders>
            <w:hideMark/>
          </w:tcPr>
          <w:p w14:paraId="67B745FD" w14:textId="77777777" w:rsidR="00AA3085" w:rsidRDefault="00AA3085">
            <w:pPr>
              <w:spacing w:line="276" w:lineRule="auto"/>
              <w:rPr>
                <w:rFonts w:ascii="Verdana" w:hAnsi="Verdana"/>
                <w:sz w:val="18"/>
              </w:rPr>
            </w:pPr>
            <w:r>
              <w:rPr>
                <w:rFonts w:ascii="Verdana" w:hAnsi="Verdana"/>
                <w:sz w:val="18"/>
              </w:rPr>
              <w:t>TAK - podać</w:t>
            </w:r>
          </w:p>
        </w:tc>
      </w:tr>
      <w:tr w:rsidR="00126226" w14:paraId="7E58FD1A" w14:textId="77777777" w:rsidTr="00265C19">
        <w:trPr>
          <w:trHeight w:val="169"/>
        </w:trPr>
        <w:tc>
          <w:tcPr>
            <w:tcW w:w="851" w:type="dxa"/>
            <w:tcBorders>
              <w:top w:val="single" w:sz="4" w:space="0" w:color="auto"/>
              <w:left w:val="single" w:sz="4" w:space="0" w:color="auto"/>
              <w:bottom w:val="single" w:sz="4" w:space="0" w:color="auto"/>
              <w:right w:val="single" w:sz="4" w:space="0" w:color="auto"/>
            </w:tcBorders>
          </w:tcPr>
          <w:p w14:paraId="71A2FE3F" w14:textId="08F754B1" w:rsidR="00126226" w:rsidRDefault="00126226" w:rsidP="00126226">
            <w:pPr>
              <w:spacing w:line="276" w:lineRule="auto"/>
              <w:rPr>
                <w:rFonts w:ascii="Verdana" w:hAnsi="Verdana"/>
                <w:sz w:val="18"/>
              </w:rPr>
            </w:pPr>
            <w:r>
              <w:rPr>
                <w:rFonts w:ascii="Verdana" w:hAnsi="Verdana"/>
                <w:sz w:val="18"/>
              </w:rPr>
              <w:t>3</w:t>
            </w:r>
          </w:p>
        </w:tc>
        <w:tc>
          <w:tcPr>
            <w:tcW w:w="2747" w:type="dxa"/>
            <w:tcBorders>
              <w:top w:val="single" w:sz="4" w:space="0" w:color="auto"/>
              <w:left w:val="single" w:sz="4" w:space="0" w:color="auto"/>
              <w:bottom w:val="single" w:sz="4" w:space="0" w:color="auto"/>
              <w:right w:val="single" w:sz="4" w:space="0" w:color="auto"/>
            </w:tcBorders>
          </w:tcPr>
          <w:p w14:paraId="1500BB96" w14:textId="1378BBFB" w:rsidR="00126226" w:rsidRDefault="00126226" w:rsidP="00126226">
            <w:pPr>
              <w:spacing w:line="276" w:lineRule="auto"/>
              <w:rPr>
                <w:rFonts w:ascii="Verdana" w:hAnsi="Verdana"/>
                <w:sz w:val="18"/>
              </w:rPr>
            </w:pPr>
            <w:r>
              <w:rPr>
                <w:rFonts w:ascii="Verdana" w:hAnsi="Verdana"/>
                <w:sz w:val="18"/>
              </w:rPr>
              <w:t>Czas usunięcia awarii, w tym przypadku zgłoszenia o spowolnieniu systemu</w:t>
            </w:r>
          </w:p>
        </w:tc>
        <w:tc>
          <w:tcPr>
            <w:tcW w:w="3008" w:type="dxa"/>
            <w:tcBorders>
              <w:top w:val="single" w:sz="4" w:space="0" w:color="auto"/>
              <w:left w:val="single" w:sz="4" w:space="0" w:color="auto"/>
              <w:bottom w:val="single" w:sz="4" w:space="0" w:color="auto"/>
              <w:right w:val="single" w:sz="4" w:space="0" w:color="auto"/>
            </w:tcBorders>
          </w:tcPr>
          <w:p w14:paraId="19D05012" w14:textId="204B013A" w:rsidR="00126226" w:rsidRDefault="00126226" w:rsidP="00126226">
            <w:pPr>
              <w:spacing w:line="276" w:lineRule="auto"/>
              <w:rPr>
                <w:rFonts w:ascii="Verdana" w:hAnsi="Verdana"/>
                <w:sz w:val="18"/>
              </w:rPr>
            </w:pPr>
            <w:r>
              <w:rPr>
                <w:rFonts w:ascii="Verdana" w:hAnsi="Verdana"/>
                <w:sz w:val="18"/>
              </w:rPr>
              <w:t xml:space="preserve">Poniżej 2 godzin - </w:t>
            </w:r>
            <w:r w:rsidR="00265C19">
              <w:rPr>
                <w:rFonts w:ascii="Verdana" w:hAnsi="Verdana"/>
                <w:b/>
                <w:bCs/>
                <w:sz w:val="18"/>
              </w:rPr>
              <w:t>20 pkt</w:t>
            </w:r>
          </w:p>
          <w:p w14:paraId="679C8BBE" w14:textId="1CDDB5CE" w:rsidR="00126226" w:rsidRDefault="00126226" w:rsidP="00126226">
            <w:pPr>
              <w:spacing w:line="276" w:lineRule="auto"/>
              <w:rPr>
                <w:rFonts w:ascii="Verdana" w:hAnsi="Verdana"/>
                <w:sz w:val="18"/>
              </w:rPr>
            </w:pPr>
            <w:r>
              <w:rPr>
                <w:rFonts w:ascii="Verdana" w:hAnsi="Verdana"/>
                <w:sz w:val="18"/>
              </w:rPr>
              <w:t xml:space="preserve">Poniżej 4 godzin - </w:t>
            </w:r>
            <w:r w:rsidR="00265C19">
              <w:rPr>
                <w:rFonts w:ascii="Verdana" w:hAnsi="Verdana"/>
                <w:b/>
                <w:bCs/>
                <w:sz w:val="18"/>
              </w:rPr>
              <w:t>10 pkt</w:t>
            </w:r>
          </w:p>
          <w:p w14:paraId="7BA9E39E" w14:textId="556F742E" w:rsidR="00126226" w:rsidRDefault="00126226" w:rsidP="00126226">
            <w:pPr>
              <w:spacing w:line="276" w:lineRule="auto"/>
              <w:rPr>
                <w:rFonts w:ascii="Verdana" w:hAnsi="Verdana"/>
                <w:sz w:val="18"/>
              </w:rPr>
            </w:pPr>
            <w:r>
              <w:rPr>
                <w:rFonts w:ascii="Verdana" w:hAnsi="Verdana"/>
                <w:sz w:val="18"/>
              </w:rPr>
              <w:t xml:space="preserve">4-12h - </w:t>
            </w:r>
            <w:r w:rsidR="00265C19">
              <w:rPr>
                <w:rFonts w:ascii="Verdana" w:hAnsi="Verdana"/>
                <w:b/>
                <w:bCs/>
                <w:sz w:val="18"/>
              </w:rPr>
              <w:t>5 pkt</w:t>
            </w:r>
            <w:r>
              <w:rPr>
                <w:rFonts w:ascii="Verdana" w:hAnsi="Verdana"/>
                <w:sz w:val="18"/>
              </w:rPr>
              <w:t xml:space="preserve"> </w:t>
            </w:r>
          </w:p>
          <w:p w14:paraId="58293757" w14:textId="4CAD2A0F" w:rsidR="00126226" w:rsidRDefault="00126226" w:rsidP="00126226">
            <w:pPr>
              <w:spacing w:line="276" w:lineRule="auto"/>
              <w:rPr>
                <w:rFonts w:ascii="Verdana" w:hAnsi="Verdana"/>
                <w:sz w:val="18"/>
              </w:rPr>
            </w:pPr>
            <w:r>
              <w:rPr>
                <w:rFonts w:ascii="Verdana" w:hAnsi="Verdana"/>
                <w:sz w:val="18"/>
              </w:rPr>
              <w:t xml:space="preserve">Powyżej 12 godzin - </w:t>
            </w:r>
            <w:r w:rsidRPr="0001152D">
              <w:rPr>
                <w:rFonts w:ascii="Verdana" w:hAnsi="Verdana"/>
                <w:b/>
                <w:bCs/>
                <w:sz w:val="18"/>
              </w:rPr>
              <w:t>0 pkt</w:t>
            </w:r>
          </w:p>
        </w:tc>
        <w:tc>
          <w:tcPr>
            <w:tcW w:w="2891" w:type="dxa"/>
            <w:tcBorders>
              <w:top w:val="single" w:sz="4" w:space="0" w:color="auto"/>
              <w:left w:val="single" w:sz="4" w:space="0" w:color="auto"/>
              <w:bottom w:val="single" w:sz="4" w:space="0" w:color="auto"/>
              <w:right w:val="single" w:sz="4" w:space="0" w:color="auto"/>
            </w:tcBorders>
          </w:tcPr>
          <w:p w14:paraId="403CFA3E" w14:textId="4A2D848E" w:rsidR="00126226" w:rsidRDefault="00126226" w:rsidP="00126226">
            <w:pPr>
              <w:spacing w:line="276" w:lineRule="auto"/>
              <w:rPr>
                <w:rFonts w:ascii="Verdana" w:hAnsi="Verdana"/>
                <w:sz w:val="18"/>
              </w:rPr>
            </w:pPr>
            <w:r>
              <w:rPr>
                <w:rFonts w:ascii="Verdana" w:hAnsi="Verdana"/>
                <w:sz w:val="18"/>
              </w:rPr>
              <w:t>TAK - podać</w:t>
            </w:r>
            <w:r>
              <w:rPr>
                <w:rFonts w:ascii="Verdana" w:hAnsi="Verdana"/>
                <w:sz w:val="18"/>
              </w:rPr>
              <w:br/>
            </w:r>
          </w:p>
        </w:tc>
      </w:tr>
      <w:tr w:rsidR="00126226" w14:paraId="05C323A5" w14:textId="77777777" w:rsidTr="00265C19">
        <w:trPr>
          <w:trHeight w:val="269"/>
        </w:trPr>
        <w:tc>
          <w:tcPr>
            <w:tcW w:w="851" w:type="dxa"/>
            <w:tcBorders>
              <w:top w:val="single" w:sz="4" w:space="0" w:color="auto"/>
              <w:left w:val="single" w:sz="4" w:space="0" w:color="auto"/>
              <w:bottom w:val="single" w:sz="4" w:space="0" w:color="auto"/>
              <w:right w:val="single" w:sz="4" w:space="0" w:color="auto"/>
            </w:tcBorders>
          </w:tcPr>
          <w:p w14:paraId="433F17EA" w14:textId="4DE49767" w:rsidR="00126226" w:rsidRDefault="00126226" w:rsidP="00126226">
            <w:pPr>
              <w:spacing w:line="276" w:lineRule="auto"/>
              <w:rPr>
                <w:rFonts w:ascii="Verdana" w:hAnsi="Verdana"/>
                <w:sz w:val="18"/>
              </w:rPr>
            </w:pPr>
            <w:r>
              <w:rPr>
                <w:rFonts w:ascii="Verdana" w:hAnsi="Verdana"/>
                <w:sz w:val="18"/>
              </w:rPr>
              <w:t>4</w:t>
            </w:r>
          </w:p>
        </w:tc>
        <w:tc>
          <w:tcPr>
            <w:tcW w:w="2747" w:type="dxa"/>
            <w:tcBorders>
              <w:top w:val="single" w:sz="4" w:space="0" w:color="auto"/>
              <w:left w:val="single" w:sz="4" w:space="0" w:color="auto"/>
              <w:bottom w:val="single" w:sz="4" w:space="0" w:color="auto"/>
              <w:right w:val="single" w:sz="4" w:space="0" w:color="auto"/>
            </w:tcBorders>
          </w:tcPr>
          <w:p w14:paraId="47623617" w14:textId="4C40E513" w:rsidR="00F10222" w:rsidRPr="00F10222" w:rsidRDefault="00126226" w:rsidP="00F10222">
            <w:pPr>
              <w:spacing w:line="276" w:lineRule="auto"/>
              <w:rPr>
                <w:rFonts w:ascii="Verdana" w:hAnsi="Verdana"/>
                <w:sz w:val="18"/>
              </w:rPr>
            </w:pPr>
            <w:r w:rsidRPr="00126226">
              <w:rPr>
                <w:rFonts w:ascii="Verdana" w:hAnsi="Verdana"/>
                <w:sz w:val="18"/>
              </w:rPr>
              <w:t>Zastosowanie rozwiązań opartych na AI w oferowanym systemie</w:t>
            </w:r>
            <w:r w:rsidR="008B07BF">
              <w:rPr>
                <w:rFonts w:ascii="Verdana" w:hAnsi="Verdana"/>
                <w:sz w:val="18"/>
              </w:rPr>
              <w:t xml:space="preserve"> (wspomaganie decyzji klinicznych)</w:t>
            </w:r>
            <w:r w:rsidR="00F10222">
              <w:rPr>
                <w:rFonts w:ascii="Verdana" w:hAnsi="Verdana"/>
                <w:sz w:val="18"/>
              </w:rPr>
              <w:br/>
            </w:r>
            <w:r w:rsidR="00F10222">
              <w:rPr>
                <w:rFonts w:ascii="Verdana" w:hAnsi="Verdana"/>
                <w:sz w:val="18"/>
              </w:rPr>
              <w:br/>
            </w:r>
            <w:r w:rsidR="00F10222" w:rsidRPr="00F10222">
              <w:rPr>
                <w:rFonts w:ascii="Verdana" w:hAnsi="Verdana"/>
                <w:sz w:val="18"/>
              </w:rPr>
              <w:t>Przez rozwiązanie oparte na AI rozumie się funkcjonalność wykorzystującą algorytmy uczenia maszynowego, przetwarzania języka naturalnego lub modele predykcyjne, która w sposób automatyczny wspiera użytkownika w analizie danych, podejmowaniu decyzji lub automatyzacji procesów.</w:t>
            </w:r>
          </w:p>
          <w:p w14:paraId="1DC1EEB1" w14:textId="77777777" w:rsidR="00F10222" w:rsidRPr="00F10222" w:rsidRDefault="00F10222" w:rsidP="00F10222">
            <w:pPr>
              <w:spacing w:line="276" w:lineRule="auto"/>
              <w:rPr>
                <w:rFonts w:ascii="Verdana" w:hAnsi="Verdana"/>
                <w:sz w:val="18"/>
              </w:rPr>
            </w:pPr>
            <w:r w:rsidRPr="00F10222">
              <w:rPr>
                <w:rFonts w:ascii="Verdana" w:hAnsi="Verdana"/>
                <w:sz w:val="18"/>
              </w:rPr>
              <w:t>Przykładowe obszary podlegające ocenie:</w:t>
            </w:r>
          </w:p>
          <w:p w14:paraId="33EECA14" w14:textId="77777777" w:rsidR="00F10222" w:rsidRPr="00F10222" w:rsidRDefault="00F10222" w:rsidP="00F10222">
            <w:pPr>
              <w:spacing w:line="276" w:lineRule="auto"/>
              <w:rPr>
                <w:rFonts w:ascii="Verdana" w:hAnsi="Verdana"/>
                <w:sz w:val="18"/>
              </w:rPr>
            </w:pPr>
            <w:r w:rsidRPr="00F10222">
              <w:rPr>
                <w:rFonts w:ascii="Verdana" w:hAnsi="Verdana"/>
                <w:sz w:val="18"/>
              </w:rPr>
              <w:t>• wspomaganie decyzji klinicznych</w:t>
            </w:r>
          </w:p>
          <w:p w14:paraId="6ACB2992" w14:textId="77777777" w:rsidR="00F10222" w:rsidRPr="00F10222" w:rsidRDefault="00F10222" w:rsidP="00F10222">
            <w:pPr>
              <w:spacing w:line="276" w:lineRule="auto"/>
              <w:rPr>
                <w:rFonts w:ascii="Verdana" w:hAnsi="Verdana"/>
                <w:sz w:val="18"/>
              </w:rPr>
            </w:pPr>
            <w:r w:rsidRPr="00F10222">
              <w:rPr>
                <w:rFonts w:ascii="Verdana" w:hAnsi="Verdana"/>
                <w:sz w:val="18"/>
              </w:rPr>
              <w:t>• analiza i podsumowanie dokumentacji medycznej</w:t>
            </w:r>
          </w:p>
          <w:p w14:paraId="0F06AABF" w14:textId="77777777" w:rsidR="00F10222" w:rsidRPr="00F10222" w:rsidRDefault="00F10222" w:rsidP="00F10222">
            <w:pPr>
              <w:spacing w:line="276" w:lineRule="auto"/>
              <w:rPr>
                <w:rFonts w:ascii="Verdana" w:hAnsi="Verdana"/>
                <w:sz w:val="18"/>
              </w:rPr>
            </w:pPr>
            <w:r w:rsidRPr="00F10222">
              <w:rPr>
                <w:rFonts w:ascii="Verdana" w:hAnsi="Verdana"/>
                <w:sz w:val="18"/>
              </w:rPr>
              <w:t xml:space="preserve">• predykcja </w:t>
            </w:r>
            <w:proofErr w:type="spellStart"/>
            <w:r w:rsidRPr="00F10222">
              <w:rPr>
                <w:rFonts w:ascii="Verdana" w:hAnsi="Verdana"/>
                <w:sz w:val="18"/>
              </w:rPr>
              <w:t>ryzyk</w:t>
            </w:r>
            <w:proofErr w:type="spellEnd"/>
            <w:r w:rsidRPr="00F10222">
              <w:rPr>
                <w:rFonts w:ascii="Verdana" w:hAnsi="Verdana"/>
                <w:sz w:val="18"/>
              </w:rPr>
              <w:t xml:space="preserve"> klinicznych lub operacyjnych</w:t>
            </w:r>
          </w:p>
          <w:p w14:paraId="0DD119A9" w14:textId="77777777" w:rsidR="00F10222" w:rsidRPr="00F10222" w:rsidRDefault="00F10222" w:rsidP="00F10222">
            <w:pPr>
              <w:spacing w:line="276" w:lineRule="auto"/>
              <w:rPr>
                <w:rFonts w:ascii="Verdana" w:hAnsi="Verdana"/>
                <w:sz w:val="18"/>
              </w:rPr>
            </w:pPr>
            <w:r w:rsidRPr="00F10222">
              <w:rPr>
                <w:rFonts w:ascii="Verdana" w:hAnsi="Verdana"/>
                <w:sz w:val="18"/>
              </w:rPr>
              <w:t>• automatyczne kodowanie świadczeń</w:t>
            </w:r>
          </w:p>
          <w:p w14:paraId="29D22BAF" w14:textId="77777777" w:rsidR="00F10222" w:rsidRPr="00F10222" w:rsidRDefault="00F10222" w:rsidP="00F10222">
            <w:pPr>
              <w:spacing w:line="276" w:lineRule="auto"/>
              <w:rPr>
                <w:rFonts w:ascii="Verdana" w:hAnsi="Verdana"/>
                <w:sz w:val="18"/>
              </w:rPr>
            </w:pPr>
            <w:r w:rsidRPr="00F10222">
              <w:rPr>
                <w:rFonts w:ascii="Verdana" w:hAnsi="Verdana"/>
                <w:sz w:val="18"/>
              </w:rPr>
              <w:t>• inteligentne wyszukiwanie danych w systemie</w:t>
            </w:r>
          </w:p>
          <w:p w14:paraId="7EE29064" w14:textId="77777777" w:rsidR="00F10222" w:rsidRPr="00F10222" w:rsidRDefault="00F10222" w:rsidP="00F10222">
            <w:pPr>
              <w:spacing w:line="276" w:lineRule="auto"/>
              <w:rPr>
                <w:rFonts w:ascii="Verdana" w:hAnsi="Verdana"/>
                <w:sz w:val="18"/>
              </w:rPr>
            </w:pPr>
            <w:r w:rsidRPr="00F10222">
              <w:rPr>
                <w:rFonts w:ascii="Verdana" w:hAnsi="Verdana"/>
                <w:sz w:val="18"/>
              </w:rPr>
              <w:t>• analiza obłożenia i prognozowanie ruchu pacjentów</w:t>
            </w:r>
          </w:p>
          <w:p w14:paraId="54CA58E5" w14:textId="77777777" w:rsidR="00F10222" w:rsidRPr="00F10222" w:rsidRDefault="00F10222" w:rsidP="00F10222">
            <w:pPr>
              <w:spacing w:line="276" w:lineRule="auto"/>
              <w:rPr>
                <w:rFonts w:ascii="Verdana" w:hAnsi="Verdana"/>
                <w:sz w:val="18"/>
              </w:rPr>
            </w:pPr>
            <w:r w:rsidRPr="00F10222">
              <w:rPr>
                <w:rFonts w:ascii="Verdana" w:hAnsi="Verdana"/>
                <w:sz w:val="18"/>
              </w:rPr>
              <w:t>Warunkiem przyznania punktów jest:</w:t>
            </w:r>
          </w:p>
          <w:p w14:paraId="71C119BD" w14:textId="77777777" w:rsidR="00F10222" w:rsidRPr="00F10222" w:rsidRDefault="00F10222" w:rsidP="00F10222">
            <w:pPr>
              <w:spacing w:line="276" w:lineRule="auto"/>
              <w:rPr>
                <w:rFonts w:ascii="Verdana" w:hAnsi="Verdana"/>
                <w:sz w:val="18"/>
              </w:rPr>
            </w:pPr>
            <w:r w:rsidRPr="00F10222">
              <w:rPr>
                <w:rFonts w:ascii="Verdana" w:hAnsi="Verdana"/>
                <w:sz w:val="18"/>
              </w:rPr>
              <w:t>• wskazanie konkretnej funkcjonalności</w:t>
            </w:r>
          </w:p>
          <w:p w14:paraId="18054B9E" w14:textId="77777777" w:rsidR="00F10222" w:rsidRPr="00F10222" w:rsidRDefault="00F10222" w:rsidP="00F10222">
            <w:pPr>
              <w:spacing w:line="276" w:lineRule="auto"/>
              <w:rPr>
                <w:rFonts w:ascii="Verdana" w:hAnsi="Verdana"/>
                <w:sz w:val="18"/>
              </w:rPr>
            </w:pPr>
            <w:r w:rsidRPr="00F10222">
              <w:rPr>
                <w:rFonts w:ascii="Verdana" w:hAnsi="Verdana"/>
                <w:sz w:val="18"/>
              </w:rPr>
              <w:t>• opis działania</w:t>
            </w:r>
          </w:p>
          <w:p w14:paraId="6685428C" w14:textId="559131F8" w:rsidR="00126226" w:rsidRDefault="00F10222" w:rsidP="00F10222">
            <w:pPr>
              <w:spacing w:line="276" w:lineRule="auto"/>
              <w:rPr>
                <w:rFonts w:ascii="Verdana" w:hAnsi="Verdana"/>
                <w:sz w:val="18"/>
              </w:rPr>
            </w:pPr>
            <w:r w:rsidRPr="00F10222">
              <w:rPr>
                <w:rFonts w:ascii="Verdana" w:hAnsi="Verdana"/>
                <w:sz w:val="18"/>
              </w:rPr>
              <w:t>• potwierdzenie, że rozwiązanie jest dostępne w oferowanej wersji systemu i nie wymaga dodatkowych modułów licencyjnych</w:t>
            </w:r>
          </w:p>
        </w:tc>
        <w:tc>
          <w:tcPr>
            <w:tcW w:w="3008" w:type="dxa"/>
            <w:tcBorders>
              <w:top w:val="single" w:sz="4" w:space="0" w:color="auto"/>
              <w:left w:val="single" w:sz="4" w:space="0" w:color="auto"/>
              <w:bottom w:val="single" w:sz="4" w:space="0" w:color="auto"/>
              <w:right w:val="single" w:sz="4" w:space="0" w:color="auto"/>
            </w:tcBorders>
          </w:tcPr>
          <w:p w14:paraId="13124AA3" w14:textId="111C4238" w:rsidR="00126226" w:rsidRPr="00126226" w:rsidRDefault="00126226" w:rsidP="00126226">
            <w:pPr>
              <w:spacing w:line="276" w:lineRule="auto"/>
              <w:rPr>
                <w:rFonts w:ascii="Verdana" w:hAnsi="Verdana"/>
                <w:sz w:val="18"/>
              </w:rPr>
            </w:pPr>
            <w:r w:rsidRPr="00126226">
              <w:rPr>
                <w:rFonts w:ascii="Verdana" w:hAnsi="Verdana"/>
                <w:sz w:val="18"/>
              </w:rPr>
              <w:t>Za każde</w:t>
            </w:r>
            <w:r w:rsidR="003000A5">
              <w:rPr>
                <w:rFonts w:ascii="Verdana" w:hAnsi="Verdana"/>
                <w:sz w:val="18"/>
              </w:rPr>
              <w:t xml:space="preserve"> dodatkowe,</w:t>
            </w:r>
            <w:r w:rsidRPr="00126226">
              <w:rPr>
                <w:rFonts w:ascii="Verdana" w:hAnsi="Verdana"/>
                <w:sz w:val="18"/>
              </w:rPr>
              <w:t xml:space="preserve"> odrębne, wbudowane i działające produkcyjnie rozwiązanie oparte na sztucznej inteligencji, wspierające procesy kliniczne, administracyjne lub analityczne – </w:t>
            </w:r>
            <w:r w:rsidR="00265C19">
              <w:rPr>
                <w:rFonts w:ascii="Verdana" w:hAnsi="Verdana"/>
                <w:b/>
                <w:bCs/>
                <w:sz w:val="18"/>
              </w:rPr>
              <w:t>1 pkt</w:t>
            </w:r>
            <w:r w:rsidR="00F10222">
              <w:rPr>
                <w:rFonts w:ascii="Verdana" w:hAnsi="Verdana"/>
                <w:sz w:val="18"/>
              </w:rPr>
              <w:br/>
            </w:r>
          </w:p>
          <w:p w14:paraId="4E379F9F" w14:textId="1EAD8581" w:rsidR="00126226" w:rsidRDefault="00126226" w:rsidP="00126226">
            <w:pPr>
              <w:spacing w:line="276" w:lineRule="auto"/>
              <w:rPr>
                <w:rFonts w:ascii="Verdana" w:hAnsi="Verdana"/>
                <w:sz w:val="18"/>
              </w:rPr>
            </w:pPr>
            <w:r w:rsidRPr="00126226">
              <w:rPr>
                <w:rFonts w:ascii="Verdana" w:hAnsi="Verdana"/>
                <w:sz w:val="18"/>
              </w:rPr>
              <w:t xml:space="preserve">Maksymalna liczba punktów: </w:t>
            </w:r>
            <w:r w:rsidRPr="0001152D">
              <w:rPr>
                <w:rFonts w:ascii="Verdana" w:hAnsi="Verdana"/>
                <w:b/>
                <w:bCs/>
                <w:sz w:val="18"/>
              </w:rPr>
              <w:t>10 pkt</w:t>
            </w:r>
          </w:p>
        </w:tc>
        <w:tc>
          <w:tcPr>
            <w:tcW w:w="2891" w:type="dxa"/>
            <w:tcBorders>
              <w:top w:val="single" w:sz="4" w:space="0" w:color="auto"/>
              <w:left w:val="single" w:sz="4" w:space="0" w:color="auto"/>
              <w:bottom w:val="single" w:sz="4" w:space="0" w:color="auto"/>
              <w:right w:val="single" w:sz="4" w:space="0" w:color="auto"/>
            </w:tcBorders>
          </w:tcPr>
          <w:p w14:paraId="46F37B04" w14:textId="277CB77B" w:rsidR="00126226" w:rsidRDefault="00126226" w:rsidP="00126226">
            <w:pPr>
              <w:spacing w:line="276" w:lineRule="auto"/>
              <w:rPr>
                <w:rFonts w:ascii="Verdana" w:hAnsi="Verdana"/>
                <w:sz w:val="18"/>
              </w:rPr>
            </w:pPr>
            <w:r>
              <w:rPr>
                <w:rFonts w:ascii="Verdana" w:hAnsi="Verdana"/>
                <w:sz w:val="18"/>
              </w:rPr>
              <w:t>TAK - podać</w:t>
            </w:r>
          </w:p>
        </w:tc>
      </w:tr>
    </w:tbl>
    <w:p w14:paraId="7FCF40A2" w14:textId="0371F24E" w:rsidR="00CC7138" w:rsidRDefault="00CC7138" w:rsidP="00CC7138">
      <w:pPr>
        <w:pBdr>
          <w:top w:val="nil"/>
          <w:left w:val="nil"/>
          <w:bottom w:val="nil"/>
          <w:right w:val="nil"/>
          <w:between w:val="nil"/>
        </w:pBdr>
        <w:spacing w:after="0" w:line="240" w:lineRule="auto"/>
        <w:jc w:val="both"/>
        <w:rPr>
          <w:rFonts w:asciiTheme="majorHAnsi" w:hAnsiTheme="majorHAnsi" w:cstheme="majorHAnsi"/>
          <w:color w:val="000000"/>
        </w:rPr>
      </w:pPr>
    </w:p>
    <w:p w14:paraId="4569487E" w14:textId="730EDF6A" w:rsidR="0077212F" w:rsidRDefault="0077212F" w:rsidP="00CC7138">
      <w:pPr>
        <w:pBdr>
          <w:top w:val="nil"/>
          <w:left w:val="nil"/>
          <w:bottom w:val="nil"/>
          <w:right w:val="nil"/>
          <w:between w:val="nil"/>
        </w:pBdr>
        <w:spacing w:after="0" w:line="240" w:lineRule="auto"/>
        <w:jc w:val="both"/>
        <w:rPr>
          <w:rFonts w:asciiTheme="majorHAnsi" w:hAnsiTheme="majorHAnsi" w:cstheme="majorHAnsi"/>
          <w:color w:val="000000"/>
        </w:rPr>
      </w:pPr>
    </w:p>
    <w:p w14:paraId="1C9DD6F4" w14:textId="6697A3DD" w:rsidR="0077212F" w:rsidRPr="0077212F" w:rsidRDefault="0077212F" w:rsidP="0077212F">
      <w:pPr>
        <w:pBdr>
          <w:top w:val="nil"/>
          <w:left w:val="nil"/>
          <w:bottom w:val="nil"/>
          <w:right w:val="nil"/>
          <w:between w:val="nil"/>
        </w:pBdr>
        <w:spacing w:line="240" w:lineRule="auto"/>
        <w:jc w:val="both"/>
        <w:rPr>
          <w:rFonts w:asciiTheme="majorHAnsi" w:hAnsiTheme="majorHAnsi" w:cstheme="majorHAnsi"/>
          <w:b/>
          <w:color w:val="000000"/>
          <w:u w:val="single"/>
        </w:rPr>
      </w:pPr>
      <w:r w:rsidRPr="0077212F">
        <w:rPr>
          <w:rFonts w:asciiTheme="majorHAnsi" w:hAnsiTheme="majorHAnsi" w:cstheme="majorHAnsi"/>
          <w:b/>
          <w:color w:val="000000"/>
          <w:u w:val="single"/>
        </w:rPr>
        <w:t>Załączniki:</w:t>
      </w:r>
    </w:p>
    <w:p w14:paraId="627654BD" w14:textId="4D5BE68E" w:rsidR="0077212F" w:rsidRPr="0077212F" w:rsidRDefault="0077212F" w:rsidP="00CC7138">
      <w:pPr>
        <w:pBdr>
          <w:top w:val="nil"/>
          <w:left w:val="nil"/>
          <w:bottom w:val="nil"/>
          <w:right w:val="nil"/>
          <w:between w:val="nil"/>
        </w:pBdr>
        <w:spacing w:after="0" w:line="240" w:lineRule="auto"/>
        <w:jc w:val="both"/>
        <w:rPr>
          <w:rFonts w:asciiTheme="majorHAnsi" w:hAnsiTheme="majorHAnsi" w:cstheme="majorHAnsi"/>
          <w:b/>
          <w:color w:val="000000"/>
        </w:rPr>
      </w:pPr>
      <w:r>
        <w:rPr>
          <w:rFonts w:asciiTheme="majorHAnsi" w:hAnsiTheme="majorHAnsi" w:cstheme="majorHAnsi"/>
          <w:b/>
          <w:color w:val="000000"/>
        </w:rPr>
        <w:t xml:space="preserve">1) </w:t>
      </w:r>
      <w:r w:rsidRPr="0077212F">
        <w:rPr>
          <w:rFonts w:asciiTheme="majorHAnsi" w:hAnsiTheme="majorHAnsi" w:cstheme="majorHAnsi"/>
          <w:b/>
          <w:color w:val="000000"/>
        </w:rPr>
        <w:t xml:space="preserve">Wykaz aparatury medycznej posiadanej </w:t>
      </w:r>
      <w:bookmarkStart w:id="13" w:name="_GoBack"/>
      <w:bookmarkEnd w:id="13"/>
      <w:r w:rsidRPr="0077212F">
        <w:rPr>
          <w:rFonts w:asciiTheme="majorHAnsi" w:hAnsiTheme="majorHAnsi" w:cstheme="majorHAnsi"/>
          <w:b/>
          <w:color w:val="000000"/>
        </w:rPr>
        <w:t>przez Zamawiającego</w:t>
      </w:r>
      <w:r>
        <w:rPr>
          <w:rFonts w:asciiTheme="majorHAnsi" w:hAnsiTheme="majorHAnsi" w:cstheme="majorHAnsi"/>
          <w:b/>
          <w:color w:val="000000"/>
        </w:rPr>
        <w:t>.</w:t>
      </w:r>
    </w:p>
    <w:sectPr w:rsidR="0077212F" w:rsidRPr="0077212F" w:rsidSect="00265C19">
      <w:head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AE21D" w14:textId="77777777" w:rsidR="00A96B7D" w:rsidRDefault="00A96B7D" w:rsidP="00265C19">
      <w:pPr>
        <w:spacing w:after="0" w:line="240" w:lineRule="auto"/>
      </w:pPr>
      <w:r>
        <w:separator/>
      </w:r>
    </w:p>
  </w:endnote>
  <w:endnote w:type="continuationSeparator" w:id="0">
    <w:p w14:paraId="2DE833FC" w14:textId="77777777" w:rsidR="00A96B7D" w:rsidRDefault="00A96B7D" w:rsidP="00265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7ADAC" w14:textId="77777777" w:rsidR="00A96B7D" w:rsidRDefault="00A96B7D" w:rsidP="00265C19">
      <w:pPr>
        <w:spacing w:after="0" w:line="240" w:lineRule="auto"/>
      </w:pPr>
      <w:r>
        <w:separator/>
      </w:r>
    </w:p>
  </w:footnote>
  <w:footnote w:type="continuationSeparator" w:id="0">
    <w:p w14:paraId="51FDC3DE" w14:textId="77777777" w:rsidR="00A96B7D" w:rsidRDefault="00A96B7D" w:rsidP="00265C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7968D" w14:textId="22FA1870" w:rsidR="00265C19" w:rsidRDefault="00265C19" w:rsidP="00265C19">
    <w:pPr>
      <w:pStyle w:val="Nagwek"/>
      <w:jc w:val="center"/>
    </w:pPr>
    <w:r>
      <w:rPr>
        <w:noProof/>
        <w:lang w:eastAsia="pl-PL"/>
      </w:rPr>
      <w:drawing>
        <wp:inline distT="0" distB="0" distL="0" distR="0" wp14:anchorId="6F884A0A" wp14:editId="5A8D5B2A">
          <wp:extent cx="5759450" cy="580262"/>
          <wp:effectExtent l="0" t="0" r="0" b="0"/>
          <wp:docPr id="12" name="Obraz 12" descr="Logo Fundusze Europejskie dla Wielkopolski. Flaga Polski, napis Rzeczpospolita Polska. Flaga Unii Europejskiej, napis Dofinansowane przez Unię Europejską. Herb Samorządu Województwa Wielkopolskiego."/>
          <wp:cNvGraphicFramePr/>
          <a:graphic xmlns:a="http://schemas.openxmlformats.org/drawingml/2006/main">
            <a:graphicData uri="http://schemas.openxmlformats.org/drawingml/2006/picture">
              <pic:pic xmlns:pic="http://schemas.openxmlformats.org/drawingml/2006/picture">
                <pic:nvPicPr>
                  <pic:cNvPr id="12" name="Obraz 12" descr="Logo Fundusze Europejskie dla Wielkopolski. Flaga Polski, napis Rzeczpospolita Polska. Flaga Unii Europejskiej, napis Dofinansowane przez Unię Europejską. Herb Samorządu Województwa Wielk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802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0E41"/>
    <w:multiLevelType w:val="hybridMultilevel"/>
    <w:tmpl w:val="9034C35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BB7ACB"/>
    <w:multiLevelType w:val="hybridMultilevel"/>
    <w:tmpl w:val="346C8D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126BFF"/>
    <w:multiLevelType w:val="multilevel"/>
    <w:tmpl w:val="B20C0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9452B0"/>
    <w:multiLevelType w:val="hybridMultilevel"/>
    <w:tmpl w:val="086C95BE"/>
    <w:lvl w:ilvl="0" w:tplc="DC321F42">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FD22BC"/>
    <w:multiLevelType w:val="multilevel"/>
    <w:tmpl w:val="3398B15E"/>
    <w:lvl w:ilvl="0">
      <w:start w:val="1"/>
      <w:numFmt w:val="decimal"/>
      <w:lvlText w:val="%1."/>
      <w:lvlJc w:val="left"/>
      <w:pPr>
        <w:ind w:left="360" w:hanging="360"/>
      </w:pPr>
      <w:rPr>
        <w:rFonts w:hint="default"/>
      </w:rPr>
    </w:lvl>
    <w:lvl w:ilvl="1">
      <w:start w:val="1"/>
      <w:numFmt w:val="decimal"/>
      <w:suff w:val="space"/>
      <w:lvlText w:val="%1.%2."/>
      <w:lvlJc w:val="left"/>
      <w:pPr>
        <w:ind w:left="380" w:hanging="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C04906"/>
    <w:multiLevelType w:val="hybridMultilevel"/>
    <w:tmpl w:val="585C1E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594F88"/>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D3660A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C16A18"/>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24800840"/>
    <w:multiLevelType w:val="multilevel"/>
    <w:tmpl w:val="66B83D38"/>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527E62"/>
    <w:multiLevelType w:val="multilevel"/>
    <w:tmpl w:val="9C248F18"/>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7C96730"/>
    <w:multiLevelType w:val="hybridMultilevel"/>
    <w:tmpl w:val="CE80BC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8875051"/>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BC37AC8"/>
    <w:multiLevelType w:val="hybridMultilevel"/>
    <w:tmpl w:val="5066B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71070F0"/>
    <w:multiLevelType w:val="hybridMultilevel"/>
    <w:tmpl w:val="D30AB6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D6D1FAB"/>
    <w:multiLevelType w:val="singleLevel"/>
    <w:tmpl w:val="B7E2D00C"/>
    <w:name w:val="WW8Num12"/>
    <w:lvl w:ilvl="0">
      <w:start w:val="1"/>
      <w:numFmt w:val="decimal"/>
      <w:lvlText w:val="%1."/>
      <w:lvlJc w:val="left"/>
      <w:pPr>
        <w:tabs>
          <w:tab w:val="num" w:pos="360"/>
        </w:tabs>
        <w:ind w:left="360" w:hanging="360"/>
      </w:pPr>
      <w:rPr>
        <w:rFonts w:asciiTheme="minorHAnsi" w:hAnsiTheme="minorHAnsi" w:cstheme="minorHAnsi" w:hint="default"/>
        <w:b w:val="0"/>
        <w:sz w:val="22"/>
        <w:szCs w:val="22"/>
      </w:rPr>
    </w:lvl>
  </w:abstractNum>
  <w:abstractNum w:abstractNumId="16" w15:restartNumberingAfterBreak="0">
    <w:nsid w:val="56153BF3"/>
    <w:multiLevelType w:val="multilevel"/>
    <w:tmpl w:val="F6D283F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5C684401"/>
    <w:multiLevelType w:val="hybridMultilevel"/>
    <w:tmpl w:val="4636D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081718D"/>
    <w:multiLevelType w:val="hybridMultilevel"/>
    <w:tmpl w:val="DD30FE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1204986"/>
    <w:multiLevelType w:val="hybridMultilevel"/>
    <w:tmpl w:val="9D1A73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4A038D"/>
    <w:multiLevelType w:val="multilevel"/>
    <w:tmpl w:val="DF36C5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5CF751F"/>
    <w:multiLevelType w:val="multilevel"/>
    <w:tmpl w:val="F6D283F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CB52EE"/>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 w15:restartNumberingAfterBreak="0">
    <w:nsid w:val="67C711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6B6EE9"/>
    <w:multiLevelType w:val="hybridMultilevel"/>
    <w:tmpl w:val="CA0CA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FF1343C"/>
    <w:multiLevelType w:val="multilevel"/>
    <w:tmpl w:val="4B28D1C8"/>
    <w:lvl w:ilvl="0">
      <w:start w:val="1"/>
      <w:numFmt w:val="decimal"/>
      <w:lvlText w:val="%1."/>
      <w:lvlJc w:val="left"/>
      <w:pPr>
        <w:ind w:left="1495" w:hanging="360"/>
      </w:pPr>
    </w:lvl>
    <w:lvl w:ilvl="1">
      <w:start w:val="2"/>
      <w:numFmt w:val="bullet"/>
      <w:lvlText w:val="•"/>
      <w:lvlJc w:val="left"/>
      <w:pPr>
        <w:ind w:left="1440" w:hanging="360"/>
      </w:pPr>
      <w:rPr>
        <w:rFonts w:ascii="Calibri" w:eastAsia="Calibri" w:hAnsi="Calibri" w:cs="Calibri"/>
      </w:rPr>
    </w:lvl>
    <w:lvl w:ilvl="2">
      <w:start w:va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80A73D7"/>
    <w:multiLevelType w:val="hybridMultilevel"/>
    <w:tmpl w:val="929A8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13"/>
  </w:num>
  <w:num w:numId="4">
    <w:abstractNumId w:val="17"/>
  </w:num>
  <w:num w:numId="5">
    <w:abstractNumId w:val="12"/>
  </w:num>
  <w:num w:numId="6">
    <w:abstractNumId w:val="6"/>
  </w:num>
  <w:num w:numId="7">
    <w:abstractNumId w:val="0"/>
  </w:num>
  <w:num w:numId="8">
    <w:abstractNumId w:val="5"/>
  </w:num>
  <w:num w:numId="9">
    <w:abstractNumId w:val="11"/>
  </w:num>
  <w:num w:numId="10">
    <w:abstractNumId w:val="23"/>
  </w:num>
  <w:num w:numId="11">
    <w:abstractNumId w:val="8"/>
  </w:num>
  <w:num w:numId="12">
    <w:abstractNumId w:val="25"/>
  </w:num>
  <w:num w:numId="13">
    <w:abstractNumId w:val="14"/>
  </w:num>
  <w:num w:numId="14">
    <w:abstractNumId w:val="18"/>
  </w:num>
  <w:num w:numId="15">
    <w:abstractNumId w:val="10"/>
  </w:num>
  <w:num w:numId="16">
    <w:abstractNumId w:val="9"/>
  </w:num>
  <w:num w:numId="17">
    <w:abstractNumId w:val="21"/>
  </w:num>
  <w:num w:numId="18">
    <w:abstractNumId w:val="2"/>
  </w:num>
  <w:num w:numId="19">
    <w:abstractNumId w:val="26"/>
  </w:num>
  <w:num w:numId="20">
    <w:abstractNumId w:val="16"/>
  </w:num>
  <w:num w:numId="21">
    <w:abstractNumId w:val="24"/>
  </w:num>
  <w:num w:numId="22">
    <w:abstractNumId w:val="19"/>
  </w:num>
  <w:num w:numId="23">
    <w:abstractNumId w:val="7"/>
  </w:num>
  <w:num w:numId="24">
    <w:abstractNumId w:val="4"/>
  </w:num>
  <w:num w:numId="25">
    <w:abstractNumId w:val="22"/>
  </w:num>
  <w:num w:numId="2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54A"/>
    <w:rsid w:val="00005B5C"/>
    <w:rsid w:val="0001152D"/>
    <w:rsid w:val="0004370B"/>
    <w:rsid w:val="00061757"/>
    <w:rsid w:val="00061E51"/>
    <w:rsid w:val="0007422C"/>
    <w:rsid w:val="000774C5"/>
    <w:rsid w:val="000A254A"/>
    <w:rsid w:val="000D03B7"/>
    <w:rsid w:val="000D651D"/>
    <w:rsid w:val="00111C77"/>
    <w:rsid w:val="00126226"/>
    <w:rsid w:val="00131B43"/>
    <w:rsid w:val="00146070"/>
    <w:rsid w:val="00160E28"/>
    <w:rsid w:val="001763C8"/>
    <w:rsid w:val="00184D1D"/>
    <w:rsid w:val="00195FDF"/>
    <w:rsid w:val="00197712"/>
    <w:rsid w:val="001A66F9"/>
    <w:rsid w:val="001B1CA1"/>
    <w:rsid w:val="001E0E14"/>
    <w:rsid w:val="001F0CD1"/>
    <w:rsid w:val="001F39A5"/>
    <w:rsid w:val="001F7367"/>
    <w:rsid w:val="002251F9"/>
    <w:rsid w:val="002470EC"/>
    <w:rsid w:val="002538F5"/>
    <w:rsid w:val="00254F7A"/>
    <w:rsid w:val="00263AD0"/>
    <w:rsid w:val="00265C19"/>
    <w:rsid w:val="00271533"/>
    <w:rsid w:val="002B4518"/>
    <w:rsid w:val="002C01D7"/>
    <w:rsid w:val="002D7876"/>
    <w:rsid w:val="003000A5"/>
    <w:rsid w:val="00310790"/>
    <w:rsid w:val="00321240"/>
    <w:rsid w:val="0032156F"/>
    <w:rsid w:val="00342EB7"/>
    <w:rsid w:val="003531B9"/>
    <w:rsid w:val="00356BBE"/>
    <w:rsid w:val="0037608A"/>
    <w:rsid w:val="003933FE"/>
    <w:rsid w:val="003B618F"/>
    <w:rsid w:val="003C25F0"/>
    <w:rsid w:val="003D1C10"/>
    <w:rsid w:val="003F4838"/>
    <w:rsid w:val="003F497D"/>
    <w:rsid w:val="003F5167"/>
    <w:rsid w:val="003F6990"/>
    <w:rsid w:val="0041110F"/>
    <w:rsid w:val="00414521"/>
    <w:rsid w:val="00476CEC"/>
    <w:rsid w:val="004C18C6"/>
    <w:rsid w:val="004E160B"/>
    <w:rsid w:val="004E5221"/>
    <w:rsid w:val="00517D2A"/>
    <w:rsid w:val="00532932"/>
    <w:rsid w:val="005574A1"/>
    <w:rsid w:val="00563814"/>
    <w:rsid w:val="00575A2D"/>
    <w:rsid w:val="00580750"/>
    <w:rsid w:val="005808C0"/>
    <w:rsid w:val="005C59BE"/>
    <w:rsid w:val="005C59D0"/>
    <w:rsid w:val="005D2E4E"/>
    <w:rsid w:val="005D7CAD"/>
    <w:rsid w:val="005F68AB"/>
    <w:rsid w:val="0061482E"/>
    <w:rsid w:val="0065123A"/>
    <w:rsid w:val="00657540"/>
    <w:rsid w:val="00664003"/>
    <w:rsid w:val="00666E29"/>
    <w:rsid w:val="0067437D"/>
    <w:rsid w:val="00674B66"/>
    <w:rsid w:val="006B1FF4"/>
    <w:rsid w:val="006B2195"/>
    <w:rsid w:val="006C1522"/>
    <w:rsid w:val="006D1ED7"/>
    <w:rsid w:val="006E6CFA"/>
    <w:rsid w:val="006F5A4B"/>
    <w:rsid w:val="00702141"/>
    <w:rsid w:val="007328A7"/>
    <w:rsid w:val="00733D99"/>
    <w:rsid w:val="00741545"/>
    <w:rsid w:val="0074405F"/>
    <w:rsid w:val="00747870"/>
    <w:rsid w:val="00750EE9"/>
    <w:rsid w:val="0077212F"/>
    <w:rsid w:val="00784FB0"/>
    <w:rsid w:val="0078630E"/>
    <w:rsid w:val="00793BA7"/>
    <w:rsid w:val="007A78A3"/>
    <w:rsid w:val="007B5806"/>
    <w:rsid w:val="007B644B"/>
    <w:rsid w:val="007E25A4"/>
    <w:rsid w:val="007E2987"/>
    <w:rsid w:val="00802DF4"/>
    <w:rsid w:val="00803A1E"/>
    <w:rsid w:val="00861EE6"/>
    <w:rsid w:val="00867374"/>
    <w:rsid w:val="00880B0C"/>
    <w:rsid w:val="008834D9"/>
    <w:rsid w:val="008A0AE6"/>
    <w:rsid w:val="008B05FC"/>
    <w:rsid w:val="008B07BF"/>
    <w:rsid w:val="008C4FAB"/>
    <w:rsid w:val="008C666F"/>
    <w:rsid w:val="008C76E2"/>
    <w:rsid w:val="008D23A6"/>
    <w:rsid w:val="008D30BF"/>
    <w:rsid w:val="008E334D"/>
    <w:rsid w:val="00915855"/>
    <w:rsid w:val="00923A18"/>
    <w:rsid w:val="00930834"/>
    <w:rsid w:val="009361A5"/>
    <w:rsid w:val="00941261"/>
    <w:rsid w:val="00960A66"/>
    <w:rsid w:val="00960FF6"/>
    <w:rsid w:val="00977793"/>
    <w:rsid w:val="0099635C"/>
    <w:rsid w:val="00997D69"/>
    <w:rsid w:val="009C0F2B"/>
    <w:rsid w:val="009C2316"/>
    <w:rsid w:val="009D0D60"/>
    <w:rsid w:val="009F0747"/>
    <w:rsid w:val="009F2148"/>
    <w:rsid w:val="00A136B2"/>
    <w:rsid w:val="00A153CD"/>
    <w:rsid w:val="00A269A6"/>
    <w:rsid w:val="00A53F7F"/>
    <w:rsid w:val="00A7085D"/>
    <w:rsid w:val="00A7621F"/>
    <w:rsid w:val="00A8074A"/>
    <w:rsid w:val="00A90DEA"/>
    <w:rsid w:val="00A96B7D"/>
    <w:rsid w:val="00AA3085"/>
    <w:rsid w:val="00AA5785"/>
    <w:rsid w:val="00AA7CF2"/>
    <w:rsid w:val="00AB0826"/>
    <w:rsid w:val="00AB4B40"/>
    <w:rsid w:val="00AB57BD"/>
    <w:rsid w:val="00AD5DDE"/>
    <w:rsid w:val="00B0055E"/>
    <w:rsid w:val="00B00822"/>
    <w:rsid w:val="00B030F7"/>
    <w:rsid w:val="00B22BB1"/>
    <w:rsid w:val="00B3102B"/>
    <w:rsid w:val="00B33271"/>
    <w:rsid w:val="00B417E9"/>
    <w:rsid w:val="00B5254A"/>
    <w:rsid w:val="00B53CE0"/>
    <w:rsid w:val="00B55037"/>
    <w:rsid w:val="00B644BC"/>
    <w:rsid w:val="00B74B8D"/>
    <w:rsid w:val="00B76DAA"/>
    <w:rsid w:val="00B80EB9"/>
    <w:rsid w:val="00BB601C"/>
    <w:rsid w:val="00BB61E8"/>
    <w:rsid w:val="00C11CF9"/>
    <w:rsid w:val="00C1416C"/>
    <w:rsid w:val="00C20750"/>
    <w:rsid w:val="00C208DD"/>
    <w:rsid w:val="00C24799"/>
    <w:rsid w:val="00C37D21"/>
    <w:rsid w:val="00C52E22"/>
    <w:rsid w:val="00C633DE"/>
    <w:rsid w:val="00C73748"/>
    <w:rsid w:val="00C806F3"/>
    <w:rsid w:val="00C97E91"/>
    <w:rsid w:val="00CA05FF"/>
    <w:rsid w:val="00CB3017"/>
    <w:rsid w:val="00CB42CD"/>
    <w:rsid w:val="00CB5856"/>
    <w:rsid w:val="00CC3C52"/>
    <w:rsid w:val="00CC7138"/>
    <w:rsid w:val="00D12A39"/>
    <w:rsid w:val="00D2774C"/>
    <w:rsid w:val="00D53DAC"/>
    <w:rsid w:val="00D628AF"/>
    <w:rsid w:val="00D77FB6"/>
    <w:rsid w:val="00D90008"/>
    <w:rsid w:val="00D958DF"/>
    <w:rsid w:val="00D966F6"/>
    <w:rsid w:val="00DA7C1A"/>
    <w:rsid w:val="00DC0A90"/>
    <w:rsid w:val="00DE7FFE"/>
    <w:rsid w:val="00DF1131"/>
    <w:rsid w:val="00DF5D42"/>
    <w:rsid w:val="00E00446"/>
    <w:rsid w:val="00E40433"/>
    <w:rsid w:val="00E44E1A"/>
    <w:rsid w:val="00E4524E"/>
    <w:rsid w:val="00E70796"/>
    <w:rsid w:val="00E83123"/>
    <w:rsid w:val="00EA6966"/>
    <w:rsid w:val="00EC05F6"/>
    <w:rsid w:val="00EC59C9"/>
    <w:rsid w:val="00EF5D77"/>
    <w:rsid w:val="00F10222"/>
    <w:rsid w:val="00F371FF"/>
    <w:rsid w:val="00F52DE3"/>
    <w:rsid w:val="00F561C8"/>
    <w:rsid w:val="00F730C1"/>
    <w:rsid w:val="00F97CBC"/>
    <w:rsid w:val="00FA7C74"/>
    <w:rsid w:val="00FC3659"/>
    <w:rsid w:val="00FC4CB9"/>
    <w:rsid w:val="00FC7FC0"/>
    <w:rsid w:val="00FD23DE"/>
    <w:rsid w:val="00FE4C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377D3"/>
  <w15:chartTrackingRefBased/>
  <w15:docId w15:val="{E7430863-6E27-4597-BB2B-FFAAC6E9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0A254A"/>
    <w:pPr>
      <w:keepNext/>
      <w:keepLines/>
      <w:spacing w:before="240" w:after="0"/>
      <w:outlineLvl w:val="0"/>
    </w:pPr>
    <w:rPr>
      <w:rFonts w:ascii="Calibri" w:eastAsia="Calibri" w:hAnsi="Calibri" w:cs="Calibri"/>
      <w:color w:val="2E75B5"/>
      <w:sz w:val="32"/>
      <w:szCs w:val="32"/>
      <w:lang w:val="pl" w:eastAsia="pl-PL"/>
    </w:rPr>
  </w:style>
  <w:style w:type="paragraph" w:styleId="Nagwek2">
    <w:name w:val="heading 2"/>
    <w:basedOn w:val="Normalny"/>
    <w:next w:val="Normalny"/>
    <w:link w:val="Nagwek2Znak"/>
    <w:uiPriority w:val="9"/>
    <w:unhideWhenUsed/>
    <w:qFormat/>
    <w:rsid w:val="000A25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0A25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8C66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A254A"/>
    <w:rPr>
      <w:rFonts w:ascii="Calibri" w:eastAsia="Calibri" w:hAnsi="Calibri" w:cs="Calibri"/>
      <w:color w:val="2E75B5"/>
      <w:sz w:val="32"/>
      <w:szCs w:val="32"/>
      <w:lang w:val="pl" w:eastAsia="pl-PL"/>
    </w:rPr>
  </w:style>
  <w:style w:type="paragraph" w:styleId="Akapitzlist">
    <w:name w:val="List Paragraph"/>
    <w:aliases w:val="Numerowanie,List Paragraph,Akapit z listą BS,Kolorowa lista — akcent 11,Bulleted list,L1,Akapit z listą5,Odstavec,Podsis rysunku,sw tekst,normalny tekst,ISCG Numerowanie,lp1,Preambuła,Colorful Shading - Accent 31,Light List - Accent 51"/>
    <w:basedOn w:val="Normalny"/>
    <w:link w:val="AkapitzlistZnak"/>
    <w:qFormat/>
    <w:rsid w:val="000A254A"/>
    <w:pPr>
      <w:ind w:left="720"/>
      <w:contextualSpacing/>
    </w:pPr>
  </w:style>
  <w:style w:type="character" w:customStyle="1" w:styleId="Nagwek2Znak">
    <w:name w:val="Nagłówek 2 Znak"/>
    <w:basedOn w:val="Domylnaczcionkaakapitu"/>
    <w:link w:val="Nagwek2"/>
    <w:uiPriority w:val="9"/>
    <w:rsid w:val="000A254A"/>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0A254A"/>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8C666F"/>
    <w:rPr>
      <w:rFonts w:asciiTheme="majorHAnsi" w:eastAsiaTheme="majorEastAsia" w:hAnsiTheme="majorHAnsi" w:cstheme="majorBidi"/>
      <w:i/>
      <w:iCs/>
      <w:color w:val="2F5496" w:themeColor="accent1" w:themeShade="BF"/>
    </w:rPr>
  </w:style>
  <w:style w:type="character" w:styleId="Odwoaniedokomentarza">
    <w:name w:val="annotation reference"/>
    <w:basedOn w:val="Domylnaczcionkaakapitu"/>
    <w:uiPriority w:val="99"/>
    <w:semiHidden/>
    <w:unhideWhenUsed/>
    <w:rsid w:val="001763C8"/>
    <w:rPr>
      <w:sz w:val="16"/>
      <w:szCs w:val="16"/>
    </w:rPr>
  </w:style>
  <w:style w:type="paragraph" w:styleId="Tekstkomentarza">
    <w:name w:val="annotation text"/>
    <w:basedOn w:val="Normalny"/>
    <w:link w:val="TekstkomentarzaZnak"/>
    <w:uiPriority w:val="99"/>
    <w:unhideWhenUsed/>
    <w:rsid w:val="001763C8"/>
    <w:pPr>
      <w:spacing w:line="240" w:lineRule="auto"/>
    </w:pPr>
    <w:rPr>
      <w:sz w:val="20"/>
      <w:szCs w:val="20"/>
    </w:rPr>
  </w:style>
  <w:style w:type="character" w:customStyle="1" w:styleId="TekstkomentarzaZnak">
    <w:name w:val="Tekst komentarza Znak"/>
    <w:basedOn w:val="Domylnaczcionkaakapitu"/>
    <w:link w:val="Tekstkomentarza"/>
    <w:uiPriority w:val="99"/>
    <w:rsid w:val="001763C8"/>
    <w:rPr>
      <w:sz w:val="20"/>
      <w:szCs w:val="20"/>
    </w:rPr>
  </w:style>
  <w:style w:type="paragraph" w:styleId="Tematkomentarza">
    <w:name w:val="annotation subject"/>
    <w:basedOn w:val="Tekstkomentarza"/>
    <w:next w:val="Tekstkomentarza"/>
    <w:link w:val="TematkomentarzaZnak"/>
    <w:uiPriority w:val="99"/>
    <w:semiHidden/>
    <w:unhideWhenUsed/>
    <w:rsid w:val="001763C8"/>
    <w:rPr>
      <w:b/>
      <w:bCs/>
    </w:rPr>
  </w:style>
  <w:style w:type="character" w:customStyle="1" w:styleId="TematkomentarzaZnak">
    <w:name w:val="Temat komentarza Znak"/>
    <w:basedOn w:val="TekstkomentarzaZnak"/>
    <w:link w:val="Tematkomentarza"/>
    <w:uiPriority w:val="99"/>
    <w:semiHidden/>
    <w:rsid w:val="001763C8"/>
    <w:rPr>
      <w:b/>
      <w:bCs/>
      <w:sz w:val="20"/>
      <w:szCs w:val="20"/>
    </w:rPr>
  </w:style>
  <w:style w:type="table" w:styleId="Tabela-Siatka">
    <w:name w:val="Table Grid"/>
    <w:basedOn w:val="Standardowy"/>
    <w:uiPriority w:val="59"/>
    <w:rsid w:val="00CB3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Kolorowa lista — akcent 11 Znak,Bulleted list Znak,L1 Znak,Akapit z listą5 Znak,Odstavec Znak,Podsis rysunku Znak,sw tekst Znak,normalny tekst Znak,ISCG Numerowanie Znak"/>
    <w:link w:val="Akapitzlist"/>
    <w:qFormat/>
    <w:locked/>
    <w:rsid w:val="00CB3017"/>
  </w:style>
  <w:style w:type="paragraph" w:customStyle="1" w:styleId="Default">
    <w:name w:val="Default"/>
    <w:rsid w:val="00CB3017"/>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unhideWhenUsed/>
    <w:rsid w:val="00CB3017"/>
    <w:pPr>
      <w:spacing w:after="120" w:line="256" w:lineRule="auto"/>
      <w:jc w:val="both"/>
    </w:pPr>
    <w:rPr>
      <w:rFonts w:ascii="Cambria" w:eastAsia="MS Mincho" w:hAnsi="Cambria"/>
    </w:rPr>
  </w:style>
  <w:style w:type="character" w:customStyle="1" w:styleId="TekstpodstawowyZnak">
    <w:name w:val="Tekst podstawowy Znak"/>
    <w:basedOn w:val="Domylnaczcionkaakapitu"/>
    <w:link w:val="Tekstpodstawowy"/>
    <w:qFormat/>
    <w:rsid w:val="00CB3017"/>
    <w:rPr>
      <w:rFonts w:ascii="Cambria" w:eastAsia="MS Mincho" w:hAnsi="Cambria"/>
    </w:rPr>
  </w:style>
  <w:style w:type="paragraph" w:styleId="Tekstdymka">
    <w:name w:val="Balloon Text"/>
    <w:basedOn w:val="Normalny"/>
    <w:link w:val="TekstdymkaZnak"/>
    <w:uiPriority w:val="99"/>
    <w:semiHidden/>
    <w:unhideWhenUsed/>
    <w:rsid w:val="00CB30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B3017"/>
    <w:rPr>
      <w:rFonts w:ascii="Segoe UI" w:hAnsi="Segoe UI" w:cs="Segoe UI"/>
      <w:sz w:val="18"/>
      <w:szCs w:val="18"/>
    </w:rPr>
  </w:style>
  <w:style w:type="paragraph" w:styleId="Poprawka">
    <w:name w:val="Revision"/>
    <w:hidden/>
    <w:uiPriority w:val="99"/>
    <w:semiHidden/>
    <w:rsid w:val="00CB3017"/>
    <w:pPr>
      <w:spacing w:after="0" w:line="240" w:lineRule="auto"/>
    </w:pPr>
  </w:style>
  <w:style w:type="paragraph" w:styleId="Nagwek">
    <w:name w:val="header"/>
    <w:basedOn w:val="Normalny"/>
    <w:link w:val="NagwekZnak"/>
    <w:uiPriority w:val="99"/>
    <w:unhideWhenUsed/>
    <w:rsid w:val="00CB30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3017"/>
  </w:style>
  <w:style w:type="paragraph" w:styleId="Stopka">
    <w:name w:val="footer"/>
    <w:basedOn w:val="Normalny"/>
    <w:link w:val="StopkaZnak"/>
    <w:uiPriority w:val="99"/>
    <w:unhideWhenUsed/>
    <w:rsid w:val="00CB30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3017"/>
  </w:style>
  <w:style w:type="paragraph" w:styleId="Nagwekspisutreci">
    <w:name w:val="TOC Heading"/>
    <w:basedOn w:val="Nagwek1"/>
    <w:next w:val="Normalny"/>
    <w:uiPriority w:val="39"/>
    <w:unhideWhenUsed/>
    <w:qFormat/>
    <w:rsid w:val="00CB3017"/>
    <w:pPr>
      <w:outlineLvl w:val="9"/>
    </w:pPr>
    <w:rPr>
      <w:rFonts w:asciiTheme="majorHAnsi" w:eastAsiaTheme="majorEastAsia" w:hAnsiTheme="majorHAnsi" w:cstheme="majorBidi"/>
      <w:color w:val="2F5496" w:themeColor="accent1" w:themeShade="BF"/>
      <w:lang w:val="pl-PL"/>
    </w:rPr>
  </w:style>
  <w:style w:type="paragraph" w:styleId="Spistreci1">
    <w:name w:val="toc 1"/>
    <w:basedOn w:val="Normalny"/>
    <w:next w:val="Normalny"/>
    <w:autoRedefine/>
    <w:uiPriority w:val="39"/>
    <w:unhideWhenUsed/>
    <w:rsid w:val="00CB3017"/>
    <w:pPr>
      <w:spacing w:after="100"/>
    </w:pPr>
  </w:style>
  <w:style w:type="paragraph" w:styleId="Spistreci2">
    <w:name w:val="toc 2"/>
    <w:basedOn w:val="Normalny"/>
    <w:next w:val="Normalny"/>
    <w:autoRedefine/>
    <w:uiPriority w:val="39"/>
    <w:unhideWhenUsed/>
    <w:rsid w:val="00CB3017"/>
    <w:pPr>
      <w:spacing w:after="100"/>
      <w:ind w:left="220"/>
    </w:pPr>
  </w:style>
  <w:style w:type="paragraph" w:styleId="Spistreci3">
    <w:name w:val="toc 3"/>
    <w:basedOn w:val="Normalny"/>
    <w:next w:val="Normalny"/>
    <w:autoRedefine/>
    <w:uiPriority w:val="39"/>
    <w:unhideWhenUsed/>
    <w:rsid w:val="00CB3017"/>
    <w:pPr>
      <w:spacing w:after="100"/>
      <w:ind w:left="440"/>
    </w:pPr>
  </w:style>
  <w:style w:type="character" w:styleId="Hipercze">
    <w:name w:val="Hyperlink"/>
    <w:basedOn w:val="Domylnaczcionkaakapitu"/>
    <w:uiPriority w:val="99"/>
    <w:unhideWhenUsed/>
    <w:rsid w:val="00CB3017"/>
    <w:rPr>
      <w:color w:val="0563C1" w:themeColor="hyperlink"/>
      <w:u w:val="single"/>
    </w:rPr>
  </w:style>
  <w:style w:type="character" w:customStyle="1" w:styleId="FontStyle43">
    <w:name w:val="Font Style43"/>
    <w:basedOn w:val="Domylnaczcionkaakapitu"/>
    <w:uiPriority w:val="99"/>
    <w:rsid w:val="00CB3017"/>
    <w:rPr>
      <w:rFonts w:ascii="Times New Roman" w:hAnsi="Times New Roman" w:cs="Times New Roman" w:hint="default"/>
      <w:b/>
      <w:bCs/>
      <w:color w:val="000000"/>
      <w:sz w:val="26"/>
      <w:szCs w:val="26"/>
    </w:rPr>
  </w:style>
  <w:style w:type="character" w:styleId="Numerstrony">
    <w:name w:val="page number"/>
    <w:basedOn w:val="Domylnaczcionkaakapitu"/>
    <w:rsid w:val="00CB3017"/>
  </w:style>
  <w:style w:type="paragraph" w:customStyle="1" w:styleId="tekstwstpny">
    <w:name w:val="tekst wstępny"/>
    <w:basedOn w:val="Normalny"/>
    <w:rsid w:val="00CB3017"/>
    <w:pPr>
      <w:suppressAutoHyphens/>
      <w:spacing w:before="60" w:after="60" w:line="240" w:lineRule="auto"/>
    </w:pPr>
    <w:rPr>
      <w:rFonts w:ascii="Times New Roman" w:eastAsia="Times New Roman" w:hAnsi="Times New Roman" w:cs="Times New Roman"/>
      <w:sz w:val="20"/>
      <w:szCs w:val="20"/>
      <w:lang w:eastAsia="pl-PL"/>
    </w:rPr>
  </w:style>
  <w:style w:type="character" w:customStyle="1" w:styleId="fontstyle01">
    <w:name w:val="fontstyle01"/>
    <w:basedOn w:val="Domylnaczcionkaakapitu"/>
    <w:rsid w:val="00CB3017"/>
    <w:rPr>
      <w:rFonts w:ascii="Calibri" w:hAnsi="Calibri" w:cs="Calibri" w:hint="default"/>
      <w:b w:val="0"/>
      <w:bCs w:val="0"/>
      <w:i w:val="0"/>
      <w:iCs w:val="0"/>
      <w:color w:val="000000"/>
      <w:sz w:val="20"/>
      <w:szCs w:val="20"/>
    </w:rPr>
  </w:style>
  <w:style w:type="paragraph" w:customStyle="1" w:styleId="Style22">
    <w:name w:val="Style22"/>
    <w:basedOn w:val="Normalny"/>
    <w:uiPriority w:val="99"/>
    <w:rsid w:val="00CB3017"/>
    <w:pPr>
      <w:widowControl w:val="0"/>
      <w:autoSpaceDE w:val="0"/>
      <w:autoSpaceDN w:val="0"/>
      <w:adjustRightInd w:val="0"/>
      <w:spacing w:after="0" w:line="382" w:lineRule="exact"/>
      <w:ind w:hanging="341"/>
      <w:jc w:val="both"/>
    </w:pPr>
    <w:rPr>
      <w:rFonts w:ascii="Times New Roman" w:eastAsiaTheme="minorEastAsia" w:hAnsi="Times New Roman" w:cs="Times New Roman"/>
      <w:sz w:val="24"/>
      <w:szCs w:val="24"/>
      <w:lang w:eastAsia="pl-PL"/>
    </w:rPr>
  </w:style>
  <w:style w:type="character" w:customStyle="1" w:styleId="FontStyle52">
    <w:name w:val="Font Style52"/>
    <w:basedOn w:val="Domylnaczcionkaakapitu"/>
    <w:uiPriority w:val="99"/>
    <w:rsid w:val="00CB3017"/>
    <w:rPr>
      <w:rFonts w:ascii="Times New Roman" w:hAnsi="Times New Roman" w:cs="Times New Roman"/>
      <w:color w:val="000000"/>
      <w:sz w:val="20"/>
      <w:szCs w:val="20"/>
    </w:rPr>
  </w:style>
  <w:style w:type="paragraph" w:customStyle="1" w:styleId="Style9">
    <w:name w:val="Style9"/>
    <w:basedOn w:val="Normalny"/>
    <w:uiPriority w:val="99"/>
    <w:rsid w:val="00CB3017"/>
    <w:pPr>
      <w:widowControl w:val="0"/>
      <w:autoSpaceDE w:val="0"/>
      <w:autoSpaceDN w:val="0"/>
      <w:adjustRightInd w:val="0"/>
      <w:spacing w:after="0" w:line="381" w:lineRule="exact"/>
      <w:jc w:val="both"/>
    </w:pPr>
    <w:rPr>
      <w:rFonts w:ascii="Times New Roman" w:eastAsiaTheme="minorEastAsia" w:hAnsi="Times New Roman" w:cs="Times New Roman"/>
      <w:sz w:val="24"/>
      <w:szCs w:val="24"/>
      <w:lang w:eastAsia="pl-PL"/>
    </w:rPr>
  </w:style>
  <w:style w:type="character" w:customStyle="1" w:styleId="object">
    <w:name w:val="object"/>
    <w:basedOn w:val="Domylnaczcionkaakapitu"/>
    <w:rsid w:val="00CB3017"/>
  </w:style>
  <w:style w:type="paragraph" w:customStyle="1" w:styleId="W22">
    <w:name w:val="W22"/>
    <w:basedOn w:val="Normalny"/>
    <w:link w:val="W22Znak"/>
    <w:uiPriority w:val="99"/>
    <w:rsid w:val="00CB3017"/>
    <w:pPr>
      <w:spacing w:before="60" w:after="60" w:line="240" w:lineRule="auto"/>
    </w:pPr>
    <w:rPr>
      <w:rFonts w:ascii="Times New Roman" w:eastAsia="Times New Roman" w:hAnsi="Times New Roman" w:cs="Times New Roman"/>
      <w:sz w:val="24"/>
      <w:szCs w:val="20"/>
      <w:lang w:eastAsia="pl-PL"/>
    </w:rPr>
  </w:style>
  <w:style w:type="character" w:customStyle="1" w:styleId="W22Znak">
    <w:name w:val="W22 Znak"/>
    <w:link w:val="W22"/>
    <w:uiPriority w:val="99"/>
    <w:locked/>
    <w:rsid w:val="00CB3017"/>
    <w:rPr>
      <w:rFonts w:ascii="Times New Roman" w:eastAsia="Times New Roman" w:hAnsi="Times New Roman" w:cs="Times New Roman"/>
      <w:sz w:val="24"/>
      <w:szCs w:val="20"/>
      <w:lang w:eastAsia="pl-PL"/>
    </w:rPr>
  </w:style>
  <w:style w:type="paragraph" w:styleId="NormalnyWeb">
    <w:name w:val="Normal (Web)"/>
    <w:basedOn w:val="Normalny"/>
    <w:uiPriority w:val="99"/>
    <w:unhideWhenUsed/>
    <w:rsid w:val="00CB301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ontstyle520">
    <w:name w:val="fontstyle52"/>
    <w:basedOn w:val="Domylnaczcionkaakapitu"/>
    <w:rsid w:val="00CB3017"/>
  </w:style>
  <w:style w:type="paragraph" w:customStyle="1" w:styleId="Style11">
    <w:name w:val="Style11"/>
    <w:basedOn w:val="Normalny"/>
    <w:uiPriority w:val="99"/>
    <w:rsid w:val="00CB3017"/>
    <w:pPr>
      <w:widowControl w:val="0"/>
      <w:autoSpaceDE w:val="0"/>
      <w:autoSpaceDN w:val="0"/>
      <w:adjustRightInd w:val="0"/>
      <w:spacing w:after="0" w:line="379" w:lineRule="exact"/>
      <w:ind w:hanging="350"/>
      <w:jc w:val="both"/>
    </w:pPr>
    <w:rPr>
      <w:rFonts w:ascii="Times New Roman" w:eastAsiaTheme="minorEastAsia" w:hAnsi="Times New Roman" w:cs="Times New Roman"/>
      <w:sz w:val="24"/>
      <w:szCs w:val="24"/>
      <w:lang w:eastAsia="pl-PL"/>
    </w:rPr>
  </w:style>
  <w:style w:type="paragraph" w:customStyle="1" w:styleId="Style8">
    <w:name w:val="Style8"/>
    <w:basedOn w:val="Normalny"/>
    <w:uiPriority w:val="99"/>
    <w:rsid w:val="00CB3017"/>
    <w:pPr>
      <w:widowControl w:val="0"/>
      <w:autoSpaceDE w:val="0"/>
      <w:autoSpaceDN w:val="0"/>
      <w:adjustRightInd w:val="0"/>
      <w:spacing w:after="0" w:line="379" w:lineRule="exact"/>
      <w:ind w:hanging="350"/>
    </w:pPr>
    <w:rPr>
      <w:rFonts w:ascii="Times New Roman" w:eastAsiaTheme="minorEastAsia" w:hAnsi="Times New Roman" w:cs="Times New Roman"/>
      <w:sz w:val="24"/>
      <w:szCs w:val="24"/>
      <w:lang w:eastAsia="pl-PL"/>
    </w:rPr>
  </w:style>
  <w:style w:type="paragraph" w:customStyle="1" w:styleId="Style12">
    <w:name w:val="Style12"/>
    <w:basedOn w:val="Normalny"/>
    <w:uiPriority w:val="99"/>
    <w:rsid w:val="00CB3017"/>
    <w:pPr>
      <w:widowControl w:val="0"/>
      <w:autoSpaceDE w:val="0"/>
      <w:autoSpaceDN w:val="0"/>
      <w:adjustRightInd w:val="0"/>
      <w:spacing w:after="0" w:line="403" w:lineRule="exact"/>
    </w:pPr>
    <w:rPr>
      <w:rFonts w:ascii="Times New Roman" w:eastAsiaTheme="minorEastAsia" w:hAnsi="Times New Roman" w:cs="Times New Roman"/>
      <w:sz w:val="24"/>
      <w:szCs w:val="24"/>
      <w:lang w:eastAsia="pl-PL"/>
    </w:rPr>
  </w:style>
  <w:style w:type="paragraph" w:customStyle="1" w:styleId="Style33">
    <w:name w:val="Style33"/>
    <w:basedOn w:val="Normalny"/>
    <w:uiPriority w:val="99"/>
    <w:rsid w:val="00CB3017"/>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6">
    <w:name w:val="Style6"/>
    <w:basedOn w:val="Normalny"/>
    <w:uiPriority w:val="99"/>
    <w:rsid w:val="00CB3017"/>
    <w:pPr>
      <w:widowControl w:val="0"/>
      <w:autoSpaceDE w:val="0"/>
      <w:autoSpaceDN w:val="0"/>
      <w:adjustRightInd w:val="0"/>
      <w:spacing w:after="0" w:line="374" w:lineRule="exact"/>
      <w:ind w:firstLine="365"/>
      <w:jc w:val="both"/>
    </w:pPr>
    <w:rPr>
      <w:rFonts w:ascii="Times New Roman" w:eastAsiaTheme="minorEastAsia" w:hAnsi="Times New Roman" w:cs="Times New Roman"/>
      <w:sz w:val="24"/>
      <w:szCs w:val="24"/>
      <w:lang w:eastAsia="pl-PL"/>
    </w:rPr>
  </w:style>
  <w:style w:type="paragraph" w:customStyle="1" w:styleId="Style13">
    <w:name w:val="Style13"/>
    <w:basedOn w:val="Normalny"/>
    <w:uiPriority w:val="99"/>
    <w:rsid w:val="00CB3017"/>
    <w:pPr>
      <w:widowControl w:val="0"/>
      <w:autoSpaceDE w:val="0"/>
      <w:autoSpaceDN w:val="0"/>
      <w:adjustRightInd w:val="0"/>
      <w:spacing w:after="0" w:line="384" w:lineRule="exact"/>
      <w:ind w:hanging="346"/>
    </w:pPr>
    <w:rPr>
      <w:rFonts w:ascii="Times New Roman" w:eastAsiaTheme="minorEastAsia" w:hAnsi="Times New Roman" w:cs="Times New Roman"/>
      <w:sz w:val="24"/>
      <w:szCs w:val="24"/>
      <w:lang w:eastAsia="pl-PL"/>
    </w:rPr>
  </w:style>
  <w:style w:type="paragraph" w:customStyle="1" w:styleId="Style36">
    <w:name w:val="Style36"/>
    <w:basedOn w:val="Normalny"/>
    <w:uiPriority w:val="99"/>
    <w:rsid w:val="00CB3017"/>
    <w:pPr>
      <w:widowControl w:val="0"/>
      <w:autoSpaceDE w:val="0"/>
      <w:autoSpaceDN w:val="0"/>
      <w:adjustRightInd w:val="0"/>
      <w:spacing w:after="0" w:line="379" w:lineRule="exact"/>
      <w:ind w:hanging="134"/>
    </w:pPr>
    <w:rPr>
      <w:rFonts w:ascii="Times New Roman" w:eastAsiaTheme="minorEastAsia" w:hAnsi="Times New Roman" w:cs="Times New Roman"/>
      <w:sz w:val="24"/>
      <w:szCs w:val="24"/>
      <w:lang w:eastAsia="pl-PL"/>
    </w:rPr>
  </w:style>
  <w:style w:type="paragraph" w:customStyle="1" w:styleId="Style37">
    <w:name w:val="Style37"/>
    <w:basedOn w:val="Normalny"/>
    <w:uiPriority w:val="99"/>
    <w:rsid w:val="00CB3017"/>
    <w:pPr>
      <w:widowControl w:val="0"/>
      <w:autoSpaceDE w:val="0"/>
      <w:autoSpaceDN w:val="0"/>
      <w:adjustRightInd w:val="0"/>
      <w:spacing w:after="0" w:line="254" w:lineRule="exact"/>
      <w:ind w:hanging="346"/>
    </w:pPr>
    <w:rPr>
      <w:rFonts w:ascii="Times New Roman" w:eastAsiaTheme="minorEastAsia" w:hAnsi="Times New Roman" w:cs="Times New Roman"/>
      <w:sz w:val="24"/>
      <w:szCs w:val="24"/>
      <w:lang w:eastAsia="pl-PL"/>
    </w:rPr>
  </w:style>
  <w:style w:type="character" w:styleId="UyteHipercze">
    <w:name w:val="FollowedHyperlink"/>
    <w:basedOn w:val="Domylnaczcionkaakapitu"/>
    <w:uiPriority w:val="99"/>
    <w:semiHidden/>
    <w:unhideWhenUsed/>
    <w:rsid w:val="00CB3017"/>
    <w:rPr>
      <w:color w:val="954F72" w:themeColor="followedHyperlink"/>
      <w:u w:val="single"/>
    </w:rPr>
  </w:style>
  <w:style w:type="character" w:styleId="Pogrubienie">
    <w:name w:val="Strong"/>
    <w:basedOn w:val="Domylnaczcionkaakapitu"/>
    <w:uiPriority w:val="22"/>
    <w:qFormat/>
    <w:rsid w:val="00DF11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10770">
      <w:bodyDiv w:val="1"/>
      <w:marLeft w:val="0"/>
      <w:marRight w:val="0"/>
      <w:marTop w:val="0"/>
      <w:marBottom w:val="0"/>
      <w:divBdr>
        <w:top w:val="none" w:sz="0" w:space="0" w:color="auto"/>
        <w:left w:val="none" w:sz="0" w:space="0" w:color="auto"/>
        <w:bottom w:val="none" w:sz="0" w:space="0" w:color="auto"/>
        <w:right w:val="none" w:sz="0" w:space="0" w:color="auto"/>
      </w:divBdr>
    </w:div>
    <w:div w:id="223413097">
      <w:bodyDiv w:val="1"/>
      <w:marLeft w:val="0"/>
      <w:marRight w:val="0"/>
      <w:marTop w:val="0"/>
      <w:marBottom w:val="0"/>
      <w:divBdr>
        <w:top w:val="none" w:sz="0" w:space="0" w:color="auto"/>
        <w:left w:val="none" w:sz="0" w:space="0" w:color="auto"/>
        <w:bottom w:val="none" w:sz="0" w:space="0" w:color="auto"/>
        <w:right w:val="none" w:sz="0" w:space="0" w:color="auto"/>
      </w:divBdr>
    </w:div>
    <w:div w:id="327102363">
      <w:bodyDiv w:val="1"/>
      <w:marLeft w:val="0"/>
      <w:marRight w:val="0"/>
      <w:marTop w:val="0"/>
      <w:marBottom w:val="0"/>
      <w:divBdr>
        <w:top w:val="none" w:sz="0" w:space="0" w:color="auto"/>
        <w:left w:val="none" w:sz="0" w:space="0" w:color="auto"/>
        <w:bottom w:val="none" w:sz="0" w:space="0" w:color="auto"/>
        <w:right w:val="none" w:sz="0" w:space="0" w:color="auto"/>
      </w:divBdr>
    </w:div>
    <w:div w:id="376666889">
      <w:bodyDiv w:val="1"/>
      <w:marLeft w:val="0"/>
      <w:marRight w:val="0"/>
      <w:marTop w:val="0"/>
      <w:marBottom w:val="0"/>
      <w:divBdr>
        <w:top w:val="none" w:sz="0" w:space="0" w:color="auto"/>
        <w:left w:val="none" w:sz="0" w:space="0" w:color="auto"/>
        <w:bottom w:val="none" w:sz="0" w:space="0" w:color="auto"/>
        <w:right w:val="none" w:sz="0" w:space="0" w:color="auto"/>
      </w:divBdr>
    </w:div>
    <w:div w:id="391466566">
      <w:bodyDiv w:val="1"/>
      <w:marLeft w:val="0"/>
      <w:marRight w:val="0"/>
      <w:marTop w:val="0"/>
      <w:marBottom w:val="0"/>
      <w:divBdr>
        <w:top w:val="none" w:sz="0" w:space="0" w:color="auto"/>
        <w:left w:val="none" w:sz="0" w:space="0" w:color="auto"/>
        <w:bottom w:val="none" w:sz="0" w:space="0" w:color="auto"/>
        <w:right w:val="none" w:sz="0" w:space="0" w:color="auto"/>
      </w:divBdr>
    </w:div>
    <w:div w:id="546458180">
      <w:bodyDiv w:val="1"/>
      <w:marLeft w:val="0"/>
      <w:marRight w:val="0"/>
      <w:marTop w:val="0"/>
      <w:marBottom w:val="0"/>
      <w:divBdr>
        <w:top w:val="none" w:sz="0" w:space="0" w:color="auto"/>
        <w:left w:val="none" w:sz="0" w:space="0" w:color="auto"/>
        <w:bottom w:val="none" w:sz="0" w:space="0" w:color="auto"/>
        <w:right w:val="none" w:sz="0" w:space="0" w:color="auto"/>
      </w:divBdr>
    </w:div>
    <w:div w:id="742533001">
      <w:bodyDiv w:val="1"/>
      <w:marLeft w:val="0"/>
      <w:marRight w:val="0"/>
      <w:marTop w:val="0"/>
      <w:marBottom w:val="0"/>
      <w:divBdr>
        <w:top w:val="none" w:sz="0" w:space="0" w:color="auto"/>
        <w:left w:val="none" w:sz="0" w:space="0" w:color="auto"/>
        <w:bottom w:val="none" w:sz="0" w:space="0" w:color="auto"/>
        <w:right w:val="none" w:sz="0" w:space="0" w:color="auto"/>
      </w:divBdr>
    </w:div>
    <w:div w:id="748111976">
      <w:bodyDiv w:val="1"/>
      <w:marLeft w:val="0"/>
      <w:marRight w:val="0"/>
      <w:marTop w:val="0"/>
      <w:marBottom w:val="0"/>
      <w:divBdr>
        <w:top w:val="none" w:sz="0" w:space="0" w:color="auto"/>
        <w:left w:val="none" w:sz="0" w:space="0" w:color="auto"/>
        <w:bottom w:val="none" w:sz="0" w:space="0" w:color="auto"/>
        <w:right w:val="none" w:sz="0" w:space="0" w:color="auto"/>
      </w:divBdr>
    </w:div>
    <w:div w:id="819808581">
      <w:bodyDiv w:val="1"/>
      <w:marLeft w:val="0"/>
      <w:marRight w:val="0"/>
      <w:marTop w:val="0"/>
      <w:marBottom w:val="0"/>
      <w:divBdr>
        <w:top w:val="none" w:sz="0" w:space="0" w:color="auto"/>
        <w:left w:val="none" w:sz="0" w:space="0" w:color="auto"/>
        <w:bottom w:val="none" w:sz="0" w:space="0" w:color="auto"/>
        <w:right w:val="none" w:sz="0" w:space="0" w:color="auto"/>
      </w:divBdr>
    </w:div>
    <w:div w:id="953244009">
      <w:bodyDiv w:val="1"/>
      <w:marLeft w:val="0"/>
      <w:marRight w:val="0"/>
      <w:marTop w:val="0"/>
      <w:marBottom w:val="0"/>
      <w:divBdr>
        <w:top w:val="none" w:sz="0" w:space="0" w:color="auto"/>
        <w:left w:val="none" w:sz="0" w:space="0" w:color="auto"/>
        <w:bottom w:val="none" w:sz="0" w:space="0" w:color="auto"/>
        <w:right w:val="none" w:sz="0" w:space="0" w:color="auto"/>
      </w:divBdr>
    </w:div>
    <w:div w:id="1360164560">
      <w:bodyDiv w:val="1"/>
      <w:marLeft w:val="0"/>
      <w:marRight w:val="0"/>
      <w:marTop w:val="0"/>
      <w:marBottom w:val="0"/>
      <w:divBdr>
        <w:top w:val="none" w:sz="0" w:space="0" w:color="auto"/>
        <w:left w:val="none" w:sz="0" w:space="0" w:color="auto"/>
        <w:bottom w:val="none" w:sz="0" w:space="0" w:color="auto"/>
        <w:right w:val="none" w:sz="0" w:space="0" w:color="auto"/>
      </w:divBdr>
    </w:div>
    <w:div w:id="1458832559">
      <w:bodyDiv w:val="1"/>
      <w:marLeft w:val="0"/>
      <w:marRight w:val="0"/>
      <w:marTop w:val="0"/>
      <w:marBottom w:val="0"/>
      <w:divBdr>
        <w:top w:val="none" w:sz="0" w:space="0" w:color="auto"/>
        <w:left w:val="none" w:sz="0" w:space="0" w:color="auto"/>
        <w:bottom w:val="none" w:sz="0" w:space="0" w:color="auto"/>
        <w:right w:val="none" w:sz="0" w:space="0" w:color="auto"/>
      </w:divBdr>
    </w:div>
    <w:div w:id="1619947308">
      <w:bodyDiv w:val="1"/>
      <w:marLeft w:val="0"/>
      <w:marRight w:val="0"/>
      <w:marTop w:val="0"/>
      <w:marBottom w:val="0"/>
      <w:divBdr>
        <w:top w:val="none" w:sz="0" w:space="0" w:color="auto"/>
        <w:left w:val="none" w:sz="0" w:space="0" w:color="auto"/>
        <w:bottom w:val="none" w:sz="0" w:space="0" w:color="auto"/>
        <w:right w:val="none" w:sz="0" w:space="0" w:color="auto"/>
      </w:divBdr>
    </w:div>
    <w:div w:id="1902784807">
      <w:bodyDiv w:val="1"/>
      <w:marLeft w:val="0"/>
      <w:marRight w:val="0"/>
      <w:marTop w:val="0"/>
      <w:marBottom w:val="0"/>
      <w:divBdr>
        <w:top w:val="none" w:sz="0" w:space="0" w:color="auto"/>
        <w:left w:val="none" w:sz="0" w:space="0" w:color="auto"/>
        <w:bottom w:val="none" w:sz="0" w:space="0" w:color="auto"/>
        <w:right w:val="none" w:sz="0" w:space="0" w:color="auto"/>
      </w:divBdr>
    </w:div>
    <w:div w:id="206702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desk.nexuspolsk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E467B-BA82-494E-A45A-AE4A5B5F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20332</Words>
  <Characters>121992</Characters>
  <Application>Microsoft Office Word</Application>
  <DocSecurity>0</DocSecurity>
  <Lines>1016</Lines>
  <Paragraphs>284</Paragraphs>
  <ScaleCrop>false</ScaleCrop>
  <HeadingPairs>
    <vt:vector size="2" baseType="variant">
      <vt:variant>
        <vt:lpstr>Tytuł</vt:lpstr>
      </vt:variant>
      <vt:variant>
        <vt:i4>1</vt:i4>
      </vt:variant>
    </vt:vector>
  </HeadingPairs>
  <TitlesOfParts>
    <vt:vector size="1" baseType="lpstr">
      <vt:lpstr/>
    </vt:vector>
  </TitlesOfParts>
  <Company>USKP</Company>
  <LinksUpToDate>false</LinksUpToDate>
  <CharactersWithSpaces>142040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Narożny</dc:creator>
  <cp:keywords/>
  <dc:description/>
  <cp:lastModifiedBy>Mateusz Grelus</cp:lastModifiedBy>
  <cp:revision>2</cp:revision>
  <cp:lastPrinted>2026-03-17T13:40:00Z</cp:lastPrinted>
  <dcterms:created xsi:type="dcterms:W3CDTF">2026-04-22T14:08:00Z</dcterms:created>
  <dcterms:modified xsi:type="dcterms:W3CDTF">2026-04-22T14:08:00Z</dcterms:modified>
</cp:coreProperties>
</file>