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3386" w:rsidRDefault="00943386" w:rsidP="00D676D9">
      <w:pPr>
        <w:spacing w:after="0" w:line="276" w:lineRule="auto"/>
        <w:jc w:val="center"/>
        <w:rPr>
          <w:rFonts w:cstheme="minorHAnsi"/>
          <w:color w:val="7030A0"/>
          <w:sz w:val="20"/>
          <w:szCs w:val="20"/>
        </w:rPr>
      </w:pPr>
      <w:bookmarkStart w:id="0" w:name="_GoBack"/>
      <w:bookmarkEnd w:id="0"/>
    </w:p>
    <w:p w:rsidR="00D676D9" w:rsidRPr="00175A3B" w:rsidRDefault="00D676D9" w:rsidP="00D676D9">
      <w:pPr>
        <w:spacing w:after="0" w:line="276" w:lineRule="auto"/>
        <w:jc w:val="center"/>
        <w:rPr>
          <w:rFonts w:cstheme="minorHAnsi"/>
          <w:color w:val="7030A0"/>
          <w:sz w:val="20"/>
          <w:szCs w:val="20"/>
        </w:rPr>
      </w:pPr>
      <w:r w:rsidRPr="00175A3B">
        <w:rPr>
          <w:rFonts w:cstheme="minorHAnsi"/>
          <w:color w:val="7030A0"/>
          <w:sz w:val="20"/>
          <w:szCs w:val="20"/>
        </w:rPr>
        <w:t>WARUNKI RÓWNOWAŻNE</w:t>
      </w:r>
    </w:p>
    <w:p w:rsidR="00D676D9" w:rsidRPr="00175A3B" w:rsidRDefault="00D676D9" w:rsidP="00D676D9">
      <w:pPr>
        <w:tabs>
          <w:tab w:val="left" w:pos="1701"/>
        </w:tabs>
        <w:spacing w:after="0" w:line="276" w:lineRule="auto"/>
        <w:contextualSpacing/>
        <w:jc w:val="both"/>
        <w:rPr>
          <w:rFonts w:cstheme="minorHAnsi"/>
          <w:sz w:val="18"/>
        </w:rPr>
      </w:pPr>
      <w:r w:rsidRPr="00175A3B">
        <w:rPr>
          <w:rFonts w:cstheme="minorHAnsi"/>
          <w:sz w:val="18"/>
        </w:rPr>
        <w:t>W przypadku, gdyby w opisie przedmiotu zamówienia Zamawiający określił przedmiot zamówienia poprzez wskazanie znaków towarowych, patentów lub pochodzenia, źródła lub szczególnego procesu, który charakteryzuje produkty lub usługi dostarczane przez konkretnego Wykonawcę/producenta, jeżeli mogłoby to doprowadzić do uprzywilejowania lub wyeliminowania niektórych Wykonawców lub produktów, Zamawiający dopuszcza możliwość składania ofert równoważnych. Wskazane wyżej określenie przedmiotu zamówienia ma charakter wyłącznie pomocniczy w przygotowaniu oferty i ma na celu wskazać oczekiwania Zamawiającego. Przez ofertę równoważną należy rozumieć ofertę o parametrach nie gorszych od opisu wskazanego przez Zamawiającego w opisie przedmiotu zamówienia. Parametry wskazane przez Zamawiającego są parametrami minimalnymi, granicznymi. Pod pojęciem „parametry” rozumie się funkcjonalność, przeznaczenie, kolorystykę, strukturę, materiały, kształt, wielkość, bezpieczeństwo, wytrzymałość, postać, rozmiar, dawkę itp. W związku z powyższym Zamawiający dopuszcza możliwość zaoferowania produktów o innych znakach towarowych, patentach lub pochodzeniu, natomiast nie o innych właściwościach i funkcjonalnościach niż określone w SWZ. W przypadku, gdy w opisie przedmiotu zamówienia zawarto odniesienia do norm europejskich, europejskich ocen technicznych, aprobat, specyfikacji technicznych i systemów odniesienia referencji technicznych, Zamawiający dopuszcza możliwość stosowania norm równoważnych. Wykonawca powołujący się na rozwiązania równoważne musi wykazać, że oferowane dostawy spełniają warunki określone przez Zamawiającego w stopniu nie gorszym. W przypadku, gdy Wykonawca nie złoży w ofercie dokumentów o zastosowaniu innych materiałów i urządzeń, to rozumie się przez to, że do kalkulacji ceny oferty oraz do wykonania umowy ujęto materiały i urządzenia zaproponowane w OPZ. W związku z powyższym Zamawiający kierować się będzie następującymi kryteriami:</w:t>
      </w:r>
    </w:p>
    <w:p w:rsidR="00D676D9" w:rsidRPr="00175A3B" w:rsidRDefault="00D676D9" w:rsidP="00D676D9">
      <w:pPr>
        <w:pStyle w:val="Akapitzlist"/>
        <w:numPr>
          <w:ilvl w:val="0"/>
          <w:numId w:val="1"/>
        </w:numPr>
        <w:suppressAutoHyphens/>
        <w:spacing w:after="0" w:line="276" w:lineRule="auto"/>
        <w:ind w:left="426"/>
        <w:jc w:val="both"/>
        <w:rPr>
          <w:rFonts w:cstheme="minorHAnsi"/>
          <w:sz w:val="18"/>
          <w:szCs w:val="24"/>
        </w:rPr>
      </w:pPr>
      <w:r w:rsidRPr="00175A3B">
        <w:rPr>
          <w:rFonts w:cstheme="minorHAnsi"/>
          <w:sz w:val="18"/>
          <w:szCs w:val="24"/>
        </w:rPr>
        <w:t>W przypadku, gdy opis przedmiotu zamówienia zawiera wskazanie znaków towarowych, patentów lub pochodzenie, źródło lub szczególny proces, który charakteryzuje wyroby dostarczane przez Wykonawcę, Zamawiający dopuszcza rozwiązania równoważne opisywane jak niżej, a wskazaniu temu towarzyszy wyraźne oznaczenie „lub równoważny”.</w:t>
      </w:r>
    </w:p>
    <w:p w:rsidR="00D676D9" w:rsidRPr="00175A3B" w:rsidRDefault="00D676D9" w:rsidP="00D676D9">
      <w:pPr>
        <w:pStyle w:val="Akapitzlist"/>
        <w:numPr>
          <w:ilvl w:val="0"/>
          <w:numId w:val="1"/>
        </w:numPr>
        <w:suppressAutoHyphens/>
        <w:spacing w:after="0" w:line="276" w:lineRule="auto"/>
        <w:ind w:left="426"/>
        <w:jc w:val="both"/>
        <w:rPr>
          <w:rFonts w:cstheme="minorHAnsi"/>
          <w:sz w:val="18"/>
          <w:szCs w:val="24"/>
        </w:rPr>
      </w:pPr>
      <w:r w:rsidRPr="00175A3B">
        <w:rPr>
          <w:rFonts w:cstheme="minorHAnsi"/>
          <w:sz w:val="18"/>
          <w:szCs w:val="24"/>
        </w:rPr>
        <w:t>W przypadku, gdy opis przedmiotu zamówienia odnosi się do norm, ocen technicznych, specyfikacji technicznych, specyfikacji technicznych i systemów referencji technicznych, o których mowa w art. 101 ust. 1 pkt 2 PZP oraz art. 101 ust. 3 PZP, Zamawiający dopuszcza rozwiązania równoważne, a odniesieniu takiemu towarzyszą wyrazy „lub równoważne”.</w:t>
      </w:r>
    </w:p>
    <w:p w:rsidR="00D676D9" w:rsidRPr="00175A3B" w:rsidRDefault="00D676D9" w:rsidP="00D676D9">
      <w:pPr>
        <w:pStyle w:val="Akapitzlist"/>
        <w:numPr>
          <w:ilvl w:val="0"/>
          <w:numId w:val="1"/>
        </w:numPr>
        <w:suppressAutoHyphens/>
        <w:spacing w:after="0" w:line="276" w:lineRule="auto"/>
        <w:ind w:left="426"/>
        <w:jc w:val="both"/>
        <w:rPr>
          <w:rFonts w:cstheme="minorHAnsi"/>
          <w:sz w:val="18"/>
          <w:szCs w:val="24"/>
        </w:rPr>
      </w:pPr>
      <w:r w:rsidRPr="00175A3B">
        <w:rPr>
          <w:rFonts w:cstheme="minorHAnsi"/>
          <w:sz w:val="18"/>
          <w:szCs w:val="24"/>
        </w:rPr>
        <w:t xml:space="preserve">W przypadku posługiwania się na warunkach określonych w pkt 1 i 2 pojęciem „lub równoważne”, Zamawiający informuje, że wyżej wskazane założenia w opisie przedmiotu zamówienia zostały podane wyłącznie w celu określenia wymaganych parametrów jakościowych jakimi co najmniej powinny odpowiadać przedmiot zamówienia. Takie parametry, które są gwarantowane przez określonych producentów, pozwolą Zamawiającemu na utrzymanie standardów koniecznych do realizacji należycie usług o oczekiwanej jakości przez Zamawiającego. Zamawiający opisując przedmiot zamówienia poprzez przywołanie nazw handlowych dopuszcza wszelkie ich odpowiedniki rynkowe jednak o nie gorszych parametrach niż wskazane w opisie przedmiotu zamówienia. Użyty przez Zamawiającego w opisie przedmiotu zamówienia wyraz „równoważny” oznaczać będzie każdy produkt zbliżony (podobny) pod względem parametrów technicznych, parametrów jakościowych, parametrów ilościowych, parametrów funkcjonalnych do produktu występującego na rynku indywidualnego producenta, co nie oznacza identyczności z produktem wskazanym w opisie przedmiotu zamówienia, ale posiadanie przez ten produkt zbliżonych cech i parametrów wskazanych powyżej. Zamawiający przyjmuje założenie, że zastosowanie przez niego produktów równoważnych nie może pogorszyć jakości osiąganych przez niego wyników terapeutycznych, organizacyjnych, użytkowych, funkcjonalnych ani negatywnie wpływać na realizację przez personel Zamawiającego świadczenia medycznego, gdzie wykorzystany będzie produkt zgodnie z jego przeznaczeniem. </w:t>
      </w:r>
    </w:p>
    <w:p w:rsidR="00D676D9" w:rsidRPr="00175A3B" w:rsidRDefault="00D676D9" w:rsidP="00D676D9">
      <w:pPr>
        <w:pStyle w:val="Akapitzlist"/>
        <w:numPr>
          <w:ilvl w:val="0"/>
          <w:numId w:val="1"/>
        </w:numPr>
        <w:suppressAutoHyphens/>
        <w:spacing w:after="0" w:line="276" w:lineRule="auto"/>
        <w:ind w:left="426"/>
        <w:jc w:val="both"/>
        <w:rPr>
          <w:rFonts w:cstheme="minorHAnsi"/>
          <w:sz w:val="18"/>
          <w:szCs w:val="24"/>
        </w:rPr>
      </w:pPr>
      <w:r w:rsidRPr="00175A3B">
        <w:rPr>
          <w:rFonts w:cstheme="minorHAnsi"/>
          <w:sz w:val="18"/>
          <w:szCs w:val="24"/>
        </w:rPr>
        <w:t>W przypadku zaproponowania przez Wykonawcę w ofercie produktu równoważnego jakościowo, Wykonawca zobowiązany jest wykazać, że zaoferowany produkt i zaproponowane rozwiązanie w równoważnym stopniu spełnia wymagania określone przez Zamawiającego. Wykonawca ponosi pełną odpowiedzialność za szkody powstałe w wyniku użytkowania (eksploatacji) przez Zamawiającego produktów, które zostaną zaoferowane przez Wykonawcę jako spełniające parametry równoważności.</w:t>
      </w:r>
    </w:p>
    <w:p w:rsidR="00D676D9" w:rsidRPr="00175A3B" w:rsidRDefault="00D676D9" w:rsidP="00D676D9">
      <w:pPr>
        <w:pStyle w:val="Akapitzlist"/>
        <w:numPr>
          <w:ilvl w:val="0"/>
          <w:numId w:val="1"/>
        </w:numPr>
        <w:suppressAutoHyphens/>
        <w:spacing w:after="0" w:line="276" w:lineRule="auto"/>
        <w:ind w:left="426"/>
        <w:jc w:val="both"/>
        <w:rPr>
          <w:rFonts w:cstheme="minorHAnsi"/>
          <w:sz w:val="18"/>
          <w:szCs w:val="24"/>
        </w:rPr>
      </w:pPr>
      <w:r w:rsidRPr="00175A3B">
        <w:rPr>
          <w:rFonts w:cstheme="minorHAnsi"/>
          <w:sz w:val="18"/>
          <w:szCs w:val="24"/>
        </w:rPr>
        <w:t>Zamawiający ustala, że kryterium równoważności stosowane w celu oceny równoważności zaoferowanych rozwiązań postrzegać będzie jako spełnienie przez zaoferowany produkt co najmniej takich samych lub lepszych parametrów technicznych, parametrów funkcjonalnych, które nie obniżają określonych standardów, niż te które wynikają z opisu przedmiotu zamówienia. Wykonawca, który w ofercie złoży oświadczenie o zaoferowaniu rozwiązań równoważnych zobowiązany jest do udowodnienia na etapie składania oferty (!), że oferowane rozwiązania równoważne posiadają parametry, cechy, o którym mowa wyżej. Mając na uwadze powyższe, Zamawiający wskazuje, że rozwiązania równoważne muszą być zgodne w poniższych obszarach:</w:t>
      </w:r>
    </w:p>
    <w:p w:rsidR="00D676D9" w:rsidRPr="00175A3B" w:rsidRDefault="00D676D9" w:rsidP="00D676D9">
      <w:pPr>
        <w:pStyle w:val="Akapitzlist"/>
        <w:numPr>
          <w:ilvl w:val="0"/>
          <w:numId w:val="2"/>
        </w:numPr>
        <w:suppressAutoHyphens/>
        <w:spacing w:after="0" w:line="276" w:lineRule="auto"/>
        <w:ind w:left="851" w:hanging="426"/>
        <w:jc w:val="both"/>
        <w:rPr>
          <w:rFonts w:cstheme="minorHAnsi"/>
          <w:sz w:val="18"/>
          <w:szCs w:val="24"/>
        </w:rPr>
      </w:pPr>
      <w:r w:rsidRPr="00175A3B">
        <w:rPr>
          <w:rFonts w:cstheme="minorHAnsi"/>
          <w:sz w:val="18"/>
          <w:szCs w:val="24"/>
        </w:rPr>
        <w:t>gabaryt/konstrukcja (co oznacza takie parametry, jak: wielkość, rodzaj, ciężar, właściwości fizyczne, liczba elementów składowych, samodzielna konstrukcja, konstrukcja złożona)</w:t>
      </w:r>
    </w:p>
    <w:p w:rsidR="00D676D9" w:rsidRPr="00175A3B" w:rsidRDefault="00D676D9" w:rsidP="00D676D9">
      <w:pPr>
        <w:pStyle w:val="Akapitzlist"/>
        <w:numPr>
          <w:ilvl w:val="0"/>
          <w:numId w:val="2"/>
        </w:numPr>
        <w:suppressAutoHyphens/>
        <w:spacing w:after="0" w:line="276" w:lineRule="auto"/>
        <w:ind w:left="851" w:hanging="426"/>
        <w:jc w:val="both"/>
        <w:rPr>
          <w:rFonts w:cstheme="minorHAnsi"/>
          <w:sz w:val="18"/>
          <w:szCs w:val="24"/>
        </w:rPr>
      </w:pPr>
      <w:r w:rsidRPr="00175A3B">
        <w:rPr>
          <w:rFonts w:cstheme="minorHAnsi"/>
          <w:sz w:val="18"/>
          <w:szCs w:val="24"/>
        </w:rPr>
        <w:t>charakter użytkowy (tożsamość funkcji i przeznaczenie)</w:t>
      </w:r>
    </w:p>
    <w:p w:rsidR="00D676D9" w:rsidRPr="00175A3B" w:rsidRDefault="00D676D9" w:rsidP="00D676D9">
      <w:pPr>
        <w:pStyle w:val="Akapitzlist"/>
        <w:numPr>
          <w:ilvl w:val="0"/>
          <w:numId w:val="2"/>
        </w:numPr>
        <w:suppressAutoHyphens/>
        <w:spacing w:after="0" w:line="276" w:lineRule="auto"/>
        <w:ind w:left="851" w:hanging="426"/>
        <w:jc w:val="both"/>
        <w:rPr>
          <w:rFonts w:cstheme="minorHAnsi"/>
          <w:sz w:val="18"/>
          <w:szCs w:val="24"/>
        </w:rPr>
      </w:pPr>
      <w:r w:rsidRPr="00175A3B">
        <w:rPr>
          <w:rFonts w:cstheme="minorHAnsi"/>
          <w:sz w:val="18"/>
          <w:szCs w:val="24"/>
        </w:rPr>
        <w:t>charakter materiałowy (rodzaj i jakość materiałów)</w:t>
      </w:r>
    </w:p>
    <w:p w:rsidR="00D676D9" w:rsidRPr="00175A3B" w:rsidRDefault="00D676D9" w:rsidP="00D676D9">
      <w:pPr>
        <w:pStyle w:val="Akapitzlist"/>
        <w:numPr>
          <w:ilvl w:val="0"/>
          <w:numId w:val="2"/>
        </w:numPr>
        <w:suppressAutoHyphens/>
        <w:spacing w:after="0" w:line="276" w:lineRule="auto"/>
        <w:ind w:left="851" w:hanging="426"/>
        <w:jc w:val="both"/>
        <w:rPr>
          <w:rFonts w:cstheme="minorHAnsi"/>
          <w:sz w:val="18"/>
          <w:szCs w:val="24"/>
        </w:rPr>
      </w:pPr>
      <w:r w:rsidRPr="00175A3B">
        <w:rPr>
          <w:rFonts w:cstheme="minorHAnsi"/>
          <w:sz w:val="18"/>
          <w:szCs w:val="24"/>
        </w:rPr>
        <w:t>parametry techniczne (wytrzymałość, trwałość, dane techniczne, dane konstrukcyjne)</w:t>
      </w:r>
    </w:p>
    <w:p w:rsidR="00D676D9" w:rsidRPr="00175A3B" w:rsidRDefault="00D676D9" w:rsidP="00D676D9">
      <w:pPr>
        <w:pStyle w:val="Akapitzlist"/>
        <w:numPr>
          <w:ilvl w:val="0"/>
          <w:numId w:val="2"/>
        </w:numPr>
        <w:suppressAutoHyphens/>
        <w:spacing w:after="0" w:line="276" w:lineRule="auto"/>
        <w:ind w:left="851" w:hanging="426"/>
        <w:jc w:val="both"/>
        <w:rPr>
          <w:rFonts w:cstheme="minorHAnsi"/>
          <w:sz w:val="18"/>
          <w:szCs w:val="24"/>
        </w:rPr>
      </w:pPr>
      <w:r w:rsidRPr="00175A3B">
        <w:rPr>
          <w:rFonts w:cstheme="minorHAnsi"/>
          <w:sz w:val="18"/>
          <w:szCs w:val="24"/>
        </w:rPr>
        <w:t>parametry bezpieczeństwa użytkowania (bezpieczeństwo dla użytkownika, bezpieczeństwo dla pacjenta, bezpieczeństwo środowiskowe m.in. utylizacja)</w:t>
      </w:r>
    </w:p>
    <w:p w:rsidR="00D676D9" w:rsidRDefault="00D676D9" w:rsidP="00D676D9">
      <w:pPr>
        <w:spacing w:after="0" w:line="276" w:lineRule="auto"/>
        <w:rPr>
          <w:rFonts w:cstheme="minorHAnsi"/>
          <w:b/>
          <w:color w:val="7030A0"/>
          <w:sz w:val="20"/>
          <w:szCs w:val="20"/>
        </w:rPr>
      </w:pPr>
    </w:p>
    <w:sectPr w:rsidR="00D676D9" w:rsidSect="002C63AA">
      <w:headerReference w:type="default" r:id="rId7"/>
      <w:pgSz w:w="11906" w:h="16838"/>
      <w:pgMar w:top="720" w:right="720" w:bottom="720" w:left="720"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1A17" w:rsidRDefault="00111A17" w:rsidP="002C63AA">
      <w:pPr>
        <w:spacing w:after="0" w:line="240" w:lineRule="auto"/>
      </w:pPr>
      <w:r>
        <w:separator/>
      </w:r>
    </w:p>
  </w:endnote>
  <w:endnote w:type="continuationSeparator" w:id="0">
    <w:p w:rsidR="00111A17" w:rsidRDefault="00111A17" w:rsidP="002C63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Open Sans">
    <w:altName w:val="Open Sans"/>
    <w:panose1 w:val="020B0606030504020204"/>
    <w:charset w:val="EE"/>
    <w:family w:val="swiss"/>
    <w:pitch w:val="variable"/>
    <w:sig w:usb0="E00002EF" w:usb1="4000205B" w:usb2="00000028"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1A17" w:rsidRDefault="00111A17" w:rsidP="002C63AA">
      <w:pPr>
        <w:spacing w:after="0" w:line="240" w:lineRule="auto"/>
      </w:pPr>
      <w:r>
        <w:separator/>
      </w:r>
    </w:p>
  </w:footnote>
  <w:footnote w:type="continuationSeparator" w:id="0">
    <w:p w:rsidR="00111A17" w:rsidRDefault="00111A17" w:rsidP="002C63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63AA" w:rsidRPr="002C63AA" w:rsidRDefault="00E22245" w:rsidP="00943386">
    <w:pPr>
      <w:pStyle w:val="Nagwek"/>
      <w:jc w:val="center"/>
    </w:pPr>
    <w:r>
      <w:rPr>
        <w:rFonts w:ascii="Open Sans" w:hAnsi="Open Sans" w:cs="Open Sans"/>
        <w:bCs/>
        <w:i/>
        <w:noProof/>
        <w:lang w:eastAsia="pl-PL"/>
      </w:rPr>
      <w:drawing>
        <wp:inline distT="0" distB="0" distL="0" distR="0" wp14:anchorId="133CE8E4" wp14:editId="22BF3332">
          <wp:extent cx="5759746" cy="622332"/>
          <wp:effectExtent l="0" t="0" r="0" b="6350"/>
          <wp:docPr id="111837146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371463" name="Obraz 1118371463"/>
                  <pic:cNvPicPr/>
                </pic:nvPicPr>
                <pic:blipFill>
                  <a:blip r:embed="rId1"/>
                  <a:stretch>
                    <a:fillRect/>
                  </a:stretch>
                </pic:blipFill>
                <pic:spPr>
                  <a:xfrm>
                    <a:off x="0" y="0"/>
                    <a:ext cx="5759746" cy="62233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E5196"/>
    <w:multiLevelType w:val="hybridMultilevel"/>
    <w:tmpl w:val="77D6C2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1FB547F"/>
    <w:multiLevelType w:val="hybridMultilevel"/>
    <w:tmpl w:val="AC70C9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1B1"/>
    <w:rsid w:val="00111A17"/>
    <w:rsid w:val="00253BAA"/>
    <w:rsid w:val="002C63AA"/>
    <w:rsid w:val="007311B1"/>
    <w:rsid w:val="0081233A"/>
    <w:rsid w:val="00943386"/>
    <w:rsid w:val="009E725D"/>
    <w:rsid w:val="00AE7F76"/>
    <w:rsid w:val="00D1254B"/>
    <w:rsid w:val="00D676D9"/>
    <w:rsid w:val="00E2224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F744CC0-7633-499F-AD12-67C893F0D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CW_Lista,Wypunktowanie,L1,Numerowanie,Akapit z listą BS,Odstavec,Akapit z listą numerowaną,Podsis rysunku,lp1,Bullet List,FooterText,numbered,Paragraphe de liste1,Bulletr List Paragraph,列出段落,列出段落1,List Paragraph21,リスト段落1,b"/>
    <w:basedOn w:val="Normalny"/>
    <w:link w:val="AkapitzlistZnak"/>
    <w:qFormat/>
    <w:rsid w:val="00D676D9"/>
    <w:pPr>
      <w:ind w:left="720"/>
      <w:contextualSpacing/>
    </w:pPr>
  </w:style>
  <w:style w:type="character" w:customStyle="1" w:styleId="AkapitzlistZnak">
    <w:name w:val="Akapit z listą Znak"/>
    <w:aliases w:val="normalny tekst Znak,CW_Lista Znak,Wypunktowanie Znak,L1 Znak,Numerowanie Znak,Akapit z listą BS Znak,Odstavec Znak,Akapit z listą numerowaną Znak,Podsis rysunku Znak,lp1 Znak,Bullet List Znak,FooterText Znak,numbered Znak,列出段落 Znak"/>
    <w:link w:val="Akapitzlist"/>
    <w:qFormat/>
    <w:locked/>
    <w:rsid w:val="00D676D9"/>
  </w:style>
  <w:style w:type="paragraph" w:styleId="Nagwek">
    <w:name w:val="header"/>
    <w:basedOn w:val="Normalny"/>
    <w:link w:val="NagwekZnak"/>
    <w:uiPriority w:val="99"/>
    <w:unhideWhenUsed/>
    <w:rsid w:val="002C63A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C63AA"/>
  </w:style>
  <w:style w:type="paragraph" w:styleId="Stopka">
    <w:name w:val="footer"/>
    <w:basedOn w:val="Normalny"/>
    <w:link w:val="StopkaZnak"/>
    <w:uiPriority w:val="99"/>
    <w:unhideWhenUsed/>
    <w:rsid w:val="002C63A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C63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230417">
      <w:bodyDiv w:val="1"/>
      <w:marLeft w:val="0"/>
      <w:marRight w:val="0"/>
      <w:marTop w:val="0"/>
      <w:marBottom w:val="0"/>
      <w:divBdr>
        <w:top w:val="none" w:sz="0" w:space="0" w:color="auto"/>
        <w:left w:val="none" w:sz="0" w:space="0" w:color="auto"/>
        <w:bottom w:val="none" w:sz="0" w:space="0" w:color="auto"/>
        <w:right w:val="none" w:sz="0" w:space="0" w:color="auto"/>
      </w:divBdr>
    </w:div>
    <w:div w:id="516583883">
      <w:bodyDiv w:val="1"/>
      <w:marLeft w:val="0"/>
      <w:marRight w:val="0"/>
      <w:marTop w:val="0"/>
      <w:marBottom w:val="0"/>
      <w:divBdr>
        <w:top w:val="none" w:sz="0" w:space="0" w:color="auto"/>
        <w:left w:val="none" w:sz="0" w:space="0" w:color="auto"/>
        <w:bottom w:val="none" w:sz="0" w:space="0" w:color="auto"/>
        <w:right w:val="none" w:sz="0" w:space="0" w:color="auto"/>
      </w:divBdr>
    </w:div>
    <w:div w:id="970793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836</Words>
  <Characters>5021</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Grelus</dc:creator>
  <cp:keywords/>
  <dc:description/>
  <cp:lastModifiedBy>Adam Dzięcioł</cp:lastModifiedBy>
  <cp:revision>3</cp:revision>
  <dcterms:created xsi:type="dcterms:W3CDTF">2025-05-09T08:08:00Z</dcterms:created>
  <dcterms:modified xsi:type="dcterms:W3CDTF">2026-04-08T06:19:00Z</dcterms:modified>
</cp:coreProperties>
</file>