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56" w:rsidRDefault="00397856" w:rsidP="00D676D9">
      <w:pPr>
        <w:spacing w:after="0" w:line="276" w:lineRule="auto"/>
        <w:rPr>
          <w:rFonts w:cstheme="minorHAnsi"/>
          <w:b/>
          <w:color w:val="7030A0"/>
          <w:sz w:val="20"/>
          <w:szCs w:val="20"/>
        </w:rPr>
      </w:pPr>
      <w:bookmarkStart w:id="0" w:name="_GoBack"/>
      <w:bookmarkEnd w:id="0"/>
    </w:p>
    <w:p w:rsidR="00397856" w:rsidRDefault="00397856" w:rsidP="00D676D9">
      <w:pPr>
        <w:spacing w:after="0" w:line="276" w:lineRule="auto"/>
        <w:rPr>
          <w:rFonts w:cstheme="minorHAnsi"/>
          <w:b/>
          <w:color w:val="7030A0"/>
          <w:sz w:val="20"/>
          <w:szCs w:val="20"/>
        </w:rPr>
      </w:pPr>
    </w:p>
    <w:p w:rsidR="00397856" w:rsidRPr="00175A3B" w:rsidRDefault="00397856" w:rsidP="00397856">
      <w:pPr>
        <w:spacing w:after="0" w:line="276" w:lineRule="auto"/>
        <w:jc w:val="center"/>
        <w:rPr>
          <w:rFonts w:cstheme="minorHAnsi"/>
          <w:color w:val="7030A0"/>
          <w:sz w:val="20"/>
          <w:szCs w:val="20"/>
        </w:rPr>
      </w:pPr>
      <w:r w:rsidRPr="00175A3B">
        <w:rPr>
          <w:rFonts w:cstheme="minorHAnsi"/>
          <w:color w:val="7030A0"/>
          <w:sz w:val="20"/>
          <w:szCs w:val="20"/>
        </w:rPr>
        <w:t>WARUNKI RÓWNOWAŻNE</w:t>
      </w:r>
      <w:r>
        <w:rPr>
          <w:rFonts w:cstheme="minorHAnsi"/>
          <w:color w:val="7030A0"/>
          <w:sz w:val="20"/>
          <w:szCs w:val="20"/>
        </w:rPr>
        <w:t xml:space="preserve"> (produkty lecznicze)</w:t>
      </w:r>
    </w:p>
    <w:p w:rsidR="00397856" w:rsidRDefault="00397856" w:rsidP="00D676D9">
      <w:pPr>
        <w:spacing w:after="0" w:line="276" w:lineRule="auto"/>
        <w:rPr>
          <w:rFonts w:cstheme="minorHAnsi"/>
          <w:b/>
          <w:color w:val="7030A0"/>
          <w:sz w:val="20"/>
          <w:szCs w:val="20"/>
        </w:rPr>
      </w:pP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Zaoferowane produkty lecznicze muszą być wpisane do urzędowego Wykazu Środków Farmaceutycznych i Materiałów Medycznych dopuszczonych do obrotu w Polsce.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Zaoferowane produkty lecznicze muszą znajdować się w obowiązującym na dzień złożenia oferty wykazie refundowanych leków, środków spożywczych specjalnego przeznaczenia żywieniowego oraz wyrobów medycznych, stanowiących załącznik do obwieszczenia Ministra Zdrowia w sprawie wykazu refundowanych leków, środków spożywczych specjalnego przeznaczenia żywieniowego oraz wyrobów medycznych wraz z podaniem kodu GTIN (Globalny Numer Jednostki Handlowej)/EAN (</w:t>
      </w:r>
      <w:proofErr w:type="spellStart"/>
      <w:r w:rsidRPr="00397856">
        <w:rPr>
          <w:rFonts w:cstheme="minorHAnsi"/>
          <w:sz w:val="18"/>
          <w:szCs w:val="18"/>
        </w:rPr>
        <w:t>European</w:t>
      </w:r>
      <w:proofErr w:type="spellEnd"/>
      <w:r w:rsidRPr="00397856">
        <w:rPr>
          <w:rFonts w:cstheme="minorHAnsi"/>
          <w:sz w:val="18"/>
          <w:szCs w:val="18"/>
        </w:rPr>
        <w:t xml:space="preserve"> </w:t>
      </w:r>
      <w:proofErr w:type="spellStart"/>
      <w:r w:rsidRPr="00397856">
        <w:rPr>
          <w:rFonts w:cstheme="minorHAnsi"/>
          <w:sz w:val="18"/>
          <w:szCs w:val="18"/>
        </w:rPr>
        <w:t>Article</w:t>
      </w:r>
      <w:proofErr w:type="spellEnd"/>
      <w:r w:rsidRPr="00397856">
        <w:rPr>
          <w:rFonts w:cstheme="minorHAnsi"/>
          <w:sz w:val="18"/>
          <w:szCs w:val="18"/>
        </w:rPr>
        <w:t xml:space="preserve"> </w:t>
      </w:r>
      <w:proofErr w:type="spellStart"/>
      <w:r w:rsidRPr="00397856">
        <w:rPr>
          <w:rFonts w:cstheme="minorHAnsi"/>
          <w:sz w:val="18"/>
          <w:szCs w:val="18"/>
        </w:rPr>
        <w:t>Numbering</w:t>
      </w:r>
      <w:proofErr w:type="spellEnd"/>
      <w:r w:rsidRPr="00397856">
        <w:rPr>
          <w:rFonts w:cstheme="minorHAnsi"/>
          <w:sz w:val="18"/>
          <w:szCs w:val="18"/>
        </w:rPr>
        <w:t>) – jeżeli został nadany. Zamawiający wskazuje, że cena brutto zaoferowanego produktu leczniczego nie może być wyższa niż limit finansowania określony w załączniku do obwieszczenia refundacyjnego Ministra Zdrowia – jeżeli dotyczy zaoferowanego produktu przez Wykonawcę.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Zamawiający informuje, iż w przypadku gdy lek nie jest już produkowany lub gdy występuje tymczasowy brak produkcji, a nie ma innego leku równoważnego przy ustalonym kryterium równoważności jako spełnianie rozwiązań co najmniej takich samych lub lepszych parametrów technicznych (w rozumieniu substancji czynnej i dawki) i funkcjonalnych (w rozumieniu zakresu zastosowania i drogi podania) nie obniżających określonych standardów niż te, które wynikają z opisu przedmiotu zamówienia, którym można by go zastąpić, to należy wycenić ten lek, podając ostatnią cenę sprzedaży oraz uwagę o jego braku w odniesieniu do posiadanych informacji z zaznaczeniem źródła informacji.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397856">
        <w:rPr>
          <w:rFonts w:cstheme="minorHAnsi"/>
          <w:sz w:val="18"/>
          <w:szCs w:val="18"/>
        </w:rPr>
        <w:t xml:space="preserve">W przypadku zaoferowania przez Wykonawcę rozwiązań równoważnych na warunkach i według kryteriów określonych w pkt 3, Zamawiający żąda przedłożenia wraz z ofertą Charakterystyki Produktu Leczniczego (CHPL), zgodnie z art. 11 ustawy z dnia 06.09.2001 r. Prawo farmaceutyczne </w:t>
      </w:r>
      <w:r w:rsidRPr="00397856">
        <w:rPr>
          <w:rFonts w:cstheme="minorHAnsi"/>
          <w:bCs/>
          <w:sz w:val="18"/>
          <w:szCs w:val="18"/>
        </w:rPr>
        <w:t>(</w:t>
      </w:r>
      <w:proofErr w:type="spellStart"/>
      <w:r w:rsidRPr="00397856">
        <w:rPr>
          <w:rFonts w:cstheme="minorHAnsi"/>
          <w:bCs/>
          <w:sz w:val="18"/>
          <w:szCs w:val="18"/>
        </w:rPr>
        <w:t>t.j</w:t>
      </w:r>
      <w:proofErr w:type="spellEnd"/>
      <w:r w:rsidRPr="00397856">
        <w:rPr>
          <w:rFonts w:cstheme="minorHAnsi"/>
          <w:bCs/>
          <w:sz w:val="18"/>
          <w:szCs w:val="18"/>
        </w:rPr>
        <w:t>. Dz. U. 2022 r. poz. 2301)</w:t>
      </w:r>
      <w:r w:rsidRPr="00397856">
        <w:rPr>
          <w:rFonts w:cstheme="minorHAnsi"/>
          <w:sz w:val="18"/>
          <w:szCs w:val="18"/>
        </w:rPr>
        <w:t xml:space="preserve"> lub dokumentu równoważnego wydanego zgodnie </w:t>
      </w:r>
      <w:r w:rsidRPr="00397856">
        <w:rPr>
          <w:rFonts w:cstheme="minorHAnsi"/>
          <w:sz w:val="18"/>
          <w:szCs w:val="18"/>
        </w:rPr>
        <w:br/>
        <w:t xml:space="preserve">z Dyrektywą 2001/83/WE Parlamentu Europejskiego i Rady z dnia 06.11.2001r. w sprawie wspólnotowego kodeksu odnoszącego się do produktów leczniczych stosowanych u ludzi (Dz. Urz. UE.L Nr 311, str. 67). </w:t>
      </w:r>
      <w:r w:rsidRPr="00397856">
        <w:rPr>
          <w:rFonts w:cstheme="minorHAnsi"/>
          <w:b/>
          <w:sz w:val="18"/>
          <w:szCs w:val="18"/>
        </w:rPr>
        <w:t>Zamawiający oczekuje, że zaproponowane rozwiązanie równoważne przez Wykonawcę będzie obejmować produkt leczniczy posiadający identyczną substancję czynną, sposób podania oraz wskazanie do stosowania jak określony produkt leczniczy przez Zamawiającego z uwzględnieniem powyższych uwarunkowań.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Wykonawca musi zagwarantować, że wszystkie dostarczone produkty lecznicze będą fabrycznie nowe. Pod pojęciem „fabrycznie nowy", Zamawiający rozumie produkty lecznicze dostarczone w oryginalnych, nienaruszonych opakowaniach wytworzonych przez producenta (zakaz konfekcjonowania).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 xml:space="preserve">Wykonawca zobowiązuje się do właściwego opakowania, załadunku i rozładunku dostarczanych produktów leczniczych, odpowiedniego ich zabezpieczenia na czas przewozu (dostawy), aby wydać je Zamawiającemu w należytym stanie zgodnie z wytycznymi producenta. Odpowiedzialność za ewentualne szkody, powstałe w trakcie przewozu (dostawy), aż do chwili odbioru ich przez Zamawiającego ponosi wyłącznie Wykonawca. Wykonawca musi spełniać warunki Dobrej Praktyki Dystrybucji (DPD), w tym zachować tzw. „zimny łańcuch” i „mroźny łańcuch”, o ile wymaga tego CHPL. 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Zamawiający wymaga, aby termin przydatności do użycia był minimum 12 miesięcy liczony od dnia dostawy przedmiotu zamówienia do Zamawiającego.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W trakcie obowiązywania umowy Wykonawca zobowiązany jest do informowania Zamawiającego o okresowych obniżkach cen produktów leczniczych objętych przedmiotem zawieranej umowy oraz umożliwić Zamawiającemu zakup produktu leczniczego po niższej cenie od ceny pierwotnie zawartej w ofercie (np. promocje cenowe, obniżenie ceny przez producenta, itp.) po zawarciu stosownego aneksu do umowy.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Zamawiający wymaga, jeżeli istnieje instrument dzielenia ryzyka, to cena produktu leczniczego na fakturze powinna to uwzględniać lub faktura korygująca przesyłana jednoczasowo z fakturą zakupu ostatecznie, lecz nie później niż w terminie do 7 dni kalendarzowych od daty zakupu – co umożliwi bieżące kodowanie świadczeń dla płatnika z uwzględnieniem właściwej wartości refundacyjnej (brak konieczności dokonywania późniejszych korekt, a tym samym opóźnienia w uzyskaniu refundacji).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Zamawiający zastrzega, że w przypadku, gdy publiczny płatnik (NFZ) zaprzestanie finansować świadczenie z użyciem produktu leczniczego objętego przedmiotem umowy w danym zakresie, to Zamawiający zastrzega sobie prawo do niezrealizowania, oraz możliwości zwrotu produktu leczniczego do dostawcy i uzyskania korekty finansowej w całości przedmiotu umowy z uwzględnieniem wartości i ilości wskazanych przez publicznego płatnika (NFZ).</w:t>
      </w:r>
    </w:p>
    <w:p w:rsidR="00397856" w:rsidRPr="00397856" w:rsidRDefault="00397856" w:rsidP="00397856">
      <w:pPr>
        <w:pStyle w:val="Akapitzlist"/>
        <w:numPr>
          <w:ilvl w:val="3"/>
          <w:numId w:val="3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397856">
        <w:rPr>
          <w:rFonts w:cstheme="minorHAnsi"/>
          <w:sz w:val="18"/>
          <w:szCs w:val="18"/>
        </w:rPr>
        <w:t>Zamawiający przewiduje możliwość realizacji refundowanych nowych dawek, o ile stanowią one wielokrotność wartościową dawek, będących przedmiotem umowy.</w:t>
      </w:r>
    </w:p>
    <w:p w:rsidR="009E725D" w:rsidRPr="00397856" w:rsidRDefault="009E725D" w:rsidP="00D676D9">
      <w:pPr>
        <w:rPr>
          <w:rFonts w:cstheme="minorHAnsi"/>
          <w:b/>
          <w:color w:val="7030A0"/>
          <w:sz w:val="18"/>
          <w:szCs w:val="18"/>
        </w:rPr>
      </w:pPr>
    </w:p>
    <w:sectPr w:rsidR="009E725D" w:rsidRPr="00397856" w:rsidSect="00D676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5196"/>
    <w:multiLevelType w:val="hybridMultilevel"/>
    <w:tmpl w:val="77D6C2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B547F"/>
    <w:multiLevelType w:val="hybridMultilevel"/>
    <w:tmpl w:val="AC70C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85346"/>
    <w:multiLevelType w:val="hybridMultilevel"/>
    <w:tmpl w:val="CF8E1ABE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581ED288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1B1"/>
    <w:rsid w:val="00397856"/>
    <w:rsid w:val="007146D1"/>
    <w:rsid w:val="007311B1"/>
    <w:rsid w:val="00752BAD"/>
    <w:rsid w:val="009E725D"/>
    <w:rsid w:val="00D1254B"/>
    <w:rsid w:val="00D6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E69A6"/>
  <w15:chartTrackingRefBased/>
  <w15:docId w15:val="{3F744CC0-7633-499F-AD12-67C893F0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,b"/>
    <w:basedOn w:val="Normalny"/>
    <w:link w:val="AkapitzlistZnak"/>
    <w:uiPriority w:val="1"/>
    <w:qFormat/>
    <w:rsid w:val="00D676D9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1"/>
    <w:qFormat/>
    <w:locked/>
    <w:rsid w:val="00D67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5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Grelus</dc:creator>
  <cp:keywords/>
  <dc:description/>
  <cp:lastModifiedBy>Adam Dzięcioł</cp:lastModifiedBy>
  <cp:revision>4</cp:revision>
  <dcterms:created xsi:type="dcterms:W3CDTF">2024-02-21T06:45:00Z</dcterms:created>
  <dcterms:modified xsi:type="dcterms:W3CDTF">2025-10-21T06:08:00Z</dcterms:modified>
</cp:coreProperties>
</file>