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73A75" w14:textId="23365696" w:rsidR="00DD0600" w:rsidRPr="00DD0600" w:rsidRDefault="00DD0600" w:rsidP="00DD0600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DD0600">
        <w:rPr>
          <w:rFonts w:ascii="Times New Roman" w:hAnsi="Times New Roman" w:cs="Times New Roman"/>
          <w:b/>
          <w:sz w:val="18"/>
          <w:szCs w:val="18"/>
        </w:rPr>
        <w:t>Załącznik</w:t>
      </w:r>
      <w:r w:rsidR="00C604AB">
        <w:rPr>
          <w:rFonts w:ascii="Times New Roman" w:hAnsi="Times New Roman" w:cs="Times New Roman"/>
          <w:b/>
          <w:sz w:val="18"/>
          <w:szCs w:val="18"/>
        </w:rPr>
        <w:t xml:space="preserve"> nr 1</w:t>
      </w:r>
      <w:r w:rsidRPr="00DD0600">
        <w:rPr>
          <w:rFonts w:ascii="Times New Roman" w:hAnsi="Times New Roman" w:cs="Times New Roman"/>
          <w:b/>
          <w:sz w:val="18"/>
          <w:szCs w:val="18"/>
        </w:rPr>
        <w:t xml:space="preserve"> do Rozeznania rynku nr </w:t>
      </w:r>
      <w:r w:rsidR="006A5537">
        <w:rPr>
          <w:rFonts w:ascii="Times New Roman" w:hAnsi="Times New Roman" w:cs="Times New Roman"/>
          <w:b/>
          <w:sz w:val="18"/>
          <w:szCs w:val="18"/>
        </w:rPr>
        <w:t>1</w:t>
      </w:r>
      <w:r w:rsidR="003318CD">
        <w:rPr>
          <w:rFonts w:ascii="Times New Roman" w:hAnsi="Times New Roman" w:cs="Times New Roman"/>
          <w:b/>
          <w:sz w:val="18"/>
          <w:szCs w:val="18"/>
        </w:rPr>
        <w:t>/202</w:t>
      </w:r>
      <w:r w:rsidR="006A5537">
        <w:rPr>
          <w:rFonts w:ascii="Times New Roman" w:hAnsi="Times New Roman" w:cs="Times New Roman"/>
          <w:b/>
          <w:sz w:val="18"/>
          <w:szCs w:val="18"/>
        </w:rPr>
        <w:t>6</w:t>
      </w:r>
      <w:r w:rsidR="003318CD">
        <w:rPr>
          <w:rFonts w:ascii="Times New Roman" w:hAnsi="Times New Roman" w:cs="Times New Roman"/>
          <w:b/>
          <w:sz w:val="18"/>
          <w:szCs w:val="18"/>
        </w:rPr>
        <w:t>/OG</w:t>
      </w:r>
    </w:p>
    <w:p w14:paraId="190ECE31" w14:textId="4DF71FF7" w:rsidR="005B5A92" w:rsidRPr="00DD0600" w:rsidRDefault="00DD0600" w:rsidP="00DD06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0600">
        <w:rPr>
          <w:rFonts w:ascii="Times New Roman" w:hAnsi="Times New Roman" w:cs="Times New Roman"/>
          <w:b/>
          <w:sz w:val="32"/>
          <w:szCs w:val="32"/>
        </w:rPr>
        <w:t>K</w:t>
      </w:r>
      <w:r w:rsidR="00EF59D5" w:rsidRPr="00DD0600">
        <w:rPr>
          <w:rFonts w:ascii="Times New Roman" w:hAnsi="Times New Roman" w:cs="Times New Roman"/>
          <w:b/>
          <w:sz w:val="32"/>
          <w:szCs w:val="32"/>
        </w:rPr>
        <w:t xml:space="preserve">rótki </w:t>
      </w:r>
      <w:r w:rsidR="00F05B32" w:rsidRPr="00DD0600">
        <w:rPr>
          <w:rFonts w:ascii="Times New Roman" w:hAnsi="Times New Roman" w:cs="Times New Roman"/>
          <w:b/>
          <w:sz w:val="32"/>
          <w:szCs w:val="32"/>
        </w:rPr>
        <w:t xml:space="preserve">opis </w:t>
      </w:r>
      <w:r>
        <w:rPr>
          <w:rFonts w:ascii="Times New Roman" w:hAnsi="Times New Roman" w:cs="Times New Roman"/>
          <w:b/>
          <w:sz w:val="32"/>
          <w:szCs w:val="32"/>
        </w:rPr>
        <w:t>modułów system</w:t>
      </w:r>
      <w:r w:rsidR="00CD3696">
        <w:rPr>
          <w:rFonts w:ascii="Times New Roman" w:hAnsi="Times New Roman" w:cs="Times New Roman"/>
          <w:b/>
          <w:sz w:val="32"/>
          <w:szCs w:val="32"/>
        </w:rPr>
        <w:t>u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05B32" w:rsidRPr="00DD0600">
        <w:rPr>
          <w:rFonts w:ascii="Times New Roman" w:hAnsi="Times New Roman" w:cs="Times New Roman"/>
          <w:b/>
          <w:sz w:val="32"/>
          <w:szCs w:val="32"/>
        </w:rPr>
        <w:t>używan</w:t>
      </w:r>
      <w:r w:rsidR="00CD3696">
        <w:rPr>
          <w:rFonts w:ascii="Times New Roman" w:hAnsi="Times New Roman" w:cs="Times New Roman"/>
          <w:b/>
          <w:sz w:val="32"/>
          <w:szCs w:val="32"/>
        </w:rPr>
        <w:t>ego</w:t>
      </w:r>
      <w:r w:rsidR="00F05B32" w:rsidRPr="00DD0600">
        <w:rPr>
          <w:rFonts w:ascii="Times New Roman" w:hAnsi="Times New Roman" w:cs="Times New Roman"/>
          <w:b/>
          <w:sz w:val="32"/>
          <w:szCs w:val="32"/>
        </w:rPr>
        <w:t xml:space="preserve"> w ZDPK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78"/>
        <w:gridCol w:w="8644"/>
      </w:tblGrid>
      <w:tr w:rsidR="00F05B32" w:rsidRPr="00DD0600" w14:paraId="7639243B" w14:textId="77777777" w:rsidTr="00DD0600">
        <w:tc>
          <w:tcPr>
            <w:tcW w:w="10622" w:type="dxa"/>
            <w:gridSpan w:val="2"/>
            <w:shd w:val="clear" w:color="auto" w:fill="D9E2F3" w:themeFill="accent5" w:themeFillTint="33"/>
          </w:tcPr>
          <w:p w14:paraId="38C8462E" w14:textId="77777777" w:rsidR="00F05B32" w:rsidRPr="00DD0600" w:rsidRDefault="00F05B32" w:rsidP="008F51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>Finanse</w:t>
            </w:r>
          </w:p>
        </w:tc>
      </w:tr>
      <w:tr w:rsidR="00F05B32" w:rsidRPr="00DD0600" w14:paraId="7F6E5E47" w14:textId="77777777" w:rsidTr="00DD0600">
        <w:tc>
          <w:tcPr>
            <w:tcW w:w="1978" w:type="dxa"/>
          </w:tcPr>
          <w:p w14:paraId="092FDD41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 xml:space="preserve">Dysponent </w:t>
            </w:r>
          </w:p>
        </w:tc>
        <w:tc>
          <w:tcPr>
            <w:tcW w:w="8644" w:type="dxa"/>
          </w:tcPr>
          <w:p w14:paraId="0C47B6CC" w14:textId="4580C0F9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Narzędzie wspomagające pracę wydziałów merytorycznych, czyli faktycznych dysponentów środków budżetowych w urzędach. Podgląd aktualnego planu budżetowego</w:t>
            </w:r>
            <w:r w:rsidR="00B37A18">
              <w:rPr>
                <w:rFonts w:ascii="Times New Roman" w:hAnsi="Times New Roman" w:cs="Times New Roman"/>
              </w:rPr>
              <w:t>.</w:t>
            </w:r>
          </w:p>
          <w:p w14:paraId="62A4CDBA" w14:textId="77777777" w:rsidR="00B37A18" w:rsidRDefault="00B37A18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363C5BB8" w14:textId="18467936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Najważniejsze funkcje:</w:t>
            </w:r>
          </w:p>
          <w:p w14:paraId="449770BE" w14:textId="7E525FCF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rejestr zamówień publicznych, czyli ewidencja wszczętych postępowań o</w:t>
            </w:r>
            <w:r w:rsidR="00DD0600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 xml:space="preserve">zamówienia publiczne i związanej z tym faktem „rezerwacji” środków budżetowych niezbędnych do ewentualnej późniejszej realizacji tych zamówień; </w:t>
            </w:r>
          </w:p>
          <w:p w14:paraId="00CD0D22" w14:textId="388F2920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rejestr umów - ewidencja umów zawieranych przez poszczególne wydziały urzędu w</w:t>
            </w:r>
            <w:r w:rsidR="00DD0600">
              <w:rPr>
                <w:rFonts w:ascii="Times New Roman" w:hAnsi="Times New Roman" w:cs="Times New Roman"/>
              </w:rPr>
              <w:t> </w:t>
            </w:r>
            <w:r w:rsidRPr="00DD0600">
              <w:rPr>
                <w:rFonts w:ascii="Times New Roman" w:hAnsi="Times New Roman" w:cs="Times New Roman"/>
              </w:rPr>
              <w:t xml:space="preserve">kontekście zaangażowania środków budżetowych; </w:t>
            </w:r>
          </w:p>
          <w:p w14:paraId="557D783D" w14:textId="75BDABEB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rejestr faktur – ewidencja faktur, wynikających z realizacji zawartych umów a</w:t>
            </w:r>
            <w:r w:rsidR="00DD0600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także faktur i innych dokumentów rozliczeniowych niezwiązanych z umowami</w:t>
            </w:r>
            <w:r w:rsidR="00DD0600">
              <w:rPr>
                <w:rFonts w:ascii="Times New Roman" w:hAnsi="Times New Roman" w:cs="Times New Roman"/>
              </w:rPr>
              <w:t>;</w:t>
            </w:r>
          </w:p>
          <w:p w14:paraId="497AA06A" w14:textId="0879547B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automatyczne księgowanie zaangażowania budżetu - generowanie dekretów księgowych do modułu FK (konta księgowe 996, 997, 998 i 999) wynikających z zaewidencjonowanych umów oraz faktur niezwiązanych z umowami;</w:t>
            </w:r>
          </w:p>
          <w:p w14:paraId="0068E92A" w14:textId="31AA9AC5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automatyczne księgowanie zobowiązań – generowanie dekretów księgowych do modułu FK (konta zespołu 2) wynikających z zaewidencjonowanych faktur</w:t>
            </w:r>
            <w:r w:rsidR="00DD0600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i</w:t>
            </w:r>
            <w:r w:rsidR="00DD0600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innych dokumentów rozliczeniowych;</w:t>
            </w:r>
          </w:p>
          <w:p w14:paraId="53C59DE3" w14:textId="79005839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podgląd zrealizowanych płatności (zaksięgowanych w module FK wyciągów bankowych) w powiązaniu z umową i fakturą;</w:t>
            </w:r>
          </w:p>
          <w:p w14:paraId="5F46FF0E" w14:textId="1D4568B0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kontrola realizacji budżetu - analiza środków budżetowych pozostających do dyspozycji, w różnych kontekstach (faktycznego wykonania, zaangażowania, wszczętych zamówień publicznych);</w:t>
            </w:r>
          </w:p>
          <w:p w14:paraId="41B3B266" w14:textId="0ACDE3A9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analiza rozliczenia umowy;</w:t>
            </w:r>
          </w:p>
          <w:p w14:paraId="2EDD6B69" w14:textId="7B4978FD" w:rsidR="00F05B32" w:rsidRPr="00DD0600" w:rsidRDefault="00F05B32" w:rsidP="00DD060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generowanie zestawień w różnych przekrojach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74E62E40" w14:textId="77777777" w:rsidTr="00DD0600">
        <w:tc>
          <w:tcPr>
            <w:tcW w:w="1978" w:type="dxa"/>
          </w:tcPr>
          <w:p w14:paraId="4823C067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 xml:space="preserve">FK Finanse </w:t>
            </w:r>
          </w:p>
        </w:tc>
        <w:tc>
          <w:tcPr>
            <w:tcW w:w="8644" w:type="dxa"/>
          </w:tcPr>
          <w:p w14:paraId="1E991DF1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Program przeznaczonym do prowadzenia ksiąg rachunkowych podmiotów gospodarczych oraz jednostek sfery budżetowej.</w:t>
            </w:r>
          </w:p>
          <w:p w14:paraId="731E56F4" w14:textId="77777777" w:rsidR="00873EF5" w:rsidRPr="00DD0600" w:rsidRDefault="00873EF5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6DFAB584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Do podstawowych cech programu FK można również zaliczyć:</w:t>
            </w:r>
          </w:p>
          <w:p w14:paraId="461271ED" w14:textId="74CA9512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spolonizowany interfejs, obsługę polskich znaków diakrytycznych i instrukcję obsługi po polsku</w:t>
            </w:r>
            <w:r w:rsidR="00DD0600">
              <w:rPr>
                <w:rFonts w:ascii="Times New Roman" w:hAnsi="Times New Roman" w:cs="Times New Roman"/>
              </w:rPr>
              <w:t>;</w:t>
            </w:r>
          </w:p>
          <w:p w14:paraId="4CA97D5E" w14:textId="3108A0FA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interfejs graficzny gwarantujący wygodne wprowadzanie danych, bieżącą kontrolę poprawności wprowadzanych danych, przejrzystość prezentowania danych na ekranie oraz wygodny sposób wyszukiwania danych po dowolnych kryteriach</w:t>
            </w:r>
            <w:r w:rsidR="00DD0600">
              <w:rPr>
                <w:rFonts w:ascii="Times New Roman" w:hAnsi="Times New Roman" w:cs="Times New Roman"/>
              </w:rPr>
              <w:t>;</w:t>
            </w:r>
          </w:p>
          <w:p w14:paraId="1D3B6B0C" w14:textId="77777777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pracę w środowisku sieciowym, wielodostępność pozwalającą na równoczesne</w:t>
            </w:r>
          </w:p>
          <w:p w14:paraId="0B86746B" w14:textId="31BCFA5F" w:rsidR="00F05B32" w:rsidRPr="00DD0600" w:rsidRDefault="00F05B32" w:rsidP="00DD0600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korzystanie z bazy danych przez wielu użytkowników</w:t>
            </w:r>
            <w:r w:rsidR="00DD0600">
              <w:rPr>
                <w:rFonts w:ascii="Times New Roman" w:hAnsi="Times New Roman" w:cs="Times New Roman"/>
              </w:rPr>
              <w:t>;</w:t>
            </w:r>
          </w:p>
          <w:p w14:paraId="402CE42B" w14:textId="0DA99E97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ciągły dostęp do aktualnych danych i działanie trybie on-line oraz zapewnienie aktualizacji informacji w bazach danych podczas rutynowych czynności wykonywanych na stanowiskach pracy</w:t>
            </w:r>
            <w:r w:rsidR="00DD0600">
              <w:rPr>
                <w:rFonts w:ascii="Times New Roman" w:hAnsi="Times New Roman" w:cs="Times New Roman"/>
              </w:rPr>
              <w:t>;</w:t>
            </w:r>
          </w:p>
          <w:p w14:paraId="153A2169" w14:textId="0D81A64D" w:rsidR="00F05B32" w:rsidRPr="00DD0600" w:rsidRDefault="00F05B32" w:rsidP="00DD060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wielowalutowość – obsługę operacji w dowolnej walucie</w:t>
            </w:r>
            <w:r w:rsidR="00DD0600">
              <w:rPr>
                <w:rFonts w:ascii="Times New Roman" w:hAnsi="Times New Roman" w:cs="Times New Roman"/>
              </w:rPr>
              <w:t>;</w:t>
            </w:r>
          </w:p>
          <w:p w14:paraId="63E21FAD" w14:textId="0005BBA6" w:rsidR="00F05B32" w:rsidRPr="00DD0600" w:rsidRDefault="00F05B32" w:rsidP="00DD060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zapewnienie wymiany danych z aplikacjami zewnętrznymi: eksport wszystkich wprowadzonych rejestrów do innych narzędzi informatycznych (np. z grupy Office), przenoszenie wszelkich zestawień, sprawozdań czy raportów z systemu do narzędzia biurowego Excel i Word oraz w formacie PDF, równoczesne korzystania z aplikacji użytkowych i programów wspomagających prace biurowe (edytor tekstu, arkusze kalkulacyjne, itp.).</w:t>
            </w:r>
          </w:p>
        </w:tc>
      </w:tr>
      <w:tr w:rsidR="00F05B32" w:rsidRPr="00DD0600" w14:paraId="47E485F9" w14:textId="77777777" w:rsidTr="00DD0600">
        <w:tc>
          <w:tcPr>
            <w:tcW w:w="1978" w:type="dxa"/>
          </w:tcPr>
          <w:p w14:paraId="3D893780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 xml:space="preserve">Przelewy </w:t>
            </w:r>
          </w:p>
        </w:tc>
        <w:tc>
          <w:tcPr>
            <w:tcW w:w="8644" w:type="dxa"/>
          </w:tcPr>
          <w:p w14:paraId="5422F2DB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Narzędzie wspomagające przygotowywanie przelewów bankowych, ich drukowanie oraz eksportowanie plików z danymi do programów typu Home Banking, służącymi do elektronicznej wymiany danych z bankami.</w:t>
            </w:r>
          </w:p>
          <w:p w14:paraId="5BCB8EBA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2B2F673D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Wybrane funkcjonalności:</w:t>
            </w:r>
          </w:p>
          <w:p w14:paraId="549857B1" w14:textId="41D5926B" w:rsidR="00F05B32" w:rsidRPr="00DD0600" w:rsidRDefault="00F05B32" w:rsidP="00DD0600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kartoteka przelewów z zapisem historii operacji dokonywanych na przelewach (wprowadzanie, zatwierdzanie, drukowanie, eksport, itp.)</w:t>
            </w:r>
            <w:r w:rsidR="00DD0600">
              <w:rPr>
                <w:rFonts w:ascii="Times New Roman" w:hAnsi="Times New Roman" w:cs="Times New Roman"/>
              </w:rPr>
              <w:t>;</w:t>
            </w:r>
          </w:p>
          <w:p w14:paraId="7368F48B" w14:textId="3B9383EC" w:rsidR="00F05B32" w:rsidRPr="00DD0600" w:rsidRDefault="00F05B32" w:rsidP="00DD0600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drukowanie przelewów (możliwość uzyskania wydruków na oryginalnych formularzach w różnych układach graficznych)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C7A7122" w14:textId="2538BCAB" w:rsidR="00F05B32" w:rsidRPr="00DD0600" w:rsidRDefault="00F05B32" w:rsidP="00DD0600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współpraca z dowolnym programem bankowym typu Home Banking w zakresie elektronicznej emisji danych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2052E9EA" w14:textId="0E4F472B" w:rsidR="00F05B32" w:rsidRPr="00DD0600" w:rsidRDefault="00F05B32" w:rsidP="00DD0600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lastRenderedPageBreak/>
              <w:t>współpraca z modułem FK – generowanie przelewów na podstawie analizy terminów płatności faktur zaewidencjonowanych w księdze pomocniczej rozrachunków z</w:t>
            </w:r>
            <w:r w:rsidR="00DD0600">
              <w:rPr>
                <w:rFonts w:ascii="Times New Roman" w:hAnsi="Times New Roman" w:cs="Times New Roman"/>
              </w:rPr>
              <w:t> </w:t>
            </w:r>
            <w:r w:rsidRPr="00DD0600">
              <w:rPr>
                <w:rFonts w:ascii="Times New Roman" w:hAnsi="Times New Roman" w:cs="Times New Roman"/>
              </w:rPr>
              <w:t>kontrahentami</w:t>
            </w:r>
            <w:r w:rsidR="00DD0600">
              <w:rPr>
                <w:rFonts w:ascii="Times New Roman" w:hAnsi="Times New Roman" w:cs="Times New Roman"/>
              </w:rPr>
              <w:t>;</w:t>
            </w:r>
          </w:p>
          <w:p w14:paraId="01D79E67" w14:textId="7B9359DC" w:rsidR="00F05B32" w:rsidRPr="00DD0600" w:rsidRDefault="00F05B32" w:rsidP="00DD0600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współpraca z modułem PŁACE – automatyczne generowanie przelewów na RORy pracowników na podstawie list płac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5B7BBCD9" w14:textId="77777777" w:rsidTr="00DD0600">
        <w:tc>
          <w:tcPr>
            <w:tcW w:w="1978" w:type="dxa"/>
          </w:tcPr>
          <w:p w14:paraId="24F46FE9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lastRenderedPageBreak/>
              <w:t xml:space="preserve">Środki Trwałe </w:t>
            </w:r>
          </w:p>
        </w:tc>
        <w:tc>
          <w:tcPr>
            <w:tcW w:w="8644" w:type="dxa"/>
          </w:tcPr>
          <w:p w14:paraId="50760EF1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Program Środki Trwałe służy do obsługi zadań związanych z prowadzeniem ewidencji środków trwałych oraz wartości niematerialnych i prawnych jednej lub wielu jednostek organizacyjnych z dowolnie zdefiniowanym podziałem, np. na: działy, wydziały, referaty, osoby odpowiedzialne, biura, pokoje - zgodnie z potrzebami użytkowników.</w:t>
            </w:r>
          </w:p>
          <w:p w14:paraId="5C281076" w14:textId="4DF6FC32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Program umożliwia kontrolę danych zapisywanych w karcie środka trwałego pod względem formalnym oraz automatyczne naliczanie wysokości przeszacowania i umorzenia. Zapewnia on także pełny dostęp do danych o wszystkich środkach trwałych zarejestrowanych w systemie i</w:t>
            </w:r>
            <w:r w:rsidR="00B37A18">
              <w:rPr>
                <w:rFonts w:ascii="Times New Roman" w:hAnsi="Times New Roman" w:cs="Times New Roman"/>
              </w:rPr>
              <w:t> </w:t>
            </w:r>
            <w:r w:rsidRPr="00DD0600">
              <w:rPr>
                <w:rFonts w:ascii="Times New Roman" w:hAnsi="Times New Roman" w:cs="Times New Roman"/>
              </w:rPr>
              <w:t>odnotowuje zmiany tych danych na przestrzeni czasu w postaci tzw. historii zmian. Możliwe jest ponadto tworzenie różnego rodzaju zestawień według własnych potrzeb, modyfikowania ich wyglądu oraz exportu tych zestawień do formatu xls lub pdf.</w:t>
            </w:r>
          </w:p>
          <w:p w14:paraId="080C61B4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5E0CD9E8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Wybrane funkcjonalności:</w:t>
            </w:r>
          </w:p>
          <w:p w14:paraId="2E1076DE" w14:textId="04963C04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automatyczne obliczanie nowych wartości odpisów amortyzacyjnych w</w:t>
            </w:r>
            <w:r w:rsidR="008F51DC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przypadku: sprzedaży, likwidacji przekazania lub zmiany wartości środków trwałych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8ACF778" w14:textId="12890886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łatwego i szybkiego tworzenia sprawozdania SG-01, poprzez dostosowanie pola do indywidualnych potrzeb danej jednostki gospodarczej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2E9E81C0" w14:textId="2E18B075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dostosowanie unikalności nr inwentarzowego do potrzeb jednostki, możliwość ustalenia ich z dokładnością do rodzaju, klasyfikacji, grupy lub kartoteki (możliwość nadawania kolejnych numerów podpowiadanych w zależności od wybranej unikalności, lub bez podpowiadania, wówczas można tworzyć nr inwentarzowe bardziej skomplikowane)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1E45D59" w14:textId="04363FB1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drukowanie etykiet dla środków zawierających numer ewidencyjny i kod kreskowy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0DDD476" w14:textId="24DF94D5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inwentaryzacja środków trwałych, również przy użyciu czytników kodów kreskowych i</w:t>
            </w:r>
            <w:r w:rsidR="008F51DC">
              <w:rPr>
                <w:rFonts w:ascii="Times New Roman" w:hAnsi="Times New Roman" w:cs="Times New Roman"/>
              </w:rPr>
              <w:t> </w:t>
            </w:r>
            <w:r w:rsidRPr="00DD0600">
              <w:rPr>
                <w:rFonts w:ascii="Times New Roman" w:hAnsi="Times New Roman" w:cs="Times New Roman"/>
              </w:rPr>
              <w:t>terminali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92C5E06" w14:textId="6891AC61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ustawienia programu w taki sposób, aby kto inny wprowadzał dokumenty, a</w:t>
            </w:r>
            <w:r w:rsidR="008F51DC">
              <w:rPr>
                <w:rFonts w:ascii="Times New Roman" w:hAnsi="Times New Roman" w:cs="Times New Roman"/>
              </w:rPr>
              <w:t> </w:t>
            </w:r>
            <w:r w:rsidRPr="00DD0600">
              <w:rPr>
                <w:rFonts w:ascii="Times New Roman" w:hAnsi="Times New Roman" w:cs="Times New Roman"/>
              </w:rPr>
              <w:t>inna osoba je zatwierdzała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61FFE00" w14:textId="378EE4C6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wydruków do pliku XLS i PDF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4600191" w14:textId="7FEB4A1B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całkowity opis cech środka trwałego (począwszy od rodzaju ewidencji, klasyfikacji, nr inwentarzowego, nazwy, daty przyjęcia do użytkowania i wartości początkowej, do zdjęcia ze stanu, daty umorzenia, wyróżnika, danych dodatkowych, stawek amortyzacji, działu gospodarczego, i wielu innych dodatkowych kolumn, możliwych do wyświetlenia w kartotece środków trwałych)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2290106" w14:textId="09E04762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grupowania środków trwałych, np.: ze względu na pozycję w Klasyfikacji Rodzajowej Środków Trwałych, miejsca ich użytkowania. W</w:t>
            </w:r>
            <w:r w:rsidR="00B37A18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zależności od zdefiniowanych wcześniej słowników można narastająco i malejąco grupować wszystkie pozycje z kartoteki środków trwałych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A192BDC" w14:textId="5263067A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ewidencja miejsc użytkowania środków w ujęciu historycznym (śledzenie zmian miejsc użytkowania poprzez historie zmian wprowadzanych w środku trwałym za pomocą dowodów księgowych. Każda zmiana dotycząca np. zwiększenia wartości środka trwałego, zmniejszenia wartości, przekazania, likwidacji jest łatwo dostępna i widoczna na środku trwałym w zakładce „Obroty”)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829ED26" w14:textId="5EEB4E52" w:rsidR="00F05B32" w:rsidRPr="00DD0600" w:rsidRDefault="00F05B32" w:rsidP="00DD060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określenia kont, na które mają być księgowane kwoty umorzeń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134FA314" w14:textId="77777777" w:rsidTr="00DD0600">
        <w:tc>
          <w:tcPr>
            <w:tcW w:w="1978" w:type="dxa"/>
          </w:tcPr>
          <w:p w14:paraId="3508ACD8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>Pozostałe Środki Trwałe (Niskocenne)</w:t>
            </w:r>
          </w:p>
        </w:tc>
        <w:tc>
          <w:tcPr>
            <w:tcW w:w="8644" w:type="dxa"/>
          </w:tcPr>
          <w:p w14:paraId="28DBB668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Przeznaczeniem programu Pozostałe Środki Trwałe jest prowadzenie pełnej ewidencji środków o wartości poniżej 3500 zł.</w:t>
            </w:r>
          </w:p>
          <w:p w14:paraId="0FF188C1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401806D7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Wybrane funkcjonalności:</w:t>
            </w:r>
          </w:p>
          <w:p w14:paraId="74CB3ED1" w14:textId="3BFC49F1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prowadzenie jednolitej kartoteki wyposażenia zapewniającej unikalność numerów inwentarzowych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10D379A" w14:textId="58AD7CC3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transmisji danych z systemu gospodarki materiałowej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31AB828" w14:textId="1298395B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definiowanie przez Użytkownika dokumentów księgowych dotyczących obrotu wyposażeniem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7317AC9F" w14:textId="74DD1CD7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prowadzenie kartoteki w podziale na dowolne rodzaje ewidencji np. ilościowej, ilościowo – wartościowej, wartościowej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E4644A6" w14:textId="61A85A91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przeszacowania wyposażenia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8C47BEF" w14:textId="12A74D43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drukowanie etykiet dla środków zawierających numer ewidencyjny i kod kreskowy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4D33B64" w14:textId="374BBBFD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sporządzanie arkuszy inwentaryzacyjnych w oparciu o spis z natury. Możliwość przeprowadzania inwentaryzacji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769A54AD" w14:textId="6F7798AC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lastRenderedPageBreak/>
              <w:t>możliwość dokumentacyjnej zmiany lokalizacji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9AF5986" w14:textId="5A28EE6D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wydruków do pliku XLS i PDF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E62E748" w14:textId="6F4FB3D2" w:rsidR="00F05B32" w:rsidRPr="00DD0600" w:rsidRDefault="00F05B32" w:rsidP="00DD06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inwentaryzacja środków trwałych, również przy użyciu czytników kodów kreskowych i</w:t>
            </w:r>
            <w:r w:rsidR="008F51DC">
              <w:rPr>
                <w:rFonts w:ascii="Times New Roman" w:hAnsi="Times New Roman" w:cs="Times New Roman"/>
              </w:rPr>
              <w:t> </w:t>
            </w:r>
            <w:r w:rsidRPr="00DD0600">
              <w:rPr>
                <w:rFonts w:ascii="Times New Roman" w:hAnsi="Times New Roman" w:cs="Times New Roman"/>
              </w:rPr>
              <w:t xml:space="preserve"> terminali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09425EC1" w14:textId="77777777" w:rsidTr="00DD0600">
        <w:tc>
          <w:tcPr>
            <w:tcW w:w="1978" w:type="dxa"/>
          </w:tcPr>
          <w:p w14:paraId="712FFBA6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lastRenderedPageBreak/>
              <w:t xml:space="preserve">Wyciągi bankowe </w:t>
            </w:r>
          </w:p>
        </w:tc>
        <w:tc>
          <w:tcPr>
            <w:tcW w:w="8644" w:type="dxa"/>
          </w:tcPr>
          <w:p w14:paraId="58D5F0C9" w14:textId="371802D2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 xml:space="preserve">System służy do komunikacji z systemami bankowymi w zakresie obsługi płatności masowych oraz importu wyciągów wpłat z terminali płatniczych. Współpracuje z programami pakietu </w:t>
            </w:r>
            <w:r w:rsidR="006F707B">
              <w:rPr>
                <w:rFonts w:ascii="Times New Roman" w:hAnsi="Times New Roman" w:cs="Times New Roman"/>
              </w:rPr>
              <w:t>Systemu</w:t>
            </w:r>
            <w:r w:rsidRPr="00DD0600">
              <w:rPr>
                <w:rFonts w:ascii="Times New Roman" w:hAnsi="Times New Roman" w:cs="Times New Roman"/>
              </w:rPr>
              <w:t>. W systemie istnieje możliwość sporządzania zestawień na podstawie wpłat przyjętych/zaksięgowanych w systemach dziedzinowych.</w:t>
            </w:r>
          </w:p>
          <w:p w14:paraId="22833500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1E94FCA5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Wybrane funkcjonalności:</w:t>
            </w:r>
          </w:p>
          <w:p w14:paraId="54AD0FE5" w14:textId="2488A135" w:rsidR="00F05B32" w:rsidRPr="00DD0600" w:rsidRDefault="00F05B32" w:rsidP="00DD060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kartoteka wyciągów z zapisem historii operacji dokonywanych na wyciągach (wprowadzanie, zatwierdzanie)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E47A8C0" w14:textId="05FBF310" w:rsidR="00F05B32" w:rsidRPr="00DD0600" w:rsidRDefault="00F05B32" w:rsidP="00DD060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współpraca z programami bankowymi w zakresie elektronicznej emisji i</w:t>
            </w:r>
            <w:r w:rsidR="006F707B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poboru danych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508AF86" w14:textId="62C443AC" w:rsidR="00F05B32" w:rsidRPr="00DD0600" w:rsidRDefault="00F05B32" w:rsidP="00DD060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współpraca z modułem Finanse – automatyczne dekretowanie dokumentów księgowych (wyciągów bankowych)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398E3E64" w14:textId="77777777" w:rsidTr="00DD0600">
        <w:tc>
          <w:tcPr>
            <w:tcW w:w="1978" w:type="dxa"/>
          </w:tcPr>
          <w:p w14:paraId="5239D8FF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 xml:space="preserve">Budżet </w:t>
            </w:r>
          </w:p>
        </w:tc>
        <w:tc>
          <w:tcPr>
            <w:tcW w:w="8644" w:type="dxa"/>
          </w:tcPr>
          <w:p w14:paraId="10468209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Program Budżet dedykowany jest Skarbnikom i pracownikom wydziałów Budżetowych. Pozwala kontrolować wykonanie budżetu zarówno w układzie klasyfikacji budżetowej, jak i tzw. układu zadaniowego - w oparciu o dokumenty planu i jednostkowe sprawozdania budżetowe. Program umożliwia także przygotowywanie sprawozdań zbiorczych do Regionalnych Izb Obrachunkowych.</w:t>
            </w:r>
          </w:p>
          <w:p w14:paraId="7BF74D1C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59563411" w14:textId="77777777" w:rsidR="00F05B32" w:rsidRPr="00DD0600" w:rsidRDefault="00F05B32" w:rsidP="00B37A18">
            <w:pPr>
              <w:shd w:val="clear" w:color="auto" w:fill="FFFFFF"/>
              <w:ind w:right="170"/>
              <w:jc w:val="both"/>
              <w:outlineLvl w:val="4"/>
              <w:rPr>
                <w:rFonts w:ascii="Times New Roman" w:eastAsia="Times New Roman" w:hAnsi="Times New Roman" w:cs="Times New Roman"/>
                <w:color w:val="242A37"/>
                <w:lang w:eastAsia="pl-PL"/>
              </w:rPr>
            </w:pPr>
            <w:r w:rsidRPr="00DD0600">
              <w:rPr>
                <w:rFonts w:ascii="Times New Roman" w:eastAsia="Times New Roman" w:hAnsi="Times New Roman" w:cs="Times New Roman"/>
                <w:color w:val="242A37"/>
                <w:lang w:eastAsia="pl-PL"/>
              </w:rPr>
              <w:t>Wybrane funkcjonalności:</w:t>
            </w:r>
          </w:p>
          <w:p w14:paraId="5B18449E" w14:textId="0943975A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ewidencji danych wg klasyfikacji budżetowej oraz równolegle w</w:t>
            </w:r>
            <w:r w:rsidR="00B37A18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tzw. układzie zadaniowym budżetu z zachowaniem zasady jednokrotnego wprowadzania dokumentów, z możliwością przypisywania wielu pozycji (paragrafów) klasyfikacji budżetowej do danego zadania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D0D5670" w14:textId="1BF65552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obsługa danych dla poszczególnych dysponentów budżetowych z możliwością ograniczenia lub wyłączenia dostępu do danych budżetowych określonych dysponentów dla poszczególnych użytkowników programu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3B9D5E4" w14:textId="5433D978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tworzenie planu dochodów i wydatków dla poszczególnych dysponentów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B4F3F14" w14:textId="642AB0A6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ewidencji uchwał budżetowych w dokładności do grup paragrafów wg nowej ustawy o finansach publicznych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A33C566" w14:textId="54C7CB43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drukowanie uchwał jako załączników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7F289971" w14:textId="0FCDA5F4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ewidencja dokumentów planu budżetowego z dokładnością do paragrafów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3937784" w14:textId="5F644899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eksport uchwał i dokumentów planu budżetowego do programu Bestia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B5CD958" w14:textId="2541EFF3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wysyłanie planu w formie elektronicznej do podległych jednostek budżetowych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40AEF5F" w14:textId="2B7751D7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importu dokumentów zmieniających plan (decyzji kierowników) z</w:t>
            </w:r>
            <w:r w:rsidR="00B37A18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programu FK eksploatowanego w jednostkach budżetowych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28DC04B" w14:textId="05DD29E9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kartoteka miesięcznych sprawozdań jednostkowych z podległych jednostek budżetowych (m.in. RB-27S, RB-28S, RB-27ZZ, RB-50, RB-30S, RB-34S, RB-N, RB-Z, RB-WS, Bilans, Rachunek Zysków i Strat, Zestawienie Zmian Funduszu Jednostki)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316BA3E" w14:textId="109D7A22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wczytywanie sprawozdań jednostkowych w formie elektronicznej z systemów FK, Budżet RB, Bestia i innych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9F38A74" w14:textId="04631D75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weryfikacja miesięczna i kwartalna wczytywanych sprawozdań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3F13823F" w14:textId="696DC055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weryfikacja identyfikatora sprawozdania (zgodność z wersją papierową)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A787942" w14:textId="32786AE0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kontrola zgodności planu jednostki z planem wg uchwał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2AD0D908" w14:textId="50A8DFBA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agregowanie sprawozdań jednostkowych i sporządzanie sprawozdań zbiorczych oraz przesyłanie ich w formie elektronicznej do RIO za pośrednictwem programu Bestia (m.in. RB-27S, RB-28S, RB-27ZZ, RB-50, RB-30S, RB-34S, RB-N, RB-Z, RB-WS, Bilans, Rachunek Zysków i Strat, Zestawienie Zmian Funduszu Jednostki)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2922CBA5" w14:textId="799BBFEE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przeglądania i grupowania danych na dowolnych poziomach struktury klasyfikacji budżetowej (dział - rozdział - paragraf - pozycja) lub na dowolnych poziomach struktury układu zadaniowego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36EB3436" w14:textId="671EF3BC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przeglądanie kartoteki budżetowej według dowolnego, ustalanego przez użytkownika tabelarycznego sposobu prezentacji danych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783EC917" w14:textId="5BE08CF8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przedstawienia w kartotece budżetowej bieżących podsumowań na wielu poziomach grupowania danych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BB57084" w14:textId="508CDD76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filtry danych uwzględniające rodzaj finansowania, grupy dysponentów, klasyfikację oraz zadania budżetowe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AAA46DB" w14:textId="4718C9C4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tworzenie zestawień o dowolnej dokładności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16CFD4D" w14:textId="1D012C23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obsługa archiwum z lat poprzednich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D3E403A" w14:textId="6D05517C" w:rsidR="00F05B32" w:rsidRPr="00DD0600" w:rsidRDefault="008F51DC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lastRenderedPageBreak/>
              <w:t>prezentacja</w:t>
            </w:r>
            <w:r w:rsidR="00F05B32" w:rsidRPr="00DD0600">
              <w:rPr>
                <w:rFonts w:ascii="Times New Roman" w:hAnsi="Times New Roman" w:cs="Times New Roman"/>
              </w:rPr>
              <w:t xml:space="preserve"> danych, wg stanu na dowolny dzień roku kalendarzowego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832AEF5" w14:textId="0014028E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tworzenie różnorodnych zestawień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79C299AB" w14:textId="0428944E" w:rsidR="00F05B32" w:rsidRPr="00DD0600" w:rsidRDefault="00F05B32" w:rsidP="00B37A18">
            <w:pPr>
              <w:numPr>
                <w:ilvl w:val="0"/>
                <w:numId w:val="10"/>
              </w:numPr>
              <w:shd w:val="clear" w:color="auto" w:fill="FFFFFF"/>
              <w:ind w:left="714" w:hanging="357"/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eksport danych i zestawień do arkuszy kalkulacyjnych Excel oraz OpenOffice, współpraca z programem Moduł Analityczny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632A50DB" w14:textId="77777777" w:rsidTr="00DD0600">
        <w:tc>
          <w:tcPr>
            <w:tcW w:w="1978" w:type="dxa"/>
          </w:tcPr>
          <w:p w14:paraId="20FC532E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lastRenderedPageBreak/>
              <w:t xml:space="preserve">Budżet RB2 </w:t>
            </w:r>
          </w:p>
        </w:tc>
        <w:tc>
          <w:tcPr>
            <w:tcW w:w="8644" w:type="dxa"/>
          </w:tcPr>
          <w:p w14:paraId="0B0FBED1" w14:textId="3CCE5671" w:rsidR="00F05B32" w:rsidRPr="00DD0600" w:rsidRDefault="00F05B32" w:rsidP="00B37A18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Budżet RB umożliwia dwustronną elektroniczną wymianę informacji w zakresie sprawozdań budżetowych i finansowych pomiędzy jednostką budżetową sporządzającą sprawozdanie, a</w:t>
            </w:r>
            <w:r w:rsidR="00B37A18">
              <w:rPr>
                <w:rFonts w:ascii="Times New Roman" w:hAnsi="Times New Roman" w:cs="Times New Roman"/>
              </w:rPr>
              <w:t> </w:t>
            </w:r>
            <w:r w:rsidRPr="00DD0600">
              <w:rPr>
                <w:rFonts w:ascii="Times New Roman" w:hAnsi="Times New Roman" w:cs="Times New Roman"/>
              </w:rPr>
              <w:t>organem to sprawozdanie przyjmującym.</w:t>
            </w:r>
          </w:p>
          <w:p w14:paraId="761806C1" w14:textId="77777777" w:rsidR="00F05B32" w:rsidRPr="00DD0600" w:rsidRDefault="00F05B32" w:rsidP="00B37A18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Program może pracować w samodzielnym środowisku, niezależnie od systemów Budżet oraz FK, bądź w ścisłej współpracy z wymienionymi modułami, dzięki czemu możliwa jest pełna automatyzacja obiegu dokumentów sprawozdawczości budżetowej i finansowej - zarówno w układzie klasyfikacji budżetowej jak i układu zadaniowego budżetu.</w:t>
            </w:r>
          </w:p>
          <w:p w14:paraId="5C5B18EC" w14:textId="77777777" w:rsidR="00B37A18" w:rsidRDefault="00B37A18" w:rsidP="00B37A18">
            <w:pPr>
              <w:pStyle w:val="Nagwek5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42A37"/>
                <w:sz w:val="22"/>
                <w:szCs w:val="22"/>
              </w:rPr>
            </w:pPr>
          </w:p>
          <w:p w14:paraId="12C8081C" w14:textId="688BF5A1" w:rsidR="00F05B32" w:rsidRPr="00DD0600" w:rsidRDefault="00F05B32" w:rsidP="00B37A18">
            <w:pPr>
              <w:pStyle w:val="Nagwek5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42A37"/>
                <w:sz w:val="22"/>
                <w:szCs w:val="22"/>
              </w:rPr>
            </w:pPr>
            <w:r w:rsidRPr="00DD0600">
              <w:rPr>
                <w:b w:val="0"/>
                <w:bCs w:val="0"/>
                <w:color w:val="242A37"/>
                <w:sz w:val="22"/>
                <w:szCs w:val="22"/>
              </w:rPr>
              <w:t>Wybrane funkcjonalności:</w:t>
            </w:r>
          </w:p>
          <w:p w14:paraId="1EEBE687" w14:textId="50B553A7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/>
              <w:ind w:left="495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>generowanie planu budżetowego w systemie budżet i jego elektroniczna transmisja w</w:t>
            </w:r>
            <w:r w:rsidR="008F51DC">
              <w:rPr>
                <w:color w:val="242A37"/>
                <w:sz w:val="22"/>
                <w:szCs w:val="22"/>
              </w:rPr>
              <w:t> </w:t>
            </w:r>
            <w:r w:rsidRPr="00DD0600">
              <w:rPr>
                <w:color w:val="242A37"/>
                <w:sz w:val="22"/>
                <w:szCs w:val="22"/>
              </w:rPr>
              <w:t>postaci pliku do jednostki budżetowej</w:t>
            </w:r>
            <w:r w:rsidR="008F51DC">
              <w:rPr>
                <w:color w:val="242A37"/>
                <w:sz w:val="22"/>
                <w:szCs w:val="22"/>
              </w:rPr>
              <w:t>;</w:t>
            </w:r>
          </w:p>
          <w:p w14:paraId="5AF7800A" w14:textId="57571704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/>
              <w:ind w:left="495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>odczyt planu w jednostce</w:t>
            </w:r>
            <w:r w:rsidR="008F51DC">
              <w:rPr>
                <w:color w:val="242A37"/>
                <w:sz w:val="22"/>
                <w:szCs w:val="22"/>
              </w:rPr>
              <w:t>;</w:t>
            </w:r>
          </w:p>
          <w:p w14:paraId="63F7E5E8" w14:textId="431ADD21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/>
              <w:ind w:left="495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>możliwość wypełnienia kompletnych sprawozdań budżetowych i finansowych</w:t>
            </w:r>
            <w:r w:rsidR="008F51DC">
              <w:rPr>
                <w:color w:val="242A37"/>
                <w:sz w:val="22"/>
                <w:szCs w:val="22"/>
              </w:rPr>
              <w:t>;</w:t>
            </w:r>
          </w:p>
          <w:p w14:paraId="383BF329" w14:textId="5C070DAC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/>
              <w:ind w:left="495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>możliwość przygotowania kompletnych sprawozdań budżetowych i</w:t>
            </w:r>
            <w:r w:rsidR="008F51DC">
              <w:rPr>
                <w:color w:val="242A37"/>
                <w:sz w:val="22"/>
                <w:szCs w:val="22"/>
              </w:rPr>
              <w:t xml:space="preserve"> </w:t>
            </w:r>
            <w:r w:rsidRPr="00DD0600">
              <w:rPr>
                <w:color w:val="242A37"/>
                <w:sz w:val="22"/>
                <w:szCs w:val="22"/>
              </w:rPr>
              <w:t>finansowych automatycznie w oparciu o zapisy na kontach księgowych z</w:t>
            </w:r>
            <w:r w:rsidR="008F51DC">
              <w:rPr>
                <w:color w:val="242A37"/>
                <w:sz w:val="22"/>
                <w:szCs w:val="22"/>
              </w:rPr>
              <w:t xml:space="preserve"> </w:t>
            </w:r>
            <w:r w:rsidRPr="00DD0600">
              <w:rPr>
                <w:color w:val="242A37"/>
                <w:sz w:val="22"/>
                <w:szCs w:val="22"/>
              </w:rPr>
              <w:t>systemu FK</w:t>
            </w:r>
            <w:r w:rsidR="008F51DC">
              <w:rPr>
                <w:color w:val="242A37"/>
                <w:sz w:val="22"/>
                <w:szCs w:val="22"/>
              </w:rPr>
              <w:t>;</w:t>
            </w:r>
          </w:p>
          <w:p w14:paraId="6EEC4BBA" w14:textId="15A47640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/>
              <w:ind w:left="495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>weryfikacja poprawności danych na sprawozdaniach w układzie miesięcznym i kwartalnym</w:t>
            </w:r>
            <w:r w:rsidR="008F51DC">
              <w:rPr>
                <w:color w:val="242A37"/>
                <w:sz w:val="22"/>
                <w:szCs w:val="22"/>
              </w:rPr>
              <w:t>;</w:t>
            </w:r>
          </w:p>
          <w:p w14:paraId="7A22049F" w14:textId="615924E7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/>
              <w:ind w:left="495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>wydruki sprawozdań zgodnie z obowiązującymi rozporządzeniami</w:t>
            </w:r>
            <w:r w:rsidR="008F51DC">
              <w:rPr>
                <w:color w:val="242A37"/>
                <w:sz w:val="22"/>
                <w:szCs w:val="22"/>
              </w:rPr>
              <w:t>;</w:t>
            </w:r>
          </w:p>
          <w:p w14:paraId="061830E4" w14:textId="3B7CF3F7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/>
              <w:ind w:left="495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 xml:space="preserve">wysyłanie sprawozdań w formie elektronicznej do Zarządu Gminy (Budżet </w:t>
            </w:r>
            <w:r w:rsidR="002E6C5F">
              <w:rPr>
                <w:color w:val="242A37"/>
                <w:sz w:val="22"/>
                <w:szCs w:val="22"/>
              </w:rPr>
              <w:t>Systemu</w:t>
            </w:r>
            <w:r w:rsidRPr="00DD0600">
              <w:rPr>
                <w:color w:val="242A37"/>
                <w:sz w:val="22"/>
                <w:szCs w:val="22"/>
              </w:rPr>
              <w:t>)</w:t>
            </w:r>
            <w:r w:rsidR="008F51DC">
              <w:rPr>
                <w:color w:val="242A37"/>
                <w:sz w:val="22"/>
                <w:szCs w:val="22"/>
              </w:rPr>
              <w:t>;</w:t>
            </w:r>
          </w:p>
          <w:p w14:paraId="6918484F" w14:textId="0BB67CBC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/>
              <w:ind w:left="495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>identyfikacja sprawozdań umożliwiająca weryfikację zgodności danych na wydruku z</w:t>
            </w:r>
            <w:r w:rsidR="008F51DC">
              <w:rPr>
                <w:color w:val="242A37"/>
                <w:sz w:val="22"/>
                <w:szCs w:val="22"/>
              </w:rPr>
              <w:t> </w:t>
            </w:r>
            <w:r w:rsidRPr="00DD0600">
              <w:rPr>
                <w:color w:val="242A37"/>
                <w:sz w:val="22"/>
                <w:szCs w:val="22"/>
              </w:rPr>
              <w:t>wersją elektroniczną</w:t>
            </w:r>
            <w:r w:rsidR="008F51DC">
              <w:rPr>
                <w:color w:val="242A37"/>
                <w:sz w:val="22"/>
                <w:szCs w:val="22"/>
              </w:rPr>
              <w:t>;</w:t>
            </w:r>
          </w:p>
          <w:p w14:paraId="639AE25A" w14:textId="72DBECF8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/>
              <w:ind w:left="495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>filtry danych umożliwiające analizę i wydruk sprawozdania częściowego</w:t>
            </w:r>
            <w:r w:rsidR="008F51DC">
              <w:rPr>
                <w:color w:val="242A37"/>
                <w:sz w:val="22"/>
                <w:szCs w:val="22"/>
              </w:rPr>
              <w:t>;</w:t>
            </w:r>
          </w:p>
          <w:p w14:paraId="0B44A2E8" w14:textId="7A1EDA87" w:rsidR="00F05B32" w:rsidRPr="00DD0600" w:rsidRDefault="00F05B32" w:rsidP="00B37A18">
            <w:pPr>
              <w:pStyle w:val="co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493" w:hanging="357"/>
              <w:jc w:val="both"/>
              <w:rPr>
                <w:color w:val="242A37"/>
                <w:sz w:val="22"/>
                <w:szCs w:val="22"/>
              </w:rPr>
            </w:pPr>
            <w:r w:rsidRPr="00DD0600">
              <w:rPr>
                <w:color w:val="242A37"/>
                <w:sz w:val="22"/>
                <w:szCs w:val="22"/>
              </w:rPr>
              <w:t>możliwość eksportu sprawozdań jednostkowych do programu SJO Bestia</w:t>
            </w:r>
            <w:r w:rsidR="008F51DC">
              <w:rPr>
                <w:color w:val="242A37"/>
                <w:sz w:val="22"/>
                <w:szCs w:val="22"/>
              </w:rPr>
              <w:t>.</w:t>
            </w:r>
          </w:p>
        </w:tc>
      </w:tr>
      <w:tr w:rsidR="00F05B32" w:rsidRPr="00DD0600" w14:paraId="2932A1F5" w14:textId="77777777" w:rsidTr="00DD0600">
        <w:tc>
          <w:tcPr>
            <w:tcW w:w="1978" w:type="dxa"/>
          </w:tcPr>
          <w:p w14:paraId="696CD2B3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>Moduł inwentaryzacyjny</w:t>
            </w:r>
          </w:p>
        </w:tc>
        <w:tc>
          <w:tcPr>
            <w:tcW w:w="8644" w:type="dxa"/>
          </w:tcPr>
          <w:p w14:paraId="0EDC0182" w14:textId="57AFDA6A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Program wspomagający inwentaryzację.</w:t>
            </w:r>
            <w:r w:rsidR="008F51DC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Generowanie arkuszy spisowych, Rozliczenie inwentaryzacji (ST), Rozliczenie inwentaryzacji (SN), Zestawienia Globalne, Protokoły, Spis Inwentarza, pobieranie danych z kolektora.</w:t>
            </w:r>
          </w:p>
        </w:tc>
      </w:tr>
      <w:tr w:rsidR="00F05B32" w:rsidRPr="00DD0600" w14:paraId="79E7A53D" w14:textId="77777777" w:rsidTr="00DD0600">
        <w:tc>
          <w:tcPr>
            <w:tcW w:w="1978" w:type="dxa"/>
          </w:tcPr>
          <w:p w14:paraId="167C03A8" w14:textId="6B554E84" w:rsidR="00F05B32" w:rsidRPr="00DD0600" w:rsidRDefault="00DD0600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  <w:r w:rsidR="00F05B32" w:rsidRPr="00DD0600">
              <w:rPr>
                <w:rFonts w:ascii="Times New Roman" w:hAnsi="Times New Roman" w:cs="Times New Roman"/>
                <w:b/>
              </w:rPr>
              <w:t xml:space="preserve">eklaracje JPK </w:t>
            </w:r>
          </w:p>
        </w:tc>
        <w:tc>
          <w:tcPr>
            <w:tcW w:w="8644" w:type="dxa"/>
          </w:tcPr>
          <w:p w14:paraId="0A33A257" w14:textId="09C0FC9D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Generowane plików JPK, na podstawie danych z innych modułów pakietu.</w:t>
            </w:r>
          </w:p>
        </w:tc>
      </w:tr>
      <w:tr w:rsidR="00F05B32" w:rsidRPr="00DD0600" w14:paraId="12DBDAC7" w14:textId="77777777" w:rsidTr="00DD0600">
        <w:tc>
          <w:tcPr>
            <w:tcW w:w="10622" w:type="dxa"/>
            <w:gridSpan w:val="2"/>
            <w:shd w:val="clear" w:color="auto" w:fill="D9E2F3" w:themeFill="accent5" w:themeFillTint="33"/>
          </w:tcPr>
          <w:p w14:paraId="46BB19DC" w14:textId="77777777" w:rsidR="00F05B32" w:rsidRPr="00DD0600" w:rsidRDefault="00F05B32" w:rsidP="008F51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>Dochody</w:t>
            </w:r>
          </w:p>
        </w:tc>
      </w:tr>
      <w:tr w:rsidR="00F05B32" w:rsidRPr="00DD0600" w14:paraId="609A6391" w14:textId="77777777" w:rsidTr="00DD0600">
        <w:tc>
          <w:tcPr>
            <w:tcW w:w="1978" w:type="dxa"/>
          </w:tcPr>
          <w:p w14:paraId="1764AD35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 xml:space="preserve">Rejestr opłat </w:t>
            </w:r>
          </w:p>
        </w:tc>
        <w:tc>
          <w:tcPr>
            <w:tcW w:w="8644" w:type="dxa"/>
          </w:tcPr>
          <w:p w14:paraId="0C55847A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Program służy do obsługi całokształtu zagadnień związanych z przyjmowaniem dowolnych opłat niepodatkowych od osób fizycznych i prawnych.</w:t>
            </w:r>
          </w:p>
          <w:p w14:paraId="47C7F4F7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5D0D8DDB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Wybrane funkcjonalności:</w:t>
            </w:r>
          </w:p>
          <w:p w14:paraId="6C07FA80" w14:textId="105AFB16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zaimportowania danych z wprowadzonych faktur i traktowania ich jako przypisów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921E894" w14:textId="0D5F4806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wprowadzanie sald BO oraz niezapłaconych rat podatku za lata ubiegłe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74E434C7" w14:textId="1B5AB72B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księgowanie wpłat z podpowiedzią odsetek według różnych tabel odsetkowych i możliwością przypisu odsetek w przypadku wpłat po terminie oraz w różnych trybach rozksięgowania wpłaty (możliwe jest ustawienie reguły, zgodnie z którą wpłata zostaje rozksięgowana kolejno na poszczególne rodzaje kwot)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71C9AD47" w14:textId="0231ADD0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zastosowania różnych rodzajów operacji księgowych umożliwiających analizę wpłat, np. wpłat gotówkowych, wyciągów bankowych, przerachowań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10967B7" w14:textId="6ADE4FAC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tworzenia przypisu odsetek na koniec miesiąca, bądź kwartału w</w:t>
            </w:r>
            <w:r w:rsidR="00B37A18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postaci dokumentów not odsetkowych lub w postaci odsetek obliczonych, uwzględnianych na wydrukach sprawozdania RB-27s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0DCB91D" w14:textId="75FA677E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zablokowania zapisów księgowych do wybranej daty oraz zamknięcia rejestrów dokumentów w przypadku uzgodnienia danego okresu obliczeniowego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EB65B02" w14:textId="22615033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korekty księgowania dla zapisów księgowych nie objętych blokadą zapisów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4CE54E2" w14:textId="0A4E7F16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wprowadzania odpisów, umorzeń, rozłożeń i przesunięć terminów płatności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A9B575D" w14:textId="006E1835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wprowadzania umorzeń i odroczeń terminów płatności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4736EE4" w14:textId="1AA358FC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nanoszenie dowolnych statusów na raty (sprawa w sądzie, odwołanie w SKO) oraz drukowanie zestawień w oparciu o takie statusy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2B71EE15" w14:textId="07998A14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tworzenie potwierdzeń sald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CC75985" w14:textId="2852C7AB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generowanie i drukowanie wezwań do zapłaty oraz upomnień z wykazanymi zaległościami (netto i VAT), odsetkami i kosztami, generowanie i drukowanie tytułów wykonawczych (na podstawie upomnień lub w powołaniu bezpośrednio na raty) oraz drukowanie ewidencji do upomnień, tytułów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6C21E82" w14:textId="77777777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prowadzenie dziennika obrotów z możliwością drukowania według zadanych kryteriów</w:t>
            </w:r>
          </w:p>
          <w:p w14:paraId="301916E0" w14:textId="0AC2B544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lastRenderedPageBreak/>
              <w:t>możliwość wielopłaszczyznowej analizy wprowadzonych danych za pomocą odpowiednich zestawień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D8F6B50" w14:textId="21A9A1E4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tworzenie wydruków na podstawie klasyfikacji budżetowej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214B109" w14:textId="171527EE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współpracy z kasą dochodową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3ED858FF" w14:textId="03B465CC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wydrukowania rejestru VAT, deklaracji VAT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CDB075B" w14:textId="6AB0AE21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automatyczny wydruk danych do sprawozdania RB-27s w zakresie poszczególnych rejestrów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9B5E3EF" w14:textId="3AB1FEE7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wygenerowania sprawozdania Rb-N oraz Rb-ZN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1F6124D" w14:textId="598CBBCF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przesyłanie zbiorczych not księgowych do FK i Budżet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382902F1" w14:textId="070DD084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stworzenia książki nadawczej dla korespondencji wysyłanej za pomocą oddzielnego modułu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862B1C4" w14:textId="3805030A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współpraca z systemem finansowo – księgowym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D44B9D8" w14:textId="4BA7C589" w:rsidR="00F05B32" w:rsidRPr="00DD0600" w:rsidRDefault="00F05B32" w:rsidP="00DD060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współpraca z kasą obsługującą karty płatnicze (opcja obsługi kart płatniczych)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4AF6ED1D" w14:textId="77777777" w:rsidTr="00DD0600">
        <w:tc>
          <w:tcPr>
            <w:tcW w:w="10622" w:type="dxa"/>
            <w:gridSpan w:val="2"/>
            <w:shd w:val="clear" w:color="auto" w:fill="D9E2F3" w:themeFill="accent5" w:themeFillTint="33"/>
          </w:tcPr>
          <w:p w14:paraId="1DEA9230" w14:textId="77777777" w:rsidR="00F05B32" w:rsidRPr="00DD0600" w:rsidRDefault="00F05B32" w:rsidP="008F51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lastRenderedPageBreak/>
              <w:t>Płace</w:t>
            </w:r>
          </w:p>
        </w:tc>
      </w:tr>
      <w:tr w:rsidR="00F05B32" w:rsidRPr="00DD0600" w14:paraId="01A4CBE0" w14:textId="77777777" w:rsidTr="00DD0600">
        <w:tc>
          <w:tcPr>
            <w:tcW w:w="1978" w:type="dxa"/>
          </w:tcPr>
          <w:p w14:paraId="7DF35BC8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 xml:space="preserve">Płace </w:t>
            </w:r>
          </w:p>
        </w:tc>
        <w:tc>
          <w:tcPr>
            <w:tcW w:w="8644" w:type="dxa"/>
          </w:tcPr>
          <w:p w14:paraId="7C14F739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System Płace pozwala na sporządzanie wypłat dla pracowników ze stawką godzinową i miesięczną, obsługę umów zleceń, wynagrodzenia radnych, stypendystów, członków rad nadzorczych itp.</w:t>
            </w:r>
          </w:p>
          <w:p w14:paraId="4B5D3161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513C30D3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Wybrane funkcjonalności:</w:t>
            </w:r>
          </w:p>
          <w:p w14:paraId="0D29FFA6" w14:textId="33B9A419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naliczanie płac i przygotowanie wypłaty (sporządzanie list płac: głównej uwzględniającej ulgę podatkową i koszty uzyskania przychodu oraz list dodatkowych z</w:t>
            </w:r>
            <w:r w:rsidR="00B37A18">
              <w:rPr>
                <w:rFonts w:ascii="Times New Roman" w:hAnsi="Times New Roman" w:cs="Times New Roman"/>
              </w:rPr>
              <w:t> </w:t>
            </w:r>
            <w:r w:rsidRPr="00DD0600">
              <w:rPr>
                <w:rFonts w:ascii="Times New Roman" w:hAnsi="Times New Roman" w:cs="Times New Roman"/>
              </w:rPr>
              <w:t>uwzględnieniem wspólnej podstawy do wyliczenia składek ZUS dla wynagrodzeń wypłacanych w tym samym miesiącu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F41337C" w14:textId="797E687C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automatyczne tworzenie dokumentów wynagrodzenia za czas urlopu i choroby na podstawie kartoteki absencji oraz wyliczanie na podstawie kartoteki zarobkowej wysokości wynagrodzenia i zasiłków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2360EE05" w14:textId="017B4E0B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współpracy z systemem Rejestracji Czasu Pracy w zakresie importu godzin pracy, godzin nadliczbowych i nocnych oraz przepracowanych w dni wolne i święta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89804B7" w14:textId="726DAC2C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możliwość współpracy z Systemem Rejestracji Operacji w zakresie importu ilości godzin przepracowanych przez poszczególnych pracowników na zleceniach produkcyjnych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AF9C495" w14:textId="74730C51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przygotowanie i eksport do systemu Finansowo-Księgowego informacji do księgowania danych w postaci noty księgowej. Istnieje możliwość przygotowania noty w rozbiciu na rozdziały i paragrafy zgodnie z klasyfikacją budżetową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3AF77BBE" w14:textId="7CAC8039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obliczanie i pobieranie składki na ubezpieczenia społeczne, zdrowotne, Fundusz Pracy oraz transmisja dokumentów rozliczeniowych do Programu Płatnika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3530C47" w14:textId="00C01434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obliczanie i wypełnianie deklaracji PFRON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40ADAFB" w14:textId="63D3CE5A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rozliczanie zaliczek miesięcznych na poczet podatku dochodowego od łącznej kwoty wypłat dla Urzędu Skarbowego (emisja PIT-4)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F7FAB33" w14:textId="77777777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tworzenie przelewu na konto osobiste pracownika przy współpracy z systemem Przelewy umożliwiającym wymianę informacji z wybranymi systemami bankowymi</w:t>
            </w:r>
          </w:p>
          <w:p w14:paraId="2FD7791A" w14:textId="4FA04D21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prowadzenie rozliczeń w związku z udzielonymi pożyczkami z Funduszu Świadczeń Socjalnych i Zakładowej Kasy Zapomogowo-Pożyczkowej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784DAF69" w14:textId="53BBC8A6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automatyczne generowanie 13-tej pensji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574F4E99" w14:textId="660D6417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wykonanie wydruków związanych z rocznymi rozliczeniami (roczna karta wynagrodzeń, dokumenty podatkowe PIT-11, PIT-4, PIT-40, zaświadczenia o wynagrodzeniu)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8871C60" w14:textId="3F5C3398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emisja wydruków związanych z wypłatą (odcinek dla pracownika, zestawienie gotówkowe, zbiorówka listy płac, lista płac netto, Zestawienia potrąceń miesięcznych i</w:t>
            </w:r>
            <w:r w:rsidR="008F51DC">
              <w:rPr>
                <w:rFonts w:ascii="Times New Roman" w:hAnsi="Times New Roman" w:cs="Times New Roman"/>
              </w:rPr>
              <w:t> </w:t>
            </w:r>
            <w:r w:rsidRPr="00DD0600">
              <w:rPr>
                <w:rFonts w:ascii="Times New Roman" w:hAnsi="Times New Roman" w:cs="Times New Roman"/>
              </w:rPr>
              <w:t>narastająco PKZP, Funduszu Socjalnego, PZU, Związków Zawodowych, potrąceń sądowych i innych)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05D9833" w14:textId="65FD3A69" w:rsidR="00F05B32" w:rsidRPr="00DD0600" w:rsidRDefault="00F05B32" w:rsidP="00DD060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transmisję dokumentów PIT do systemu eDeklaracje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06BFB73C" w14:textId="77777777" w:rsidTr="00DD0600">
        <w:tc>
          <w:tcPr>
            <w:tcW w:w="1978" w:type="dxa"/>
          </w:tcPr>
          <w:p w14:paraId="2A2E00B5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 xml:space="preserve">Kadry </w:t>
            </w:r>
          </w:p>
        </w:tc>
        <w:tc>
          <w:tcPr>
            <w:tcW w:w="8644" w:type="dxa"/>
          </w:tcPr>
          <w:p w14:paraId="41DDD94D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System Kadry przeznaczony jest do prowadzenia kartotek zawierających dane kadrowe pracowników. Podstawowe informacje przechowywane przez program to dane osobowe, ewidencyjne i identyfikacyjne pracowników oraz informacje o nabytych kwalifikacjach zawodowych i historii zatrudnienia. W systemie można także gromadzić informacje dotyczące odbytych szkoleń, stosunku do służby wojskowej, badań lekarskich, pobranych świadczeń z funduszu socjalnego, przyznanych nagród, kar itp. Oryginalne dokumenty stanowiące niezbędne uzupełnienie kartoteki można przechowywać w systemie w formie elektronicznej.</w:t>
            </w:r>
          </w:p>
          <w:p w14:paraId="76E63121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77F7B286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lastRenderedPageBreak/>
              <w:t>Program kadrowy współpracuje z Programem Płatnika wysyłając do niego dokumenty zgłoszeniowe i korygujące: ZUA, ZZA, ZIUA, ZWUA, ZCZA.</w:t>
            </w:r>
          </w:p>
          <w:p w14:paraId="7488C27A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</w:p>
          <w:p w14:paraId="3D99AFA4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Wybrane funkcjonalności:</w:t>
            </w:r>
          </w:p>
          <w:p w14:paraId="4BF40104" w14:textId="58C105A8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automatyczne wyliczanie i ewidencja godzinowa wymiaru urlopu taryfowego, dodatkowego, na żądanie i opieki na dziecko z możliwością ewidencji okresów historycznych i wydruków w postaci kart absencji i</w:t>
            </w:r>
            <w:r w:rsidR="008F51DC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czasu pracy za określony rok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AD7D982" w14:textId="0002D5DA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wydruk dokumentów kadrowych takich jak : umowa o pracę, świadectwo pracy, porozumienie zmieniające, angaż, wypowiedzenie, skierowanie na badania lekarskie, karta obiegowa, zaświadczenie o zatrudnieniu i wynagrodzeniu, itp. z automatycznym wypełnianiem danych zarejestrowanych uprzednio w systemie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75C02F02" w14:textId="07D2BB2E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automatyczne wyliczanie dat do stażu pracy, emerytury i jubileuszu na podstawie wprowadzonej historii zatrudnienia i aktualnego stosunku pracy z uwzględnieniem okresów wyłączonych i nakładających się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68D85763" w14:textId="16A24351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Prognozowanie wynagrodzenia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4E9D4DF3" w14:textId="69FD41E8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tworzenie planu przeszeregowania poprzez wyliczanie poszczególnych składników wynagrodzeń na podstawie łącznej kwoty podwyżki dla pracownika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3C44D15" w14:textId="33D64610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akceptacja planu - kopiowanie utworzonego planu do bieżącej kartoteki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CCDBE07" w14:textId="3E4A930D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automatyczna sygnalizacja (bez konieczności wywoływania raportów) zdarzeń określonych przez użytkownika np.: z 1 miesięcznym wyprzedzeniem upływu ważności badań lekarskich pracowników oraz szkoleń BHP, itp., przy współpracy z systemem "Alert"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1BFFCA24" w14:textId="4DF83F40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raportowanie ilości odbytych szkoleń, raportu kosztów poniesionych przez pracodawcę na szkolenia pracownika (wg nazwiska, wg wydziału, ogółem, itp.)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3EFA9860" w14:textId="479F58CF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prowadzenie archiwum dla pracowników zwolnionych i obecnie pracujących, które umożliwia szybkie przywracanie pracowników zwolnionych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2EB477CA" w14:textId="68B894D2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generowanie raportów na poziomie użytkownika i administratora z</w:t>
            </w:r>
            <w:r w:rsidR="008F51DC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dowolnie wybranych elementów za różne okresy za pomocą generatorów raportów</w:t>
            </w:r>
            <w:r w:rsidR="008F51DC">
              <w:rPr>
                <w:rFonts w:ascii="Times New Roman" w:hAnsi="Times New Roman" w:cs="Times New Roman"/>
              </w:rPr>
              <w:t>;</w:t>
            </w:r>
          </w:p>
          <w:p w14:paraId="08F0537E" w14:textId="3EB6BC11" w:rsidR="00F05B32" w:rsidRPr="00DD0600" w:rsidRDefault="00F05B32" w:rsidP="00DD0600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generowanie sprawozdań ZZ 01, ZZ 03, ZZ 06, ZZ 12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2BD8B986" w14:textId="77777777" w:rsidTr="00DD0600">
        <w:tc>
          <w:tcPr>
            <w:tcW w:w="1978" w:type="dxa"/>
          </w:tcPr>
          <w:p w14:paraId="03E51D97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lastRenderedPageBreak/>
              <w:t xml:space="preserve">eDeklaracje </w:t>
            </w:r>
          </w:p>
        </w:tc>
        <w:tc>
          <w:tcPr>
            <w:tcW w:w="8644" w:type="dxa"/>
          </w:tcPr>
          <w:p w14:paraId="0EC4EB45" w14:textId="7D6A2966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Narzędzie nowoczesnej, efektywnej administracji skarbowej, wspierające realizację nałożonych na nią zadań ustawowych związanych z umożliwieniem składania deklaracji podatkowych drogą elektroniczną. Program wydaje potwierdzenie w sytuacji poprawnego przebiegu całej operacji albo wyświetli</w:t>
            </w:r>
            <w:r w:rsidR="008F51DC">
              <w:rPr>
                <w:rFonts w:ascii="Times New Roman" w:hAnsi="Times New Roman" w:cs="Times New Roman"/>
              </w:rPr>
              <w:t xml:space="preserve"> </w:t>
            </w:r>
            <w:r w:rsidRPr="00DD0600">
              <w:rPr>
                <w:rFonts w:ascii="Times New Roman" w:hAnsi="Times New Roman" w:cs="Times New Roman"/>
              </w:rPr>
              <w:t>odpowiedni komunikat. Złożony poprawnie dokument elektroniczny pozwala na</w:t>
            </w:r>
          </w:p>
          <w:p w14:paraId="3382613A" w14:textId="03599D90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wygenerowanie Urzędowego Poświadczenia Odbioru (UPO). To potwierdzenie traktowane jest na równi z dowodem nadania listu poleconego czy złożeniem zeznania, deklaracji lub informacji bezpośrednio w urzędzie skarbowym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  <w:tr w:rsidR="00F05B32" w:rsidRPr="00DD0600" w14:paraId="4DA81CCF" w14:textId="77777777" w:rsidTr="00DD0600">
        <w:tc>
          <w:tcPr>
            <w:tcW w:w="10622" w:type="dxa"/>
            <w:gridSpan w:val="2"/>
            <w:shd w:val="clear" w:color="auto" w:fill="D9E2F3" w:themeFill="accent5" w:themeFillTint="33"/>
          </w:tcPr>
          <w:p w14:paraId="34522026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  <w:b/>
              </w:rPr>
              <w:t>INNE</w:t>
            </w:r>
          </w:p>
        </w:tc>
      </w:tr>
      <w:tr w:rsidR="00F05B32" w:rsidRPr="00DD0600" w14:paraId="6487F5AC" w14:textId="77777777" w:rsidTr="00DD0600">
        <w:tc>
          <w:tcPr>
            <w:tcW w:w="1978" w:type="dxa"/>
          </w:tcPr>
          <w:p w14:paraId="45660438" w14:textId="77777777" w:rsidR="00F05B32" w:rsidRPr="00DD0600" w:rsidRDefault="00F05B32" w:rsidP="00DD06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600">
              <w:rPr>
                <w:rFonts w:ascii="Times New Roman" w:hAnsi="Times New Roman" w:cs="Times New Roman"/>
                <w:b/>
              </w:rPr>
              <w:t>eWidok</w:t>
            </w:r>
            <w:r w:rsidR="00F21EB4" w:rsidRPr="00DD06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644" w:type="dxa"/>
          </w:tcPr>
          <w:p w14:paraId="75BCBC12" w14:textId="45F49BA7" w:rsidR="00F05B32" w:rsidRPr="00DD0600" w:rsidRDefault="00F21EB4" w:rsidP="00DD0600">
            <w:pPr>
              <w:jc w:val="both"/>
              <w:rPr>
                <w:rFonts w:ascii="Times New Roman" w:hAnsi="Times New Roman" w:cs="Times New Roman"/>
              </w:rPr>
            </w:pPr>
            <w:r w:rsidRPr="00DD0600">
              <w:rPr>
                <w:rFonts w:ascii="Times New Roman" w:hAnsi="Times New Roman" w:cs="Times New Roman"/>
              </w:rPr>
              <w:t>Umożliwia tworzenie, dodatkowych zestawień. Zestawienia dodatkowe mogą być tworzone przez konsultantów z firmy</w:t>
            </w:r>
            <w:r w:rsidR="006F707B">
              <w:rPr>
                <w:rFonts w:ascii="Times New Roman" w:hAnsi="Times New Roman" w:cs="Times New Roman"/>
              </w:rPr>
              <w:t>, która dostarczyła system</w:t>
            </w:r>
            <w:r w:rsidRPr="00DD0600">
              <w:rPr>
                <w:rFonts w:ascii="Times New Roman" w:hAnsi="Times New Roman" w:cs="Times New Roman"/>
              </w:rPr>
              <w:t xml:space="preserve"> lub przez administratorów systemu. Pozwalają one w pełni dostosować program do potrzeb informacyjnych klienta</w:t>
            </w:r>
            <w:r w:rsidR="00DD0600">
              <w:rPr>
                <w:rFonts w:ascii="Times New Roman" w:hAnsi="Times New Roman" w:cs="Times New Roman"/>
              </w:rPr>
              <w:t>.</w:t>
            </w:r>
          </w:p>
        </w:tc>
      </w:tr>
    </w:tbl>
    <w:p w14:paraId="4EE8C07E" w14:textId="77777777" w:rsidR="00F05B32" w:rsidRPr="00DD0600" w:rsidRDefault="00F05B32" w:rsidP="00DD0600">
      <w:pPr>
        <w:jc w:val="both"/>
        <w:rPr>
          <w:rFonts w:ascii="Times New Roman" w:hAnsi="Times New Roman" w:cs="Times New Roman"/>
        </w:rPr>
      </w:pPr>
    </w:p>
    <w:sectPr w:rsidR="00F05B32" w:rsidRPr="00DD0600" w:rsidSect="00B37A18">
      <w:footerReference w:type="default" r:id="rId7"/>
      <w:pgSz w:w="11906" w:h="16838"/>
      <w:pgMar w:top="567" w:right="707" w:bottom="709" w:left="567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A6A94" w14:textId="77777777" w:rsidR="00567C4B" w:rsidRDefault="00567C4B" w:rsidP="00C604AB">
      <w:pPr>
        <w:spacing w:after="0" w:line="240" w:lineRule="auto"/>
      </w:pPr>
      <w:r>
        <w:separator/>
      </w:r>
    </w:p>
  </w:endnote>
  <w:endnote w:type="continuationSeparator" w:id="0">
    <w:p w14:paraId="1F8D74AD" w14:textId="77777777" w:rsidR="00567C4B" w:rsidRDefault="00567C4B" w:rsidP="00C6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1588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  <w:sz w:val="16"/>
        <w:szCs w:val="16"/>
      </w:rPr>
    </w:sdtEndPr>
    <w:sdtContent>
      <w:p w14:paraId="48AC28CE" w14:textId="6ED0617F" w:rsidR="00C604AB" w:rsidRPr="00C604AB" w:rsidRDefault="00C604AB">
        <w:pPr>
          <w:pStyle w:val="Stopka"/>
          <w:jc w:val="right"/>
          <w:rPr>
            <w:rFonts w:ascii="Times New Roman" w:hAnsi="Times New Roman" w:cs="Times New Roman"/>
            <w:b/>
            <w:bCs/>
            <w:sz w:val="16"/>
            <w:szCs w:val="16"/>
          </w:rPr>
        </w:pPr>
        <w:r w:rsidRPr="00C604A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C604AB">
          <w:rPr>
            <w:rFonts w:ascii="Times New Roman" w:hAnsi="Times New Roman" w:cs="Times New Roman"/>
            <w:b/>
            <w:bCs/>
            <w:sz w:val="16"/>
            <w:szCs w:val="16"/>
          </w:rPr>
          <w:instrText>PAGE   \* MERGEFORMAT</w:instrText>
        </w:r>
        <w:r w:rsidRPr="00C604A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C604AB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C604A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C604AB">
          <w:rPr>
            <w:rFonts w:ascii="Times New Roman" w:hAnsi="Times New Roman" w:cs="Times New Roman"/>
            <w:b/>
            <w:bCs/>
            <w:sz w:val="16"/>
            <w:szCs w:val="16"/>
          </w:rPr>
          <w:t>/6</w:t>
        </w:r>
      </w:p>
    </w:sdtContent>
  </w:sdt>
  <w:p w14:paraId="5AC17BFA" w14:textId="77777777" w:rsidR="00C604AB" w:rsidRDefault="00C604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A51E6" w14:textId="77777777" w:rsidR="00567C4B" w:rsidRDefault="00567C4B" w:rsidP="00C604AB">
      <w:pPr>
        <w:spacing w:after="0" w:line="240" w:lineRule="auto"/>
      </w:pPr>
      <w:r>
        <w:separator/>
      </w:r>
    </w:p>
  </w:footnote>
  <w:footnote w:type="continuationSeparator" w:id="0">
    <w:p w14:paraId="3D9AC245" w14:textId="77777777" w:rsidR="00567C4B" w:rsidRDefault="00567C4B" w:rsidP="00C6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12654"/>
    <w:multiLevelType w:val="hybridMultilevel"/>
    <w:tmpl w:val="1C625C94"/>
    <w:lvl w:ilvl="0" w:tplc="EB3C032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A4CB2"/>
    <w:multiLevelType w:val="hybridMultilevel"/>
    <w:tmpl w:val="35B6F5C8"/>
    <w:lvl w:ilvl="0" w:tplc="EB3C032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22E89"/>
    <w:multiLevelType w:val="multilevel"/>
    <w:tmpl w:val="F88CB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AF168F"/>
    <w:multiLevelType w:val="hybridMultilevel"/>
    <w:tmpl w:val="4D52CECC"/>
    <w:lvl w:ilvl="0" w:tplc="EB3C032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85002"/>
    <w:multiLevelType w:val="hybridMultilevel"/>
    <w:tmpl w:val="4A7E514E"/>
    <w:lvl w:ilvl="0" w:tplc="EB3C032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E2D56"/>
    <w:multiLevelType w:val="hybridMultilevel"/>
    <w:tmpl w:val="D28E3048"/>
    <w:lvl w:ilvl="0" w:tplc="EB3C032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D0027"/>
    <w:multiLevelType w:val="multilevel"/>
    <w:tmpl w:val="0878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370634"/>
    <w:multiLevelType w:val="hybridMultilevel"/>
    <w:tmpl w:val="724E8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65F93"/>
    <w:multiLevelType w:val="hybridMultilevel"/>
    <w:tmpl w:val="8F8A3094"/>
    <w:lvl w:ilvl="0" w:tplc="EB3C032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450F37"/>
    <w:multiLevelType w:val="hybridMultilevel"/>
    <w:tmpl w:val="D1343816"/>
    <w:lvl w:ilvl="0" w:tplc="EB3C032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84994"/>
    <w:multiLevelType w:val="hybridMultilevel"/>
    <w:tmpl w:val="C17662B6"/>
    <w:lvl w:ilvl="0" w:tplc="EB3C032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16345">
    <w:abstractNumId w:val="7"/>
  </w:num>
  <w:num w:numId="2" w16cid:durableId="1173181655">
    <w:abstractNumId w:val="10"/>
  </w:num>
  <w:num w:numId="3" w16cid:durableId="311640730">
    <w:abstractNumId w:val="5"/>
  </w:num>
  <w:num w:numId="4" w16cid:durableId="337538430">
    <w:abstractNumId w:val="3"/>
  </w:num>
  <w:num w:numId="5" w16cid:durableId="2019503226">
    <w:abstractNumId w:val="1"/>
  </w:num>
  <w:num w:numId="6" w16cid:durableId="1562910609">
    <w:abstractNumId w:val="8"/>
  </w:num>
  <w:num w:numId="7" w16cid:durableId="1326857331">
    <w:abstractNumId w:val="4"/>
  </w:num>
  <w:num w:numId="8" w16cid:durableId="1909262114">
    <w:abstractNumId w:val="9"/>
  </w:num>
  <w:num w:numId="9" w16cid:durableId="1619415675">
    <w:abstractNumId w:val="0"/>
  </w:num>
  <w:num w:numId="10" w16cid:durableId="854419966">
    <w:abstractNumId w:val="2"/>
  </w:num>
  <w:num w:numId="11" w16cid:durableId="163193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A92"/>
    <w:rsid w:val="000F4E29"/>
    <w:rsid w:val="00171219"/>
    <w:rsid w:val="0019228E"/>
    <w:rsid w:val="001C51FD"/>
    <w:rsid w:val="0021737A"/>
    <w:rsid w:val="002278D0"/>
    <w:rsid w:val="0024472B"/>
    <w:rsid w:val="002B06F3"/>
    <w:rsid w:val="002B1A9D"/>
    <w:rsid w:val="002E1B9A"/>
    <w:rsid w:val="002E6C5F"/>
    <w:rsid w:val="003318CD"/>
    <w:rsid w:val="00360840"/>
    <w:rsid w:val="00363701"/>
    <w:rsid w:val="004146C3"/>
    <w:rsid w:val="00472B02"/>
    <w:rsid w:val="004D1FEC"/>
    <w:rsid w:val="00567C4B"/>
    <w:rsid w:val="005B5A92"/>
    <w:rsid w:val="005B7705"/>
    <w:rsid w:val="00640633"/>
    <w:rsid w:val="006A5537"/>
    <w:rsid w:val="006F707B"/>
    <w:rsid w:val="007911AE"/>
    <w:rsid w:val="007C43DD"/>
    <w:rsid w:val="007D79D5"/>
    <w:rsid w:val="00803BF8"/>
    <w:rsid w:val="00831A40"/>
    <w:rsid w:val="00865E9E"/>
    <w:rsid w:val="00873EF5"/>
    <w:rsid w:val="00885ACB"/>
    <w:rsid w:val="008928BA"/>
    <w:rsid w:val="008970C6"/>
    <w:rsid w:val="008F51DC"/>
    <w:rsid w:val="00A804C3"/>
    <w:rsid w:val="00B37A18"/>
    <w:rsid w:val="00C14DD9"/>
    <w:rsid w:val="00C338A9"/>
    <w:rsid w:val="00C604AB"/>
    <w:rsid w:val="00C74985"/>
    <w:rsid w:val="00C96F0C"/>
    <w:rsid w:val="00CA3B68"/>
    <w:rsid w:val="00CB6A09"/>
    <w:rsid w:val="00CD3696"/>
    <w:rsid w:val="00D625B1"/>
    <w:rsid w:val="00D90C73"/>
    <w:rsid w:val="00DD0600"/>
    <w:rsid w:val="00EC0FCE"/>
    <w:rsid w:val="00EC49AE"/>
    <w:rsid w:val="00EE4A1C"/>
    <w:rsid w:val="00EF59D5"/>
    <w:rsid w:val="00F02971"/>
    <w:rsid w:val="00F05B32"/>
    <w:rsid w:val="00F21EB4"/>
    <w:rsid w:val="00F370ED"/>
    <w:rsid w:val="00FC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C8E92"/>
  <w15:chartTrackingRefBased/>
  <w15:docId w15:val="{5E17DEAB-D87E-4B9A-A229-6A117C28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4DD9"/>
    <w:pPr>
      <w:keepNext/>
      <w:keepLines/>
      <w:spacing w:before="240" w:after="0"/>
      <w:outlineLvl w:val="0"/>
    </w:pPr>
    <w:rPr>
      <w:rFonts w:ascii="Arial" w:eastAsiaTheme="majorEastAsia" w:hAnsi="Arial" w:cstheme="majorBidi"/>
      <w:sz w:val="32"/>
      <w:szCs w:val="32"/>
    </w:rPr>
  </w:style>
  <w:style w:type="paragraph" w:styleId="Nagwek5">
    <w:name w:val="heading 5"/>
    <w:basedOn w:val="Normalny"/>
    <w:link w:val="Nagwek5Znak"/>
    <w:uiPriority w:val="9"/>
    <w:qFormat/>
    <w:rsid w:val="00CA3B6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C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C5DAE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CA3B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col">
    <w:name w:val="col"/>
    <w:basedOn w:val="Normalny"/>
    <w:rsid w:val="00CA3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14DD9"/>
    <w:rPr>
      <w:rFonts w:ascii="Arial" w:eastAsiaTheme="majorEastAsia" w:hAnsi="Arial" w:cstheme="majorBidi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60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04AB"/>
  </w:style>
  <w:style w:type="paragraph" w:styleId="Stopka">
    <w:name w:val="footer"/>
    <w:basedOn w:val="Normalny"/>
    <w:link w:val="StopkaZnak"/>
    <w:uiPriority w:val="99"/>
    <w:unhideWhenUsed/>
    <w:rsid w:val="00C60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0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3017</Words>
  <Characters>18102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Justyna  Gasińska</cp:lastModifiedBy>
  <cp:revision>3</cp:revision>
  <dcterms:created xsi:type="dcterms:W3CDTF">2026-04-24T09:22:00Z</dcterms:created>
  <dcterms:modified xsi:type="dcterms:W3CDTF">2026-04-24T09:25:00Z</dcterms:modified>
</cp:coreProperties>
</file>